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ink/ink1.xml" ContentType="application/inkml+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C8F9" w14:textId="77777777" w:rsidR="00EC1190" w:rsidRPr="005E3B44" w:rsidRDefault="00EC1190">
      <w:pPr>
        <w:pBdr>
          <w:top w:val="nil"/>
          <w:left w:val="nil"/>
          <w:bottom w:val="nil"/>
          <w:right w:val="nil"/>
          <w:between w:val="nil"/>
          <w:bar w:val="nil"/>
        </w:pBdr>
        <w:rPr>
          <w:rFonts w:asciiTheme="minorHAnsi" w:hAnsiTheme="minorHAnsi" w:cstheme="minorHAnsi"/>
          <w:bdr w:val="nil"/>
        </w:rPr>
      </w:pPr>
    </w:p>
    <w:p w14:paraId="70CBF55B" w14:textId="77777777" w:rsidR="00C10B2F" w:rsidRPr="005E3B44" w:rsidRDefault="00C10B2F" w:rsidP="00C10B2F">
      <w:pPr>
        <w:pBdr>
          <w:top w:val="nil"/>
          <w:left w:val="nil"/>
          <w:bottom w:val="nil"/>
          <w:right w:val="nil"/>
          <w:between w:val="nil"/>
          <w:bar w:val="nil"/>
        </w:pBdr>
        <w:rPr>
          <w:rFonts w:asciiTheme="minorHAnsi" w:hAnsiTheme="minorHAnsi" w:cstheme="minorHAnsi"/>
          <w:b/>
          <w:bCs/>
          <w:sz w:val="32"/>
          <w:szCs w:val="22"/>
          <w:bdr w:val="nil"/>
          <w:lang w:val="en-US"/>
        </w:rPr>
      </w:pPr>
      <w:r w:rsidRPr="005E3B44">
        <w:rPr>
          <w:rFonts w:asciiTheme="minorHAnsi" w:hAnsiTheme="minorHAnsi" w:cstheme="minorHAnsi"/>
          <w:b/>
          <w:bCs/>
          <w:sz w:val="32"/>
          <w:szCs w:val="22"/>
          <w:bdr w:val="nil"/>
          <w:lang w:val="en-US"/>
        </w:rPr>
        <w:t>Contents</w:t>
      </w:r>
    </w:p>
    <w:p w14:paraId="5B909280" w14:textId="40DE9FE5" w:rsidR="00C10B2F" w:rsidRPr="005E3B44" w:rsidRDefault="00C10B2F" w:rsidP="00C10B2F">
      <w:pPr>
        <w:pBdr>
          <w:top w:val="nil"/>
          <w:left w:val="nil"/>
          <w:bottom w:val="nil"/>
          <w:right w:val="nil"/>
          <w:between w:val="nil"/>
          <w:bar w:val="nil"/>
        </w:pBdr>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Justice and Community Safety </w:t>
      </w:r>
      <w:proofErr w:type="gramStart"/>
      <w:r w:rsidRPr="005E3B44">
        <w:rPr>
          <w:rFonts w:asciiTheme="minorHAnsi" w:hAnsiTheme="minorHAnsi" w:cstheme="minorHAnsi"/>
          <w:szCs w:val="24"/>
          <w:bdr w:val="nil"/>
          <w:lang w:val="en-US"/>
        </w:rPr>
        <w:t xml:space="preserve">Directorate </w:t>
      </w:r>
      <w:r w:rsidR="00894D7E" w:rsidRPr="00894D7E">
        <w:rPr>
          <w:rFonts w:asciiTheme="minorHAnsi" w:hAnsiTheme="minorHAnsi" w:cstheme="minorHAnsi"/>
          <w:sz w:val="18"/>
          <w:szCs w:val="18"/>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sidRPr="005E3B44">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………1  </w:t>
      </w:r>
    </w:p>
    <w:p w14:paraId="54512ED0" w14:textId="0D07A31E"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Purpose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r w:rsidR="00894D7E" w:rsidRPr="005E3B44">
        <w:rPr>
          <w:rFonts w:asciiTheme="minorHAnsi" w:hAnsiTheme="minorHAnsi" w:cstheme="minorHAnsi"/>
          <w:szCs w:val="24"/>
          <w:bdr w:val="nil"/>
          <w:lang w:val="en-US"/>
        </w:rPr>
        <w:t>…</w:t>
      </w:r>
      <w:proofErr w:type="gramStart"/>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 xml:space="preserve">1 </w:t>
      </w:r>
    </w:p>
    <w:p w14:paraId="497DB422" w14:textId="79096B65"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2021-22 Priorities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proofErr w:type="gramStart"/>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 xml:space="preserve">1 </w:t>
      </w:r>
    </w:p>
    <w:p w14:paraId="76745CA2" w14:textId="3D34BAE4"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Estimated Employment </w:t>
      </w:r>
      <w:proofErr w:type="gramStart"/>
      <w:r w:rsidRPr="005E3B44">
        <w:rPr>
          <w:rFonts w:asciiTheme="minorHAnsi" w:hAnsiTheme="minorHAnsi" w:cstheme="minorHAnsi"/>
          <w:szCs w:val="24"/>
          <w:bdr w:val="nil"/>
          <w:lang w:val="en-US"/>
        </w:rPr>
        <w:t>Level</w:t>
      </w:r>
      <w:r w:rsidR="00DB580A">
        <w:rPr>
          <w:rFonts w:asciiTheme="minorHAnsi" w:hAnsiTheme="minorHAnsi" w:cstheme="minorHAnsi"/>
          <w:szCs w:val="24"/>
          <w:bdr w:val="nil"/>
          <w:lang w:val="en-US"/>
        </w:rPr>
        <w:t xml:space="preserve"> </w:t>
      </w:r>
      <w:r w:rsidRPr="00DB580A">
        <w:rPr>
          <w:rFonts w:asciiTheme="minorHAnsi" w:hAnsiTheme="minorHAnsi" w:cstheme="minorHAnsi"/>
          <w:sz w:val="8"/>
          <w:szCs w:val="8"/>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……4 </w:t>
      </w:r>
    </w:p>
    <w:p w14:paraId="69129C59" w14:textId="1C888A7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Strategic Object</w:t>
      </w:r>
      <w:r w:rsidR="009C0A0C" w:rsidRPr="005E3B44">
        <w:rPr>
          <w:rFonts w:asciiTheme="minorHAnsi" w:hAnsiTheme="minorHAnsi" w:cstheme="minorHAnsi"/>
          <w:szCs w:val="24"/>
          <w:bdr w:val="nil"/>
          <w:lang w:val="en-US"/>
        </w:rPr>
        <w:t>i</w:t>
      </w:r>
      <w:r w:rsidRPr="005E3B44">
        <w:rPr>
          <w:rFonts w:asciiTheme="minorHAnsi" w:hAnsiTheme="minorHAnsi" w:cstheme="minorHAnsi"/>
          <w:szCs w:val="24"/>
          <w:bdr w:val="nil"/>
          <w:lang w:val="en-US"/>
        </w:rPr>
        <w:t xml:space="preserve">ves and </w:t>
      </w:r>
      <w:proofErr w:type="gramStart"/>
      <w:r w:rsidRPr="005E3B44">
        <w:rPr>
          <w:rFonts w:asciiTheme="minorHAnsi" w:hAnsiTheme="minorHAnsi" w:cstheme="minorHAnsi"/>
          <w:szCs w:val="24"/>
          <w:bdr w:val="nil"/>
          <w:lang w:val="en-US"/>
        </w:rPr>
        <w:t xml:space="preserve">Indicators </w:t>
      </w:r>
      <w:r w:rsidR="00DB580A" w:rsidRPr="00DB580A">
        <w:rPr>
          <w:rFonts w:asciiTheme="minorHAnsi" w:hAnsiTheme="minorHAnsi" w:cstheme="minorHAnsi"/>
          <w:sz w:val="14"/>
          <w:szCs w:val="14"/>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00894D7E" w:rsidRPr="005E3B44">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………5 </w:t>
      </w:r>
    </w:p>
    <w:p w14:paraId="0A04F8F2" w14:textId="3A46A7AD" w:rsidR="00C10B2F" w:rsidRPr="005E3B44" w:rsidRDefault="00C10B2F" w:rsidP="008316D7">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Output </w:t>
      </w:r>
      <w:proofErr w:type="gramStart"/>
      <w:r w:rsidRPr="005E3B44">
        <w:rPr>
          <w:rFonts w:asciiTheme="minorHAnsi" w:hAnsiTheme="minorHAnsi" w:cstheme="minorHAnsi"/>
          <w:szCs w:val="24"/>
          <w:bdr w:val="nil"/>
          <w:lang w:val="en-US"/>
        </w:rPr>
        <w:t>Classes</w:t>
      </w:r>
      <w:r w:rsidR="00DB580A" w:rsidRPr="00DB580A">
        <w:rPr>
          <w:rFonts w:asciiTheme="minorHAnsi" w:hAnsiTheme="minorHAnsi" w:cstheme="minorHAnsi"/>
          <w:sz w:val="14"/>
          <w:szCs w:val="14"/>
          <w:bdr w:val="nil"/>
          <w:lang w:val="en-US"/>
        </w:rPr>
        <w:t xml:space="preserve"> </w:t>
      </w:r>
      <w:r w:rsidRPr="005E3B44">
        <w:rPr>
          <w:rFonts w:asciiTheme="minorHAnsi" w:hAnsiTheme="minorHAnsi" w:cstheme="minorHAnsi"/>
          <w:szCs w:val="24"/>
          <w:bdr w:val="nil"/>
          <w:lang w:val="en-US"/>
        </w:rPr>
        <w:t xml:space="preserve"> …</w:t>
      </w:r>
      <w:proofErr w:type="gramEnd"/>
      <w:r w:rsidRPr="005E3B44">
        <w:rPr>
          <w:rFonts w:asciiTheme="minorHAnsi" w:hAnsiTheme="minorHAnsi" w:cstheme="minorHAnsi"/>
          <w:szCs w:val="24"/>
          <w:bdr w:val="nil"/>
          <w:lang w:val="en-US"/>
        </w:rPr>
        <w:t>…………………………………………………………………………………</w:t>
      </w:r>
      <w:r w:rsidR="00894D7E"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……………1</w:t>
      </w:r>
      <w:r w:rsidR="009772DF">
        <w:rPr>
          <w:rFonts w:asciiTheme="minorHAnsi" w:hAnsiTheme="minorHAnsi" w:cstheme="minorHAnsi"/>
          <w:szCs w:val="24"/>
          <w:bdr w:val="nil"/>
          <w:lang w:val="en-US"/>
        </w:rPr>
        <w:t>2</w:t>
      </w:r>
      <w:r w:rsidRPr="005E3B44">
        <w:rPr>
          <w:rFonts w:asciiTheme="minorHAnsi" w:hAnsiTheme="minorHAnsi" w:cstheme="minorHAnsi"/>
          <w:szCs w:val="24"/>
          <w:bdr w:val="nil"/>
          <w:lang w:val="en-US"/>
        </w:rPr>
        <w:t xml:space="preserve"> </w:t>
      </w:r>
    </w:p>
    <w:p w14:paraId="7BCF23FE" w14:textId="439B7B4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Accountability </w:t>
      </w:r>
      <w:proofErr w:type="gramStart"/>
      <w:r w:rsidRPr="005E3B44">
        <w:rPr>
          <w:rFonts w:asciiTheme="minorHAnsi" w:hAnsiTheme="minorHAnsi" w:cstheme="minorHAnsi"/>
          <w:szCs w:val="24"/>
          <w:bdr w:val="nil"/>
          <w:lang w:val="en-US"/>
        </w:rPr>
        <w:t>Indicators</w:t>
      </w:r>
      <w:r w:rsidR="00894D7E">
        <w:rPr>
          <w:rFonts w:asciiTheme="minorHAnsi" w:hAnsiTheme="minorHAnsi" w:cstheme="minorHAnsi"/>
          <w:szCs w:val="24"/>
          <w:bdr w:val="nil"/>
          <w:lang w:val="en-US"/>
        </w:rPr>
        <w:t xml:space="preserve"> </w:t>
      </w:r>
      <w:r w:rsidRPr="005E3B44">
        <w:rPr>
          <w:rFonts w:asciiTheme="minorHAnsi" w:hAnsiTheme="minorHAnsi" w:cstheme="minorHAnsi"/>
          <w:szCs w:val="24"/>
          <w:bdr w:val="nil"/>
          <w:lang w:val="en-US"/>
        </w:rPr>
        <w:t xml:space="preserve"> …</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……………1</w:t>
      </w:r>
      <w:r w:rsidR="009772DF">
        <w:rPr>
          <w:rFonts w:asciiTheme="minorHAnsi" w:hAnsiTheme="minorHAnsi" w:cstheme="minorHAnsi"/>
          <w:szCs w:val="24"/>
          <w:bdr w:val="nil"/>
          <w:lang w:val="en-US"/>
        </w:rPr>
        <w:t>6</w:t>
      </w:r>
      <w:r w:rsidRPr="005E3B44">
        <w:rPr>
          <w:rFonts w:asciiTheme="minorHAnsi" w:hAnsiTheme="minorHAnsi" w:cstheme="minorHAnsi"/>
          <w:szCs w:val="24"/>
          <w:bdr w:val="nil"/>
          <w:lang w:val="en-US"/>
        </w:rPr>
        <w:t xml:space="preserve"> </w:t>
      </w:r>
    </w:p>
    <w:p w14:paraId="54A4BD6F" w14:textId="3ED52E0E"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Changes to </w:t>
      </w:r>
      <w:proofErr w:type="gramStart"/>
      <w:r w:rsidRPr="005E3B44">
        <w:rPr>
          <w:rFonts w:asciiTheme="minorHAnsi" w:hAnsiTheme="minorHAnsi" w:cstheme="minorHAnsi"/>
          <w:szCs w:val="24"/>
          <w:bdr w:val="nil"/>
          <w:lang w:val="en-US"/>
        </w:rPr>
        <w:t xml:space="preserve">Appropriation </w:t>
      </w:r>
      <w:r w:rsidR="00894D7E">
        <w:rPr>
          <w:rFonts w:asciiTheme="minorHAnsi" w:hAnsiTheme="minorHAnsi" w:cstheme="minorHAnsi"/>
          <w:szCs w:val="24"/>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……….2</w:t>
      </w:r>
      <w:r w:rsidR="009772DF">
        <w:rPr>
          <w:rFonts w:asciiTheme="minorHAnsi" w:hAnsiTheme="minorHAnsi" w:cstheme="minorHAnsi"/>
          <w:szCs w:val="24"/>
          <w:bdr w:val="nil"/>
          <w:lang w:val="en-US"/>
        </w:rPr>
        <w:t>7</w:t>
      </w:r>
      <w:r w:rsidRPr="005E3B44">
        <w:rPr>
          <w:rFonts w:asciiTheme="minorHAnsi" w:hAnsiTheme="minorHAnsi" w:cstheme="minorHAnsi"/>
          <w:szCs w:val="24"/>
          <w:bdr w:val="nil"/>
          <w:lang w:val="en-US"/>
        </w:rPr>
        <w:t xml:space="preserve"> </w:t>
      </w:r>
    </w:p>
    <w:p w14:paraId="4F043665" w14:textId="1354B212"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Summary of 202</w:t>
      </w:r>
      <w:r w:rsidR="008316D7" w:rsidRPr="005E3B44">
        <w:rPr>
          <w:rFonts w:asciiTheme="minorHAnsi" w:hAnsiTheme="minorHAnsi" w:cstheme="minorHAnsi"/>
          <w:szCs w:val="24"/>
          <w:bdr w:val="nil"/>
          <w:lang w:val="en-US"/>
        </w:rPr>
        <w:t>1</w:t>
      </w:r>
      <w:r w:rsidRPr="005E3B44">
        <w:rPr>
          <w:rFonts w:asciiTheme="minorHAnsi" w:hAnsiTheme="minorHAnsi" w:cstheme="minorHAnsi"/>
          <w:szCs w:val="24"/>
          <w:bdr w:val="nil"/>
          <w:lang w:val="en-US"/>
        </w:rPr>
        <w:t>-2</w:t>
      </w:r>
      <w:r w:rsidR="008316D7" w:rsidRPr="005E3B44">
        <w:rPr>
          <w:rFonts w:asciiTheme="minorHAnsi" w:hAnsiTheme="minorHAnsi" w:cstheme="minorHAnsi"/>
          <w:szCs w:val="24"/>
          <w:bdr w:val="nil"/>
          <w:lang w:val="en-US"/>
        </w:rPr>
        <w:t>2</w:t>
      </w:r>
      <w:r w:rsidRPr="005E3B44">
        <w:rPr>
          <w:rFonts w:asciiTheme="minorHAnsi" w:hAnsiTheme="minorHAnsi" w:cstheme="minorHAnsi"/>
          <w:szCs w:val="24"/>
          <w:bdr w:val="nil"/>
          <w:lang w:val="en-US"/>
        </w:rPr>
        <w:t xml:space="preserve"> Infrastructure </w:t>
      </w:r>
      <w:proofErr w:type="gramStart"/>
      <w:r w:rsidRPr="005E3B44">
        <w:rPr>
          <w:rFonts w:asciiTheme="minorHAnsi" w:hAnsiTheme="minorHAnsi" w:cstheme="minorHAnsi"/>
          <w:szCs w:val="24"/>
          <w:bdr w:val="nil"/>
          <w:lang w:val="en-US"/>
        </w:rPr>
        <w:t>Program</w:t>
      </w:r>
      <w:r w:rsidR="00894D7E">
        <w:rPr>
          <w:rFonts w:asciiTheme="minorHAnsi" w:hAnsiTheme="minorHAnsi" w:cstheme="minorHAnsi"/>
          <w:szCs w:val="24"/>
          <w:bdr w:val="nil"/>
          <w:lang w:val="en-US"/>
        </w:rPr>
        <w:t xml:space="preserve"> </w:t>
      </w:r>
      <w:r w:rsidRPr="00894D7E">
        <w:rPr>
          <w:rFonts w:asciiTheme="minorHAnsi" w:hAnsiTheme="minorHAnsi" w:cstheme="minorHAnsi"/>
          <w:sz w:val="18"/>
          <w:szCs w:val="18"/>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………….3</w:t>
      </w:r>
      <w:r w:rsidR="009772DF">
        <w:rPr>
          <w:rFonts w:asciiTheme="minorHAnsi" w:hAnsiTheme="minorHAnsi" w:cstheme="minorHAnsi"/>
          <w:szCs w:val="24"/>
          <w:bdr w:val="nil"/>
          <w:lang w:val="en-US"/>
        </w:rPr>
        <w:t>3</w:t>
      </w:r>
      <w:r w:rsidRPr="005E3B44">
        <w:rPr>
          <w:rFonts w:asciiTheme="minorHAnsi" w:hAnsiTheme="minorHAnsi" w:cstheme="minorHAnsi"/>
          <w:szCs w:val="24"/>
          <w:bdr w:val="nil"/>
          <w:lang w:val="en-US"/>
        </w:rPr>
        <w:t xml:space="preserve"> </w:t>
      </w:r>
    </w:p>
    <w:p w14:paraId="6FA7B02F" w14:textId="33400DFE"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Financial </w:t>
      </w:r>
      <w:proofErr w:type="gramStart"/>
      <w:r w:rsidRPr="005E3B44">
        <w:rPr>
          <w:rFonts w:asciiTheme="minorHAnsi" w:hAnsiTheme="minorHAnsi" w:cstheme="minorHAnsi"/>
          <w:szCs w:val="24"/>
          <w:bdr w:val="nil"/>
          <w:lang w:val="en-US"/>
        </w:rPr>
        <w:t xml:space="preserve">Statements </w:t>
      </w:r>
      <w:r w:rsidR="00894D7E" w:rsidRPr="00894D7E">
        <w:rPr>
          <w:rFonts w:asciiTheme="minorHAnsi" w:hAnsiTheme="minorHAnsi" w:cstheme="minorHAnsi"/>
          <w:sz w:val="10"/>
          <w:szCs w:val="10"/>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…………….3</w:t>
      </w:r>
      <w:r w:rsidR="009772DF">
        <w:rPr>
          <w:rFonts w:asciiTheme="minorHAnsi" w:hAnsiTheme="minorHAnsi" w:cstheme="minorHAnsi"/>
          <w:szCs w:val="24"/>
          <w:bdr w:val="nil"/>
          <w:lang w:val="en-US"/>
        </w:rPr>
        <w:t>6</w:t>
      </w:r>
    </w:p>
    <w:p w14:paraId="0F1EDFB5" w14:textId="6138CFCB" w:rsidR="00C10B2F" w:rsidRPr="005E3B44" w:rsidRDefault="00C10B2F" w:rsidP="00C10B2F">
      <w:pPr>
        <w:pBdr>
          <w:top w:val="nil"/>
          <w:left w:val="nil"/>
          <w:bottom w:val="nil"/>
          <w:right w:val="nil"/>
          <w:between w:val="nil"/>
          <w:bar w:val="nil"/>
        </w:pBdr>
        <w:rPr>
          <w:rFonts w:asciiTheme="minorHAnsi" w:hAnsiTheme="minorHAnsi" w:cstheme="minorHAnsi"/>
          <w:szCs w:val="24"/>
          <w:bdr w:val="nil"/>
          <w:lang w:val="en-US"/>
        </w:rPr>
      </w:pPr>
      <w:r w:rsidRPr="005E3B44">
        <w:rPr>
          <w:rFonts w:asciiTheme="minorHAnsi" w:hAnsiTheme="minorHAnsi" w:cstheme="minorHAnsi"/>
          <w:szCs w:val="24"/>
          <w:bdr w:val="nil"/>
          <w:lang w:val="en-US"/>
        </w:rPr>
        <w:t>Legal Aid Commission (ACT)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proofErr w:type="gramStart"/>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 xml:space="preserve">54 </w:t>
      </w:r>
    </w:p>
    <w:p w14:paraId="2E78D422" w14:textId="5B887A15"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Legal Aid Commission (ACT) – Statement of Intent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……….55 </w:t>
      </w:r>
    </w:p>
    <w:p w14:paraId="6C6EEAB9" w14:textId="52A6BA34"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proofErr w:type="gramStart"/>
      <w:r w:rsidRPr="005E3B44">
        <w:rPr>
          <w:rFonts w:asciiTheme="minorHAnsi" w:hAnsiTheme="minorHAnsi" w:cstheme="minorHAnsi"/>
          <w:szCs w:val="24"/>
          <w:bdr w:val="nil"/>
          <w:lang w:val="en-US"/>
        </w:rPr>
        <w:t xml:space="preserve">Purpose </w:t>
      </w:r>
      <w:r w:rsidR="00894D7E" w:rsidRPr="00894D7E">
        <w:rPr>
          <w:rFonts w:asciiTheme="minorHAnsi" w:hAnsiTheme="minorHAnsi" w:cstheme="minorHAnsi"/>
          <w:sz w:val="12"/>
          <w:szCs w:val="12"/>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…………..56 </w:t>
      </w:r>
    </w:p>
    <w:p w14:paraId="762FBB42" w14:textId="786C3E75"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Nature and Scope of Activities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………………56 </w:t>
      </w:r>
    </w:p>
    <w:p w14:paraId="202FBD27" w14:textId="24210973"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2021-22 Priorities and Next Three Financial </w:t>
      </w:r>
      <w:proofErr w:type="gramStart"/>
      <w:r w:rsidRPr="005E3B44">
        <w:rPr>
          <w:rFonts w:asciiTheme="minorHAnsi" w:hAnsiTheme="minorHAnsi" w:cstheme="minorHAnsi"/>
          <w:szCs w:val="24"/>
          <w:bdr w:val="nil"/>
          <w:lang w:val="en-US"/>
        </w:rPr>
        <w:t xml:space="preserve">Years </w:t>
      </w:r>
      <w:r w:rsidR="00894D7E" w:rsidRPr="00894D7E">
        <w:rPr>
          <w:rFonts w:asciiTheme="minorHAnsi" w:hAnsiTheme="minorHAnsi" w:cstheme="minorHAnsi"/>
          <w:sz w:val="8"/>
          <w:szCs w:val="8"/>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……………..65</w:t>
      </w:r>
    </w:p>
    <w:p w14:paraId="6278437A" w14:textId="3593EE8A"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Estimated Employment Level and Employment Profile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……………66 </w:t>
      </w:r>
    </w:p>
    <w:p w14:paraId="3AC19602" w14:textId="0732FA14"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Strategic Objectives and Indicators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…………….67 </w:t>
      </w:r>
    </w:p>
    <w:p w14:paraId="2FA499C7" w14:textId="49B091DB"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Output Classes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……………69 </w:t>
      </w:r>
    </w:p>
    <w:p w14:paraId="58AC32F8" w14:textId="1C2720C6"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Accountability </w:t>
      </w:r>
      <w:proofErr w:type="gramStart"/>
      <w:r w:rsidRPr="005E3B44">
        <w:rPr>
          <w:rFonts w:asciiTheme="minorHAnsi" w:hAnsiTheme="minorHAnsi" w:cstheme="minorHAnsi"/>
          <w:szCs w:val="24"/>
          <w:bdr w:val="nil"/>
          <w:lang w:val="en-US"/>
        </w:rPr>
        <w:t xml:space="preserve">Indicators </w:t>
      </w:r>
      <w:r w:rsidR="00894D7E" w:rsidRPr="00894D7E">
        <w:rPr>
          <w:rFonts w:asciiTheme="minorHAnsi" w:hAnsiTheme="minorHAnsi" w:cstheme="minorHAnsi"/>
          <w:sz w:val="12"/>
          <w:szCs w:val="12"/>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……………70 </w:t>
      </w:r>
    </w:p>
    <w:p w14:paraId="612C3F77" w14:textId="697EBF13"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Changes to Appropriation ………………………………………………………………………</w:t>
      </w:r>
      <w:proofErr w:type="gramStart"/>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…….71 </w:t>
      </w:r>
    </w:p>
    <w:p w14:paraId="798B9D3B" w14:textId="57D5443B"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Monitoring and </w:t>
      </w:r>
      <w:proofErr w:type="gramStart"/>
      <w:r w:rsidRPr="005E3B44">
        <w:rPr>
          <w:rFonts w:asciiTheme="minorHAnsi" w:hAnsiTheme="minorHAnsi" w:cstheme="minorHAnsi"/>
          <w:szCs w:val="24"/>
          <w:bdr w:val="nil"/>
          <w:lang w:val="en-US"/>
        </w:rPr>
        <w:t>Reporting</w:t>
      </w:r>
      <w:r w:rsidR="00894D7E" w:rsidRPr="00894D7E">
        <w:rPr>
          <w:rFonts w:asciiTheme="minorHAnsi" w:hAnsiTheme="minorHAnsi" w:cstheme="minorHAnsi"/>
          <w:sz w:val="22"/>
          <w:szCs w:val="22"/>
          <w:bdr w:val="nil"/>
          <w:lang w:val="en-US"/>
        </w:rPr>
        <w:t xml:space="preserve"> </w:t>
      </w:r>
      <w:r w:rsidRPr="005E3B44">
        <w:rPr>
          <w:rFonts w:asciiTheme="minorHAnsi" w:hAnsiTheme="minorHAnsi" w:cstheme="minorHAnsi"/>
          <w:szCs w:val="24"/>
          <w:bdr w:val="nil"/>
          <w:lang w:val="en-US"/>
        </w:rPr>
        <w:t xml:space="preserve"> …</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………….72 </w:t>
      </w:r>
    </w:p>
    <w:p w14:paraId="7C1BDAF0" w14:textId="2BA75D7B"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Financial </w:t>
      </w:r>
      <w:proofErr w:type="gramStart"/>
      <w:r w:rsidRPr="005E3B44">
        <w:rPr>
          <w:rFonts w:asciiTheme="minorHAnsi" w:hAnsiTheme="minorHAnsi" w:cstheme="minorHAnsi"/>
          <w:szCs w:val="24"/>
          <w:bdr w:val="nil"/>
          <w:lang w:val="en-US"/>
        </w:rPr>
        <w:t>Arrangements</w:t>
      </w:r>
      <w:r w:rsidRPr="00894D7E">
        <w:rPr>
          <w:rFonts w:asciiTheme="minorHAnsi" w:hAnsiTheme="minorHAnsi" w:cstheme="minorHAnsi"/>
          <w:sz w:val="22"/>
          <w:szCs w:val="22"/>
          <w:bdr w:val="nil"/>
          <w:lang w:val="en-US"/>
        </w:rPr>
        <w:t xml:space="preserve"> </w:t>
      </w:r>
      <w:r w:rsidR="00894D7E">
        <w:rPr>
          <w:rFonts w:asciiTheme="minorHAnsi" w:hAnsiTheme="minorHAnsi" w:cstheme="minorHAnsi"/>
          <w:szCs w:val="24"/>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…………..72 </w:t>
      </w:r>
    </w:p>
    <w:p w14:paraId="53AB28CA" w14:textId="0994F4B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Financial </w:t>
      </w:r>
      <w:proofErr w:type="gramStart"/>
      <w:r w:rsidRPr="005E3B44">
        <w:rPr>
          <w:rFonts w:asciiTheme="minorHAnsi" w:hAnsiTheme="minorHAnsi" w:cstheme="minorHAnsi"/>
          <w:szCs w:val="24"/>
          <w:bdr w:val="nil"/>
          <w:lang w:val="en-US"/>
        </w:rPr>
        <w:t xml:space="preserve">Statements </w:t>
      </w:r>
      <w:r w:rsidR="00894D7E">
        <w:rPr>
          <w:rFonts w:asciiTheme="minorHAnsi" w:hAnsiTheme="minorHAnsi" w:cstheme="minorHAnsi"/>
          <w:szCs w:val="24"/>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………….7</w:t>
      </w:r>
      <w:r w:rsidR="00DB580A">
        <w:rPr>
          <w:rFonts w:asciiTheme="minorHAnsi" w:hAnsiTheme="minorHAnsi" w:cstheme="minorHAnsi"/>
          <w:szCs w:val="24"/>
          <w:bdr w:val="nil"/>
          <w:lang w:val="en-US"/>
        </w:rPr>
        <w:t>2</w:t>
      </w:r>
    </w:p>
    <w:p w14:paraId="6848B41B" w14:textId="7777777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p>
    <w:p w14:paraId="48327122" w14:textId="7777777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p>
    <w:p w14:paraId="522B12D2" w14:textId="7777777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p>
    <w:p w14:paraId="597DEA97" w14:textId="7777777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p>
    <w:p w14:paraId="4E9D76B3" w14:textId="36C1868D" w:rsidR="00C10B2F" w:rsidRPr="005E3B44" w:rsidRDefault="00C10B2F" w:rsidP="00C10B2F">
      <w:pPr>
        <w:pBdr>
          <w:top w:val="nil"/>
          <w:left w:val="nil"/>
          <w:bottom w:val="nil"/>
          <w:right w:val="nil"/>
          <w:between w:val="nil"/>
          <w:bar w:val="nil"/>
        </w:pBdr>
        <w:rPr>
          <w:rFonts w:asciiTheme="minorHAnsi" w:hAnsiTheme="minorHAnsi" w:cstheme="minorHAnsi"/>
          <w:szCs w:val="24"/>
          <w:bdr w:val="nil"/>
          <w:lang w:val="en-US"/>
        </w:rPr>
      </w:pPr>
      <w:r w:rsidRPr="005E3B44">
        <w:rPr>
          <w:rFonts w:asciiTheme="minorHAnsi" w:hAnsiTheme="minorHAnsi" w:cstheme="minorHAnsi"/>
          <w:szCs w:val="24"/>
          <w:bdr w:val="nil"/>
          <w:lang w:val="en-US"/>
        </w:rPr>
        <w:t>Public Trustee and Guardian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……………….81 </w:t>
      </w:r>
    </w:p>
    <w:p w14:paraId="09DF94B0" w14:textId="3953B20E"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Public Trustee and Guardian – Statement of Intent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……………82 </w:t>
      </w:r>
    </w:p>
    <w:p w14:paraId="6157C760" w14:textId="47123767"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proofErr w:type="gramStart"/>
      <w:r w:rsidRPr="005E3B44">
        <w:rPr>
          <w:rFonts w:asciiTheme="minorHAnsi" w:hAnsiTheme="minorHAnsi" w:cstheme="minorHAnsi"/>
          <w:szCs w:val="24"/>
          <w:bdr w:val="nil"/>
          <w:lang w:val="en-US"/>
        </w:rPr>
        <w:t>Purpose</w:t>
      </w:r>
      <w:r w:rsidR="00DB580A" w:rsidRPr="00DB580A">
        <w:rPr>
          <w:rFonts w:asciiTheme="minorHAnsi" w:hAnsiTheme="minorHAnsi" w:cstheme="minorHAnsi"/>
          <w:sz w:val="4"/>
          <w:szCs w:val="4"/>
          <w:bdr w:val="nil"/>
          <w:lang w:val="en-US"/>
        </w:rPr>
        <w:t xml:space="preserve"> </w:t>
      </w:r>
      <w:r w:rsidRPr="005E3B44">
        <w:rPr>
          <w:rFonts w:asciiTheme="minorHAnsi" w:hAnsiTheme="minorHAnsi" w:cstheme="minorHAnsi"/>
          <w:szCs w:val="24"/>
          <w:bdr w:val="nil"/>
          <w:lang w:val="en-US"/>
        </w:rPr>
        <w:t xml:space="preserve"> …</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…………..83 </w:t>
      </w:r>
    </w:p>
    <w:p w14:paraId="7F88AADA" w14:textId="4046BD51"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Nature and Scope of Activities</w:t>
      </w:r>
      <w:r w:rsidRPr="00894D7E">
        <w:rPr>
          <w:rFonts w:asciiTheme="minorHAnsi" w:hAnsiTheme="minorHAnsi" w:cstheme="minorHAnsi"/>
          <w:sz w:val="18"/>
          <w:szCs w:val="18"/>
          <w:bdr w:val="nil"/>
          <w:lang w:val="en-US"/>
        </w:rPr>
        <w:t xml:space="preserve"> </w:t>
      </w:r>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 xml:space="preserve">…………84 </w:t>
      </w:r>
    </w:p>
    <w:p w14:paraId="390F6C80" w14:textId="13E1B9A2"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2021-22 Priorities and Next Three Financial Years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proofErr w:type="gramStart"/>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8</w:t>
      </w:r>
      <w:r w:rsidR="00DB52E2">
        <w:rPr>
          <w:rFonts w:asciiTheme="minorHAnsi" w:hAnsiTheme="minorHAnsi" w:cstheme="minorHAnsi"/>
          <w:szCs w:val="24"/>
          <w:bdr w:val="nil"/>
          <w:lang w:val="en-US"/>
        </w:rPr>
        <w:t>7</w:t>
      </w:r>
      <w:r w:rsidRPr="005E3B44">
        <w:rPr>
          <w:rFonts w:asciiTheme="minorHAnsi" w:hAnsiTheme="minorHAnsi" w:cstheme="minorHAnsi"/>
          <w:szCs w:val="24"/>
          <w:bdr w:val="nil"/>
          <w:lang w:val="en-US"/>
        </w:rPr>
        <w:t xml:space="preserve"> </w:t>
      </w:r>
    </w:p>
    <w:p w14:paraId="1FC2355B" w14:textId="40C654E8" w:rsidR="00C10B2F" w:rsidRPr="005E3B44" w:rsidRDefault="00C10B2F" w:rsidP="008316D7">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Estimated Employment </w:t>
      </w:r>
      <w:proofErr w:type="gramStart"/>
      <w:r w:rsidRPr="005E3B44">
        <w:rPr>
          <w:rFonts w:asciiTheme="minorHAnsi" w:hAnsiTheme="minorHAnsi" w:cstheme="minorHAnsi"/>
          <w:szCs w:val="24"/>
          <w:bdr w:val="nil"/>
          <w:lang w:val="en-US"/>
        </w:rPr>
        <w:t>Level</w:t>
      </w:r>
      <w:r w:rsidR="00DB580A">
        <w:rPr>
          <w:rFonts w:asciiTheme="minorHAnsi" w:hAnsiTheme="minorHAnsi" w:cstheme="minorHAnsi"/>
          <w:szCs w:val="24"/>
          <w:bdr w:val="nil"/>
          <w:lang w:val="en-US"/>
        </w:rPr>
        <w:t xml:space="preserve"> </w:t>
      </w:r>
      <w:r w:rsidR="00894D7E" w:rsidRPr="00894D7E">
        <w:rPr>
          <w:rFonts w:asciiTheme="minorHAnsi" w:hAnsiTheme="minorHAnsi" w:cstheme="minorHAnsi"/>
          <w:sz w:val="16"/>
          <w:szCs w:val="16"/>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.8</w:t>
      </w:r>
      <w:r w:rsidR="00DB52E2">
        <w:rPr>
          <w:rFonts w:asciiTheme="minorHAnsi" w:hAnsiTheme="minorHAnsi" w:cstheme="minorHAnsi"/>
          <w:szCs w:val="24"/>
          <w:bdr w:val="nil"/>
          <w:lang w:val="en-US"/>
        </w:rPr>
        <w:t>8</w:t>
      </w:r>
      <w:r w:rsidRPr="005E3B44">
        <w:rPr>
          <w:rFonts w:asciiTheme="minorHAnsi" w:hAnsiTheme="minorHAnsi" w:cstheme="minorHAnsi"/>
          <w:szCs w:val="24"/>
          <w:bdr w:val="nil"/>
          <w:lang w:val="en-US"/>
        </w:rPr>
        <w:t xml:space="preserve"> </w:t>
      </w:r>
    </w:p>
    <w:p w14:paraId="7885A924" w14:textId="4224097C"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Key Performance Indicators for 202</w:t>
      </w:r>
      <w:r w:rsidR="008316D7" w:rsidRPr="005E3B44">
        <w:rPr>
          <w:rFonts w:asciiTheme="minorHAnsi" w:hAnsiTheme="minorHAnsi" w:cstheme="minorHAnsi"/>
          <w:szCs w:val="24"/>
          <w:bdr w:val="nil"/>
          <w:lang w:val="en-US"/>
        </w:rPr>
        <w:t>1</w:t>
      </w:r>
      <w:r w:rsidRPr="005E3B44">
        <w:rPr>
          <w:rFonts w:asciiTheme="minorHAnsi" w:hAnsiTheme="minorHAnsi" w:cstheme="minorHAnsi"/>
          <w:szCs w:val="24"/>
          <w:bdr w:val="nil"/>
          <w:lang w:val="en-US"/>
        </w:rPr>
        <w:t>-2</w:t>
      </w:r>
      <w:r w:rsidR="008316D7" w:rsidRPr="005E3B44">
        <w:rPr>
          <w:rFonts w:asciiTheme="minorHAnsi" w:hAnsiTheme="minorHAnsi" w:cstheme="minorHAnsi"/>
          <w:szCs w:val="24"/>
          <w:bdr w:val="nil"/>
          <w:lang w:val="en-US"/>
        </w:rPr>
        <w:t>2</w:t>
      </w:r>
      <w:r w:rsidRPr="005E3B44">
        <w:rPr>
          <w:rFonts w:asciiTheme="minorHAnsi" w:hAnsiTheme="minorHAnsi" w:cstheme="minorHAnsi"/>
          <w:szCs w:val="24"/>
          <w:bdr w:val="nil"/>
          <w:lang w:val="en-US"/>
        </w:rPr>
        <w:t xml:space="preserve"> to 202</w:t>
      </w:r>
      <w:r w:rsidR="008316D7" w:rsidRPr="005E3B44">
        <w:rPr>
          <w:rFonts w:asciiTheme="minorHAnsi" w:hAnsiTheme="minorHAnsi" w:cstheme="minorHAnsi"/>
          <w:szCs w:val="24"/>
          <w:bdr w:val="nil"/>
          <w:lang w:val="en-US"/>
        </w:rPr>
        <w:t>4</w:t>
      </w:r>
      <w:r w:rsidRPr="005E3B44">
        <w:rPr>
          <w:rFonts w:asciiTheme="minorHAnsi" w:hAnsiTheme="minorHAnsi" w:cstheme="minorHAnsi"/>
          <w:szCs w:val="24"/>
          <w:bdr w:val="nil"/>
          <w:lang w:val="en-US"/>
        </w:rPr>
        <w:t>-2</w:t>
      </w:r>
      <w:r w:rsidR="008316D7" w:rsidRPr="005E3B44">
        <w:rPr>
          <w:rFonts w:asciiTheme="minorHAnsi" w:hAnsiTheme="minorHAnsi" w:cstheme="minorHAnsi"/>
          <w:szCs w:val="24"/>
          <w:bdr w:val="nil"/>
          <w:lang w:val="en-US"/>
        </w:rPr>
        <w:t>5</w:t>
      </w:r>
      <w:r w:rsidRPr="005E3B44">
        <w:rPr>
          <w:rFonts w:asciiTheme="minorHAnsi" w:hAnsiTheme="minorHAnsi" w:cstheme="minorHAnsi"/>
          <w:szCs w:val="24"/>
          <w:bdr w:val="nil"/>
          <w:lang w:val="en-US"/>
        </w:rPr>
        <w:t xml:space="preserve">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w:t>
      </w:r>
      <w:r w:rsidR="00894A1D">
        <w:rPr>
          <w:rFonts w:asciiTheme="minorHAnsi" w:hAnsiTheme="minorHAnsi" w:cstheme="minorHAnsi"/>
          <w:szCs w:val="24"/>
          <w:bdr w:val="nil"/>
          <w:lang w:val="en-US"/>
        </w:rPr>
        <w:t>89</w:t>
      </w:r>
      <w:r w:rsidRPr="005E3B44">
        <w:rPr>
          <w:rFonts w:asciiTheme="minorHAnsi" w:hAnsiTheme="minorHAnsi" w:cstheme="minorHAnsi"/>
          <w:szCs w:val="24"/>
          <w:bdr w:val="nil"/>
          <w:lang w:val="en-US"/>
        </w:rPr>
        <w:t xml:space="preserve"> </w:t>
      </w:r>
    </w:p>
    <w:p w14:paraId="3AB6B60D" w14:textId="5DB03639"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Assessment of Performance Against 20</w:t>
      </w:r>
      <w:r w:rsidR="008316D7" w:rsidRPr="005E3B44">
        <w:rPr>
          <w:rFonts w:asciiTheme="minorHAnsi" w:hAnsiTheme="minorHAnsi" w:cstheme="minorHAnsi"/>
          <w:szCs w:val="24"/>
          <w:bdr w:val="nil"/>
          <w:lang w:val="en-US"/>
        </w:rPr>
        <w:t>20</w:t>
      </w:r>
      <w:r w:rsidRPr="005E3B44">
        <w:rPr>
          <w:rFonts w:asciiTheme="minorHAnsi" w:hAnsiTheme="minorHAnsi" w:cstheme="minorHAnsi"/>
          <w:szCs w:val="24"/>
          <w:bdr w:val="nil"/>
          <w:lang w:val="en-US"/>
        </w:rPr>
        <w:t>-2</w:t>
      </w:r>
      <w:r w:rsidR="008316D7" w:rsidRPr="005E3B44">
        <w:rPr>
          <w:rFonts w:asciiTheme="minorHAnsi" w:hAnsiTheme="minorHAnsi" w:cstheme="minorHAnsi"/>
          <w:szCs w:val="24"/>
          <w:bdr w:val="nil"/>
          <w:lang w:val="en-US"/>
        </w:rPr>
        <w:t>1</w:t>
      </w:r>
      <w:r w:rsidRPr="005E3B44">
        <w:rPr>
          <w:rFonts w:asciiTheme="minorHAnsi" w:hAnsiTheme="minorHAnsi" w:cstheme="minorHAnsi"/>
          <w:szCs w:val="24"/>
          <w:bdr w:val="nil"/>
          <w:lang w:val="en-US"/>
        </w:rPr>
        <w:t xml:space="preserve"> </w:t>
      </w:r>
      <w:proofErr w:type="gramStart"/>
      <w:r w:rsidRPr="005E3B44">
        <w:rPr>
          <w:rFonts w:asciiTheme="minorHAnsi" w:hAnsiTheme="minorHAnsi" w:cstheme="minorHAnsi"/>
          <w:szCs w:val="24"/>
          <w:bdr w:val="nil"/>
          <w:lang w:val="en-US"/>
        </w:rPr>
        <w:t>Objectives</w:t>
      </w:r>
      <w:r w:rsidR="00DB580A" w:rsidRPr="00DB580A">
        <w:rPr>
          <w:rFonts w:asciiTheme="minorHAnsi" w:hAnsiTheme="minorHAnsi" w:cstheme="minorHAnsi"/>
          <w:sz w:val="6"/>
          <w:szCs w:val="6"/>
          <w:bdr w:val="nil"/>
          <w:lang w:val="en-US"/>
        </w:rPr>
        <w:t xml:space="preserve"> </w:t>
      </w:r>
      <w:r w:rsidRPr="005E3B44">
        <w:rPr>
          <w:rFonts w:asciiTheme="minorHAnsi" w:hAnsiTheme="minorHAnsi" w:cstheme="minorHAnsi"/>
          <w:szCs w:val="24"/>
          <w:bdr w:val="nil"/>
          <w:lang w:val="en-US"/>
        </w:rPr>
        <w:t xml:space="preserve"> …</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………..9</w:t>
      </w:r>
      <w:r w:rsidR="00894A1D">
        <w:rPr>
          <w:rFonts w:asciiTheme="minorHAnsi" w:hAnsiTheme="minorHAnsi" w:cstheme="minorHAnsi"/>
          <w:szCs w:val="24"/>
          <w:bdr w:val="nil"/>
          <w:lang w:val="en-US"/>
        </w:rPr>
        <w:t>1</w:t>
      </w:r>
      <w:r w:rsidRPr="005E3B44">
        <w:rPr>
          <w:rFonts w:asciiTheme="minorHAnsi" w:hAnsiTheme="minorHAnsi" w:cstheme="minorHAnsi"/>
          <w:szCs w:val="24"/>
          <w:bdr w:val="nil"/>
          <w:lang w:val="en-US"/>
        </w:rPr>
        <w:t xml:space="preserve"> </w:t>
      </w:r>
    </w:p>
    <w:p w14:paraId="0E72E0D3" w14:textId="14BA4FB3"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 xml:space="preserve">Changes to </w:t>
      </w:r>
      <w:proofErr w:type="gramStart"/>
      <w:r w:rsidRPr="005E3B44">
        <w:rPr>
          <w:rFonts w:asciiTheme="minorHAnsi" w:hAnsiTheme="minorHAnsi" w:cstheme="minorHAnsi"/>
          <w:szCs w:val="24"/>
          <w:bdr w:val="nil"/>
          <w:lang w:val="en-US"/>
        </w:rPr>
        <w:t>Appropriation</w:t>
      </w:r>
      <w:r w:rsidR="00DB580A" w:rsidRPr="00DB580A">
        <w:rPr>
          <w:rFonts w:asciiTheme="minorHAnsi" w:hAnsiTheme="minorHAnsi" w:cstheme="minorHAnsi"/>
          <w:sz w:val="16"/>
          <w:szCs w:val="16"/>
          <w:bdr w:val="nil"/>
          <w:lang w:val="en-US"/>
        </w:rPr>
        <w:t xml:space="preserve"> </w:t>
      </w:r>
      <w:r w:rsidRPr="00DB580A">
        <w:rPr>
          <w:rFonts w:asciiTheme="minorHAnsi" w:hAnsiTheme="minorHAnsi" w:cstheme="minorHAnsi"/>
          <w:sz w:val="18"/>
          <w:szCs w:val="18"/>
          <w:bdr w:val="nil"/>
          <w:lang w:val="en-US"/>
        </w:rPr>
        <w:t xml:space="preserve"> </w:t>
      </w:r>
      <w:r w:rsidRPr="005E3B44">
        <w:rPr>
          <w:rFonts w:asciiTheme="minorHAnsi" w:hAnsiTheme="minorHAnsi" w:cstheme="minorHAnsi"/>
          <w:szCs w:val="24"/>
          <w:bdr w:val="nil"/>
          <w:lang w:val="en-US"/>
        </w:rPr>
        <w:t>…</w:t>
      </w:r>
      <w:proofErr w:type="gramEnd"/>
      <w:r w:rsidRPr="005E3B44">
        <w:rPr>
          <w:rFonts w:asciiTheme="minorHAnsi" w:hAnsiTheme="minorHAnsi" w:cstheme="minorHAnsi"/>
          <w:szCs w:val="24"/>
          <w:bdr w:val="nil"/>
          <w:lang w:val="en-US"/>
        </w:rPr>
        <w:t>…………………………………………………………………………</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……….9</w:t>
      </w:r>
      <w:r w:rsidR="00894A1D">
        <w:rPr>
          <w:rFonts w:asciiTheme="minorHAnsi" w:hAnsiTheme="minorHAnsi" w:cstheme="minorHAnsi"/>
          <w:szCs w:val="24"/>
          <w:bdr w:val="nil"/>
          <w:lang w:val="en-US"/>
        </w:rPr>
        <w:t>3</w:t>
      </w:r>
      <w:r w:rsidRPr="005E3B44">
        <w:rPr>
          <w:rFonts w:asciiTheme="minorHAnsi" w:hAnsiTheme="minorHAnsi" w:cstheme="minorHAnsi"/>
          <w:szCs w:val="24"/>
          <w:bdr w:val="nil"/>
          <w:lang w:val="en-US"/>
        </w:rPr>
        <w:t xml:space="preserve"> </w:t>
      </w:r>
    </w:p>
    <w:p w14:paraId="6827B8CB" w14:textId="1C847E4F"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Monitoring and Reporting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……….9</w:t>
      </w:r>
      <w:r w:rsidR="00894A1D">
        <w:rPr>
          <w:rFonts w:asciiTheme="minorHAnsi" w:hAnsiTheme="minorHAnsi" w:cstheme="minorHAnsi"/>
          <w:szCs w:val="24"/>
          <w:bdr w:val="nil"/>
          <w:lang w:val="en-US"/>
        </w:rPr>
        <w:t>4</w:t>
      </w:r>
      <w:r w:rsidRPr="005E3B44">
        <w:rPr>
          <w:rFonts w:asciiTheme="minorHAnsi" w:hAnsiTheme="minorHAnsi" w:cstheme="minorHAnsi"/>
          <w:szCs w:val="24"/>
          <w:bdr w:val="nil"/>
          <w:lang w:val="en-US"/>
        </w:rPr>
        <w:t xml:space="preserve"> </w:t>
      </w:r>
    </w:p>
    <w:p w14:paraId="56E94226" w14:textId="0E7E5CAF" w:rsidR="00C10B2F" w:rsidRPr="005E3B44" w:rsidRDefault="00C10B2F" w:rsidP="00C10B2F">
      <w:pPr>
        <w:pBdr>
          <w:top w:val="nil"/>
          <w:left w:val="nil"/>
          <w:bottom w:val="nil"/>
          <w:right w:val="nil"/>
          <w:between w:val="nil"/>
          <w:bar w:val="nil"/>
        </w:pBdr>
        <w:ind w:left="720"/>
        <w:rPr>
          <w:rFonts w:asciiTheme="minorHAnsi" w:hAnsiTheme="minorHAnsi" w:cstheme="minorHAnsi"/>
          <w:szCs w:val="24"/>
          <w:bdr w:val="nil"/>
          <w:lang w:val="en-US"/>
        </w:rPr>
      </w:pPr>
      <w:r w:rsidRPr="005E3B44">
        <w:rPr>
          <w:rFonts w:asciiTheme="minorHAnsi" w:hAnsiTheme="minorHAnsi" w:cstheme="minorHAnsi"/>
          <w:szCs w:val="24"/>
          <w:bdr w:val="nil"/>
          <w:lang w:val="en-US"/>
        </w:rPr>
        <w:t>Financial Statements ……………………………………………………………………………………</w:t>
      </w:r>
      <w:r w:rsidR="00894D7E">
        <w:rPr>
          <w:rFonts w:asciiTheme="minorHAnsi" w:hAnsiTheme="minorHAnsi" w:cstheme="minorHAnsi"/>
          <w:szCs w:val="24"/>
          <w:bdr w:val="nil"/>
          <w:lang w:val="en-US"/>
        </w:rPr>
        <w:t>.</w:t>
      </w:r>
      <w:r w:rsidRPr="005E3B44">
        <w:rPr>
          <w:rFonts w:asciiTheme="minorHAnsi" w:hAnsiTheme="minorHAnsi" w:cstheme="minorHAnsi"/>
          <w:szCs w:val="24"/>
          <w:bdr w:val="nil"/>
          <w:lang w:val="en-US"/>
        </w:rPr>
        <w:t>……….9</w:t>
      </w:r>
      <w:r w:rsidR="00724BA0">
        <w:rPr>
          <w:rFonts w:asciiTheme="minorHAnsi" w:hAnsiTheme="minorHAnsi" w:cstheme="minorHAnsi"/>
          <w:szCs w:val="24"/>
          <w:bdr w:val="nil"/>
          <w:lang w:val="en-US"/>
        </w:rPr>
        <w:t>6</w:t>
      </w:r>
    </w:p>
    <w:p w14:paraId="6464023D" w14:textId="77777777" w:rsidR="002242F3" w:rsidRPr="005E3B44" w:rsidRDefault="002242F3" w:rsidP="002242F3">
      <w:pPr>
        <w:pBdr>
          <w:top w:val="nil"/>
          <w:left w:val="nil"/>
          <w:bottom w:val="nil"/>
          <w:right w:val="nil"/>
          <w:between w:val="nil"/>
          <w:bar w:val="nil"/>
        </w:pBdr>
        <w:rPr>
          <w:rFonts w:asciiTheme="minorHAnsi" w:hAnsiTheme="minorHAnsi" w:cstheme="minorHAnsi"/>
          <w:b/>
          <w:bCs/>
          <w:sz w:val="40"/>
          <w:szCs w:val="28"/>
          <w:bdr w:val="nil"/>
          <w:lang w:val="en-US"/>
        </w:rPr>
        <w:sectPr w:rsidR="002242F3" w:rsidRPr="005E3B44" w:rsidSect="005E3B4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cols w:space="720"/>
        </w:sectPr>
      </w:pPr>
      <w:r w:rsidRPr="005E3B44">
        <w:rPr>
          <w:rFonts w:asciiTheme="minorHAnsi" w:hAnsiTheme="minorHAnsi" w:cstheme="minorHAnsi"/>
        </w:rPr>
        <w:t xml:space="preserve"> </w:t>
      </w:r>
    </w:p>
    <w:p w14:paraId="6BB6C9C1" w14:textId="77777777" w:rsidR="002242F3" w:rsidRPr="005E3B44" w:rsidRDefault="002242F3" w:rsidP="002242F3">
      <w:pPr>
        <w:pStyle w:val="Heading1"/>
        <w:pageBreakBefore/>
        <w:pBdr>
          <w:top w:val="nil"/>
          <w:left w:val="nil"/>
          <w:bottom w:val="single" w:sz="8" w:space="2" w:color="auto" w:shadow="1"/>
          <w:right w:val="nil"/>
          <w:between w:val="nil"/>
          <w:bar w:val="nil"/>
        </w:pBdr>
        <w:rPr>
          <w:rFonts w:asciiTheme="minorHAnsi" w:hAnsiTheme="minorHAnsi" w:cstheme="minorHAnsi"/>
          <w:bdr w:val="nil"/>
        </w:rPr>
      </w:pPr>
      <w:r w:rsidRPr="005E3B44">
        <w:rPr>
          <w:rFonts w:asciiTheme="minorHAnsi" w:hAnsiTheme="minorHAnsi" w:cstheme="minorHAnsi"/>
          <w:sz w:val="36"/>
          <w:szCs w:val="36"/>
          <w:bdr w:val="nil"/>
        </w:rPr>
        <w:lastRenderedPageBreak/>
        <w:t>JUSTICE AND COMMUNITY SAFETY DIRECTORATE</w:t>
      </w:r>
    </w:p>
    <w:p w14:paraId="5E66EB05" w14:textId="77777777" w:rsidR="002242F3" w:rsidRPr="005E3B44" w:rsidRDefault="002242F3" w:rsidP="002242F3">
      <w:pPr>
        <w:pStyle w:val="Heading2"/>
        <w:pBdr>
          <w:top w:val="nil"/>
          <w:left w:val="nil"/>
          <w:bottom w:val="nil"/>
          <w:right w:val="nil"/>
          <w:between w:val="nil"/>
          <w:bar w:val="nil"/>
        </w:pBdr>
        <w:rPr>
          <w:rFonts w:asciiTheme="minorHAnsi" w:hAnsiTheme="minorHAnsi" w:cstheme="minorHAnsi"/>
          <w:bdr w:val="nil"/>
        </w:rPr>
      </w:pPr>
      <w:bookmarkStart w:id="0" w:name="_Toc452467795"/>
      <w:bookmarkStart w:id="1" w:name="_Toc451895557"/>
      <w:r w:rsidRPr="005E3B44">
        <w:rPr>
          <w:rFonts w:asciiTheme="minorHAnsi" w:hAnsiTheme="minorHAnsi" w:cstheme="minorHAnsi"/>
          <w:bdr w:val="nil"/>
        </w:rPr>
        <w:t>Purpose</w:t>
      </w:r>
      <w:bookmarkEnd w:id="0"/>
      <w:bookmarkEnd w:id="1"/>
    </w:p>
    <w:p w14:paraId="2D530D0A" w14:textId="77777777" w:rsidR="002242F3" w:rsidRPr="005E3B44" w:rsidRDefault="002242F3" w:rsidP="002242F3">
      <w:pPr>
        <w:pStyle w:val="Normal0"/>
        <w:pBdr>
          <w:top w:val="nil"/>
          <w:left w:val="nil"/>
          <w:bottom w:val="nil"/>
          <w:right w:val="nil"/>
          <w:between w:val="nil"/>
          <w:bar w:val="nil"/>
        </w:pBdr>
        <w:spacing w:after="0"/>
        <w:jc w:val="both"/>
        <w:rPr>
          <w:rFonts w:asciiTheme="minorHAnsi" w:hAnsiTheme="minorHAnsi" w:cstheme="minorHAnsi"/>
          <w:bdr w:val="nil"/>
        </w:rPr>
      </w:pPr>
      <w:r w:rsidRPr="005E3B44">
        <w:rPr>
          <w:rFonts w:asciiTheme="minorHAnsi" w:hAnsiTheme="minorHAnsi" w:cstheme="minorHAnsi"/>
          <w:bdr w:val="nil"/>
        </w:rPr>
        <w:t xml:space="preserve">The Justice and Community Safety Directorate (the Directorate) seeks to maintain a safe, </w:t>
      </w:r>
      <w:proofErr w:type="gramStart"/>
      <w:r w:rsidRPr="005E3B44">
        <w:rPr>
          <w:rFonts w:asciiTheme="minorHAnsi" w:hAnsiTheme="minorHAnsi" w:cstheme="minorHAnsi"/>
          <w:bdr w:val="nil"/>
        </w:rPr>
        <w:t>just</w:t>
      </w:r>
      <w:proofErr w:type="gramEnd"/>
      <w:r w:rsidRPr="005E3B44">
        <w:rPr>
          <w:rFonts w:asciiTheme="minorHAnsi" w:hAnsiTheme="minorHAnsi" w:cstheme="minorHAnsi"/>
          <w:bdr w:val="nil"/>
        </w:rPr>
        <w:t xml:space="preserve"> and resilient community in the ACT.  </w:t>
      </w:r>
    </w:p>
    <w:p w14:paraId="6627F386" w14:textId="77777777" w:rsidR="002242F3" w:rsidRPr="005E3B44" w:rsidRDefault="002242F3" w:rsidP="002242F3">
      <w:pPr>
        <w:pStyle w:val="Normal0"/>
        <w:pBdr>
          <w:top w:val="nil"/>
          <w:left w:val="nil"/>
          <w:bottom w:val="nil"/>
          <w:right w:val="nil"/>
          <w:between w:val="nil"/>
          <w:bar w:val="nil"/>
        </w:pBdr>
        <w:jc w:val="both"/>
        <w:rPr>
          <w:rFonts w:asciiTheme="minorHAnsi" w:hAnsiTheme="minorHAnsi" w:cstheme="minorHAnsi"/>
          <w:bdr w:val="nil"/>
        </w:rPr>
      </w:pPr>
      <w:r w:rsidRPr="005E3B44">
        <w:rPr>
          <w:rStyle w:val="CommentReference"/>
          <w:rFonts w:asciiTheme="minorHAnsi" w:hAnsiTheme="minorHAnsi" w:cstheme="minorHAnsi"/>
          <w:bdr w:val="nil"/>
        </w:rPr>
        <w:t xml:space="preserve"> </w:t>
      </w:r>
      <w:r w:rsidRPr="005E3B44">
        <w:rPr>
          <w:rFonts w:asciiTheme="minorHAnsi" w:hAnsiTheme="minorHAnsi" w:cstheme="minorHAnsi"/>
          <w:bdr w:val="nil"/>
        </w:rPr>
        <w:t xml:space="preserve">This will be realised by working with the ACT government, key </w:t>
      </w:r>
      <w:proofErr w:type="gramStart"/>
      <w:r w:rsidRPr="005E3B44">
        <w:rPr>
          <w:rFonts w:asciiTheme="minorHAnsi" w:hAnsiTheme="minorHAnsi" w:cstheme="minorHAnsi"/>
          <w:bdr w:val="nil"/>
        </w:rPr>
        <w:t>stakeholders</w:t>
      </w:r>
      <w:proofErr w:type="gramEnd"/>
      <w:r w:rsidRPr="005E3B44">
        <w:rPr>
          <w:rFonts w:asciiTheme="minorHAnsi" w:hAnsiTheme="minorHAnsi" w:cstheme="minorHAnsi"/>
          <w:bdr w:val="nil"/>
        </w:rPr>
        <w:t xml:space="preserve"> and the community to:</w:t>
      </w:r>
    </w:p>
    <w:p w14:paraId="25B6530B" w14:textId="77777777" w:rsidR="002242F3" w:rsidRPr="005E3B44" w:rsidRDefault="002242F3" w:rsidP="002242F3">
      <w:pPr>
        <w:pStyle w:val="BSbullet1"/>
        <w:numPr>
          <w:ilvl w:val="0"/>
          <w:numId w:val="3"/>
        </w:numPr>
        <w:pBdr>
          <w:top w:val="nil"/>
          <w:left w:val="nil"/>
          <w:bottom w:val="nil"/>
          <w:right w:val="nil"/>
          <w:between w:val="nil"/>
          <w:bar w:val="nil"/>
        </w:pBdr>
        <w:tabs>
          <w:tab w:val="left" w:pos="720"/>
        </w:tabs>
        <w:spacing w:before="0"/>
        <w:ind w:left="357" w:firstLine="68"/>
        <w:rPr>
          <w:rFonts w:asciiTheme="minorHAnsi" w:hAnsiTheme="minorHAnsi" w:cstheme="minorHAnsi"/>
          <w:szCs w:val="20"/>
          <w:bdr w:val="nil"/>
        </w:rPr>
      </w:pPr>
      <w:r w:rsidRPr="005E3B44">
        <w:rPr>
          <w:rFonts w:asciiTheme="minorHAnsi" w:hAnsiTheme="minorHAnsi" w:cstheme="minorHAnsi"/>
          <w:szCs w:val="20"/>
          <w:bdr w:val="nil"/>
        </w:rPr>
        <w:t xml:space="preserve">Strengthen community </w:t>
      </w:r>
      <w:proofErr w:type="gramStart"/>
      <w:r w:rsidRPr="005E3B44">
        <w:rPr>
          <w:rFonts w:asciiTheme="minorHAnsi" w:hAnsiTheme="minorHAnsi" w:cstheme="minorHAnsi"/>
          <w:szCs w:val="20"/>
          <w:bdr w:val="nil"/>
        </w:rPr>
        <w:t>safety;</w:t>
      </w:r>
      <w:proofErr w:type="gramEnd"/>
    </w:p>
    <w:p w14:paraId="5E9C8E08" w14:textId="77777777" w:rsidR="002242F3" w:rsidRPr="005E3B44" w:rsidRDefault="002242F3" w:rsidP="002242F3">
      <w:pPr>
        <w:pStyle w:val="BSbullet1"/>
        <w:numPr>
          <w:ilvl w:val="0"/>
          <w:numId w:val="3"/>
        </w:numPr>
        <w:pBdr>
          <w:top w:val="nil"/>
          <w:left w:val="nil"/>
          <w:bottom w:val="nil"/>
          <w:right w:val="nil"/>
          <w:between w:val="nil"/>
          <w:bar w:val="nil"/>
        </w:pBdr>
        <w:tabs>
          <w:tab w:val="left" w:pos="720"/>
        </w:tabs>
        <w:spacing w:before="0"/>
        <w:ind w:left="357" w:firstLine="68"/>
        <w:rPr>
          <w:rFonts w:asciiTheme="minorHAnsi" w:hAnsiTheme="minorHAnsi" w:cstheme="minorHAnsi"/>
          <w:szCs w:val="20"/>
          <w:bdr w:val="nil"/>
        </w:rPr>
      </w:pPr>
      <w:r w:rsidRPr="005E3B44">
        <w:rPr>
          <w:rFonts w:asciiTheme="minorHAnsi" w:hAnsiTheme="minorHAnsi" w:cstheme="minorHAnsi"/>
          <w:szCs w:val="20"/>
          <w:bdr w:val="nil"/>
        </w:rPr>
        <w:t xml:space="preserve">Protect people’s rights and </w:t>
      </w:r>
      <w:proofErr w:type="gramStart"/>
      <w:r w:rsidRPr="005E3B44">
        <w:rPr>
          <w:rFonts w:asciiTheme="minorHAnsi" w:hAnsiTheme="minorHAnsi" w:cstheme="minorHAnsi"/>
          <w:szCs w:val="20"/>
          <w:bdr w:val="nil"/>
        </w:rPr>
        <w:t>interests;</w:t>
      </w:r>
      <w:proofErr w:type="gramEnd"/>
      <w:r w:rsidRPr="005E3B44">
        <w:rPr>
          <w:rFonts w:asciiTheme="minorHAnsi" w:hAnsiTheme="minorHAnsi" w:cstheme="minorHAnsi"/>
          <w:szCs w:val="20"/>
          <w:bdr w:val="nil"/>
        </w:rPr>
        <w:t xml:space="preserve"> </w:t>
      </w:r>
    </w:p>
    <w:p w14:paraId="3701BC39" w14:textId="77777777" w:rsidR="002242F3" w:rsidRPr="005E3B44" w:rsidRDefault="002242F3" w:rsidP="002242F3">
      <w:pPr>
        <w:pStyle w:val="BSbullet1"/>
        <w:numPr>
          <w:ilvl w:val="0"/>
          <w:numId w:val="3"/>
        </w:numPr>
        <w:pBdr>
          <w:top w:val="nil"/>
          <w:left w:val="nil"/>
          <w:bottom w:val="nil"/>
          <w:right w:val="nil"/>
          <w:between w:val="nil"/>
          <w:bar w:val="nil"/>
        </w:pBdr>
        <w:tabs>
          <w:tab w:val="left" w:pos="720"/>
        </w:tabs>
        <w:spacing w:before="0"/>
        <w:ind w:left="357" w:firstLine="68"/>
        <w:rPr>
          <w:rFonts w:asciiTheme="minorHAnsi" w:hAnsiTheme="minorHAnsi" w:cstheme="minorHAnsi"/>
          <w:szCs w:val="20"/>
          <w:bdr w:val="nil"/>
        </w:rPr>
      </w:pPr>
      <w:r w:rsidRPr="005E3B44">
        <w:rPr>
          <w:rFonts w:asciiTheme="minorHAnsi" w:hAnsiTheme="minorHAnsi" w:cstheme="minorHAnsi"/>
          <w:szCs w:val="20"/>
          <w:bdr w:val="nil"/>
        </w:rPr>
        <w:t xml:space="preserve">Care for and support vulnerable </w:t>
      </w:r>
      <w:proofErr w:type="gramStart"/>
      <w:r w:rsidRPr="005E3B44">
        <w:rPr>
          <w:rFonts w:asciiTheme="minorHAnsi" w:hAnsiTheme="minorHAnsi" w:cstheme="minorHAnsi"/>
          <w:szCs w:val="20"/>
          <w:bdr w:val="nil"/>
        </w:rPr>
        <w:t>people;</w:t>
      </w:r>
      <w:proofErr w:type="gramEnd"/>
      <w:r w:rsidRPr="005E3B44">
        <w:rPr>
          <w:rFonts w:asciiTheme="minorHAnsi" w:hAnsiTheme="minorHAnsi" w:cstheme="minorHAnsi"/>
          <w:szCs w:val="20"/>
          <w:bdr w:val="nil"/>
        </w:rPr>
        <w:t xml:space="preserve"> </w:t>
      </w:r>
    </w:p>
    <w:p w14:paraId="589E9F16" w14:textId="77777777" w:rsidR="002242F3" w:rsidRPr="005E3B44" w:rsidRDefault="002242F3" w:rsidP="002242F3">
      <w:pPr>
        <w:pStyle w:val="BSbullet1"/>
        <w:numPr>
          <w:ilvl w:val="0"/>
          <w:numId w:val="3"/>
        </w:numPr>
        <w:pBdr>
          <w:top w:val="nil"/>
          <w:left w:val="nil"/>
          <w:bottom w:val="nil"/>
          <w:right w:val="nil"/>
          <w:between w:val="nil"/>
          <w:bar w:val="nil"/>
        </w:pBdr>
        <w:tabs>
          <w:tab w:val="left" w:pos="720"/>
        </w:tabs>
        <w:spacing w:before="0"/>
        <w:ind w:left="357" w:firstLine="68"/>
        <w:rPr>
          <w:rFonts w:asciiTheme="minorHAnsi" w:hAnsiTheme="minorHAnsi" w:cstheme="minorHAnsi"/>
          <w:szCs w:val="20"/>
          <w:bdr w:val="nil"/>
        </w:rPr>
      </w:pPr>
      <w:r w:rsidRPr="005E3B44">
        <w:rPr>
          <w:rFonts w:asciiTheme="minorHAnsi" w:hAnsiTheme="minorHAnsi" w:cstheme="minorHAnsi"/>
          <w:szCs w:val="20"/>
          <w:bdr w:val="nil"/>
        </w:rPr>
        <w:t xml:space="preserve">Enhance access to justice; and </w:t>
      </w:r>
    </w:p>
    <w:p w14:paraId="5849FAAA" w14:textId="77777777" w:rsidR="002242F3" w:rsidRPr="005E3B44" w:rsidRDefault="002242F3" w:rsidP="002242F3">
      <w:pPr>
        <w:pStyle w:val="BSbullet1"/>
        <w:numPr>
          <w:ilvl w:val="0"/>
          <w:numId w:val="3"/>
        </w:numPr>
        <w:pBdr>
          <w:top w:val="nil"/>
          <w:left w:val="nil"/>
          <w:bottom w:val="nil"/>
          <w:right w:val="nil"/>
          <w:between w:val="nil"/>
          <w:bar w:val="nil"/>
        </w:pBdr>
        <w:tabs>
          <w:tab w:val="left" w:pos="720"/>
        </w:tabs>
        <w:spacing w:before="0"/>
        <w:ind w:left="357" w:firstLine="68"/>
        <w:rPr>
          <w:rFonts w:asciiTheme="minorHAnsi" w:hAnsiTheme="minorHAnsi" w:cstheme="minorHAnsi"/>
          <w:szCs w:val="20"/>
          <w:bdr w:val="nil"/>
        </w:rPr>
      </w:pPr>
      <w:r w:rsidRPr="005E3B44">
        <w:rPr>
          <w:rFonts w:asciiTheme="minorHAnsi" w:hAnsiTheme="minorHAnsi" w:cstheme="minorHAnsi"/>
          <w:szCs w:val="20"/>
          <w:bdr w:val="nil"/>
        </w:rPr>
        <w:t>Build community resilience to emergency.</w:t>
      </w:r>
    </w:p>
    <w:p w14:paraId="29222646" w14:textId="77777777" w:rsidR="002242F3" w:rsidRPr="005E3B44" w:rsidRDefault="002242F3" w:rsidP="002242F3">
      <w:pPr>
        <w:pStyle w:val="Normal0"/>
        <w:pBdr>
          <w:top w:val="nil"/>
          <w:left w:val="nil"/>
          <w:bottom w:val="nil"/>
          <w:right w:val="nil"/>
          <w:between w:val="nil"/>
          <w:bar w:val="nil"/>
        </w:pBdr>
        <w:spacing w:after="0"/>
        <w:jc w:val="both"/>
        <w:rPr>
          <w:rFonts w:asciiTheme="minorHAnsi" w:hAnsiTheme="minorHAnsi" w:cstheme="minorHAnsi"/>
          <w:bdr w:val="nil"/>
        </w:rPr>
      </w:pPr>
      <w:r w:rsidRPr="005E3B44">
        <w:rPr>
          <w:rFonts w:asciiTheme="minorHAnsi" w:hAnsiTheme="minorHAnsi" w:cstheme="minorHAnsi"/>
          <w:bdr w:val="nil"/>
        </w:rPr>
        <w:t xml:space="preserve">To achieve our vision for a safe, </w:t>
      </w:r>
      <w:proofErr w:type="gramStart"/>
      <w:r w:rsidRPr="005E3B44">
        <w:rPr>
          <w:rFonts w:asciiTheme="minorHAnsi" w:hAnsiTheme="minorHAnsi" w:cstheme="minorHAnsi"/>
          <w:bdr w:val="nil"/>
        </w:rPr>
        <w:t>just</w:t>
      </w:r>
      <w:proofErr w:type="gramEnd"/>
      <w:r w:rsidRPr="005E3B44">
        <w:rPr>
          <w:rFonts w:asciiTheme="minorHAnsi" w:hAnsiTheme="minorHAnsi" w:cstheme="minorHAnsi"/>
          <w:bdr w:val="nil"/>
        </w:rPr>
        <w:t xml:space="preserve"> and resilient community, the Directorate aims to be community-minded; human-rights focussed; inclusive and diverse; passionate about its work; and committed to making a positive difference.</w:t>
      </w:r>
    </w:p>
    <w:p w14:paraId="1E230F18" w14:textId="77777777" w:rsidR="002242F3" w:rsidRPr="005E3B44" w:rsidRDefault="002242F3" w:rsidP="002242F3">
      <w:pPr>
        <w:pStyle w:val="Normal0"/>
        <w:pBdr>
          <w:top w:val="nil"/>
          <w:left w:val="nil"/>
          <w:bottom w:val="nil"/>
          <w:right w:val="nil"/>
          <w:between w:val="nil"/>
          <w:bar w:val="nil"/>
        </w:pBdr>
        <w:spacing w:after="0"/>
        <w:jc w:val="both"/>
        <w:rPr>
          <w:rFonts w:asciiTheme="minorHAnsi" w:hAnsiTheme="minorHAnsi" w:cstheme="minorHAnsi"/>
          <w:bdr w:val="nil"/>
        </w:rPr>
      </w:pPr>
    </w:p>
    <w:p w14:paraId="4206C005" w14:textId="77777777" w:rsidR="002242F3" w:rsidRPr="005E3B44" w:rsidRDefault="002242F3" w:rsidP="002242F3">
      <w:pPr>
        <w:pBdr>
          <w:top w:val="nil"/>
          <w:left w:val="nil"/>
          <w:bottom w:val="nil"/>
          <w:right w:val="nil"/>
          <w:between w:val="nil"/>
          <w:bar w:val="nil"/>
        </w:pBdr>
        <w:rPr>
          <w:rFonts w:asciiTheme="minorHAnsi" w:hAnsiTheme="minorHAnsi" w:cstheme="minorHAnsi"/>
          <w:vanish/>
          <w:bdr w:val="nil"/>
        </w:rPr>
      </w:pPr>
    </w:p>
    <w:p w14:paraId="1801516B" w14:textId="77777777" w:rsidR="002242F3" w:rsidRPr="005E3B44" w:rsidRDefault="002242F3" w:rsidP="002242F3">
      <w:pPr>
        <w:pStyle w:val="Heading2"/>
        <w:pBdr>
          <w:top w:val="nil"/>
          <w:left w:val="nil"/>
          <w:bottom w:val="nil"/>
          <w:right w:val="nil"/>
          <w:between w:val="nil"/>
          <w:bar w:val="nil"/>
        </w:pBdr>
        <w:spacing w:before="120"/>
        <w:rPr>
          <w:rFonts w:asciiTheme="minorHAnsi" w:hAnsiTheme="minorHAnsi" w:cstheme="minorHAnsi"/>
          <w:bdr w:val="nil"/>
        </w:rPr>
      </w:pPr>
      <w:bookmarkStart w:id="2" w:name="_Toc452467796"/>
      <w:bookmarkStart w:id="3" w:name="_Toc451895558"/>
      <w:r w:rsidRPr="005E3B44">
        <w:rPr>
          <w:rFonts w:asciiTheme="minorHAnsi" w:hAnsiTheme="minorHAnsi" w:cstheme="minorHAnsi"/>
          <w:bdr w:val="nil"/>
        </w:rPr>
        <w:t>2021-22 Priorities</w:t>
      </w:r>
      <w:bookmarkEnd w:id="2"/>
      <w:bookmarkEnd w:id="3"/>
    </w:p>
    <w:p w14:paraId="059D21EF"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Strategic and operational initiatives for 2021-22 include:</w:t>
      </w:r>
    </w:p>
    <w:p w14:paraId="782B79CE" w14:textId="77777777" w:rsidR="002242F3" w:rsidRPr="005E3B44" w:rsidRDefault="002242F3" w:rsidP="002242F3">
      <w:pPr>
        <w:pStyle w:val="ListParagraph"/>
        <w:numPr>
          <w:ilvl w:val="0"/>
          <w:numId w:val="4"/>
        </w:numPr>
        <w:pBdr>
          <w:top w:val="nil"/>
          <w:left w:val="nil"/>
          <w:bottom w:val="nil"/>
          <w:right w:val="nil"/>
          <w:between w:val="nil"/>
          <w:bar w:val="nil"/>
        </w:pBdr>
        <w:rPr>
          <w:rFonts w:asciiTheme="minorHAnsi" w:hAnsiTheme="minorHAnsi" w:cstheme="minorHAnsi"/>
          <w:sz w:val="24"/>
          <w:bdr w:val="nil"/>
        </w:rPr>
      </w:pPr>
      <w:r w:rsidRPr="005E3B44">
        <w:rPr>
          <w:rFonts w:asciiTheme="minorHAnsi" w:hAnsiTheme="minorHAnsi" w:cstheme="minorHAnsi"/>
          <w:sz w:val="24"/>
          <w:bdr w:val="nil"/>
        </w:rPr>
        <w:t>Strengthening the ACT Emergency Services Agency (ESA) to build operational capability and meet future needs by:</w:t>
      </w:r>
    </w:p>
    <w:p w14:paraId="10B85592" w14:textId="782F29AE" w:rsidR="002242F3" w:rsidRPr="005E3B44" w:rsidRDefault="002F4C85" w:rsidP="002242F3">
      <w:pPr>
        <w:pStyle w:val="BodyText"/>
        <w:keepNext w:val="0"/>
        <w:keepLines w:val="0"/>
        <w:numPr>
          <w:ilvl w:val="0"/>
          <w:numId w:val="5"/>
        </w:numPr>
        <w:pBdr>
          <w:top w:val="nil"/>
          <w:left w:val="nil"/>
          <w:bottom w:val="nil"/>
          <w:right w:val="nil"/>
          <w:between w:val="nil"/>
          <w:bar w:val="nil"/>
        </w:pBdr>
        <w:spacing w:before="98" w:line="276" w:lineRule="auto"/>
        <w:ind w:right="261"/>
        <w:jc w:val="left"/>
        <w:rPr>
          <w:rFonts w:asciiTheme="minorHAnsi" w:hAnsiTheme="minorHAnsi" w:cstheme="minorHAnsi"/>
          <w:bdr w:val="nil"/>
        </w:rPr>
      </w:pPr>
      <w:r>
        <w:rPr>
          <w:bdr w:val="nil"/>
        </w:rPr>
        <w:t>continuing the transformation</w:t>
      </w:r>
      <w:r w:rsidRPr="00D5269C">
        <w:rPr>
          <w:bdr w:val="nil"/>
        </w:rPr>
        <w:t xml:space="preserve"> of the </w:t>
      </w:r>
      <w:r w:rsidRPr="00D5269C">
        <w:rPr>
          <w:szCs w:val="24"/>
        </w:rPr>
        <w:t>ACT Ambulance Service</w:t>
      </w:r>
      <w:r>
        <w:rPr>
          <w:szCs w:val="24"/>
        </w:rPr>
        <w:t>,</w:t>
      </w:r>
      <w:r w:rsidRPr="00D5269C">
        <w:rPr>
          <w:szCs w:val="24"/>
        </w:rPr>
        <w:t xml:space="preserve"> </w:t>
      </w:r>
      <w:r w:rsidRPr="006D46D8">
        <w:rPr>
          <w:bCs/>
          <w:snapToGrid w:val="0"/>
          <w:lang w:eastAsia="en-AU"/>
        </w:rPr>
        <w:t>helping</w:t>
      </w:r>
      <w:r>
        <w:rPr>
          <w:bCs/>
          <w:snapToGrid w:val="0"/>
          <w:lang w:eastAsia="en-AU"/>
        </w:rPr>
        <w:t xml:space="preserve"> to</w:t>
      </w:r>
      <w:r w:rsidRPr="006D46D8">
        <w:rPr>
          <w:bCs/>
          <w:snapToGrid w:val="0"/>
          <w:lang w:eastAsia="en-AU"/>
        </w:rPr>
        <w:t xml:space="preserve"> modernise and sustain the service with additional behind-the-scenes capability to support growing frontline </w:t>
      </w:r>
      <w:proofErr w:type="gramStart"/>
      <w:r w:rsidRPr="006D46D8">
        <w:rPr>
          <w:bCs/>
          <w:snapToGrid w:val="0"/>
          <w:lang w:eastAsia="en-AU"/>
        </w:rPr>
        <w:t>demand</w:t>
      </w:r>
      <w:r w:rsidR="002242F3" w:rsidRPr="005E3B44">
        <w:rPr>
          <w:rFonts w:asciiTheme="minorHAnsi" w:hAnsiTheme="minorHAnsi" w:cstheme="minorHAnsi"/>
          <w:szCs w:val="24"/>
          <w:bdr w:val="nil"/>
        </w:rPr>
        <w:t>;</w:t>
      </w:r>
      <w:proofErr w:type="gramEnd"/>
    </w:p>
    <w:p w14:paraId="0AB78C72" w14:textId="77777777" w:rsidR="002242F3" w:rsidRPr="005E3B44" w:rsidRDefault="002242F3" w:rsidP="002242F3">
      <w:pPr>
        <w:pStyle w:val="BodyText"/>
        <w:keepNext w:val="0"/>
        <w:keepLines w:val="0"/>
        <w:numPr>
          <w:ilvl w:val="0"/>
          <w:numId w:val="5"/>
        </w:numPr>
        <w:pBdr>
          <w:top w:val="nil"/>
          <w:left w:val="nil"/>
          <w:bottom w:val="nil"/>
          <w:right w:val="nil"/>
          <w:between w:val="nil"/>
          <w:bar w:val="nil"/>
        </w:pBdr>
        <w:spacing w:before="104" w:line="276" w:lineRule="auto"/>
        <w:ind w:right="261"/>
        <w:jc w:val="left"/>
        <w:rPr>
          <w:rFonts w:asciiTheme="minorHAnsi" w:hAnsiTheme="minorHAnsi" w:cstheme="minorHAnsi"/>
          <w:bdr w:val="nil"/>
        </w:rPr>
      </w:pPr>
      <w:r w:rsidRPr="005E3B44">
        <w:rPr>
          <w:rFonts w:asciiTheme="minorHAnsi" w:hAnsiTheme="minorHAnsi" w:cstheme="minorHAnsi"/>
          <w:bdr w:val="nil"/>
        </w:rPr>
        <w:t xml:space="preserve">upgrading ESA critical ICT systems </w:t>
      </w:r>
      <w:r w:rsidRPr="005E3B44">
        <w:rPr>
          <w:rFonts w:asciiTheme="minorHAnsi" w:hAnsiTheme="minorHAnsi" w:cstheme="minorHAnsi"/>
          <w:szCs w:val="24"/>
          <w:bdr w:val="nil"/>
        </w:rPr>
        <w:t>t</w:t>
      </w:r>
      <w:r w:rsidRPr="005E3B44">
        <w:rPr>
          <w:rFonts w:asciiTheme="minorHAnsi" w:hAnsiTheme="minorHAnsi" w:cstheme="minorHAnsi"/>
          <w:bdr w:val="nil"/>
        </w:rPr>
        <w:t xml:space="preserve">o increase the capacity at the E000 Communications Centre and the Incident Management Room including enhancing the functionality of the Computer Aided Dispatch Mobile Data System, radio management consoles and </w:t>
      </w:r>
      <w:proofErr w:type="gramStart"/>
      <w:r w:rsidRPr="005E3B44">
        <w:rPr>
          <w:rFonts w:asciiTheme="minorHAnsi" w:hAnsiTheme="minorHAnsi" w:cstheme="minorHAnsi"/>
          <w:bdr w:val="nil"/>
        </w:rPr>
        <w:t>servers;</w:t>
      </w:r>
      <w:proofErr w:type="gramEnd"/>
    </w:p>
    <w:p w14:paraId="3E93B30D" w14:textId="08562450" w:rsidR="002242F3" w:rsidRPr="005E3B44" w:rsidRDefault="002242F3" w:rsidP="002242F3">
      <w:pPr>
        <w:pStyle w:val="BodyText"/>
        <w:keepNext w:val="0"/>
        <w:keepLines w:val="0"/>
        <w:numPr>
          <w:ilvl w:val="0"/>
          <w:numId w:val="5"/>
        </w:numPr>
        <w:pBdr>
          <w:top w:val="nil"/>
          <w:left w:val="nil"/>
          <w:bottom w:val="nil"/>
          <w:right w:val="nil"/>
          <w:between w:val="nil"/>
          <w:bar w:val="nil"/>
        </w:pBdr>
        <w:spacing w:before="104" w:line="276" w:lineRule="auto"/>
        <w:ind w:right="261"/>
        <w:jc w:val="left"/>
        <w:rPr>
          <w:rFonts w:asciiTheme="minorHAnsi" w:hAnsiTheme="minorHAnsi" w:cstheme="minorHAnsi"/>
          <w:bdr w:val="nil"/>
        </w:rPr>
      </w:pPr>
      <w:r w:rsidRPr="005E3B44">
        <w:rPr>
          <w:rFonts w:asciiTheme="minorHAnsi" w:hAnsiTheme="minorHAnsi" w:cstheme="minorHAnsi"/>
          <w:bdr w:val="nil"/>
        </w:rPr>
        <w:t xml:space="preserve">remediating the existence of poly-fluoroalkyl substances (PFAS) </w:t>
      </w:r>
      <w:r w:rsidR="002F4C85">
        <w:rPr>
          <w:rFonts w:asciiTheme="minorHAnsi" w:hAnsiTheme="minorHAnsi" w:cstheme="minorHAnsi"/>
          <w:bdr w:val="nil"/>
        </w:rPr>
        <w:t>contamination connected</w:t>
      </w:r>
      <w:r w:rsidRPr="005E3B44">
        <w:rPr>
          <w:rFonts w:asciiTheme="minorHAnsi" w:hAnsiTheme="minorHAnsi" w:cstheme="minorHAnsi"/>
          <w:bCs/>
          <w:bdr w:val="nil"/>
        </w:rPr>
        <w:t xml:space="preserve"> to the former ACT Fire and Rescue site in </w:t>
      </w:r>
      <w:proofErr w:type="gramStart"/>
      <w:r w:rsidRPr="005E3B44">
        <w:rPr>
          <w:rFonts w:asciiTheme="minorHAnsi" w:hAnsiTheme="minorHAnsi" w:cstheme="minorHAnsi"/>
          <w:bCs/>
          <w:bdr w:val="nil"/>
        </w:rPr>
        <w:t>Charnwood</w:t>
      </w:r>
      <w:r w:rsidRPr="005E3B44">
        <w:rPr>
          <w:rFonts w:asciiTheme="minorHAnsi" w:hAnsiTheme="minorHAnsi" w:cstheme="minorHAnsi"/>
          <w:bdr w:val="nil"/>
        </w:rPr>
        <w:t>;</w:t>
      </w:r>
      <w:proofErr w:type="gramEnd"/>
    </w:p>
    <w:p w14:paraId="4348D80F" w14:textId="77777777" w:rsidR="002242F3" w:rsidRPr="005E3B44" w:rsidRDefault="002242F3" w:rsidP="002242F3">
      <w:pPr>
        <w:pStyle w:val="BodyText"/>
        <w:keepNext w:val="0"/>
        <w:keepLines w:val="0"/>
        <w:numPr>
          <w:ilvl w:val="0"/>
          <w:numId w:val="5"/>
        </w:numPr>
        <w:pBdr>
          <w:top w:val="nil"/>
          <w:left w:val="nil"/>
          <w:bottom w:val="nil"/>
          <w:right w:val="nil"/>
          <w:between w:val="nil"/>
          <w:bar w:val="nil"/>
        </w:pBdr>
        <w:spacing w:before="104" w:line="276" w:lineRule="auto"/>
        <w:ind w:right="261"/>
        <w:jc w:val="left"/>
        <w:rPr>
          <w:rFonts w:asciiTheme="minorHAnsi" w:hAnsiTheme="minorHAnsi" w:cstheme="minorHAnsi"/>
          <w:bdr w:val="nil"/>
        </w:rPr>
      </w:pPr>
      <w:r w:rsidRPr="005E3B44">
        <w:rPr>
          <w:rFonts w:asciiTheme="minorHAnsi" w:hAnsiTheme="minorHAnsi" w:cstheme="minorHAnsi"/>
          <w:szCs w:val="24"/>
          <w:bdr w:val="nil"/>
        </w:rPr>
        <w:t xml:space="preserve">undertaking the purchase of </w:t>
      </w:r>
      <w:r w:rsidRPr="005E3B44">
        <w:rPr>
          <w:rFonts w:asciiTheme="minorHAnsi" w:hAnsiTheme="minorHAnsi" w:cstheme="minorHAnsi"/>
          <w:bdr w:val="nil"/>
          <w:lang w:eastAsia="en-AU"/>
        </w:rPr>
        <w:t>51 standard vehicles and 9 low-emissions vehicles as part of the Emergency Service Agency’s Vehicle Replacement Program.</w:t>
      </w:r>
    </w:p>
    <w:p w14:paraId="5C958539" w14:textId="77777777" w:rsidR="002242F3" w:rsidRPr="005E3B44" w:rsidRDefault="002242F3" w:rsidP="002242F3">
      <w:pPr>
        <w:pStyle w:val="ListParagraph"/>
        <w:numPr>
          <w:ilvl w:val="0"/>
          <w:numId w:val="4"/>
        </w:numPr>
        <w:pBdr>
          <w:top w:val="nil"/>
          <w:left w:val="nil"/>
          <w:bottom w:val="nil"/>
          <w:right w:val="nil"/>
          <w:between w:val="nil"/>
          <w:bar w:val="nil"/>
        </w:pBdr>
        <w:rPr>
          <w:rFonts w:asciiTheme="minorHAnsi" w:hAnsiTheme="minorHAnsi" w:cstheme="minorHAnsi"/>
          <w:sz w:val="24"/>
          <w:bdr w:val="nil"/>
        </w:rPr>
      </w:pPr>
      <w:r w:rsidRPr="005E3B44">
        <w:rPr>
          <w:rFonts w:asciiTheme="minorHAnsi" w:hAnsiTheme="minorHAnsi" w:cstheme="minorHAnsi"/>
          <w:sz w:val="24"/>
          <w:bdr w:val="nil"/>
        </w:rPr>
        <w:lastRenderedPageBreak/>
        <w:t>Strengthening and supporting ACT Policing to build capability and meet future needs by:</w:t>
      </w:r>
    </w:p>
    <w:p w14:paraId="7174A993" w14:textId="0C7F98E3" w:rsidR="002242F3" w:rsidRPr="005E3B44" w:rsidRDefault="002242F3" w:rsidP="002242F3">
      <w:pPr>
        <w:pStyle w:val="ListParagraph"/>
        <w:numPr>
          <w:ilvl w:val="1"/>
          <w:numId w:val="4"/>
        </w:numPr>
        <w:pBdr>
          <w:top w:val="nil"/>
          <w:left w:val="nil"/>
          <w:bottom w:val="nil"/>
          <w:right w:val="nil"/>
          <w:between w:val="nil"/>
          <w:bar w:val="nil"/>
        </w:pBdr>
        <w:spacing w:after="120" w:line="276" w:lineRule="auto"/>
        <w:rPr>
          <w:rFonts w:asciiTheme="minorHAnsi" w:hAnsiTheme="minorHAnsi" w:cstheme="minorHAnsi"/>
          <w:sz w:val="24"/>
          <w:bdr w:val="nil"/>
        </w:rPr>
      </w:pPr>
      <w:r w:rsidRPr="005E3B44">
        <w:rPr>
          <w:rFonts w:asciiTheme="minorHAnsi" w:hAnsiTheme="minorHAnsi" w:cstheme="minorHAnsi"/>
          <w:sz w:val="24"/>
          <w:bdr w:val="nil"/>
        </w:rPr>
        <w:t xml:space="preserve">providing additional funding for enabling services of ACT Policing provided by the Australian Federal </w:t>
      </w:r>
      <w:proofErr w:type="gramStart"/>
      <w:r w:rsidRPr="005E3B44">
        <w:rPr>
          <w:rFonts w:asciiTheme="minorHAnsi" w:hAnsiTheme="minorHAnsi" w:cstheme="minorHAnsi"/>
          <w:sz w:val="24"/>
          <w:bdr w:val="nil"/>
        </w:rPr>
        <w:t>Police;</w:t>
      </w:r>
      <w:proofErr w:type="gramEnd"/>
      <w:r w:rsidRPr="005E3B44">
        <w:rPr>
          <w:rFonts w:asciiTheme="minorHAnsi" w:hAnsiTheme="minorHAnsi" w:cstheme="minorHAnsi"/>
          <w:sz w:val="24"/>
          <w:bdr w:val="nil"/>
        </w:rPr>
        <w:t xml:space="preserve"> </w:t>
      </w:r>
    </w:p>
    <w:p w14:paraId="239A7167" w14:textId="77777777" w:rsidR="002242F3" w:rsidRPr="005E3B44" w:rsidRDefault="002242F3" w:rsidP="002242F3">
      <w:pPr>
        <w:pStyle w:val="BodyText"/>
        <w:keepNext w:val="0"/>
        <w:keepLines w:val="0"/>
        <w:numPr>
          <w:ilvl w:val="1"/>
          <w:numId w:val="4"/>
        </w:numPr>
        <w:pBdr>
          <w:top w:val="nil"/>
          <w:left w:val="nil"/>
          <w:bottom w:val="nil"/>
          <w:right w:val="nil"/>
          <w:between w:val="nil"/>
          <w:bar w:val="nil"/>
        </w:pBdr>
        <w:spacing w:before="98" w:line="276" w:lineRule="auto"/>
        <w:ind w:right="261"/>
        <w:jc w:val="left"/>
        <w:rPr>
          <w:rFonts w:asciiTheme="minorHAnsi" w:hAnsiTheme="minorHAnsi" w:cstheme="minorHAnsi"/>
          <w:szCs w:val="24"/>
          <w:bdr w:val="nil"/>
        </w:rPr>
      </w:pPr>
      <w:r w:rsidRPr="005E3B44">
        <w:rPr>
          <w:rFonts w:asciiTheme="minorHAnsi" w:hAnsiTheme="minorHAnsi" w:cstheme="minorHAnsi"/>
          <w:szCs w:val="24"/>
          <w:bdr w:val="nil"/>
        </w:rPr>
        <w:t xml:space="preserve">replacing the </w:t>
      </w:r>
      <w:r w:rsidRPr="005E3B44">
        <w:rPr>
          <w:rFonts w:asciiTheme="minorHAnsi" w:hAnsiTheme="minorHAnsi" w:cstheme="minorHAnsi"/>
          <w:bdr w:val="nil"/>
          <w:lang w:eastAsia="en-AU"/>
        </w:rPr>
        <w:t xml:space="preserve">ACT Policing’s radio core communication system and providing ongoing maintenance support for the new </w:t>
      </w:r>
      <w:proofErr w:type="gramStart"/>
      <w:r w:rsidRPr="005E3B44">
        <w:rPr>
          <w:rFonts w:asciiTheme="minorHAnsi" w:hAnsiTheme="minorHAnsi" w:cstheme="minorHAnsi"/>
          <w:bdr w:val="nil"/>
          <w:lang w:eastAsia="en-AU"/>
        </w:rPr>
        <w:t>system</w:t>
      </w:r>
      <w:r w:rsidRPr="005E3B44">
        <w:rPr>
          <w:rFonts w:asciiTheme="minorHAnsi" w:hAnsiTheme="minorHAnsi" w:cstheme="minorHAnsi"/>
          <w:szCs w:val="24"/>
          <w:bdr w:val="nil"/>
        </w:rPr>
        <w:t>;</w:t>
      </w:r>
      <w:proofErr w:type="gramEnd"/>
    </w:p>
    <w:p w14:paraId="76FD3FC7" w14:textId="77777777" w:rsidR="002242F3" w:rsidRPr="005E3B44" w:rsidRDefault="002242F3" w:rsidP="002242F3">
      <w:pPr>
        <w:pStyle w:val="ListParagraph"/>
        <w:numPr>
          <w:ilvl w:val="1"/>
          <w:numId w:val="4"/>
        </w:numPr>
        <w:pBdr>
          <w:top w:val="nil"/>
          <w:left w:val="nil"/>
          <w:bottom w:val="nil"/>
          <w:right w:val="nil"/>
          <w:between w:val="nil"/>
          <w:bar w:val="nil"/>
        </w:pBdr>
        <w:spacing w:after="120" w:line="276" w:lineRule="auto"/>
        <w:rPr>
          <w:rFonts w:asciiTheme="minorHAnsi" w:hAnsiTheme="minorHAnsi" w:cstheme="minorHAnsi"/>
          <w:sz w:val="24"/>
          <w:bdr w:val="nil"/>
        </w:rPr>
      </w:pPr>
      <w:r w:rsidRPr="005E3B44">
        <w:rPr>
          <w:rFonts w:asciiTheme="minorHAnsi" w:hAnsiTheme="minorHAnsi" w:cstheme="minorHAnsi"/>
          <w:sz w:val="24"/>
          <w:bdr w:val="nil"/>
        </w:rPr>
        <w:t>continuing support for ACT Policing forensic medical services.</w:t>
      </w:r>
    </w:p>
    <w:p w14:paraId="35A8C471" w14:textId="0354078B" w:rsidR="002F4C85" w:rsidRDefault="002F4C85" w:rsidP="002242F3">
      <w:pPr>
        <w:pStyle w:val="BodyText"/>
        <w:keepNext w:val="0"/>
        <w:keepLines w:val="0"/>
        <w:numPr>
          <w:ilvl w:val="0"/>
          <w:numId w:val="4"/>
        </w:numPr>
        <w:pBdr>
          <w:top w:val="nil"/>
          <w:left w:val="nil"/>
          <w:bottom w:val="nil"/>
          <w:right w:val="nil"/>
          <w:between w:val="nil"/>
          <w:bar w:val="nil"/>
        </w:pBdr>
        <w:spacing w:before="98"/>
        <w:jc w:val="left"/>
        <w:rPr>
          <w:rFonts w:asciiTheme="minorHAnsi" w:hAnsiTheme="minorHAnsi" w:cstheme="minorHAnsi"/>
          <w:bdr w:val="nil"/>
        </w:rPr>
      </w:pPr>
      <w:r>
        <w:rPr>
          <w:rFonts w:asciiTheme="minorHAnsi" w:hAnsiTheme="minorHAnsi" w:cstheme="minorHAnsi"/>
          <w:bdr w:val="nil"/>
        </w:rPr>
        <w:t xml:space="preserve">Improving </w:t>
      </w:r>
      <w:r w:rsidRPr="006D46D8">
        <w:t xml:space="preserve">accommodation at the Gungahlin Joint Emergency Services Centre to better suit the operational needs of </w:t>
      </w:r>
      <w:r>
        <w:t xml:space="preserve">ESA and ACT Policing </w:t>
      </w:r>
      <w:r w:rsidRPr="006D46D8">
        <w:t>frontline responders</w:t>
      </w:r>
      <w:r>
        <w:t>.</w:t>
      </w:r>
    </w:p>
    <w:p w14:paraId="6C849A72" w14:textId="1F5FB4D3" w:rsidR="002242F3" w:rsidRPr="005E3B44" w:rsidRDefault="002242F3" w:rsidP="002242F3">
      <w:pPr>
        <w:pStyle w:val="BodyText"/>
        <w:keepNext w:val="0"/>
        <w:keepLines w:val="0"/>
        <w:numPr>
          <w:ilvl w:val="0"/>
          <w:numId w:val="4"/>
        </w:numPr>
        <w:pBdr>
          <w:top w:val="nil"/>
          <w:left w:val="nil"/>
          <w:bottom w:val="nil"/>
          <w:right w:val="nil"/>
          <w:between w:val="nil"/>
          <w:bar w:val="nil"/>
        </w:pBdr>
        <w:spacing w:before="98"/>
        <w:jc w:val="left"/>
        <w:rPr>
          <w:rFonts w:asciiTheme="minorHAnsi" w:hAnsiTheme="minorHAnsi" w:cstheme="minorHAnsi"/>
          <w:bdr w:val="nil"/>
        </w:rPr>
      </w:pPr>
      <w:r w:rsidRPr="005E3B44">
        <w:rPr>
          <w:rFonts w:asciiTheme="minorHAnsi" w:hAnsiTheme="minorHAnsi" w:cstheme="minorHAnsi"/>
          <w:bdr w:val="nil"/>
        </w:rPr>
        <w:t xml:space="preserve">Developing a master implementation plan for critical infrastructure and accommodation requirements across ACT Policing, the Emergency Services </w:t>
      </w:r>
      <w:proofErr w:type="gramStart"/>
      <w:r w:rsidRPr="005E3B44">
        <w:rPr>
          <w:rFonts w:asciiTheme="minorHAnsi" w:hAnsiTheme="minorHAnsi" w:cstheme="minorHAnsi"/>
          <w:bdr w:val="nil"/>
        </w:rPr>
        <w:t>Agency</w:t>
      </w:r>
      <w:proofErr w:type="gramEnd"/>
      <w:r w:rsidRPr="005E3B44">
        <w:rPr>
          <w:rFonts w:asciiTheme="minorHAnsi" w:hAnsiTheme="minorHAnsi" w:cstheme="minorHAnsi"/>
          <w:bdr w:val="nil"/>
        </w:rPr>
        <w:t xml:space="preserve"> and ACT Corrective Services.</w:t>
      </w:r>
    </w:p>
    <w:p w14:paraId="3625E9A5" w14:textId="77777777" w:rsidR="002242F3" w:rsidRPr="005E3B44" w:rsidRDefault="002242F3" w:rsidP="002242F3">
      <w:pPr>
        <w:pStyle w:val="ListParagraph"/>
        <w:numPr>
          <w:ilvl w:val="0"/>
          <w:numId w:val="6"/>
        </w:numPr>
        <w:pBdr>
          <w:top w:val="nil"/>
          <w:left w:val="nil"/>
          <w:bottom w:val="nil"/>
          <w:right w:val="nil"/>
          <w:between w:val="nil"/>
          <w:bar w:val="nil"/>
        </w:pBdr>
        <w:rPr>
          <w:rFonts w:asciiTheme="minorHAnsi" w:hAnsiTheme="minorHAnsi" w:cstheme="minorHAnsi"/>
          <w:sz w:val="24"/>
          <w:bdr w:val="nil"/>
        </w:rPr>
      </w:pPr>
      <w:r w:rsidRPr="005E3B44">
        <w:rPr>
          <w:rFonts w:asciiTheme="minorHAnsi" w:hAnsiTheme="minorHAnsi" w:cstheme="minorHAnsi"/>
          <w:sz w:val="24"/>
          <w:bdr w:val="nil"/>
        </w:rPr>
        <w:t>Providing support to ACT Corrective Services by:</w:t>
      </w:r>
    </w:p>
    <w:p w14:paraId="67813DE0" w14:textId="77777777" w:rsidR="002242F3" w:rsidRPr="005E3B44" w:rsidRDefault="002242F3" w:rsidP="002242F3">
      <w:pPr>
        <w:pStyle w:val="ListParagraph"/>
        <w:numPr>
          <w:ilvl w:val="1"/>
          <w:numId w:val="7"/>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continuing the Intensive Corrections Order (ICO) Scheme which provides an alternative to full-time custody for eligible offenders serving short </w:t>
      </w:r>
      <w:proofErr w:type="gramStart"/>
      <w:r w:rsidRPr="005E3B44">
        <w:rPr>
          <w:rFonts w:asciiTheme="minorHAnsi" w:hAnsiTheme="minorHAnsi" w:cstheme="minorHAnsi"/>
          <w:sz w:val="24"/>
          <w:bdr w:val="nil"/>
        </w:rPr>
        <w:t>sentences;</w:t>
      </w:r>
      <w:proofErr w:type="gramEnd"/>
    </w:p>
    <w:p w14:paraId="642F9988" w14:textId="77777777" w:rsidR="002242F3" w:rsidRPr="005E3B44" w:rsidRDefault="002242F3" w:rsidP="002242F3">
      <w:pPr>
        <w:pStyle w:val="ListParagraph"/>
        <w:numPr>
          <w:ilvl w:val="1"/>
          <w:numId w:val="7"/>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purchasing an additional body scanner at the Alexander Maconochie Centre (AMC) to reduce the need for strip searches, creating a more secure environment for both staff and </w:t>
      </w:r>
      <w:proofErr w:type="gramStart"/>
      <w:r w:rsidRPr="005E3B44">
        <w:rPr>
          <w:rFonts w:asciiTheme="minorHAnsi" w:hAnsiTheme="minorHAnsi" w:cstheme="minorHAnsi"/>
          <w:sz w:val="24"/>
          <w:bdr w:val="nil"/>
        </w:rPr>
        <w:t>detainees;</w:t>
      </w:r>
      <w:proofErr w:type="gramEnd"/>
    </w:p>
    <w:p w14:paraId="1121EA79" w14:textId="539A7AAA" w:rsidR="002242F3" w:rsidRPr="005E3B44" w:rsidRDefault="002F4C85" w:rsidP="002242F3">
      <w:pPr>
        <w:pStyle w:val="ListParagraph"/>
        <w:numPr>
          <w:ilvl w:val="1"/>
          <w:numId w:val="7"/>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Pr>
          <w:sz w:val="24"/>
          <w:bdr w:val="nil"/>
        </w:rPr>
        <w:t>developing</w:t>
      </w:r>
      <w:r w:rsidRPr="000160AD">
        <w:rPr>
          <w:sz w:val="24"/>
          <w:bdr w:val="nil"/>
        </w:rPr>
        <w:t xml:space="preserve"> reintegration and wellbeing initiatives to enhance services and support available to detainees at the AMC</w:t>
      </w:r>
      <w:r>
        <w:rPr>
          <w:sz w:val="24"/>
          <w:bdr w:val="nil"/>
        </w:rPr>
        <w:t>, facilitating</w:t>
      </w:r>
      <w:r w:rsidRPr="000160AD">
        <w:rPr>
          <w:sz w:val="24"/>
          <w:bdr w:val="nil"/>
        </w:rPr>
        <w:t xml:space="preserve"> </w:t>
      </w:r>
      <w:r>
        <w:rPr>
          <w:sz w:val="24"/>
          <w:bdr w:val="nil"/>
        </w:rPr>
        <w:t>c</w:t>
      </w:r>
      <w:r w:rsidRPr="000160AD">
        <w:rPr>
          <w:sz w:val="24"/>
          <w:bdr w:val="nil"/>
        </w:rPr>
        <w:t>ritical repair</w:t>
      </w:r>
      <w:r>
        <w:rPr>
          <w:sz w:val="24"/>
          <w:bdr w:val="nil"/>
        </w:rPr>
        <w:t>s</w:t>
      </w:r>
      <w:r w:rsidRPr="000160AD">
        <w:rPr>
          <w:sz w:val="24"/>
          <w:bdr w:val="nil"/>
        </w:rPr>
        <w:t xml:space="preserve"> and improvement to the AMC, in addition to a strategic assessment of the long-term future accommodation needs of the facility, ensuring delivery of infrastructure that improves detainee welfare and strengthens reintegration pathways</w:t>
      </w:r>
      <w:r w:rsidR="002242F3" w:rsidRPr="005E3B44">
        <w:rPr>
          <w:rFonts w:asciiTheme="minorHAnsi" w:hAnsiTheme="minorHAnsi" w:cstheme="minorHAnsi"/>
          <w:sz w:val="24"/>
          <w:bdr w:val="nil"/>
        </w:rPr>
        <w:t xml:space="preserve">. </w:t>
      </w:r>
    </w:p>
    <w:p w14:paraId="5D2CE54B" w14:textId="77777777" w:rsidR="002242F3" w:rsidRPr="005E3B44" w:rsidRDefault="002242F3" w:rsidP="002242F3">
      <w:pPr>
        <w:pStyle w:val="BodyText"/>
        <w:keepNext w:val="0"/>
        <w:keepLines w:val="0"/>
        <w:numPr>
          <w:ilvl w:val="1"/>
          <w:numId w:val="8"/>
        </w:numPr>
        <w:pBdr>
          <w:top w:val="nil"/>
          <w:left w:val="nil"/>
          <w:bottom w:val="nil"/>
          <w:right w:val="nil"/>
          <w:between w:val="nil"/>
          <w:bar w:val="nil"/>
        </w:pBdr>
        <w:spacing w:before="98"/>
        <w:ind w:left="709"/>
        <w:jc w:val="left"/>
        <w:rPr>
          <w:rFonts w:asciiTheme="minorHAnsi" w:hAnsiTheme="minorHAnsi" w:cstheme="minorHAnsi"/>
          <w:bdr w:val="nil"/>
        </w:rPr>
      </w:pPr>
      <w:r w:rsidRPr="005E3B44">
        <w:rPr>
          <w:rFonts w:asciiTheme="minorHAnsi" w:hAnsiTheme="minorHAnsi" w:cstheme="minorHAnsi"/>
          <w:bdr w:val="nil"/>
        </w:rPr>
        <w:t>Protecting people’s rights and interests and supporting vulnerable people by:</w:t>
      </w:r>
    </w:p>
    <w:p w14:paraId="1E655713"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bdr w:val="nil"/>
        </w:rPr>
      </w:pPr>
      <w:r w:rsidRPr="005E3B44">
        <w:rPr>
          <w:rFonts w:asciiTheme="minorHAnsi" w:hAnsiTheme="minorHAnsi" w:cstheme="minorHAnsi"/>
          <w:bdr w:val="nil"/>
        </w:rPr>
        <w:t xml:space="preserve">supporting the Victims of Crime Commissioner to meet increased demand for the Victims of Crime Financial Assistance Scheme and the Victims Services Scheme. These schemes provide counselling and financial assistance programs to eligible victims of </w:t>
      </w:r>
      <w:proofErr w:type="gramStart"/>
      <w:r w:rsidRPr="005E3B44">
        <w:rPr>
          <w:rFonts w:asciiTheme="minorHAnsi" w:hAnsiTheme="minorHAnsi" w:cstheme="minorHAnsi"/>
          <w:bdr w:val="nil"/>
        </w:rPr>
        <w:t>crime;</w:t>
      </w:r>
      <w:proofErr w:type="gramEnd"/>
    </w:p>
    <w:p w14:paraId="30CA2BCD"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bdr w:val="nil"/>
        </w:rPr>
      </w:pPr>
      <w:r w:rsidRPr="005E3B44">
        <w:rPr>
          <w:rFonts w:asciiTheme="minorHAnsi" w:hAnsiTheme="minorHAnsi" w:cstheme="minorHAnsi"/>
          <w:bdr w:val="nil"/>
        </w:rPr>
        <w:t xml:space="preserve">supporting the </w:t>
      </w:r>
      <w:r w:rsidRPr="005E3B44">
        <w:rPr>
          <w:rFonts w:asciiTheme="minorHAnsi" w:hAnsiTheme="minorHAnsi" w:cstheme="minorHAnsi"/>
          <w:bdr w:val="nil"/>
          <w:lang w:eastAsia="en-AU"/>
        </w:rPr>
        <w:t xml:space="preserve">Discrimination, Health Services, Disability &amp; Community Services Commissioner to increase the Commissioner’s capacity to respond to an increasing number and range of </w:t>
      </w:r>
      <w:proofErr w:type="gramStart"/>
      <w:r w:rsidRPr="005E3B44">
        <w:rPr>
          <w:rFonts w:asciiTheme="minorHAnsi" w:hAnsiTheme="minorHAnsi" w:cstheme="minorHAnsi"/>
          <w:bdr w:val="nil"/>
          <w:lang w:eastAsia="en-AU"/>
        </w:rPr>
        <w:t>complaints;</w:t>
      </w:r>
      <w:proofErr w:type="gramEnd"/>
    </w:p>
    <w:p w14:paraId="56FF1E47"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r w:rsidRPr="005E3B44">
        <w:rPr>
          <w:rFonts w:asciiTheme="minorHAnsi" w:hAnsiTheme="minorHAnsi" w:cstheme="minorHAnsi"/>
          <w:bdr w:val="nil"/>
        </w:rPr>
        <w:t xml:space="preserve">continuing to support the ACT’s obligations under the National </w:t>
      </w:r>
      <w:r w:rsidRPr="005E3B44">
        <w:rPr>
          <w:rFonts w:asciiTheme="minorHAnsi" w:hAnsiTheme="minorHAnsi" w:cstheme="minorHAnsi"/>
          <w:szCs w:val="24"/>
          <w:bdr w:val="nil"/>
        </w:rPr>
        <w:t xml:space="preserve">Redress Scheme for Institutional Child and Sexual </w:t>
      </w:r>
      <w:proofErr w:type="gramStart"/>
      <w:r w:rsidRPr="005E3B44">
        <w:rPr>
          <w:rFonts w:asciiTheme="minorHAnsi" w:hAnsiTheme="minorHAnsi" w:cstheme="minorHAnsi"/>
          <w:szCs w:val="24"/>
          <w:bdr w:val="nil"/>
        </w:rPr>
        <w:t>Abuse;</w:t>
      </w:r>
      <w:proofErr w:type="gramEnd"/>
    </w:p>
    <w:p w14:paraId="14397C96"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r w:rsidRPr="005E3B44">
        <w:rPr>
          <w:rFonts w:asciiTheme="minorHAnsi" w:hAnsiTheme="minorHAnsi" w:cstheme="minorHAnsi"/>
          <w:szCs w:val="24"/>
          <w:bdr w:val="nil"/>
        </w:rPr>
        <w:lastRenderedPageBreak/>
        <w:t xml:space="preserve">appointing a </w:t>
      </w:r>
      <w:r w:rsidRPr="005E3B44">
        <w:rPr>
          <w:rFonts w:asciiTheme="minorHAnsi" w:hAnsiTheme="minorHAnsi" w:cstheme="minorHAnsi"/>
          <w:bdr w:val="nil"/>
          <w:lang w:eastAsia="en-AU"/>
        </w:rPr>
        <w:t>temporary Aboriginal and Torres Strait Islander Children and Families Advocate</w:t>
      </w:r>
      <w:r w:rsidRPr="005E3B44">
        <w:rPr>
          <w:rFonts w:asciiTheme="minorHAnsi" w:eastAsia="Calibri" w:hAnsiTheme="minorHAnsi" w:cstheme="minorHAnsi"/>
          <w:szCs w:val="24"/>
          <w:bdr w:val="nil"/>
          <w:lang w:eastAsia="en-AU"/>
        </w:rPr>
        <w:t xml:space="preserve">, pending the establishment of an Aboriginal and Torres Strait Islander Children’s </w:t>
      </w:r>
      <w:proofErr w:type="gramStart"/>
      <w:r w:rsidRPr="005E3B44">
        <w:rPr>
          <w:rFonts w:asciiTheme="minorHAnsi" w:eastAsia="Calibri" w:hAnsiTheme="minorHAnsi" w:cstheme="minorHAnsi"/>
          <w:szCs w:val="24"/>
          <w:bdr w:val="nil"/>
          <w:lang w:eastAsia="en-AU"/>
        </w:rPr>
        <w:t>Commissioner;</w:t>
      </w:r>
      <w:proofErr w:type="gramEnd"/>
    </w:p>
    <w:p w14:paraId="7C6D4474"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r w:rsidRPr="005E3B44">
        <w:rPr>
          <w:rFonts w:asciiTheme="minorHAnsi" w:eastAsia="Calibri" w:hAnsiTheme="minorHAnsi" w:cstheme="minorHAnsi"/>
          <w:szCs w:val="24"/>
          <w:bdr w:val="nil"/>
          <w:lang w:eastAsia="en-AU"/>
        </w:rPr>
        <w:t xml:space="preserve">conducting an economic assessment </w:t>
      </w:r>
      <w:r w:rsidRPr="005E3B44">
        <w:rPr>
          <w:rFonts w:asciiTheme="minorHAnsi" w:hAnsiTheme="minorHAnsi" w:cstheme="minorHAnsi"/>
          <w:bdr w:val="nil"/>
        </w:rPr>
        <w:t xml:space="preserve">of the recommendations arising from the Projects Assisting Victims' Experience and Recovery (PAVER) </w:t>
      </w:r>
      <w:proofErr w:type="gramStart"/>
      <w:r w:rsidRPr="005E3B44">
        <w:rPr>
          <w:rFonts w:asciiTheme="minorHAnsi" w:hAnsiTheme="minorHAnsi" w:cstheme="minorHAnsi"/>
          <w:bdr w:val="nil"/>
        </w:rPr>
        <w:t>review;</w:t>
      </w:r>
      <w:proofErr w:type="gramEnd"/>
    </w:p>
    <w:p w14:paraId="06E81EAA"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r w:rsidRPr="005E3B44">
        <w:rPr>
          <w:rFonts w:asciiTheme="minorHAnsi" w:hAnsiTheme="minorHAnsi" w:cstheme="minorHAnsi"/>
          <w:bdr w:val="nil"/>
        </w:rPr>
        <w:t xml:space="preserve">scoping ICT solutions to enable the provision of on-line information regarding victim rights information and services available under the Charter of Rights for victims of </w:t>
      </w:r>
      <w:proofErr w:type="gramStart"/>
      <w:r w:rsidRPr="005E3B44">
        <w:rPr>
          <w:rFonts w:asciiTheme="minorHAnsi" w:hAnsiTheme="minorHAnsi" w:cstheme="minorHAnsi"/>
          <w:bdr w:val="nil"/>
        </w:rPr>
        <w:t>crime;</w:t>
      </w:r>
      <w:proofErr w:type="gramEnd"/>
    </w:p>
    <w:p w14:paraId="11ED1170"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r w:rsidRPr="005E3B44">
        <w:rPr>
          <w:rFonts w:asciiTheme="minorHAnsi" w:hAnsiTheme="minorHAnsi" w:cstheme="minorHAnsi"/>
          <w:szCs w:val="24"/>
          <w:bdr w:val="nil"/>
        </w:rPr>
        <w:t xml:space="preserve">providing additional funding to the Official Visitor’s Scheme to enable it to respond to the increased demand for visitor </w:t>
      </w:r>
      <w:proofErr w:type="gramStart"/>
      <w:r w:rsidRPr="005E3B44">
        <w:rPr>
          <w:rFonts w:asciiTheme="minorHAnsi" w:hAnsiTheme="minorHAnsi" w:cstheme="minorHAnsi"/>
          <w:szCs w:val="24"/>
          <w:bdr w:val="nil"/>
        </w:rPr>
        <w:t>services;</w:t>
      </w:r>
      <w:proofErr w:type="gramEnd"/>
    </w:p>
    <w:p w14:paraId="4EC2B992"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r w:rsidRPr="005E3B44">
        <w:rPr>
          <w:rFonts w:asciiTheme="minorHAnsi" w:hAnsiTheme="minorHAnsi" w:cstheme="minorHAnsi"/>
          <w:szCs w:val="24"/>
          <w:bdr w:val="nil"/>
        </w:rPr>
        <w:t xml:space="preserve">progressing reforms to raise the minimum age of criminal responsibility from the current minimum of 10 years of </w:t>
      </w:r>
      <w:proofErr w:type="gramStart"/>
      <w:r w:rsidRPr="005E3B44">
        <w:rPr>
          <w:rFonts w:asciiTheme="minorHAnsi" w:hAnsiTheme="minorHAnsi" w:cstheme="minorHAnsi"/>
          <w:szCs w:val="24"/>
          <w:bdr w:val="nil"/>
        </w:rPr>
        <w:t>age;</w:t>
      </w:r>
      <w:proofErr w:type="gramEnd"/>
    </w:p>
    <w:p w14:paraId="1F56059C"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r w:rsidRPr="005E3B44">
        <w:rPr>
          <w:rFonts w:asciiTheme="minorHAnsi" w:hAnsiTheme="minorHAnsi" w:cstheme="minorHAnsi"/>
          <w:szCs w:val="24"/>
          <w:bdr w:val="nil"/>
        </w:rPr>
        <w:t xml:space="preserve">continuing the ACT Intermediary Scheme for vulnerable witnesses to enable them to give their best evidence to police and the </w:t>
      </w:r>
      <w:proofErr w:type="gramStart"/>
      <w:r w:rsidRPr="005E3B44">
        <w:rPr>
          <w:rFonts w:asciiTheme="minorHAnsi" w:hAnsiTheme="minorHAnsi" w:cstheme="minorHAnsi"/>
          <w:szCs w:val="24"/>
          <w:bdr w:val="nil"/>
        </w:rPr>
        <w:t>Courts;</w:t>
      </w:r>
      <w:proofErr w:type="gramEnd"/>
    </w:p>
    <w:p w14:paraId="4221F6E8" w14:textId="77777777" w:rsidR="002242F3" w:rsidRPr="005E3B44" w:rsidRDefault="002242F3" w:rsidP="002242F3">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rFonts w:asciiTheme="minorHAnsi" w:hAnsiTheme="minorHAnsi" w:cstheme="minorHAnsi"/>
          <w:szCs w:val="24"/>
          <w:bdr w:val="nil"/>
        </w:rPr>
      </w:pPr>
      <w:proofErr w:type="gramStart"/>
      <w:r w:rsidRPr="005E3B44">
        <w:rPr>
          <w:rFonts w:asciiTheme="minorHAnsi" w:hAnsiTheme="minorHAnsi" w:cstheme="minorHAnsi"/>
          <w:szCs w:val="24"/>
          <w:bdr w:val="nil"/>
        </w:rPr>
        <w:t>providing assistance to</w:t>
      </w:r>
      <w:proofErr w:type="gramEnd"/>
      <w:r w:rsidRPr="005E3B44">
        <w:rPr>
          <w:rFonts w:asciiTheme="minorHAnsi" w:hAnsiTheme="minorHAnsi" w:cstheme="minorHAnsi"/>
          <w:szCs w:val="24"/>
          <w:bdr w:val="nil"/>
        </w:rPr>
        <w:t xml:space="preserve"> the Community Legal Sector to enable it to maintain current service delivery levels.</w:t>
      </w:r>
    </w:p>
    <w:p w14:paraId="2C09F5D4" w14:textId="77777777" w:rsidR="002242F3" w:rsidRPr="005E3B44" w:rsidRDefault="002242F3" w:rsidP="002242F3">
      <w:pPr>
        <w:pStyle w:val="BodyText"/>
        <w:keepNext w:val="0"/>
        <w:keepLines w:val="0"/>
        <w:numPr>
          <w:ilvl w:val="0"/>
          <w:numId w:val="4"/>
        </w:numPr>
        <w:pBdr>
          <w:top w:val="nil"/>
          <w:left w:val="nil"/>
          <w:bottom w:val="nil"/>
          <w:right w:val="nil"/>
          <w:between w:val="nil"/>
          <w:bar w:val="nil"/>
        </w:pBdr>
        <w:spacing w:before="98"/>
        <w:jc w:val="left"/>
        <w:rPr>
          <w:rFonts w:asciiTheme="minorHAnsi" w:hAnsiTheme="minorHAnsi" w:cstheme="minorHAnsi"/>
          <w:bdr w:val="nil"/>
        </w:rPr>
      </w:pPr>
      <w:r w:rsidRPr="005E3B44">
        <w:rPr>
          <w:rFonts w:asciiTheme="minorHAnsi" w:hAnsiTheme="minorHAnsi" w:cstheme="minorHAnsi"/>
          <w:bdr w:val="nil"/>
        </w:rPr>
        <w:t xml:space="preserve">Supporting transparent government </w:t>
      </w:r>
      <w:r w:rsidRPr="005E3B44">
        <w:rPr>
          <w:rFonts w:asciiTheme="minorHAnsi" w:hAnsiTheme="minorHAnsi" w:cstheme="minorHAnsi"/>
          <w:bdr w:val="nil"/>
          <w:lang w:eastAsia="en-AU"/>
        </w:rPr>
        <w:t xml:space="preserve">through positive compliance with the </w:t>
      </w:r>
      <w:r w:rsidRPr="005E3B44">
        <w:rPr>
          <w:rFonts w:asciiTheme="minorHAnsi" w:hAnsiTheme="minorHAnsi" w:cstheme="minorHAnsi"/>
          <w:i/>
          <w:iCs/>
          <w:bdr w:val="nil"/>
          <w:lang w:eastAsia="en-AU"/>
        </w:rPr>
        <w:t xml:space="preserve">Freedom of Information Act 2016 </w:t>
      </w:r>
      <w:r w:rsidRPr="005E3B44">
        <w:rPr>
          <w:rFonts w:asciiTheme="minorHAnsi" w:hAnsiTheme="minorHAnsi" w:cstheme="minorHAnsi"/>
          <w:bdr w:val="nil"/>
          <w:lang w:eastAsia="en-AU"/>
        </w:rPr>
        <w:t>and the ACT’s proactive information disclosure regime.</w:t>
      </w:r>
    </w:p>
    <w:p w14:paraId="15288DCD" w14:textId="77777777" w:rsidR="002242F3" w:rsidRPr="005E3B44" w:rsidRDefault="002242F3" w:rsidP="002242F3">
      <w:pPr>
        <w:pStyle w:val="ListParagraph"/>
        <w:numPr>
          <w:ilvl w:val="0"/>
          <w:numId w:val="4"/>
        </w:numPr>
        <w:pBdr>
          <w:top w:val="nil"/>
          <w:left w:val="nil"/>
          <w:bottom w:val="nil"/>
          <w:right w:val="nil"/>
          <w:between w:val="nil"/>
          <w:bar w:val="nil"/>
        </w:pBdr>
        <w:rPr>
          <w:rFonts w:asciiTheme="minorHAnsi" w:hAnsiTheme="minorHAnsi" w:cstheme="minorHAnsi"/>
          <w:sz w:val="24"/>
          <w:bdr w:val="nil"/>
        </w:rPr>
      </w:pPr>
      <w:r w:rsidRPr="005E3B44">
        <w:rPr>
          <w:rFonts w:asciiTheme="minorHAnsi" w:hAnsiTheme="minorHAnsi" w:cstheme="minorHAnsi"/>
          <w:sz w:val="24"/>
          <w:bdr w:val="nil"/>
        </w:rPr>
        <w:t xml:space="preserve">Providing increased resources to the ACT Government Solicitor to enable it to meet the growth in demand for its constitutional, </w:t>
      </w:r>
      <w:proofErr w:type="gramStart"/>
      <w:r w:rsidRPr="005E3B44">
        <w:rPr>
          <w:rFonts w:asciiTheme="minorHAnsi" w:hAnsiTheme="minorHAnsi" w:cstheme="minorHAnsi"/>
          <w:sz w:val="24"/>
          <w:bdr w:val="nil"/>
        </w:rPr>
        <w:t>public</w:t>
      </w:r>
      <w:proofErr w:type="gramEnd"/>
      <w:r w:rsidRPr="005E3B44">
        <w:rPr>
          <w:rFonts w:asciiTheme="minorHAnsi" w:hAnsiTheme="minorHAnsi" w:cstheme="minorHAnsi"/>
          <w:sz w:val="24"/>
          <w:bdr w:val="nil"/>
        </w:rPr>
        <w:t xml:space="preserve"> and administrative law expertise.</w:t>
      </w:r>
    </w:p>
    <w:p w14:paraId="4FD4A566" w14:textId="77777777" w:rsidR="002242F3" w:rsidRPr="005E3B44" w:rsidRDefault="002242F3" w:rsidP="002242F3">
      <w:pPr>
        <w:pStyle w:val="ListParagraph"/>
        <w:numPr>
          <w:ilvl w:val="0"/>
          <w:numId w:val="4"/>
        </w:numPr>
        <w:pBdr>
          <w:top w:val="nil"/>
          <w:left w:val="nil"/>
          <w:bottom w:val="nil"/>
          <w:right w:val="nil"/>
          <w:between w:val="nil"/>
          <w:bar w:val="nil"/>
        </w:pBdr>
        <w:rPr>
          <w:rFonts w:asciiTheme="minorHAnsi" w:hAnsiTheme="minorHAnsi" w:cstheme="minorHAnsi"/>
          <w:sz w:val="24"/>
          <w:bdr w:val="nil"/>
        </w:rPr>
      </w:pPr>
      <w:r w:rsidRPr="005E3B44">
        <w:rPr>
          <w:rFonts w:asciiTheme="minorHAnsi" w:hAnsiTheme="minorHAnsi" w:cstheme="minorHAnsi"/>
          <w:sz w:val="24"/>
          <w:bdr w:val="nil"/>
        </w:rPr>
        <w:t>Providing support to ACT Courts and Tribunal by:</w:t>
      </w:r>
    </w:p>
    <w:p w14:paraId="2BDA0F2D"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installing specialised recording, transcription and audio-visual equipment in the ACT Civil and Tribunal’s new premises at </w:t>
      </w:r>
      <w:proofErr w:type="spellStart"/>
      <w:r w:rsidRPr="005E3B44">
        <w:rPr>
          <w:rFonts w:asciiTheme="minorHAnsi" w:hAnsiTheme="minorHAnsi" w:cstheme="minorHAnsi"/>
          <w:sz w:val="24"/>
          <w:bdr w:val="nil"/>
        </w:rPr>
        <w:t>Allara</w:t>
      </w:r>
      <w:proofErr w:type="spellEnd"/>
      <w:r w:rsidRPr="005E3B44">
        <w:rPr>
          <w:rFonts w:asciiTheme="minorHAnsi" w:hAnsiTheme="minorHAnsi" w:cstheme="minorHAnsi"/>
          <w:sz w:val="24"/>
          <w:bdr w:val="nil"/>
        </w:rPr>
        <w:t xml:space="preserve"> </w:t>
      </w:r>
      <w:proofErr w:type="gramStart"/>
      <w:r w:rsidRPr="005E3B44">
        <w:rPr>
          <w:rFonts w:asciiTheme="minorHAnsi" w:hAnsiTheme="minorHAnsi" w:cstheme="minorHAnsi"/>
          <w:sz w:val="24"/>
          <w:bdr w:val="nil"/>
        </w:rPr>
        <w:t>House;</w:t>
      </w:r>
      <w:proofErr w:type="gramEnd"/>
    </w:p>
    <w:p w14:paraId="6784F202"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continuing the Drug and Alcohol Court for a further two years to deal with offending linked to serious drug and alcohol </w:t>
      </w:r>
      <w:proofErr w:type="gramStart"/>
      <w:r w:rsidRPr="005E3B44">
        <w:rPr>
          <w:rFonts w:asciiTheme="minorHAnsi" w:hAnsiTheme="minorHAnsi" w:cstheme="minorHAnsi"/>
          <w:sz w:val="24"/>
          <w:bdr w:val="nil"/>
        </w:rPr>
        <w:t>use;</w:t>
      </w:r>
      <w:proofErr w:type="gramEnd"/>
    </w:p>
    <w:p w14:paraId="72452D8F"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upgrading the </w:t>
      </w:r>
      <w:proofErr w:type="spellStart"/>
      <w:r w:rsidRPr="005E3B44">
        <w:rPr>
          <w:rFonts w:asciiTheme="minorHAnsi" w:hAnsiTheme="minorHAnsi" w:cstheme="minorHAnsi"/>
          <w:sz w:val="24"/>
          <w:bdr w:val="nil"/>
        </w:rPr>
        <w:t>Galambany</w:t>
      </w:r>
      <w:proofErr w:type="spellEnd"/>
      <w:r w:rsidRPr="005E3B44">
        <w:rPr>
          <w:rFonts w:asciiTheme="minorHAnsi" w:hAnsiTheme="minorHAnsi" w:cstheme="minorHAnsi"/>
          <w:sz w:val="24"/>
          <w:bdr w:val="nil"/>
        </w:rPr>
        <w:t xml:space="preserve"> Circle Sentencing Court room in order to support effective and restorative sentencing for Aboriginal and Torres Strait Islander </w:t>
      </w:r>
      <w:proofErr w:type="gramStart"/>
      <w:r w:rsidRPr="005E3B44">
        <w:rPr>
          <w:rFonts w:asciiTheme="minorHAnsi" w:hAnsiTheme="minorHAnsi" w:cstheme="minorHAnsi"/>
          <w:sz w:val="24"/>
          <w:bdr w:val="nil"/>
        </w:rPr>
        <w:t>defendants;</w:t>
      </w:r>
      <w:proofErr w:type="gramEnd"/>
    </w:p>
    <w:p w14:paraId="62F1CA4C"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continuing criminal case conferencing in the ACT Supreme Court </w:t>
      </w:r>
      <w:proofErr w:type="gramStart"/>
      <w:r w:rsidRPr="005E3B44">
        <w:rPr>
          <w:rFonts w:asciiTheme="minorHAnsi" w:hAnsiTheme="minorHAnsi" w:cstheme="minorHAnsi"/>
          <w:sz w:val="24"/>
          <w:bdr w:val="nil"/>
        </w:rPr>
        <w:t>which  encourages</w:t>
      </w:r>
      <w:proofErr w:type="gramEnd"/>
      <w:r w:rsidRPr="005E3B44">
        <w:rPr>
          <w:rFonts w:asciiTheme="minorHAnsi" w:hAnsiTheme="minorHAnsi" w:cstheme="minorHAnsi"/>
          <w:sz w:val="24"/>
          <w:bdr w:val="nil"/>
        </w:rPr>
        <w:t xml:space="preserve"> early settlement and improves the overall efficiency of the criminal justice process;</w:t>
      </w:r>
    </w:p>
    <w:p w14:paraId="70EAAF7B"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continuing the Therapeutic Care Court for a further two years which aims to provide intensive management and therapeutic support to parents involved in care and protection matters to achieve outcomes in the best interest of children and young </w:t>
      </w:r>
      <w:proofErr w:type="gramStart"/>
      <w:r w:rsidRPr="005E3B44">
        <w:rPr>
          <w:rFonts w:asciiTheme="minorHAnsi" w:hAnsiTheme="minorHAnsi" w:cstheme="minorHAnsi"/>
          <w:sz w:val="24"/>
          <w:bdr w:val="nil"/>
        </w:rPr>
        <w:t>people;</w:t>
      </w:r>
      <w:proofErr w:type="gramEnd"/>
    </w:p>
    <w:p w14:paraId="765AF4C5"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lastRenderedPageBreak/>
        <w:t xml:space="preserve">appointing a dedicated Coroner in the ACT and providing additional resourcing for a Special Magistrate to help clear the backlog of cases in the Magistrate’s </w:t>
      </w:r>
      <w:proofErr w:type="gramStart"/>
      <w:r w:rsidRPr="005E3B44">
        <w:rPr>
          <w:rFonts w:asciiTheme="minorHAnsi" w:hAnsiTheme="minorHAnsi" w:cstheme="minorHAnsi"/>
          <w:sz w:val="24"/>
          <w:bdr w:val="nil"/>
        </w:rPr>
        <w:t>Court;</w:t>
      </w:r>
      <w:proofErr w:type="gramEnd"/>
    </w:p>
    <w:p w14:paraId="1A6D29C5"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improving security at the ACT Law Courts by installing targeted upgrades including to bring older parts of the Magistrate Court building up to </w:t>
      </w:r>
      <w:proofErr w:type="gramStart"/>
      <w:r w:rsidRPr="005E3B44">
        <w:rPr>
          <w:rFonts w:asciiTheme="minorHAnsi" w:hAnsiTheme="minorHAnsi" w:cstheme="minorHAnsi"/>
          <w:sz w:val="24"/>
          <w:bdr w:val="nil"/>
        </w:rPr>
        <w:t>code;</w:t>
      </w:r>
      <w:proofErr w:type="gramEnd"/>
    </w:p>
    <w:p w14:paraId="68E83C50" w14:textId="77777777" w:rsidR="002242F3" w:rsidRPr="005E3B44" w:rsidRDefault="002242F3" w:rsidP="002242F3">
      <w:pPr>
        <w:pStyle w:val="ListParagraph"/>
        <w:numPr>
          <w:ilvl w:val="1"/>
          <w:numId w:val="10"/>
        </w:numPr>
        <w:pBdr>
          <w:top w:val="nil"/>
          <w:left w:val="nil"/>
          <w:bottom w:val="nil"/>
          <w:right w:val="nil"/>
          <w:between w:val="nil"/>
          <w:bar w:val="nil"/>
        </w:pBdr>
        <w:spacing w:after="120" w:line="276" w:lineRule="auto"/>
        <w:ind w:left="1434" w:hanging="357"/>
        <w:rPr>
          <w:rFonts w:asciiTheme="minorHAnsi" w:hAnsiTheme="minorHAnsi" w:cstheme="minorHAnsi"/>
          <w:sz w:val="24"/>
          <w:bdr w:val="nil"/>
        </w:rPr>
      </w:pPr>
      <w:r w:rsidRPr="005E3B44">
        <w:rPr>
          <w:rFonts w:asciiTheme="minorHAnsi" w:hAnsiTheme="minorHAnsi" w:cstheme="minorHAnsi"/>
          <w:sz w:val="24"/>
          <w:bdr w:val="nil"/>
        </w:rPr>
        <w:t>establishing a website that will allow applicants to advertise their intention to apply for probate on-line.</w:t>
      </w:r>
    </w:p>
    <w:p w14:paraId="305EA96C" w14:textId="77777777" w:rsidR="002242F3" w:rsidRPr="005E3B44" w:rsidRDefault="002242F3" w:rsidP="002242F3">
      <w:pPr>
        <w:pStyle w:val="BodyText"/>
        <w:keepNext w:val="0"/>
        <w:keepLines w:val="0"/>
        <w:numPr>
          <w:ilvl w:val="1"/>
          <w:numId w:val="11"/>
        </w:numPr>
        <w:pBdr>
          <w:top w:val="nil"/>
          <w:left w:val="nil"/>
          <w:bottom w:val="nil"/>
          <w:right w:val="nil"/>
          <w:between w:val="nil"/>
          <w:bar w:val="nil"/>
        </w:pBdr>
        <w:spacing w:before="98"/>
        <w:ind w:left="709"/>
        <w:jc w:val="left"/>
        <w:rPr>
          <w:rFonts w:asciiTheme="minorHAnsi" w:hAnsiTheme="minorHAnsi" w:cstheme="minorHAnsi"/>
          <w:bdr w:val="nil"/>
        </w:rPr>
      </w:pPr>
      <w:r w:rsidRPr="005E3B44">
        <w:rPr>
          <w:rFonts w:asciiTheme="minorHAnsi" w:hAnsiTheme="minorHAnsi" w:cstheme="minorHAnsi"/>
          <w:bdr w:val="nil"/>
        </w:rPr>
        <w:t xml:space="preserve">Assuring the capacity to support the delivery of government legislative priorities. </w:t>
      </w:r>
    </w:p>
    <w:p w14:paraId="3A965E57" w14:textId="2EDD1D8C" w:rsidR="002242F3" w:rsidRPr="005E3B44" w:rsidRDefault="002242F3" w:rsidP="002242F3">
      <w:pPr>
        <w:pBdr>
          <w:top w:val="nil"/>
          <w:left w:val="nil"/>
          <w:bottom w:val="nil"/>
          <w:right w:val="nil"/>
          <w:between w:val="nil"/>
          <w:bar w:val="nil"/>
        </w:pBdr>
        <w:rPr>
          <w:rFonts w:asciiTheme="minorHAnsi" w:hAnsiTheme="minorHAnsi" w:cstheme="minorHAnsi"/>
        </w:rPr>
      </w:pPr>
      <w:r w:rsidRPr="005E3B44">
        <w:rPr>
          <w:rFonts w:asciiTheme="minorHAnsi" w:hAnsiTheme="minorHAnsi" w:cstheme="minorHAnsi"/>
        </w:rPr>
        <w:t xml:space="preserve"> </w:t>
      </w:r>
    </w:p>
    <w:p w14:paraId="73C3480B" w14:textId="77777777" w:rsidR="009C0A0C" w:rsidRPr="005E3B44" w:rsidRDefault="009C0A0C" w:rsidP="002242F3">
      <w:pPr>
        <w:pBdr>
          <w:top w:val="nil"/>
          <w:left w:val="nil"/>
          <w:bottom w:val="nil"/>
          <w:right w:val="nil"/>
          <w:between w:val="nil"/>
          <w:bar w:val="nil"/>
        </w:pBdr>
        <w:rPr>
          <w:rFonts w:asciiTheme="minorHAnsi" w:hAnsiTheme="minorHAnsi" w:cstheme="minorHAnsi"/>
          <w:vanish/>
          <w:bdr w:val="nil"/>
        </w:rPr>
      </w:pPr>
    </w:p>
    <w:p w14:paraId="35ADFBBC" w14:textId="77777777" w:rsidR="002242F3" w:rsidRPr="005E3B44" w:rsidRDefault="002242F3" w:rsidP="002242F3">
      <w:pPr>
        <w:pStyle w:val="Heading2"/>
        <w:pBdr>
          <w:top w:val="nil"/>
          <w:left w:val="nil"/>
          <w:bottom w:val="nil"/>
          <w:right w:val="nil"/>
          <w:between w:val="nil"/>
          <w:bar w:val="nil"/>
        </w:pBdr>
        <w:rPr>
          <w:rFonts w:asciiTheme="minorHAnsi" w:hAnsiTheme="minorHAnsi" w:cstheme="minorHAnsi"/>
          <w:bdr w:val="nil"/>
        </w:rPr>
      </w:pPr>
      <w:bookmarkStart w:id="4" w:name="_Toc452467797"/>
      <w:bookmarkStart w:id="5" w:name="_Toc451895559"/>
      <w:r w:rsidRPr="005E3B44">
        <w:rPr>
          <w:rFonts w:asciiTheme="minorHAnsi" w:hAnsiTheme="minorHAnsi" w:cstheme="minorHAnsi"/>
          <w:bdr w:val="nil"/>
        </w:rPr>
        <w:t>Estimated Employment Level</w:t>
      </w:r>
      <w:bookmarkEnd w:id="4"/>
      <w:bookmarkEnd w:id="5"/>
    </w:p>
    <w:p w14:paraId="6E9F23C0" w14:textId="589B6DD1"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Table </w:t>
      </w:r>
      <w:r w:rsidRPr="005E3B44">
        <w:rPr>
          <w:rFonts w:asciiTheme="minorHAnsi" w:hAnsiTheme="minorHAnsi" w:cstheme="minorHAnsi"/>
          <w:bdr w:val="nil"/>
        </w:rPr>
        <w:fldChar w:fldCharType="begin"/>
      </w:r>
      <w:r w:rsidRPr="005E3B44">
        <w:rPr>
          <w:rFonts w:asciiTheme="minorHAnsi" w:hAnsiTheme="minorHAnsi" w:cstheme="minorHAnsi"/>
          <w:bdr w:val="nil"/>
        </w:rPr>
        <w:instrText xml:space="preserve"> SEQ Table \* ARABIC </w:instrText>
      </w:r>
      <w:r w:rsidRPr="005E3B44">
        <w:rPr>
          <w:rFonts w:asciiTheme="minorHAnsi" w:hAnsiTheme="minorHAnsi" w:cstheme="minorHAnsi"/>
          <w:bdr w:val="nil"/>
        </w:rPr>
        <w:fldChar w:fldCharType="separate"/>
      </w:r>
      <w:r w:rsidR="006E5D30">
        <w:rPr>
          <w:rFonts w:asciiTheme="minorHAnsi" w:hAnsiTheme="minorHAnsi" w:cstheme="minorHAnsi"/>
          <w:noProof/>
          <w:bdr w:val="nil"/>
        </w:rPr>
        <w:t>1</w:t>
      </w:r>
      <w:r w:rsidRPr="005E3B44">
        <w:rPr>
          <w:rFonts w:asciiTheme="minorHAnsi" w:hAnsiTheme="minorHAnsi" w:cstheme="minorHAnsi"/>
          <w:noProof/>
          <w:bdr w:val="nil"/>
        </w:rPr>
        <w:fldChar w:fldCharType="end"/>
      </w:r>
      <w:r w:rsidRPr="005E3B44">
        <w:rPr>
          <w:rFonts w:asciiTheme="minorHAnsi" w:hAnsiTheme="minorHAnsi" w:cstheme="minorHAnsi"/>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2242F3" w:rsidRPr="005E3B44" w14:paraId="5D5ED1C1" w14:textId="77777777" w:rsidTr="005E3B44">
        <w:trPr>
          <w:trHeight w:val="392"/>
          <w:tblHeader/>
        </w:trPr>
        <w:tc>
          <w:tcPr>
            <w:tcW w:w="2700" w:type="dxa"/>
            <w:tcBorders>
              <w:top w:val="single" w:sz="12" w:space="0" w:color="000000"/>
              <w:left w:val="nil"/>
              <w:bottom w:val="nil"/>
              <w:right w:val="nil"/>
            </w:tcBorders>
            <w:vAlign w:val="bottom"/>
          </w:tcPr>
          <w:p w14:paraId="6A2B6F63" w14:textId="77777777" w:rsidR="002242F3" w:rsidRPr="005E3B44" w:rsidRDefault="002242F3" w:rsidP="005E3B44">
            <w:pPr>
              <w:pStyle w:val="BStabletext"/>
              <w:pBdr>
                <w:top w:val="nil"/>
                <w:left w:val="nil"/>
                <w:bottom w:val="nil"/>
                <w:right w:val="nil"/>
                <w:between w:val="nil"/>
                <w:bar w:val="nil"/>
              </w:pBdr>
              <w:spacing w:line="256" w:lineRule="auto"/>
              <w:rPr>
                <w:rFonts w:asciiTheme="minorHAnsi" w:hAnsiTheme="minorHAnsi" w:cstheme="minorHAnsi"/>
                <w:bdr w:val="nil"/>
                <w:lang w:eastAsia="en-US"/>
              </w:rPr>
            </w:pPr>
          </w:p>
        </w:tc>
        <w:tc>
          <w:tcPr>
            <w:tcW w:w="1601" w:type="dxa"/>
            <w:tcBorders>
              <w:top w:val="single" w:sz="12" w:space="0" w:color="000000"/>
              <w:left w:val="nil"/>
              <w:bottom w:val="nil"/>
              <w:right w:val="nil"/>
            </w:tcBorders>
            <w:hideMark/>
          </w:tcPr>
          <w:p w14:paraId="1F5D25DF"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2019-20</w:t>
            </w:r>
          </w:p>
          <w:p w14:paraId="5382ADFB"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Actual</w:t>
            </w:r>
          </w:p>
          <w:p w14:paraId="57596B72"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1601" w:type="dxa"/>
            <w:tcBorders>
              <w:top w:val="single" w:sz="12" w:space="0" w:color="000000"/>
              <w:left w:val="nil"/>
              <w:bottom w:val="nil"/>
              <w:right w:val="nil"/>
            </w:tcBorders>
            <w:hideMark/>
          </w:tcPr>
          <w:p w14:paraId="1C7BD885" w14:textId="77777777" w:rsidR="002242F3" w:rsidRPr="005E3B44" w:rsidRDefault="002242F3" w:rsidP="005E3B44">
            <w:pPr>
              <w:pStyle w:val="BStableheading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2020-21</w:t>
            </w:r>
          </w:p>
          <w:p w14:paraId="562E3391"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Budget</w:t>
            </w:r>
          </w:p>
        </w:tc>
        <w:tc>
          <w:tcPr>
            <w:tcW w:w="1601" w:type="dxa"/>
            <w:tcBorders>
              <w:top w:val="single" w:sz="12" w:space="0" w:color="000000"/>
              <w:left w:val="nil"/>
              <w:bottom w:val="nil"/>
              <w:right w:val="nil"/>
            </w:tcBorders>
            <w:hideMark/>
          </w:tcPr>
          <w:p w14:paraId="457D25EE"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2020-21</w:t>
            </w:r>
          </w:p>
          <w:p w14:paraId="6D24F6A5"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 Outcome</w:t>
            </w:r>
          </w:p>
        </w:tc>
        <w:tc>
          <w:tcPr>
            <w:tcW w:w="1602" w:type="dxa"/>
            <w:tcBorders>
              <w:top w:val="single" w:sz="12" w:space="0" w:color="000000"/>
              <w:left w:val="nil"/>
              <w:bottom w:val="nil"/>
              <w:right w:val="nil"/>
            </w:tcBorders>
            <w:noWrap/>
            <w:hideMark/>
          </w:tcPr>
          <w:p w14:paraId="3E171A51"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2021-22</w:t>
            </w:r>
          </w:p>
          <w:p w14:paraId="1759715E" w14:textId="77777777" w:rsidR="002242F3" w:rsidRPr="005E3B44" w:rsidRDefault="002242F3" w:rsidP="005E3B44">
            <w:pPr>
              <w:pStyle w:val="BStableheading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Budget</w:t>
            </w:r>
          </w:p>
        </w:tc>
      </w:tr>
      <w:tr w:rsidR="002242F3" w:rsidRPr="005E3B44" w14:paraId="07999DE0" w14:textId="77777777" w:rsidTr="005E3B44">
        <w:trPr>
          <w:trHeight w:val="319"/>
          <w:tblHeader/>
        </w:trPr>
        <w:tc>
          <w:tcPr>
            <w:tcW w:w="2700" w:type="dxa"/>
            <w:tcBorders>
              <w:top w:val="single" w:sz="6" w:space="0" w:color="000000"/>
              <w:left w:val="nil"/>
              <w:bottom w:val="single" w:sz="12" w:space="0" w:color="000000"/>
              <w:right w:val="nil"/>
            </w:tcBorders>
            <w:vAlign w:val="bottom"/>
            <w:hideMark/>
          </w:tcPr>
          <w:p w14:paraId="19A1B235" w14:textId="77777777" w:rsidR="002242F3" w:rsidRPr="005E3B44" w:rsidRDefault="002242F3" w:rsidP="005E3B44">
            <w:pPr>
              <w:pStyle w:val="BStabletext"/>
              <w:pBdr>
                <w:top w:val="nil"/>
                <w:left w:val="nil"/>
                <w:bottom w:val="nil"/>
                <w:right w:val="nil"/>
                <w:between w:val="nil"/>
                <w:bar w:val="nil"/>
              </w:pBdr>
              <w:spacing w:line="256" w:lineRule="auto"/>
              <w:rPr>
                <w:rStyle w:val="Strong"/>
                <w:rFonts w:asciiTheme="minorHAnsi" w:hAnsiTheme="minorHAnsi" w:cstheme="minorHAnsi"/>
                <w:bCs/>
                <w:bdr w:val="nil"/>
                <w:lang w:eastAsia="en-US"/>
              </w:rPr>
            </w:pPr>
            <w:r w:rsidRPr="005E3B44">
              <w:rPr>
                <w:rStyle w:val="Strong"/>
                <w:rFonts w:asciiTheme="minorHAnsi" w:hAnsiTheme="minorHAnsi" w:cstheme="minorHAnsi"/>
                <w:bdr w:val="nil"/>
              </w:rPr>
              <w:t>Staffing (FTE)</w:t>
            </w:r>
          </w:p>
        </w:tc>
        <w:tc>
          <w:tcPr>
            <w:tcW w:w="1601" w:type="dxa"/>
            <w:tcBorders>
              <w:top w:val="single" w:sz="6" w:space="0" w:color="000000"/>
              <w:left w:val="nil"/>
              <w:bottom w:val="single" w:sz="12" w:space="0" w:color="000000"/>
              <w:right w:val="nil"/>
            </w:tcBorders>
            <w:vAlign w:val="bottom"/>
            <w:hideMark/>
          </w:tcPr>
          <w:p w14:paraId="6B3E4D9A" w14:textId="77777777" w:rsidR="002242F3" w:rsidRPr="005E3B44" w:rsidRDefault="002242F3" w:rsidP="005E3B44">
            <w:pPr>
              <w:pStyle w:val="BStablefigures"/>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lang w:eastAsia="en-US"/>
              </w:rPr>
              <w:t>1,875</w:t>
            </w:r>
          </w:p>
        </w:tc>
        <w:tc>
          <w:tcPr>
            <w:tcW w:w="1601" w:type="dxa"/>
            <w:tcBorders>
              <w:top w:val="single" w:sz="6" w:space="0" w:color="000000"/>
              <w:left w:val="nil"/>
              <w:bottom w:val="single" w:sz="12" w:space="0" w:color="000000"/>
              <w:right w:val="nil"/>
            </w:tcBorders>
            <w:vAlign w:val="bottom"/>
            <w:hideMark/>
          </w:tcPr>
          <w:p w14:paraId="50340F8B" w14:textId="77777777" w:rsidR="002242F3" w:rsidRPr="005E3B44" w:rsidRDefault="002242F3" w:rsidP="005E3B44">
            <w:pPr>
              <w:pStyle w:val="BStablefigures"/>
              <w:pBdr>
                <w:top w:val="nil"/>
                <w:left w:val="nil"/>
                <w:bottom w:val="nil"/>
                <w:right w:val="nil"/>
                <w:between w:val="nil"/>
                <w:bar w:val="nil"/>
              </w:pBdr>
              <w:spacing w:line="256" w:lineRule="auto"/>
              <w:rPr>
                <w:rFonts w:asciiTheme="minorHAnsi" w:hAnsiTheme="minorHAnsi" w:cstheme="minorHAnsi"/>
                <w:bdr w:val="nil"/>
                <w:lang w:eastAsia="en-US"/>
              </w:rPr>
            </w:pPr>
            <w:r w:rsidRPr="005E3B44">
              <w:rPr>
                <w:rFonts w:asciiTheme="minorHAnsi" w:hAnsiTheme="minorHAnsi" w:cstheme="minorHAnsi"/>
                <w:bdr w:val="nil"/>
                <w:lang w:eastAsia="en-US"/>
              </w:rPr>
              <w:t xml:space="preserve">1,900 </w:t>
            </w:r>
            <w:r w:rsidRPr="005E3B44">
              <w:rPr>
                <w:rFonts w:asciiTheme="minorHAnsi" w:hAnsiTheme="minorHAnsi" w:cstheme="minorHAnsi"/>
                <w:bdr w:val="nil"/>
                <w:vertAlign w:val="superscript"/>
                <w:lang w:eastAsia="en-US"/>
              </w:rPr>
              <w:t>1</w:t>
            </w:r>
          </w:p>
        </w:tc>
        <w:tc>
          <w:tcPr>
            <w:tcW w:w="1601" w:type="dxa"/>
            <w:tcBorders>
              <w:top w:val="single" w:sz="6" w:space="0" w:color="000000"/>
              <w:left w:val="nil"/>
              <w:bottom w:val="single" w:sz="12" w:space="0" w:color="000000"/>
              <w:right w:val="nil"/>
            </w:tcBorders>
            <w:vAlign w:val="bottom"/>
            <w:hideMark/>
          </w:tcPr>
          <w:p w14:paraId="78453869" w14:textId="77777777" w:rsidR="002242F3" w:rsidRPr="005E3B44" w:rsidRDefault="002242F3" w:rsidP="005E3B44">
            <w:pPr>
              <w:pStyle w:val="BStablefigures"/>
              <w:pBdr>
                <w:top w:val="nil"/>
                <w:left w:val="nil"/>
                <w:bottom w:val="nil"/>
                <w:right w:val="nil"/>
                <w:between w:val="nil"/>
                <w:bar w:val="nil"/>
              </w:pBdr>
              <w:spacing w:line="256" w:lineRule="auto"/>
              <w:rPr>
                <w:rFonts w:asciiTheme="minorHAnsi" w:hAnsiTheme="minorHAnsi" w:cstheme="minorHAnsi"/>
                <w:bdr w:val="nil"/>
                <w:lang w:eastAsia="en-US"/>
              </w:rPr>
            </w:pPr>
            <w:r w:rsidRPr="005E3B44">
              <w:rPr>
                <w:rFonts w:asciiTheme="minorHAnsi" w:hAnsiTheme="minorHAnsi" w:cstheme="minorHAnsi"/>
                <w:bdr w:val="nil"/>
                <w:lang w:eastAsia="en-US"/>
              </w:rPr>
              <w:t xml:space="preserve">2,006 </w:t>
            </w:r>
            <w:r w:rsidRPr="005E3B44">
              <w:rPr>
                <w:rFonts w:asciiTheme="minorHAnsi" w:hAnsiTheme="minorHAnsi" w:cstheme="minorHAnsi"/>
                <w:bdr w:val="nil"/>
                <w:vertAlign w:val="superscript"/>
                <w:lang w:eastAsia="en-US"/>
              </w:rPr>
              <w:t>2</w:t>
            </w:r>
          </w:p>
        </w:tc>
        <w:tc>
          <w:tcPr>
            <w:tcW w:w="1602" w:type="dxa"/>
            <w:tcBorders>
              <w:top w:val="single" w:sz="6" w:space="0" w:color="000000"/>
              <w:left w:val="nil"/>
              <w:bottom w:val="single" w:sz="12" w:space="0" w:color="000000"/>
              <w:right w:val="nil"/>
            </w:tcBorders>
            <w:noWrap/>
            <w:vAlign w:val="bottom"/>
            <w:hideMark/>
          </w:tcPr>
          <w:p w14:paraId="12920A16" w14:textId="77777777" w:rsidR="002242F3" w:rsidRPr="005E3B44" w:rsidRDefault="002242F3" w:rsidP="005E3B44">
            <w:pPr>
              <w:pStyle w:val="BStablefigures"/>
              <w:pBdr>
                <w:top w:val="nil"/>
                <w:left w:val="nil"/>
                <w:bottom w:val="nil"/>
                <w:right w:val="nil"/>
                <w:between w:val="nil"/>
                <w:bar w:val="nil"/>
              </w:pBdr>
              <w:spacing w:line="256" w:lineRule="auto"/>
              <w:rPr>
                <w:rFonts w:asciiTheme="minorHAnsi" w:hAnsiTheme="minorHAnsi" w:cstheme="minorHAnsi"/>
                <w:bdr w:val="nil"/>
                <w:lang w:eastAsia="en-US"/>
              </w:rPr>
            </w:pPr>
            <w:r w:rsidRPr="005E3B44">
              <w:rPr>
                <w:rFonts w:asciiTheme="minorHAnsi" w:hAnsiTheme="minorHAnsi" w:cstheme="minorHAnsi"/>
                <w:bdr w:val="nil"/>
                <w:lang w:eastAsia="en-US"/>
              </w:rPr>
              <w:t xml:space="preserve">1,940 </w:t>
            </w:r>
            <w:r w:rsidRPr="005E3B44">
              <w:rPr>
                <w:rFonts w:asciiTheme="minorHAnsi" w:hAnsiTheme="minorHAnsi" w:cstheme="minorHAnsi"/>
                <w:bdr w:val="nil"/>
                <w:vertAlign w:val="superscript"/>
                <w:lang w:eastAsia="en-US"/>
              </w:rPr>
              <w:t>3</w:t>
            </w:r>
          </w:p>
        </w:tc>
      </w:tr>
    </w:tbl>
    <w:p w14:paraId="2B4A507A" w14:textId="1CA199AB" w:rsidR="002242F3" w:rsidRPr="005E3B44" w:rsidRDefault="002242F3" w:rsidP="002242F3">
      <w:pPr>
        <w:pStyle w:val="BSnot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Notes:</w:t>
      </w:r>
    </w:p>
    <w:p w14:paraId="5CFE1157" w14:textId="77777777" w:rsidR="002242F3" w:rsidRPr="005E3B44" w:rsidRDefault="002242F3" w:rsidP="002242F3">
      <w:pPr>
        <w:pStyle w:val="BSnoteslist"/>
        <w:numPr>
          <w:ilvl w:val="0"/>
          <w:numId w:val="14"/>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The increase of 25 FTE in 2020-21 budget from 2019-20 actual outcome mainly reflects the net increase in staffing resources associated with 2020-21 budget initiatives.</w:t>
      </w:r>
    </w:p>
    <w:p w14:paraId="19EC1937" w14:textId="77777777" w:rsidR="002242F3" w:rsidRPr="005E3B44" w:rsidRDefault="002242F3" w:rsidP="002242F3">
      <w:pPr>
        <w:pStyle w:val="BSnoteslist"/>
        <w:numPr>
          <w:ilvl w:val="0"/>
          <w:numId w:val="14"/>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The increase of 106 FTE in the 2020-21 interim outcome from the 2020-21 budget is predominantly due to the additional staff recruited to implement various government activities, backfill of positions across the Directorate due to leave requirements and increases in workload associated with the COVID-19 pandemic. </w:t>
      </w:r>
    </w:p>
    <w:p w14:paraId="119007F5" w14:textId="77777777" w:rsidR="002242F3" w:rsidRPr="005E3B44" w:rsidRDefault="002242F3" w:rsidP="002242F3">
      <w:pPr>
        <w:pStyle w:val="BSnoteslist"/>
        <w:numPr>
          <w:ilvl w:val="0"/>
          <w:numId w:val="14"/>
        </w:numPr>
        <w:pBdr>
          <w:top w:val="nil"/>
          <w:left w:val="nil"/>
          <w:bottom w:val="nil"/>
          <w:right w:val="nil"/>
          <w:between w:val="nil"/>
          <w:bar w:val="nil"/>
        </w:pBdr>
        <w:rPr>
          <w:rFonts w:asciiTheme="minorHAnsi" w:hAnsiTheme="minorHAnsi" w:cstheme="minorHAnsi"/>
          <w:vanish/>
          <w:bdr w:val="nil"/>
        </w:rPr>
      </w:pPr>
      <w:r w:rsidRPr="005E3B44">
        <w:rPr>
          <w:rFonts w:asciiTheme="minorHAnsi" w:hAnsiTheme="minorHAnsi" w:cstheme="minorHAnsi"/>
          <w:bdr w:val="nil"/>
        </w:rPr>
        <w:t>The decrease of 66 FTE in 2021-22 budget from the 2020-21 interim outcome is mainly due to the impact of higher than anticipated FTE in 2020-21, partially offset by an increase in staffing resources associated with 2021-22 Budget initiatives.</w:t>
      </w:r>
    </w:p>
    <w:p w14:paraId="5D8E0596"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r w:rsidRPr="005E3B44">
        <w:rPr>
          <w:rFonts w:asciiTheme="minorHAnsi" w:hAnsiTheme="minorHAnsi" w:cstheme="minorHAnsi"/>
        </w:rPr>
        <w:t xml:space="preserve"> </w:t>
      </w:r>
    </w:p>
    <w:p w14:paraId="2C79458D" w14:textId="77777777" w:rsidR="002242F3" w:rsidRPr="005E3B44" w:rsidRDefault="002242F3" w:rsidP="002242F3">
      <w:pPr>
        <w:pStyle w:val="Heading2"/>
        <w:pageBreakBefore/>
        <w:pBdr>
          <w:top w:val="nil"/>
          <w:left w:val="nil"/>
          <w:bottom w:val="nil"/>
          <w:right w:val="nil"/>
          <w:between w:val="nil"/>
          <w:bar w:val="nil"/>
        </w:pBdr>
        <w:rPr>
          <w:rFonts w:asciiTheme="minorHAnsi" w:hAnsiTheme="minorHAnsi" w:cstheme="minorHAnsi"/>
          <w:bdr w:val="nil"/>
        </w:rPr>
      </w:pPr>
      <w:bookmarkStart w:id="6" w:name="_Toc452467798"/>
      <w:r w:rsidRPr="005E3B44">
        <w:rPr>
          <w:rFonts w:asciiTheme="minorHAnsi" w:hAnsiTheme="minorHAnsi" w:cstheme="minorHAnsi"/>
          <w:bdr w:val="nil"/>
        </w:rPr>
        <w:lastRenderedPageBreak/>
        <w:t>Strategic Objectives and Indicators</w:t>
      </w:r>
      <w:bookmarkEnd w:id="6"/>
      <w:r w:rsidRPr="005E3B44">
        <w:rPr>
          <w:rFonts w:asciiTheme="minorHAnsi" w:hAnsiTheme="minorHAnsi" w:cstheme="minorHAnsi"/>
          <w:bdr w:val="nil"/>
        </w:rPr>
        <w:t xml:space="preserve"> </w:t>
      </w:r>
    </w:p>
    <w:p w14:paraId="436E07F1"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Strategic Objective 1 </w:t>
      </w:r>
    </w:p>
    <w:p w14:paraId="6F337A98" w14:textId="77777777" w:rsidR="002242F3" w:rsidRPr="005E3B44" w:rsidRDefault="002242F3" w:rsidP="004C1875">
      <w:pPr>
        <w:pStyle w:val="Heading4"/>
      </w:pPr>
      <w:r w:rsidRPr="005E3B44">
        <w:t>Accessible Justice System</w:t>
      </w:r>
    </w:p>
    <w:p w14:paraId="24F31574"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The ACT justice system seeks to ensure fairness to all persons involved.  A fair justice system is accessible, deals with matters in a reasonably expeditious manner and is one in which all persons involved conduct themselves in a way that promotes, </w:t>
      </w:r>
      <w:proofErr w:type="gramStart"/>
      <w:r w:rsidRPr="005E3B44">
        <w:rPr>
          <w:rFonts w:asciiTheme="minorHAnsi" w:hAnsiTheme="minorHAnsi" w:cstheme="minorHAnsi"/>
          <w:bdr w:val="nil"/>
        </w:rPr>
        <w:t>protects</w:t>
      </w:r>
      <w:proofErr w:type="gramEnd"/>
      <w:r w:rsidRPr="005E3B44">
        <w:rPr>
          <w:rFonts w:asciiTheme="minorHAnsi" w:hAnsiTheme="minorHAnsi" w:cstheme="minorHAnsi"/>
          <w:bdr w:val="nil"/>
        </w:rPr>
        <w:t xml:space="preserve"> and respects rights.</w:t>
      </w:r>
    </w:p>
    <w:p w14:paraId="1C8ABCEA" w14:textId="77777777"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Table 2: Strategic Indicator 1:  Justice System Completion Rates </w:t>
      </w:r>
    </w:p>
    <w:tbl>
      <w:tblPr>
        <w:tblW w:w="9244" w:type="dxa"/>
        <w:tblBorders>
          <w:top w:val="single" w:sz="4" w:space="0" w:color="auto"/>
          <w:bottom w:val="single" w:sz="4" w:space="0" w:color="auto"/>
        </w:tblBorders>
        <w:tblLook w:val="01E0" w:firstRow="1" w:lastRow="1" w:firstColumn="1" w:lastColumn="1" w:noHBand="0" w:noVBand="0"/>
      </w:tblPr>
      <w:tblGrid>
        <w:gridCol w:w="1461"/>
        <w:gridCol w:w="3398"/>
        <w:gridCol w:w="1455"/>
        <w:gridCol w:w="1455"/>
        <w:gridCol w:w="1455"/>
        <w:gridCol w:w="20"/>
      </w:tblGrid>
      <w:tr w:rsidR="002242F3" w:rsidRPr="005E3B44" w14:paraId="3BB067C2" w14:textId="77777777" w:rsidTr="005E3B44">
        <w:trPr>
          <w:tblHeader/>
        </w:trPr>
        <w:tc>
          <w:tcPr>
            <w:tcW w:w="790" w:type="pct"/>
            <w:tcBorders>
              <w:top w:val="single" w:sz="12" w:space="0" w:color="auto"/>
              <w:left w:val="nil"/>
              <w:bottom w:val="single" w:sz="12" w:space="0" w:color="auto"/>
              <w:right w:val="nil"/>
            </w:tcBorders>
            <w:hideMark/>
          </w:tcPr>
          <w:p w14:paraId="117E1236"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Success</w:t>
            </w:r>
          </w:p>
        </w:tc>
        <w:tc>
          <w:tcPr>
            <w:tcW w:w="1838" w:type="pct"/>
            <w:tcBorders>
              <w:top w:val="single" w:sz="12" w:space="0" w:color="auto"/>
              <w:left w:val="nil"/>
              <w:bottom w:val="single" w:sz="12" w:space="0" w:color="auto"/>
              <w:right w:val="nil"/>
            </w:tcBorders>
            <w:hideMark/>
          </w:tcPr>
          <w:p w14:paraId="2C8D53BF"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 xml:space="preserve">Strategic Indicator </w:t>
            </w:r>
          </w:p>
        </w:tc>
        <w:tc>
          <w:tcPr>
            <w:tcW w:w="787" w:type="pct"/>
            <w:tcBorders>
              <w:top w:val="single" w:sz="12" w:space="0" w:color="auto"/>
              <w:left w:val="nil"/>
              <w:bottom w:val="single" w:sz="12" w:space="0" w:color="auto"/>
              <w:right w:val="nil"/>
            </w:tcBorders>
            <w:hideMark/>
          </w:tcPr>
          <w:p w14:paraId="44D28DB8"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5C93A2AF"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c>
          <w:tcPr>
            <w:tcW w:w="787" w:type="pct"/>
            <w:tcBorders>
              <w:top w:val="single" w:sz="12" w:space="0" w:color="auto"/>
              <w:left w:val="nil"/>
              <w:bottom w:val="single" w:sz="12" w:space="0" w:color="auto"/>
              <w:right w:val="nil"/>
            </w:tcBorders>
            <w:hideMark/>
          </w:tcPr>
          <w:p w14:paraId="26D5016C"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54A44AA6"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Actuals</w:t>
            </w:r>
          </w:p>
        </w:tc>
        <w:tc>
          <w:tcPr>
            <w:tcW w:w="798" w:type="pct"/>
            <w:gridSpan w:val="2"/>
            <w:tcBorders>
              <w:top w:val="single" w:sz="12" w:space="0" w:color="auto"/>
              <w:left w:val="nil"/>
              <w:bottom w:val="single" w:sz="12" w:space="0" w:color="auto"/>
              <w:right w:val="nil"/>
            </w:tcBorders>
            <w:hideMark/>
          </w:tcPr>
          <w:p w14:paraId="3DD0A7E8"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08C654D0"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w:t>
            </w:r>
          </w:p>
        </w:tc>
      </w:tr>
      <w:tr w:rsidR="002242F3" w:rsidRPr="005E3B44" w14:paraId="06D21DF5" w14:textId="77777777" w:rsidTr="005E3B44">
        <w:tc>
          <w:tcPr>
            <w:tcW w:w="790" w:type="pct"/>
            <w:vMerge w:val="restart"/>
            <w:tcBorders>
              <w:top w:val="single" w:sz="12" w:space="0" w:color="auto"/>
              <w:left w:val="nil"/>
              <w:bottom w:val="nil"/>
              <w:right w:val="nil"/>
            </w:tcBorders>
            <w:hideMark/>
          </w:tcPr>
          <w:p w14:paraId="7989602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Timely completion of civil cases in the courts</w:t>
            </w:r>
          </w:p>
        </w:tc>
        <w:tc>
          <w:tcPr>
            <w:tcW w:w="1838" w:type="pct"/>
            <w:tcBorders>
              <w:top w:val="nil"/>
              <w:left w:val="nil"/>
              <w:bottom w:val="nil"/>
              <w:right w:val="nil"/>
            </w:tcBorders>
            <w:hideMark/>
          </w:tcPr>
          <w:p w14:paraId="263AC0D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 xml:space="preserve">Percentage of cases finalised </w:t>
            </w:r>
            <w:r w:rsidRPr="005E3B44">
              <w:rPr>
                <w:rFonts w:asciiTheme="minorHAnsi" w:hAnsiTheme="minorHAnsi" w:cstheme="minorHAnsi"/>
                <w:b w:val="0"/>
                <w:sz w:val="20"/>
                <w:szCs w:val="20"/>
                <w:bdr w:val="nil"/>
              </w:rPr>
              <w:br/>
              <w:t xml:space="preserve">within 12 months from </w:t>
            </w:r>
            <w:r w:rsidRPr="005E3B44">
              <w:rPr>
                <w:rFonts w:asciiTheme="minorHAnsi" w:hAnsiTheme="minorHAnsi" w:cstheme="minorHAnsi"/>
                <w:b w:val="0"/>
                <w:sz w:val="20"/>
                <w:szCs w:val="20"/>
                <w:bdr w:val="nil"/>
              </w:rPr>
              <w:br/>
              <w:t>lodgement</w:t>
            </w:r>
          </w:p>
        </w:tc>
        <w:tc>
          <w:tcPr>
            <w:tcW w:w="787" w:type="pct"/>
            <w:tcBorders>
              <w:top w:val="nil"/>
              <w:left w:val="nil"/>
              <w:bottom w:val="nil"/>
              <w:right w:val="nil"/>
            </w:tcBorders>
          </w:tcPr>
          <w:p w14:paraId="3704B792"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87" w:type="pct"/>
            <w:tcBorders>
              <w:top w:val="nil"/>
              <w:left w:val="nil"/>
              <w:bottom w:val="nil"/>
              <w:right w:val="nil"/>
            </w:tcBorders>
          </w:tcPr>
          <w:p w14:paraId="4B03301C"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98" w:type="pct"/>
            <w:gridSpan w:val="2"/>
            <w:tcBorders>
              <w:top w:val="nil"/>
              <w:left w:val="nil"/>
              <w:bottom w:val="nil"/>
              <w:right w:val="nil"/>
            </w:tcBorders>
          </w:tcPr>
          <w:p w14:paraId="5459745E"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r>
      <w:tr w:rsidR="002242F3" w:rsidRPr="005E3B44" w14:paraId="6513CA62" w14:textId="77777777" w:rsidTr="005E3B44">
        <w:trPr>
          <w:trHeight w:val="148"/>
        </w:trPr>
        <w:tc>
          <w:tcPr>
            <w:tcW w:w="0" w:type="auto"/>
            <w:vMerge/>
            <w:tcBorders>
              <w:top w:val="single" w:sz="12" w:space="0" w:color="auto"/>
              <w:left w:val="nil"/>
              <w:bottom w:val="nil"/>
              <w:right w:val="nil"/>
            </w:tcBorders>
            <w:vAlign w:val="center"/>
            <w:hideMark/>
          </w:tcPr>
          <w:p w14:paraId="45D3F162"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hideMark/>
          </w:tcPr>
          <w:p w14:paraId="6EE00AF9"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xml:space="preserve">-     Supreme Court (includes </w:t>
            </w:r>
            <w:r w:rsidRPr="005E3B44">
              <w:rPr>
                <w:rFonts w:asciiTheme="minorHAnsi" w:hAnsiTheme="minorHAnsi" w:cstheme="minorHAnsi"/>
                <w:bdr w:val="nil"/>
              </w:rPr>
              <w:br/>
              <w:t>Court of Appeal)</w:t>
            </w:r>
            <w:r w:rsidRPr="005E3B44">
              <w:rPr>
                <w:rFonts w:asciiTheme="minorHAnsi" w:hAnsiTheme="minorHAnsi" w:cstheme="minorHAnsi"/>
                <w:bdr w:val="nil"/>
                <w:vertAlign w:val="superscript"/>
              </w:rPr>
              <w:t xml:space="preserve"> 1</w:t>
            </w:r>
          </w:p>
        </w:tc>
        <w:tc>
          <w:tcPr>
            <w:tcW w:w="787" w:type="pct"/>
            <w:tcBorders>
              <w:top w:val="nil"/>
              <w:left w:val="nil"/>
              <w:bottom w:val="nil"/>
              <w:right w:val="nil"/>
            </w:tcBorders>
            <w:hideMark/>
          </w:tcPr>
          <w:p w14:paraId="2411F283"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85%</w:t>
            </w:r>
          </w:p>
        </w:tc>
        <w:tc>
          <w:tcPr>
            <w:tcW w:w="787" w:type="pct"/>
            <w:tcBorders>
              <w:top w:val="nil"/>
              <w:left w:val="nil"/>
              <w:bottom w:val="nil"/>
              <w:right w:val="nil"/>
            </w:tcBorders>
            <w:hideMark/>
          </w:tcPr>
          <w:p w14:paraId="5F914F66"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51%</w:t>
            </w:r>
          </w:p>
        </w:tc>
        <w:tc>
          <w:tcPr>
            <w:tcW w:w="798" w:type="pct"/>
            <w:gridSpan w:val="2"/>
            <w:tcBorders>
              <w:top w:val="nil"/>
              <w:left w:val="nil"/>
              <w:bottom w:val="nil"/>
              <w:right w:val="nil"/>
            </w:tcBorders>
            <w:hideMark/>
          </w:tcPr>
          <w:p w14:paraId="649FE4A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80%</w:t>
            </w:r>
          </w:p>
        </w:tc>
      </w:tr>
      <w:tr w:rsidR="002242F3" w:rsidRPr="005E3B44" w14:paraId="509E760B" w14:textId="77777777" w:rsidTr="005E3B44">
        <w:trPr>
          <w:trHeight w:val="219"/>
        </w:trPr>
        <w:tc>
          <w:tcPr>
            <w:tcW w:w="0" w:type="auto"/>
            <w:vMerge/>
            <w:tcBorders>
              <w:top w:val="single" w:sz="12" w:space="0" w:color="auto"/>
              <w:left w:val="nil"/>
              <w:bottom w:val="nil"/>
              <w:right w:val="nil"/>
            </w:tcBorders>
            <w:vAlign w:val="center"/>
            <w:hideMark/>
          </w:tcPr>
          <w:p w14:paraId="43480B23"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hideMark/>
          </w:tcPr>
          <w:p w14:paraId="3DE00905"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Magistrates Court</w:t>
            </w:r>
            <w:r w:rsidRPr="005E3B44">
              <w:rPr>
                <w:rFonts w:asciiTheme="minorHAnsi" w:hAnsiTheme="minorHAnsi" w:cstheme="minorHAnsi"/>
                <w:bdr w:val="nil"/>
                <w:vertAlign w:val="superscript"/>
              </w:rPr>
              <w:t xml:space="preserve"> a</w:t>
            </w:r>
          </w:p>
        </w:tc>
        <w:tc>
          <w:tcPr>
            <w:tcW w:w="787" w:type="pct"/>
            <w:tcBorders>
              <w:top w:val="nil"/>
              <w:left w:val="nil"/>
              <w:bottom w:val="nil"/>
              <w:right w:val="nil"/>
            </w:tcBorders>
            <w:hideMark/>
          </w:tcPr>
          <w:p w14:paraId="56C6CD5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90%</w:t>
            </w:r>
          </w:p>
        </w:tc>
        <w:tc>
          <w:tcPr>
            <w:tcW w:w="787" w:type="pct"/>
            <w:tcBorders>
              <w:top w:val="nil"/>
              <w:left w:val="nil"/>
              <w:bottom w:val="nil"/>
              <w:right w:val="nil"/>
            </w:tcBorders>
            <w:hideMark/>
          </w:tcPr>
          <w:p w14:paraId="23C0A294"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93%</w:t>
            </w:r>
          </w:p>
        </w:tc>
        <w:tc>
          <w:tcPr>
            <w:tcW w:w="798" w:type="pct"/>
            <w:gridSpan w:val="2"/>
            <w:tcBorders>
              <w:top w:val="nil"/>
              <w:left w:val="nil"/>
              <w:bottom w:val="nil"/>
              <w:right w:val="nil"/>
            </w:tcBorders>
            <w:hideMark/>
          </w:tcPr>
          <w:p w14:paraId="3029DA0A"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90%</w:t>
            </w:r>
          </w:p>
        </w:tc>
      </w:tr>
      <w:tr w:rsidR="002242F3" w:rsidRPr="005E3B44" w14:paraId="3D4F4AE3" w14:textId="77777777" w:rsidTr="005E3B44">
        <w:trPr>
          <w:trHeight w:val="219"/>
        </w:trPr>
        <w:tc>
          <w:tcPr>
            <w:tcW w:w="0" w:type="auto"/>
            <w:vMerge/>
            <w:tcBorders>
              <w:top w:val="single" w:sz="12" w:space="0" w:color="auto"/>
              <w:left w:val="nil"/>
              <w:bottom w:val="nil"/>
              <w:right w:val="nil"/>
            </w:tcBorders>
            <w:vAlign w:val="center"/>
            <w:hideMark/>
          </w:tcPr>
          <w:p w14:paraId="6A23579D"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hideMark/>
          </w:tcPr>
          <w:p w14:paraId="68E51725"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xml:space="preserve">-     </w:t>
            </w:r>
            <w:proofErr w:type="spellStart"/>
            <w:r w:rsidRPr="005E3B44">
              <w:rPr>
                <w:rFonts w:asciiTheme="minorHAnsi" w:hAnsiTheme="minorHAnsi" w:cstheme="minorHAnsi"/>
                <w:bdr w:val="nil"/>
              </w:rPr>
              <w:t>Childrens</w:t>
            </w:r>
            <w:proofErr w:type="spellEnd"/>
            <w:r w:rsidRPr="005E3B44">
              <w:rPr>
                <w:rFonts w:asciiTheme="minorHAnsi" w:hAnsiTheme="minorHAnsi" w:cstheme="minorHAnsi"/>
                <w:bdr w:val="nil"/>
              </w:rPr>
              <w:t xml:space="preserve"> Court</w:t>
            </w:r>
          </w:p>
        </w:tc>
        <w:tc>
          <w:tcPr>
            <w:tcW w:w="787" w:type="pct"/>
            <w:tcBorders>
              <w:top w:val="nil"/>
              <w:left w:val="nil"/>
              <w:bottom w:val="nil"/>
              <w:right w:val="nil"/>
            </w:tcBorders>
            <w:hideMark/>
          </w:tcPr>
          <w:p w14:paraId="37B5E2F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90%</w:t>
            </w:r>
          </w:p>
        </w:tc>
        <w:tc>
          <w:tcPr>
            <w:tcW w:w="787" w:type="pct"/>
            <w:tcBorders>
              <w:top w:val="nil"/>
              <w:left w:val="nil"/>
              <w:bottom w:val="nil"/>
              <w:right w:val="nil"/>
            </w:tcBorders>
            <w:hideMark/>
          </w:tcPr>
          <w:p w14:paraId="57D13FF3"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85%</w:t>
            </w:r>
          </w:p>
        </w:tc>
        <w:tc>
          <w:tcPr>
            <w:tcW w:w="798" w:type="pct"/>
            <w:gridSpan w:val="2"/>
            <w:tcBorders>
              <w:top w:val="nil"/>
              <w:left w:val="nil"/>
              <w:bottom w:val="nil"/>
              <w:right w:val="nil"/>
            </w:tcBorders>
            <w:hideMark/>
          </w:tcPr>
          <w:p w14:paraId="118F30C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90%</w:t>
            </w:r>
          </w:p>
        </w:tc>
      </w:tr>
      <w:tr w:rsidR="002242F3" w:rsidRPr="005E3B44" w14:paraId="27A6C819" w14:textId="77777777" w:rsidTr="005E3B44">
        <w:trPr>
          <w:trHeight w:val="423"/>
        </w:trPr>
        <w:tc>
          <w:tcPr>
            <w:tcW w:w="0" w:type="auto"/>
            <w:tcBorders>
              <w:top w:val="nil"/>
              <w:left w:val="nil"/>
              <w:bottom w:val="nil"/>
              <w:right w:val="nil"/>
            </w:tcBorders>
            <w:vAlign w:val="center"/>
          </w:tcPr>
          <w:p w14:paraId="25F8C553"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53B6D958"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dr w:val="nil"/>
              </w:rPr>
              <w:t xml:space="preserve">-      </w:t>
            </w:r>
            <w:r w:rsidRPr="005E3B44">
              <w:rPr>
                <w:rFonts w:asciiTheme="minorHAnsi" w:hAnsiTheme="minorHAnsi" w:cstheme="minorHAnsi"/>
                <w:b w:val="0"/>
                <w:sz w:val="20"/>
                <w:bdr w:val="nil"/>
              </w:rPr>
              <w:t>Coroners Court</w:t>
            </w:r>
          </w:p>
        </w:tc>
        <w:tc>
          <w:tcPr>
            <w:tcW w:w="787" w:type="pct"/>
            <w:tcBorders>
              <w:top w:val="nil"/>
              <w:left w:val="nil"/>
              <w:bottom w:val="nil"/>
              <w:right w:val="nil"/>
            </w:tcBorders>
          </w:tcPr>
          <w:p w14:paraId="28BCD6C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90%</w:t>
            </w:r>
          </w:p>
        </w:tc>
        <w:tc>
          <w:tcPr>
            <w:tcW w:w="787" w:type="pct"/>
            <w:tcBorders>
              <w:top w:val="nil"/>
              <w:left w:val="nil"/>
              <w:bottom w:val="nil"/>
              <w:right w:val="nil"/>
            </w:tcBorders>
          </w:tcPr>
          <w:p w14:paraId="6F88EAB5"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96%</w:t>
            </w:r>
          </w:p>
        </w:tc>
        <w:tc>
          <w:tcPr>
            <w:tcW w:w="798" w:type="pct"/>
            <w:gridSpan w:val="2"/>
            <w:tcBorders>
              <w:top w:val="nil"/>
              <w:left w:val="nil"/>
              <w:bottom w:val="nil"/>
              <w:right w:val="nil"/>
            </w:tcBorders>
          </w:tcPr>
          <w:p w14:paraId="72A10E1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90%</w:t>
            </w:r>
          </w:p>
        </w:tc>
      </w:tr>
      <w:tr w:rsidR="002242F3" w:rsidRPr="005E3B44" w14:paraId="3D785419" w14:textId="77777777" w:rsidTr="005E3B44">
        <w:trPr>
          <w:trHeight w:val="423"/>
        </w:trPr>
        <w:tc>
          <w:tcPr>
            <w:tcW w:w="0" w:type="auto"/>
            <w:tcBorders>
              <w:top w:val="nil"/>
              <w:left w:val="nil"/>
              <w:right w:val="nil"/>
            </w:tcBorders>
            <w:vAlign w:val="center"/>
          </w:tcPr>
          <w:p w14:paraId="44573A07"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r w:rsidRPr="005E3B44">
              <w:rPr>
                <w:rFonts w:asciiTheme="minorHAnsi" w:hAnsiTheme="minorHAnsi" w:cstheme="minorHAnsi"/>
                <w:bCs/>
                <w:sz w:val="20"/>
                <w:bdr w:val="nil"/>
                <w:lang w:eastAsia="en-AU"/>
              </w:rPr>
              <w:t>Timely completion of criminal cases in the courts</w:t>
            </w:r>
          </w:p>
        </w:tc>
        <w:tc>
          <w:tcPr>
            <w:tcW w:w="1838" w:type="pct"/>
            <w:tcBorders>
              <w:top w:val="nil"/>
              <w:left w:val="nil"/>
              <w:bottom w:val="nil"/>
              <w:right w:val="nil"/>
            </w:tcBorders>
          </w:tcPr>
          <w:p w14:paraId="6159FB4D" w14:textId="77777777" w:rsidR="002242F3" w:rsidRPr="005E3B44" w:rsidRDefault="002242F3" w:rsidP="005E3B44">
            <w:pPr>
              <w:pStyle w:val="BStabledotpoint"/>
              <w:pBdr>
                <w:top w:val="nil"/>
                <w:left w:val="nil"/>
                <w:bottom w:val="nil"/>
                <w:right w:val="nil"/>
                <w:between w:val="nil"/>
                <w:bar w:val="nil"/>
              </w:pBdr>
              <w:tabs>
                <w:tab w:val="clear" w:pos="360"/>
                <w:tab w:val="left" w:pos="720"/>
              </w:tabs>
              <w:rPr>
                <w:rFonts w:asciiTheme="minorHAnsi" w:hAnsiTheme="minorHAnsi" w:cstheme="minorHAnsi"/>
                <w:b/>
                <w:bdr w:val="nil"/>
              </w:rPr>
            </w:pPr>
            <w:r w:rsidRPr="005E3B44">
              <w:rPr>
                <w:rFonts w:asciiTheme="minorHAnsi" w:hAnsiTheme="minorHAnsi" w:cstheme="minorHAnsi"/>
                <w:bdr w:val="nil"/>
              </w:rPr>
              <w:t xml:space="preserve">Percentage of cases finalised </w:t>
            </w:r>
            <w:r w:rsidRPr="005E3B44">
              <w:rPr>
                <w:rFonts w:asciiTheme="minorHAnsi" w:hAnsiTheme="minorHAnsi" w:cstheme="minorHAnsi"/>
                <w:bdr w:val="nil"/>
              </w:rPr>
              <w:br/>
              <w:t xml:space="preserve">within 12 months from </w:t>
            </w:r>
            <w:r w:rsidRPr="005E3B44">
              <w:rPr>
                <w:rFonts w:asciiTheme="minorHAnsi" w:hAnsiTheme="minorHAnsi" w:cstheme="minorHAnsi"/>
                <w:bdr w:val="nil"/>
              </w:rPr>
              <w:br/>
              <w:t>lodgement</w:t>
            </w:r>
          </w:p>
        </w:tc>
        <w:tc>
          <w:tcPr>
            <w:tcW w:w="787" w:type="pct"/>
            <w:tcBorders>
              <w:top w:val="nil"/>
              <w:left w:val="nil"/>
              <w:bottom w:val="nil"/>
              <w:right w:val="nil"/>
            </w:tcBorders>
          </w:tcPr>
          <w:p w14:paraId="540AB43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87" w:type="pct"/>
            <w:tcBorders>
              <w:top w:val="nil"/>
              <w:left w:val="nil"/>
              <w:bottom w:val="nil"/>
              <w:right w:val="nil"/>
            </w:tcBorders>
          </w:tcPr>
          <w:p w14:paraId="39B10D8E"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98" w:type="pct"/>
            <w:gridSpan w:val="2"/>
            <w:tcBorders>
              <w:top w:val="nil"/>
              <w:left w:val="nil"/>
              <w:bottom w:val="nil"/>
              <w:right w:val="nil"/>
            </w:tcBorders>
          </w:tcPr>
          <w:p w14:paraId="5861DD6C"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r>
      <w:tr w:rsidR="002242F3" w:rsidRPr="005E3B44" w14:paraId="32578017" w14:textId="77777777" w:rsidTr="005E3B44">
        <w:trPr>
          <w:trHeight w:val="240"/>
        </w:trPr>
        <w:tc>
          <w:tcPr>
            <w:tcW w:w="0" w:type="auto"/>
            <w:tcBorders>
              <w:left w:val="nil"/>
              <w:bottom w:val="nil"/>
              <w:right w:val="nil"/>
            </w:tcBorders>
            <w:vAlign w:val="center"/>
          </w:tcPr>
          <w:p w14:paraId="4C3F1115"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2A7F2FD7"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Cs/>
                <w:bdr w:val="nil"/>
                <w:lang w:eastAsia="en-AU"/>
              </w:rPr>
              <w:t xml:space="preserve">-     Supreme Court (includes </w:t>
            </w:r>
            <w:r w:rsidRPr="005E3B44">
              <w:rPr>
                <w:rFonts w:asciiTheme="minorHAnsi" w:hAnsiTheme="minorHAnsi" w:cstheme="minorHAnsi"/>
                <w:bCs/>
                <w:bdr w:val="nil"/>
                <w:lang w:eastAsia="en-AU"/>
              </w:rPr>
              <w:br/>
              <w:t>Court of Appeal)</w:t>
            </w:r>
            <w:r w:rsidRPr="005E3B44">
              <w:rPr>
                <w:rFonts w:asciiTheme="minorHAnsi" w:hAnsiTheme="minorHAnsi" w:cstheme="minorHAnsi"/>
                <w:bdr w:val="nil"/>
                <w:vertAlign w:val="superscript"/>
              </w:rPr>
              <w:t xml:space="preserve"> 2</w:t>
            </w:r>
          </w:p>
        </w:tc>
        <w:tc>
          <w:tcPr>
            <w:tcW w:w="787" w:type="pct"/>
            <w:tcBorders>
              <w:top w:val="nil"/>
              <w:left w:val="nil"/>
              <w:bottom w:val="nil"/>
              <w:right w:val="nil"/>
            </w:tcBorders>
          </w:tcPr>
          <w:p w14:paraId="6C5B2372"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85%</w:t>
            </w:r>
          </w:p>
        </w:tc>
        <w:tc>
          <w:tcPr>
            <w:tcW w:w="787" w:type="pct"/>
            <w:tcBorders>
              <w:top w:val="nil"/>
              <w:left w:val="nil"/>
              <w:bottom w:val="nil"/>
              <w:right w:val="nil"/>
            </w:tcBorders>
          </w:tcPr>
          <w:p w14:paraId="7F6BAC2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70%</w:t>
            </w:r>
          </w:p>
        </w:tc>
        <w:tc>
          <w:tcPr>
            <w:tcW w:w="798" w:type="pct"/>
            <w:gridSpan w:val="2"/>
            <w:tcBorders>
              <w:top w:val="nil"/>
              <w:left w:val="nil"/>
              <w:bottom w:val="nil"/>
              <w:right w:val="nil"/>
            </w:tcBorders>
          </w:tcPr>
          <w:p w14:paraId="60B8F33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85%</w:t>
            </w:r>
          </w:p>
        </w:tc>
      </w:tr>
      <w:tr w:rsidR="002242F3" w:rsidRPr="005E3B44" w14:paraId="267D2F56" w14:textId="77777777" w:rsidTr="005E3B44">
        <w:trPr>
          <w:trHeight w:val="240"/>
        </w:trPr>
        <w:tc>
          <w:tcPr>
            <w:tcW w:w="0" w:type="auto"/>
            <w:tcBorders>
              <w:top w:val="nil"/>
              <w:left w:val="nil"/>
              <w:bottom w:val="nil"/>
              <w:right w:val="nil"/>
            </w:tcBorders>
            <w:vAlign w:val="center"/>
          </w:tcPr>
          <w:p w14:paraId="61D9B68A"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783CB135"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Magistrates Court</w:t>
            </w:r>
            <w:r w:rsidRPr="005E3B44">
              <w:rPr>
                <w:rFonts w:asciiTheme="minorHAnsi" w:hAnsiTheme="minorHAnsi" w:cstheme="minorHAnsi"/>
                <w:bdr w:val="nil"/>
                <w:vertAlign w:val="superscript"/>
              </w:rPr>
              <w:t xml:space="preserve"> b</w:t>
            </w:r>
          </w:p>
        </w:tc>
        <w:tc>
          <w:tcPr>
            <w:tcW w:w="787" w:type="pct"/>
            <w:tcBorders>
              <w:top w:val="nil"/>
              <w:left w:val="nil"/>
              <w:bottom w:val="nil"/>
              <w:right w:val="nil"/>
            </w:tcBorders>
          </w:tcPr>
          <w:p w14:paraId="4B673FB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c>
          <w:tcPr>
            <w:tcW w:w="787" w:type="pct"/>
            <w:tcBorders>
              <w:top w:val="nil"/>
              <w:left w:val="nil"/>
              <w:bottom w:val="nil"/>
              <w:right w:val="nil"/>
            </w:tcBorders>
          </w:tcPr>
          <w:p w14:paraId="5304BDFA"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90%</w:t>
            </w:r>
          </w:p>
        </w:tc>
        <w:tc>
          <w:tcPr>
            <w:tcW w:w="798" w:type="pct"/>
            <w:gridSpan w:val="2"/>
            <w:tcBorders>
              <w:top w:val="nil"/>
              <w:left w:val="nil"/>
              <w:bottom w:val="nil"/>
              <w:right w:val="nil"/>
            </w:tcBorders>
          </w:tcPr>
          <w:p w14:paraId="77F8FFE0"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r>
      <w:tr w:rsidR="002242F3" w:rsidRPr="005E3B44" w14:paraId="78A98CAE" w14:textId="77777777" w:rsidTr="005E3B44">
        <w:trPr>
          <w:trHeight w:val="273"/>
        </w:trPr>
        <w:tc>
          <w:tcPr>
            <w:tcW w:w="0" w:type="auto"/>
            <w:tcBorders>
              <w:top w:val="nil"/>
              <w:left w:val="nil"/>
              <w:bottom w:val="nil"/>
              <w:right w:val="nil"/>
            </w:tcBorders>
          </w:tcPr>
          <w:p w14:paraId="2B8DAC91"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75220499"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xml:space="preserve">-     </w:t>
            </w:r>
            <w:proofErr w:type="spellStart"/>
            <w:r w:rsidRPr="005E3B44">
              <w:rPr>
                <w:rFonts w:asciiTheme="minorHAnsi" w:hAnsiTheme="minorHAnsi" w:cstheme="minorHAnsi"/>
                <w:bCs/>
                <w:bdr w:val="nil"/>
                <w:lang w:eastAsia="en-AU"/>
              </w:rPr>
              <w:t>Childrens</w:t>
            </w:r>
            <w:proofErr w:type="spellEnd"/>
            <w:r w:rsidRPr="005E3B44">
              <w:rPr>
                <w:rFonts w:asciiTheme="minorHAnsi" w:hAnsiTheme="minorHAnsi" w:cstheme="minorHAnsi"/>
                <w:bCs/>
                <w:bdr w:val="nil"/>
                <w:lang w:eastAsia="en-AU"/>
              </w:rPr>
              <w:t xml:space="preserve"> Court</w:t>
            </w:r>
          </w:p>
        </w:tc>
        <w:tc>
          <w:tcPr>
            <w:tcW w:w="787" w:type="pct"/>
            <w:tcBorders>
              <w:top w:val="nil"/>
              <w:left w:val="nil"/>
              <w:bottom w:val="nil"/>
              <w:right w:val="nil"/>
            </w:tcBorders>
          </w:tcPr>
          <w:p w14:paraId="35175E30"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c>
          <w:tcPr>
            <w:tcW w:w="787" w:type="pct"/>
            <w:tcBorders>
              <w:top w:val="nil"/>
              <w:left w:val="nil"/>
              <w:bottom w:val="nil"/>
              <w:right w:val="nil"/>
            </w:tcBorders>
          </w:tcPr>
          <w:p w14:paraId="5C8533F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97%</w:t>
            </w:r>
          </w:p>
        </w:tc>
        <w:tc>
          <w:tcPr>
            <w:tcW w:w="798" w:type="pct"/>
            <w:gridSpan w:val="2"/>
            <w:tcBorders>
              <w:top w:val="nil"/>
              <w:left w:val="nil"/>
              <w:bottom w:val="nil"/>
              <w:right w:val="nil"/>
            </w:tcBorders>
          </w:tcPr>
          <w:p w14:paraId="7D27BDCE"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r>
      <w:tr w:rsidR="002242F3" w:rsidRPr="005E3B44" w14:paraId="762BF4F1" w14:textId="77777777" w:rsidTr="005E3B44">
        <w:trPr>
          <w:trHeight w:val="606"/>
        </w:trPr>
        <w:tc>
          <w:tcPr>
            <w:tcW w:w="0" w:type="auto"/>
            <w:tcBorders>
              <w:top w:val="nil"/>
              <w:left w:val="nil"/>
              <w:bottom w:val="nil"/>
              <w:right w:val="nil"/>
            </w:tcBorders>
            <w:vAlign w:val="center"/>
          </w:tcPr>
          <w:p w14:paraId="1B86F15D"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22E643E5"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      </w:t>
            </w:r>
            <w:r w:rsidRPr="005E3B44">
              <w:rPr>
                <w:rFonts w:asciiTheme="minorHAnsi" w:hAnsiTheme="minorHAnsi" w:cstheme="minorHAnsi"/>
                <w:b w:val="0"/>
                <w:sz w:val="20"/>
                <w:bdr w:val="nil"/>
              </w:rPr>
              <w:t>Family Violence Court</w:t>
            </w:r>
          </w:p>
        </w:tc>
        <w:tc>
          <w:tcPr>
            <w:tcW w:w="787" w:type="pct"/>
            <w:tcBorders>
              <w:top w:val="nil"/>
              <w:left w:val="nil"/>
              <w:bottom w:val="nil"/>
              <w:right w:val="nil"/>
            </w:tcBorders>
          </w:tcPr>
          <w:p w14:paraId="76C76A20"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c>
          <w:tcPr>
            <w:tcW w:w="787" w:type="pct"/>
            <w:tcBorders>
              <w:top w:val="nil"/>
              <w:left w:val="nil"/>
              <w:bottom w:val="nil"/>
              <w:right w:val="nil"/>
            </w:tcBorders>
          </w:tcPr>
          <w:p w14:paraId="5B3F47D5"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89%</w:t>
            </w:r>
          </w:p>
        </w:tc>
        <w:tc>
          <w:tcPr>
            <w:tcW w:w="798" w:type="pct"/>
            <w:gridSpan w:val="2"/>
            <w:tcBorders>
              <w:top w:val="nil"/>
              <w:left w:val="nil"/>
              <w:bottom w:val="nil"/>
              <w:right w:val="nil"/>
            </w:tcBorders>
          </w:tcPr>
          <w:p w14:paraId="25B39A1C"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r>
      <w:tr w:rsidR="002242F3" w:rsidRPr="005E3B44" w14:paraId="57B2E1C1" w14:textId="77777777" w:rsidTr="005E3B44">
        <w:trPr>
          <w:gridAfter w:val="1"/>
          <w:wAfter w:w="11" w:type="dxa"/>
        </w:trPr>
        <w:tc>
          <w:tcPr>
            <w:tcW w:w="790" w:type="pct"/>
            <w:vMerge w:val="restart"/>
            <w:tcBorders>
              <w:top w:val="nil"/>
              <w:left w:val="nil"/>
              <w:bottom w:val="nil"/>
              <w:right w:val="nil"/>
            </w:tcBorders>
            <w:vAlign w:val="center"/>
            <w:hideMark/>
          </w:tcPr>
          <w:p w14:paraId="0F60BA6A"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p w14:paraId="0CDC278A"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Timely completion of ACT Civil and Administrative Tribunal (ACAT) cases</w:t>
            </w:r>
          </w:p>
        </w:tc>
        <w:tc>
          <w:tcPr>
            <w:tcW w:w="1838" w:type="pct"/>
            <w:tcBorders>
              <w:top w:val="nil"/>
              <w:left w:val="nil"/>
              <w:bottom w:val="nil"/>
              <w:right w:val="nil"/>
            </w:tcBorders>
            <w:hideMark/>
          </w:tcPr>
          <w:p w14:paraId="74E580FE"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vertAlign w:val="superscript"/>
              </w:rPr>
            </w:pPr>
          </w:p>
        </w:tc>
        <w:tc>
          <w:tcPr>
            <w:tcW w:w="787" w:type="pct"/>
            <w:tcBorders>
              <w:top w:val="nil"/>
              <w:left w:val="nil"/>
              <w:bottom w:val="nil"/>
              <w:right w:val="nil"/>
            </w:tcBorders>
          </w:tcPr>
          <w:p w14:paraId="23928264"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vertAlign w:val="superscript"/>
              </w:rPr>
            </w:pPr>
          </w:p>
        </w:tc>
        <w:tc>
          <w:tcPr>
            <w:tcW w:w="787" w:type="pct"/>
            <w:tcBorders>
              <w:top w:val="nil"/>
              <w:left w:val="nil"/>
              <w:bottom w:val="nil"/>
              <w:right w:val="nil"/>
            </w:tcBorders>
          </w:tcPr>
          <w:p w14:paraId="46A10261"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vertAlign w:val="superscript"/>
              </w:rPr>
            </w:pPr>
          </w:p>
        </w:tc>
        <w:tc>
          <w:tcPr>
            <w:tcW w:w="787" w:type="pct"/>
            <w:tcBorders>
              <w:top w:val="nil"/>
              <w:left w:val="nil"/>
              <w:bottom w:val="nil"/>
              <w:right w:val="nil"/>
            </w:tcBorders>
          </w:tcPr>
          <w:p w14:paraId="29E52B1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vertAlign w:val="superscript"/>
              </w:rPr>
            </w:pPr>
          </w:p>
        </w:tc>
      </w:tr>
      <w:tr w:rsidR="002242F3" w:rsidRPr="005E3B44" w14:paraId="6DED7314" w14:textId="77777777" w:rsidTr="005E3B44">
        <w:trPr>
          <w:trHeight w:val="148"/>
        </w:trPr>
        <w:tc>
          <w:tcPr>
            <w:tcW w:w="0" w:type="auto"/>
            <w:vMerge/>
            <w:tcBorders>
              <w:top w:val="nil"/>
              <w:left w:val="nil"/>
              <w:bottom w:val="nil"/>
              <w:right w:val="nil"/>
            </w:tcBorders>
            <w:hideMark/>
          </w:tcPr>
          <w:p w14:paraId="048B7F23"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hideMark/>
          </w:tcPr>
          <w:p w14:paraId="769902E8"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xml:space="preserve">Percentage of cases finalised </w:t>
            </w:r>
          </w:p>
          <w:p w14:paraId="67116A07" w14:textId="77777777" w:rsidR="002242F3" w:rsidRPr="005E3B44" w:rsidRDefault="002242F3" w:rsidP="005E3B44">
            <w:pPr>
              <w:pStyle w:val="BStabledotpoint"/>
              <w:pBdr>
                <w:top w:val="nil"/>
                <w:left w:val="nil"/>
                <w:bottom w:val="nil"/>
                <w:right w:val="nil"/>
                <w:between w:val="nil"/>
                <w:bar w:val="nil"/>
              </w:pBdr>
              <w:tabs>
                <w:tab w:val="clear" w:pos="360"/>
                <w:tab w:val="left" w:pos="720"/>
              </w:tabs>
              <w:rPr>
                <w:rFonts w:asciiTheme="minorHAnsi" w:hAnsiTheme="minorHAnsi" w:cstheme="minorHAnsi"/>
                <w:bdr w:val="nil"/>
              </w:rPr>
            </w:pPr>
            <w:r w:rsidRPr="005E3B44">
              <w:rPr>
                <w:rFonts w:asciiTheme="minorHAnsi" w:hAnsiTheme="minorHAnsi" w:cstheme="minorHAnsi"/>
                <w:bdr w:val="nil"/>
              </w:rPr>
              <w:t xml:space="preserve">within 12 months from lodgement </w:t>
            </w:r>
            <w:r w:rsidRPr="005E3B44">
              <w:rPr>
                <w:rFonts w:asciiTheme="minorHAnsi" w:hAnsiTheme="minorHAnsi" w:cstheme="minorHAnsi"/>
                <w:bdr w:val="nil"/>
                <w:vertAlign w:val="superscript"/>
              </w:rPr>
              <w:t>3</w:t>
            </w:r>
          </w:p>
          <w:p w14:paraId="221D702D"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xml:space="preserve">        </w:t>
            </w:r>
          </w:p>
        </w:tc>
        <w:tc>
          <w:tcPr>
            <w:tcW w:w="787" w:type="pct"/>
            <w:tcBorders>
              <w:top w:val="nil"/>
              <w:left w:val="nil"/>
              <w:bottom w:val="nil"/>
              <w:right w:val="nil"/>
            </w:tcBorders>
            <w:hideMark/>
          </w:tcPr>
          <w:p w14:paraId="5E653BD2"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c>
          <w:tcPr>
            <w:tcW w:w="787" w:type="pct"/>
            <w:tcBorders>
              <w:top w:val="nil"/>
              <w:left w:val="nil"/>
              <w:bottom w:val="nil"/>
              <w:right w:val="nil"/>
            </w:tcBorders>
            <w:hideMark/>
          </w:tcPr>
          <w:p w14:paraId="6CB4E072"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84%</w:t>
            </w:r>
          </w:p>
        </w:tc>
        <w:tc>
          <w:tcPr>
            <w:tcW w:w="798" w:type="pct"/>
            <w:gridSpan w:val="2"/>
            <w:tcBorders>
              <w:top w:val="nil"/>
              <w:left w:val="nil"/>
              <w:bottom w:val="nil"/>
              <w:right w:val="nil"/>
            </w:tcBorders>
            <w:hideMark/>
          </w:tcPr>
          <w:p w14:paraId="72136A9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95%</w:t>
            </w:r>
          </w:p>
        </w:tc>
      </w:tr>
      <w:tr w:rsidR="002242F3" w:rsidRPr="005E3B44" w14:paraId="08DB63F3" w14:textId="77777777" w:rsidTr="005E3B44">
        <w:trPr>
          <w:trHeight w:val="241"/>
        </w:trPr>
        <w:tc>
          <w:tcPr>
            <w:tcW w:w="0" w:type="auto"/>
            <w:vMerge/>
            <w:tcBorders>
              <w:top w:val="nil"/>
              <w:left w:val="nil"/>
              <w:bottom w:val="single" w:sz="12" w:space="0" w:color="auto"/>
              <w:right w:val="nil"/>
            </w:tcBorders>
            <w:hideMark/>
          </w:tcPr>
          <w:p w14:paraId="4964BE13"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single" w:sz="12" w:space="0" w:color="auto"/>
              <w:right w:val="nil"/>
            </w:tcBorders>
            <w:hideMark/>
          </w:tcPr>
          <w:p w14:paraId="38DCC9D3"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p>
        </w:tc>
        <w:tc>
          <w:tcPr>
            <w:tcW w:w="787" w:type="pct"/>
            <w:tcBorders>
              <w:top w:val="nil"/>
              <w:left w:val="nil"/>
              <w:bottom w:val="single" w:sz="12" w:space="0" w:color="auto"/>
              <w:right w:val="nil"/>
            </w:tcBorders>
            <w:hideMark/>
          </w:tcPr>
          <w:p w14:paraId="09378536"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87" w:type="pct"/>
            <w:tcBorders>
              <w:top w:val="nil"/>
              <w:left w:val="nil"/>
              <w:bottom w:val="single" w:sz="12" w:space="0" w:color="auto"/>
              <w:right w:val="nil"/>
            </w:tcBorders>
            <w:hideMark/>
          </w:tcPr>
          <w:p w14:paraId="31FE2F20"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98" w:type="pct"/>
            <w:gridSpan w:val="2"/>
            <w:tcBorders>
              <w:top w:val="nil"/>
              <w:left w:val="nil"/>
              <w:bottom w:val="single" w:sz="12" w:space="0" w:color="auto"/>
              <w:right w:val="nil"/>
            </w:tcBorders>
            <w:hideMark/>
          </w:tcPr>
          <w:p w14:paraId="7F62B58A"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r>
    </w:tbl>
    <w:p w14:paraId="63961BA5" w14:textId="77777777" w:rsidR="002242F3" w:rsidRPr="005E3B44" w:rsidRDefault="002242F3"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8"/>
          <w:bdr w:val="nil"/>
        </w:rPr>
      </w:pPr>
      <w:r w:rsidRPr="005E3B44">
        <w:rPr>
          <w:rFonts w:asciiTheme="minorHAnsi" w:hAnsiTheme="minorHAnsi" w:cstheme="minorHAnsi"/>
          <w:sz w:val="18"/>
          <w:szCs w:val="18"/>
          <w:bdr w:val="nil"/>
        </w:rPr>
        <w:t>Historical performance trends of these Strategic Indictors can be found in the Justice and Community Safety Directorate’s 2020-21 Annual Report.</w:t>
      </w:r>
    </w:p>
    <w:p w14:paraId="364A635A"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color w:val="000000"/>
          <w:sz w:val="18"/>
          <w:szCs w:val="18"/>
          <w:bdr w:val="nil"/>
          <w:lang w:eastAsia="en-AU"/>
        </w:rPr>
      </w:pPr>
      <w:r w:rsidRPr="005E3B44">
        <w:rPr>
          <w:rFonts w:asciiTheme="minorHAnsi" w:hAnsiTheme="minorHAnsi" w:cstheme="minorHAnsi"/>
          <w:b/>
          <w:bCs/>
          <w:color w:val="000000"/>
          <w:sz w:val="18"/>
          <w:szCs w:val="18"/>
          <w:bdr w:val="nil"/>
          <w:lang w:eastAsia="en-AU"/>
        </w:rPr>
        <w:t>Explanation of Strategic Indicators:</w:t>
      </w:r>
    </w:p>
    <w:p w14:paraId="5ED23E06" w14:textId="77777777" w:rsidR="002242F3" w:rsidRPr="005E3B44" w:rsidRDefault="002242F3" w:rsidP="002242F3">
      <w:pPr>
        <w:numPr>
          <w:ilvl w:val="0"/>
          <w:numId w:val="15"/>
        </w:numPr>
        <w:pBdr>
          <w:top w:val="nil"/>
          <w:left w:val="nil"/>
          <w:bottom w:val="nil"/>
          <w:right w:val="nil"/>
          <w:between w:val="nil"/>
          <w:bar w:val="nil"/>
        </w:pBdr>
        <w:shd w:val="clear" w:color="auto" w:fill="FFFFFF"/>
        <w:autoSpaceDE w:val="0"/>
        <w:autoSpaceDN w:val="0"/>
        <w:adjustRightInd w:val="0"/>
        <w:spacing w:before="0" w:after="0"/>
        <w:ind w:left="426" w:hanging="426"/>
        <w:rPr>
          <w:rFonts w:asciiTheme="minorHAnsi" w:hAnsiTheme="minorHAnsi" w:cstheme="minorHAnsi"/>
          <w:sz w:val="18"/>
          <w:szCs w:val="18"/>
          <w:bdr w:val="nil"/>
        </w:rPr>
      </w:pPr>
      <w:r w:rsidRPr="005E3B44">
        <w:rPr>
          <w:rFonts w:asciiTheme="minorHAnsi" w:hAnsiTheme="minorHAnsi" w:cstheme="minorHAnsi"/>
          <w:sz w:val="18"/>
          <w:szCs w:val="18"/>
          <w:bdr w:val="nil"/>
        </w:rPr>
        <w:t xml:space="preserve">Magistrates Court civil cases include those for </w:t>
      </w:r>
      <w:proofErr w:type="spellStart"/>
      <w:r w:rsidRPr="005E3B44">
        <w:rPr>
          <w:rFonts w:asciiTheme="minorHAnsi" w:hAnsiTheme="minorHAnsi" w:cstheme="minorHAnsi"/>
          <w:sz w:val="18"/>
          <w:szCs w:val="18"/>
          <w:bdr w:val="nil"/>
        </w:rPr>
        <w:t>Childrens</w:t>
      </w:r>
      <w:proofErr w:type="spellEnd"/>
      <w:r w:rsidRPr="005E3B44">
        <w:rPr>
          <w:rFonts w:asciiTheme="minorHAnsi" w:hAnsiTheme="minorHAnsi" w:cstheme="minorHAnsi"/>
          <w:sz w:val="18"/>
          <w:szCs w:val="18"/>
          <w:bdr w:val="nil"/>
        </w:rPr>
        <w:t xml:space="preserve"> Court and Coroners Court.</w:t>
      </w:r>
    </w:p>
    <w:p w14:paraId="42A24D36" w14:textId="77777777" w:rsidR="002242F3" w:rsidRPr="005E3B44" w:rsidRDefault="002242F3" w:rsidP="002242F3">
      <w:pPr>
        <w:numPr>
          <w:ilvl w:val="0"/>
          <w:numId w:val="15"/>
        </w:numPr>
        <w:pBdr>
          <w:top w:val="nil"/>
          <w:left w:val="nil"/>
          <w:bottom w:val="nil"/>
          <w:right w:val="nil"/>
          <w:between w:val="nil"/>
          <w:bar w:val="nil"/>
        </w:pBdr>
        <w:shd w:val="clear" w:color="auto" w:fill="FFFFFF"/>
        <w:autoSpaceDE w:val="0"/>
        <w:autoSpaceDN w:val="0"/>
        <w:adjustRightInd w:val="0"/>
        <w:spacing w:before="0" w:after="0"/>
        <w:ind w:left="426" w:hanging="426"/>
        <w:rPr>
          <w:rFonts w:asciiTheme="minorHAnsi" w:hAnsiTheme="minorHAnsi" w:cstheme="minorHAnsi"/>
          <w:sz w:val="18"/>
          <w:szCs w:val="18"/>
          <w:bdr w:val="nil"/>
        </w:rPr>
      </w:pPr>
      <w:r w:rsidRPr="005E3B44">
        <w:rPr>
          <w:rFonts w:asciiTheme="minorHAnsi" w:hAnsiTheme="minorHAnsi" w:cstheme="minorHAnsi"/>
          <w:sz w:val="18"/>
          <w:szCs w:val="18"/>
          <w:bdr w:val="nil"/>
        </w:rPr>
        <w:t xml:space="preserve">Magistrates Court criminal cases include those for </w:t>
      </w:r>
      <w:proofErr w:type="spellStart"/>
      <w:r w:rsidRPr="005E3B44">
        <w:rPr>
          <w:rFonts w:asciiTheme="minorHAnsi" w:hAnsiTheme="minorHAnsi" w:cstheme="minorHAnsi"/>
          <w:sz w:val="18"/>
          <w:szCs w:val="18"/>
          <w:bdr w:val="nil"/>
        </w:rPr>
        <w:t>Childrens</w:t>
      </w:r>
      <w:proofErr w:type="spellEnd"/>
      <w:r w:rsidRPr="005E3B44">
        <w:rPr>
          <w:rFonts w:asciiTheme="minorHAnsi" w:hAnsiTheme="minorHAnsi" w:cstheme="minorHAnsi"/>
          <w:sz w:val="18"/>
          <w:szCs w:val="18"/>
          <w:bdr w:val="nil"/>
        </w:rPr>
        <w:t xml:space="preserve"> Court and Family Violence Court.</w:t>
      </w:r>
    </w:p>
    <w:p w14:paraId="2611ED4E"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color w:val="000000"/>
          <w:sz w:val="18"/>
          <w:szCs w:val="18"/>
          <w:bdr w:val="nil"/>
          <w:lang w:eastAsia="en-AU"/>
        </w:rPr>
      </w:pPr>
      <w:r w:rsidRPr="005E3B44">
        <w:rPr>
          <w:rFonts w:asciiTheme="minorHAnsi" w:hAnsiTheme="minorHAnsi" w:cstheme="minorHAnsi"/>
          <w:b/>
          <w:bCs/>
          <w:color w:val="000000"/>
          <w:sz w:val="18"/>
          <w:szCs w:val="18"/>
          <w:bdr w:val="nil"/>
          <w:lang w:eastAsia="en-AU"/>
        </w:rPr>
        <w:t>Notes:</w:t>
      </w:r>
    </w:p>
    <w:p w14:paraId="18C9952B" w14:textId="77777777" w:rsidR="002242F3" w:rsidRPr="005E3B44" w:rsidRDefault="002242F3" w:rsidP="002242F3">
      <w:pPr>
        <w:pStyle w:val="BSnoteslist"/>
        <w:numPr>
          <w:ilvl w:val="0"/>
          <w:numId w:val="0"/>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szCs w:val="18"/>
          <w:bdr w:val="nil"/>
        </w:rPr>
        <w:t xml:space="preserve">1. </w:t>
      </w:r>
      <w:r w:rsidRPr="005E3B44">
        <w:rPr>
          <w:rFonts w:asciiTheme="minorHAnsi" w:hAnsiTheme="minorHAnsi" w:cstheme="minorHAnsi"/>
          <w:szCs w:val="18"/>
          <w:bdr w:val="nil"/>
        </w:rPr>
        <w:tab/>
        <w:t xml:space="preserve">The 2020-21 outcome is lower than target because matters are taking longer due to COVID-19 interfering with the legal professions ability to engage Interstate experts.  </w:t>
      </w:r>
      <w:r w:rsidRPr="005E3B44">
        <w:rPr>
          <w:rFonts w:asciiTheme="minorHAnsi" w:hAnsiTheme="minorHAnsi" w:cstheme="minorHAnsi"/>
          <w:bdr w:val="nil"/>
        </w:rPr>
        <w:t>The 2021-22 target has been changed to 80% to accommodate the continued focus on finalising matters which have been pending for greater than 12 months</w:t>
      </w:r>
      <w:r w:rsidRPr="005E3B44">
        <w:rPr>
          <w:rFonts w:asciiTheme="minorHAnsi" w:hAnsiTheme="minorHAnsi" w:cstheme="minorHAnsi"/>
          <w:szCs w:val="18"/>
          <w:bdr w:val="nil"/>
        </w:rPr>
        <w:t>.</w:t>
      </w:r>
    </w:p>
    <w:p w14:paraId="086C3F35" w14:textId="77777777" w:rsidR="002242F3" w:rsidRPr="005E3B44" w:rsidRDefault="002242F3" w:rsidP="002242F3">
      <w:pPr>
        <w:pStyle w:val="BSnoteslist"/>
        <w:numPr>
          <w:ilvl w:val="0"/>
          <w:numId w:val="0"/>
        </w:numPr>
        <w:pBdr>
          <w:top w:val="nil"/>
          <w:left w:val="nil"/>
          <w:bottom w:val="nil"/>
          <w:right w:val="nil"/>
          <w:between w:val="nil"/>
          <w:bar w:val="nil"/>
        </w:pBdr>
        <w:ind w:left="426" w:hanging="426"/>
        <w:rPr>
          <w:rFonts w:asciiTheme="minorHAnsi" w:hAnsiTheme="minorHAnsi" w:cstheme="minorHAnsi"/>
          <w:bdr w:val="nil"/>
        </w:rPr>
      </w:pPr>
      <w:r w:rsidRPr="005E3B44">
        <w:rPr>
          <w:rFonts w:asciiTheme="minorHAnsi" w:hAnsiTheme="minorHAnsi" w:cstheme="minorHAnsi"/>
          <w:bdr w:val="nil"/>
        </w:rPr>
        <w:t xml:space="preserve">2. </w:t>
      </w:r>
      <w:r w:rsidRPr="005E3B44">
        <w:rPr>
          <w:rFonts w:asciiTheme="minorHAnsi" w:hAnsiTheme="minorHAnsi" w:cstheme="minorHAnsi"/>
          <w:bdr w:val="nil"/>
        </w:rPr>
        <w:tab/>
        <w:t xml:space="preserve">The 2020-21 outcome has been affected by some delays in matters being committed from the Magistrates Court in circumstances where there are related charges or co-offenders in the Supreme Court.  The delays of matters being committed from the Magistrates Court was due to the impact of COVID-19 on that Court. Data cleansing also resulted in </w:t>
      </w:r>
      <w:proofErr w:type="gramStart"/>
      <w:r w:rsidRPr="005E3B44">
        <w:rPr>
          <w:rFonts w:asciiTheme="minorHAnsi" w:hAnsiTheme="minorHAnsi" w:cstheme="minorHAnsi"/>
          <w:bdr w:val="nil"/>
        </w:rPr>
        <w:t>a number of</w:t>
      </w:r>
      <w:proofErr w:type="gramEnd"/>
      <w:r w:rsidRPr="005E3B44">
        <w:rPr>
          <w:rFonts w:asciiTheme="minorHAnsi" w:hAnsiTheme="minorHAnsi" w:cstheme="minorHAnsi"/>
          <w:bdr w:val="nil"/>
        </w:rPr>
        <w:t xml:space="preserve"> old matters being finalised during this reporting period.</w:t>
      </w:r>
    </w:p>
    <w:p w14:paraId="3BC18AA7" w14:textId="77777777" w:rsidR="002242F3" w:rsidRPr="005E3B44" w:rsidRDefault="002242F3" w:rsidP="002242F3">
      <w:pPr>
        <w:pStyle w:val="BSnoteslist"/>
        <w:numPr>
          <w:ilvl w:val="0"/>
          <w:numId w:val="0"/>
        </w:numPr>
        <w:pBdr>
          <w:top w:val="nil"/>
          <w:left w:val="nil"/>
          <w:bottom w:val="nil"/>
          <w:right w:val="nil"/>
          <w:between w:val="nil"/>
          <w:bar w:val="nil"/>
        </w:pBdr>
        <w:ind w:left="426" w:hanging="426"/>
        <w:rPr>
          <w:rFonts w:asciiTheme="minorHAnsi" w:hAnsiTheme="minorHAnsi" w:cstheme="minorHAnsi"/>
          <w:bdr w:val="nil"/>
        </w:rPr>
      </w:pPr>
      <w:r w:rsidRPr="005E3B44">
        <w:rPr>
          <w:rFonts w:asciiTheme="minorHAnsi" w:hAnsiTheme="minorHAnsi" w:cstheme="minorHAnsi"/>
          <w:bdr w:val="nil"/>
        </w:rPr>
        <w:t xml:space="preserve">3. </w:t>
      </w:r>
      <w:r w:rsidRPr="005E3B44">
        <w:rPr>
          <w:rFonts w:asciiTheme="minorHAnsi" w:hAnsiTheme="minorHAnsi" w:cstheme="minorHAnsi"/>
          <w:bdr w:val="nil"/>
        </w:rPr>
        <w:tab/>
        <w:t>There was a focus on older matters that were delayed due to COVID-19.</w:t>
      </w:r>
    </w:p>
    <w:p w14:paraId="0AF0FD91"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 xml:space="preserve">Strategic Objective 2 </w:t>
      </w:r>
    </w:p>
    <w:p w14:paraId="5A3C4F6F" w14:textId="77777777" w:rsidR="002242F3" w:rsidRPr="005E3B44" w:rsidRDefault="002242F3" w:rsidP="004C1875">
      <w:pPr>
        <w:pStyle w:val="Heading4"/>
      </w:pPr>
      <w:r w:rsidRPr="005E3B44">
        <w:t>Safe Community</w:t>
      </w:r>
    </w:p>
    <w:p w14:paraId="56C03229"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An effective criminal justice system underpins the safety of the community.  Although neither the Directorate nor the ACT Government can control </w:t>
      </w:r>
      <w:proofErr w:type="gramStart"/>
      <w:r w:rsidRPr="005E3B44">
        <w:rPr>
          <w:rFonts w:asciiTheme="minorHAnsi" w:hAnsiTheme="minorHAnsi" w:cstheme="minorHAnsi"/>
          <w:bdr w:val="nil"/>
        </w:rPr>
        <w:t>all of</w:t>
      </w:r>
      <w:proofErr w:type="gramEnd"/>
      <w:r w:rsidRPr="005E3B44">
        <w:rPr>
          <w:rFonts w:asciiTheme="minorHAnsi" w:hAnsiTheme="minorHAnsi" w:cstheme="minorHAnsi"/>
          <w:bdr w:val="nil"/>
        </w:rPr>
        <w:t xml:space="preserve"> the factors that impact on community safety, effectiveness can be measured by examining the level of crime against people and property and whether the justice system deals with offenders in a way that reduces the risk of further offending.</w:t>
      </w:r>
    </w:p>
    <w:p w14:paraId="26512AC2" w14:textId="7E90E393"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Table </w:t>
      </w:r>
      <w:r w:rsidR="00796CA3">
        <w:rPr>
          <w:rFonts w:asciiTheme="minorHAnsi" w:hAnsiTheme="minorHAnsi" w:cstheme="minorHAnsi"/>
          <w:bdr w:val="nil"/>
        </w:rPr>
        <w:t>3</w:t>
      </w:r>
      <w:r w:rsidRPr="005E3B44">
        <w:rPr>
          <w:rFonts w:asciiTheme="minorHAnsi" w:hAnsiTheme="minorHAnsi" w:cstheme="minorHAnsi"/>
          <w:bdr w:val="nil"/>
        </w:rPr>
        <w:t>: Strategic Indicator 2:  Crime Related Community Safety</w:t>
      </w:r>
    </w:p>
    <w:tbl>
      <w:tblPr>
        <w:tblW w:w="9242" w:type="dxa"/>
        <w:tblBorders>
          <w:top w:val="single" w:sz="4" w:space="0" w:color="auto"/>
          <w:bottom w:val="single" w:sz="4" w:space="0" w:color="auto"/>
        </w:tblBorders>
        <w:tblLook w:val="01E0" w:firstRow="1" w:lastRow="1" w:firstColumn="1" w:lastColumn="1" w:noHBand="0" w:noVBand="0"/>
      </w:tblPr>
      <w:tblGrid>
        <w:gridCol w:w="1405"/>
        <w:gridCol w:w="3805"/>
        <w:gridCol w:w="1222"/>
        <w:gridCol w:w="1405"/>
        <w:gridCol w:w="1405"/>
      </w:tblGrid>
      <w:tr w:rsidR="002242F3" w:rsidRPr="005E3B44" w14:paraId="05316976" w14:textId="77777777" w:rsidTr="005E3B44">
        <w:trPr>
          <w:tblHeader/>
        </w:trPr>
        <w:tc>
          <w:tcPr>
            <w:tcW w:w="760" w:type="pct"/>
            <w:tcBorders>
              <w:top w:val="single" w:sz="12" w:space="0" w:color="auto"/>
              <w:left w:val="nil"/>
              <w:bottom w:val="single" w:sz="12" w:space="0" w:color="auto"/>
              <w:right w:val="nil"/>
            </w:tcBorders>
            <w:hideMark/>
          </w:tcPr>
          <w:p w14:paraId="12E2227B"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Success</w:t>
            </w:r>
          </w:p>
        </w:tc>
        <w:tc>
          <w:tcPr>
            <w:tcW w:w="2059" w:type="pct"/>
            <w:tcBorders>
              <w:top w:val="single" w:sz="12" w:space="0" w:color="auto"/>
              <w:left w:val="nil"/>
              <w:bottom w:val="single" w:sz="12" w:space="0" w:color="auto"/>
              <w:right w:val="nil"/>
            </w:tcBorders>
            <w:hideMark/>
          </w:tcPr>
          <w:p w14:paraId="08517F89"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 xml:space="preserve">Strategic Indicator </w:t>
            </w:r>
          </w:p>
        </w:tc>
        <w:tc>
          <w:tcPr>
            <w:tcW w:w="661" w:type="pct"/>
            <w:tcBorders>
              <w:top w:val="single" w:sz="12" w:space="0" w:color="auto"/>
              <w:left w:val="nil"/>
              <w:bottom w:val="single" w:sz="12" w:space="0" w:color="auto"/>
              <w:right w:val="nil"/>
            </w:tcBorders>
            <w:hideMark/>
          </w:tcPr>
          <w:p w14:paraId="39965CBF"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5870EB25"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c>
          <w:tcPr>
            <w:tcW w:w="760" w:type="pct"/>
            <w:tcBorders>
              <w:top w:val="single" w:sz="12" w:space="0" w:color="auto"/>
              <w:left w:val="nil"/>
              <w:bottom w:val="single" w:sz="12" w:space="0" w:color="auto"/>
              <w:right w:val="nil"/>
            </w:tcBorders>
            <w:hideMark/>
          </w:tcPr>
          <w:p w14:paraId="7EF9C986"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4FB506C6"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Actuals</w:t>
            </w:r>
          </w:p>
        </w:tc>
        <w:tc>
          <w:tcPr>
            <w:tcW w:w="760" w:type="pct"/>
            <w:tcBorders>
              <w:top w:val="single" w:sz="12" w:space="0" w:color="auto"/>
              <w:left w:val="nil"/>
              <w:bottom w:val="single" w:sz="12" w:space="0" w:color="auto"/>
              <w:right w:val="nil"/>
            </w:tcBorders>
            <w:hideMark/>
          </w:tcPr>
          <w:p w14:paraId="6ED1C5C0"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009C3F34"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0967E9DB" w14:textId="77777777" w:rsidTr="005E3B44">
        <w:trPr>
          <w:trHeight w:val="280"/>
        </w:trPr>
        <w:tc>
          <w:tcPr>
            <w:tcW w:w="760" w:type="pct"/>
            <w:vMerge w:val="restart"/>
            <w:tcBorders>
              <w:top w:val="single" w:sz="12" w:space="0" w:color="auto"/>
              <w:left w:val="nil"/>
              <w:bottom w:val="nil"/>
              <w:right w:val="nil"/>
            </w:tcBorders>
            <w:hideMark/>
          </w:tcPr>
          <w:p w14:paraId="53A796DA"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Reduction in level of crime</w:t>
            </w:r>
          </w:p>
        </w:tc>
        <w:tc>
          <w:tcPr>
            <w:tcW w:w="2059" w:type="pct"/>
            <w:tcBorders>
              <w:top w:val="single" w:sz="12" w:space="0" w:color="auto"/>
              <w:left w:val="nil"/>
              <w:bottom w:val="nil"/>
              <w:right w:val="nil"/>
            </w:tcBorders>
            <w:hideMark/>
          </w:tcPr>
          <w:p w14:paraId="5F531D5E"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 xml:space="preserve">Number of known and reported </w:t>
            </w:r>
            <w:r w:rsidRPr="005E3B44">
              <w:rPr>
                <w:rFonts w:asciiTheme="minorHAnsi" w:hAnsiTheme="minorHAnsi" w:cstheme="minorHAnsi"/>
                <w:b w:val="0"/>
                <w:sz w:val="20"/>
                <w:szCs w:val="20"/>
                <w:bdr w:val="nil"/>
              </w:rPr>
              <w:br/>
              <w:t>criminal offences:</w:t>
            </w:r>
          </w:p>
        </w:tc>
        <w:tc>
          <w:tcPr>
            <w:tcW w:w="661" w:type="pct"/>
            <w:tcBorders>
              <w:top w:val="single" w:sz="12" w:space="0" w:color="auto"/>
              <w:left w:val="nil"/>
              <w:bottom w:val="nil"/>
              <w:right w:val="nil"/>
            </w:tcBorders>
          </w:tcPr>
          <w:p w14:paraId="129A7685"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60" w:type="pct"/>
            <w:tcBorders>
              <w:top w:val="single" w:sz="12" w:space="0" w:color="auto"/>
              <w:left w:val="nil"/>
              <w:bottom w:val="nil"/>
              <w:right w:val="nil"/>
            </w:tcBorders>
          </w:tcPr>
          <w:p w14:paraId="4AC177D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60" w:type="pct"/>
            <w:tcBorders>
              <w:top w:val="single" w:sz="12" w:space="0" w:color="auto"/>
              <w:left w:val="nil"/>
              <w:bottom w:val="nil"/>
              <w:right w:val="nil"/>
            </w:tcBorders>
          </w:tcPr>
          <w:p w14:paraId="7B1FAE20"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r>
      <w:tr w:rsidR="002242F3" w:rsidRPr="005E3B44" w14:paraId="4AC7074C" w14:textId="77777777" w:rsidTr="005E3B44">
        <w:tc>
          <w:tcPr>
            <w:tcW w:w="0" w:type="auto"/>
            <w:vMerge/>
            <w:tcBorders>
              <w:top w:val="single" w:sz="12" w:space="0" w:color="auto"/>
              <w:left w:val="nil"/>
              <w:bottom w:val="nil"/>
              <w:right w:val="nil"/>
            </w:tcBorders>
            <w:vAlign w:val="center"/>
            <w:hideMark/>
          </w:tcPr>
          <w:p w14:paraId="72831D25"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2059" w:type="pct"/>
            <w:tcBorders>
              <w:top w:val="nil"/>
              <w:left w:val="nil"/>
              <w:bottom w:val="nil"/>
              <w:right w:val="nil"/>
            </w:tcBorders>
            <w:hideMark/>
          </w:tcPr>
          <w:p w14:paraId="2B020330"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against the person per 100,000</w:t>
            </w:r>
          </w:p>
          <w:p w14:paraId="07410DE6"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360" w:hanging="360"/>
              <w:rPr>
                <w:rFonts w:asciiTheme="minorHAnsi" w:hAnsiTheme="minorHAnsi" w:cstheme="minorHAnsi"/>
                <w:bdr w:val="nil"/>
              </w:rPr>
            </w:pPr>
            <w:r w:rsidRPr="005E3B44">
              <w:rPr>
                <w:rFonts w:asciiTheme="minorHAnsi" w:hAnsiTheme="minorHAnsi" w:cstheme="minorHAnsi"/>
                <w:bdr w:val="nil"/>
              </w:rPr>
              <w:t xml:space="preserve">      population</w:t>
            </w:r>
            <w:r w:rsidRPr="005E3B44">
              <w:rPr>
                <w:rFonts w:asciiTheme="minorHAnsi" w:hAnsiTheme="minorHAnsi" w:cstheme="minorHAnsi"/>
                <w:bdr w:val="nil"/>
                <w:vertAlign w:val="superscript"/>
              </w:rPr>
              <w:t xml:space="preserve"> </w:t>
            </w:r>
          </w:p>
        </w:tc>
        <w:tc>
          <w:tcPr>
            <w:tcW w:w="661" w:type="pct"/>
            <w:tcBorders>
              <w:top w:val="nil"/>
              <w:left w:val="nil"/>
              <w:bottom w:val="nil"/>
              <w:right w:val="nil"/>
            </w:tcBorders>
            <w:hideMark/>
          </w:tcPr>
          <w:p w14:paraId="65BEF2A4"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&lt;800</w:t>
            </w:r>
          </w:p>
        </w:tc>
        <w:tc>
          <w:tcPr>
            <w:tcW w:w="760" w:type="pct"/>
            <w:tcBorders>
              <w:top w:val="nil"/>
              <w:left w:val="nil"/>
              <w:bottom w:val="nil"/>
              <w:right w:val="nil"/>
            </w:tcBorders>
            <w:hideMark/>
          </w:tcPr>
          <w:p w14:paraId="696F5F5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822.9</w:t>
            </w:r>
          </w:p>
        </w:tc>
        <w:tc>
          <w:tcPr>
            <w:tcW w:w="760" w:type="pct"/>
            <w:tcBorders>
              <w:top w:val="nil"/>
              <w:left w:val="nil"/>
              <w:bottom w:val="nil"/>
              <w:right w:val="nil"/>
            </w:tcBorders>
            <w:hideMark/>
          </w:tcPr>
          <w:p w14:paraId="70AA27D5"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&lt;800</w:t>
            </w:r>
          </w:p>
        </w:tc>
      </w:tr>
      <w:tr w:rsidR="002242F3" w:rsidRPr="005E3B44" w14:paraId="66E37031" w14:textId="77777777" w:rsidTr="005E3B44">
        <w:trPr>
          <w:trHeight w:val="448"/>
        </w:trPr>
        <w:tc>
          <w:tcPr>
            <w:tcW w:w="0" w:type="auto"/>
            <w:vMerge/>
            <w:tcBorders>
              <w:top w:val="single" w:sz="12" w:space="0" w:color="auto"/>
              <w:left w:val="nil"/>
              <w:bottom w:val="nil"/>
              <w:right w:val="nil"/>
            </w:tcBorders>
            <w:vAlign w:val="center"/>
            <w:hideMark/>
          </w:tcPr>
          <w:p w14:paraId="506FBE42"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2059" w:type="pct"/>
            <w:tcBorders>
              <w:top w:val="nil"/>
              <w:left w:val="nil"/>
              <w:bottom w:val="nil"/>
              <w:right w:val="nil"/>
            </w:tcBorders>
            <w:hideMark/>
          </w:tcPr>
          <w:p w14:paraId="69E2C709"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296" w:hanging="296"/>
              <w:rPr>
                <w:rFonts w:asciiTheme="minorHAnsi" w:hAnsiTheme="minorHAnsi" w:cstheme="minorHAnsi"/>
                <w:bdr w:val="nil"/>
              </w:rPr>
            </w:pPr>
            <w:r w:rsidRPr="005E3B44">
              <w:rPr>
                <w:rFonts w:asciiTheme="minorHAnsi" w:hAnsiTheme="minorHAnsi" w:cstheme="minorHAnsi"/>
                <w:bdr w:val="nil"/>
              </w:rPr>
              <w:t>-     against property per 100,000                 population</w:t>
            </w:r>
            <w:r w:rsidRPr="005E3B44">
              <w:rPr>
                <w:rFonts w:asciiTheme="minorHAnsi" w:hAnsiTheme="minorHAnsi" w:cstheme="minorHAnsi"/>
                <w:bdr w:val="nil"/>
                <w:vertAlign w:val="superscript"/>
              </w:rPr>
              <w:t xml:space="preserve"> 1</w:t>
            </w:r>
          </w:p>
        </w:tc>
        <w:tc>
          <w:tcPr>
            <w:tcW w:w="661" w:type="pct"/>
            <w:tcBorders>
              <w:top w:val="nil"/>
              <w:left w:val="nil"/>
              <w:bottom w:val="nil"/>
              <w:right w:val="nil"/>
            </w:tcBorders>
            <w:hideMark/>
          </w:tcPr>
          <w:p w14:paraId="3BFA950A"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&lt;4,875</w:t>
            </w:r>
          </w:p>
        </w:tc>
        <w:tc>
          <w:tcPr>
            <w:tcW w:w="760" w:type="pct"/>
            <w:tcBorders>
              <w:top w:val="nil"/>
              <w:left w:val="nil"/>
              <w:bottom w:val="nil"/>
              <w:right w:val="nil"/>
            </w:tcBorders>
            <w:hideMark/>
          </w:tcPr>
          <w:p w14:paraId="17346246"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3,905.7</w:t>
            </w:r>
          </w:p>
        </w:tc>
        <w:tc>
          <w:tcPr>
            <w:tcW w:w="760" w:type="pct"/>
            <w:tcBorders>
              <w:top w:val="nil"/>
              <w:left w:val="nil"/>
              <w:bottom w:val="nil"/>
              <w:right w:val="nil"/>
            </w:tcBorders>
            <w:hideMark/>
          </w:tcPr>
          <w:p w14:paraId="4FAACF6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&lt;4,875</w:t>
            </w:r>
          </w:p>
        </w:tc>
      </w:tr>
      <w:tr w:rsidR="002242F3" w:rsidRPr="005E3B44" w14:paraId="4B3CFD49" w14:textId="77777777" w:rsidTr="005E3B44">
        <w:tc>
          <w:tcPr>
            <w:tcW w:w="760" w:type="pct"/>
            <w:vMerge w:val="restart"/>
            <w:tcBorders>
              <w:top w:val="nil"/>
              <w:left w:val="nil"/>
              <w:bottom w:val="nil"/>
              <w:right w:val="nil"/>
            </w:tcBorders>
            <w:hideMark/>
          </w:tcPr>
          <w:p w14:paraId="3E53F678"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Perceptions of safety</w:t>
            </w:r>
          </w:p>
        </w:tc>
        <w:tc>
          <w:tcPr>
            <w:tcW w:w="2059" w:type="pct"/>
            <w:tcBorders>
              <w:top w:val="nil"/>
              <w:left w:val="nil"/>
              <w:bottom w:val="nil"/>
              <w:right w:val="nil"/>
            </w:tcBorders>
            <w:hideMark/>
          </w:tcPr>
          <w:p w14:paraId="36233E4C"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The proportion of people who felt ‘safe’ or ‘very safe’:</w:t>
            </w:r>
            <w:r w:rsidRPr="005E3B44">
              <w:rPr>
                <w:rFonts w:asciiTheme="minorHAnsi" w:hAnsiTheme="minorHAnsi" w:cstheme="minorHAnsi"/>
                <w:b w:val="0"/>
                <w:sz w:val="20"/>
                <w:szCs w:val="20"/>
                <w:bdr w:val="nil"/>
                <w:vertAlign w:val="superscript"/>
              </w:rPr>
              <w:t xml:space="preserve"> a</w:t>
            </w:r>
          </w:p>
        </w:tc>
        <w:tc>
          <w:tcPr>
            <w:tcW w:w="661" w:type="pct"/>
            <w:tcBorders>
              <w:top w:val="nil"/>
              <w:left w:val="nil"/>
              <w:bottom w:val="nil"/>
              <w:right w:val="nil"/>
            </w:tcBorders>
          </w:tcPr>
          <w:p w14:paraId="0119C83F"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60" w:type="pct"/>
            <w:tcBorders>
              <w:top w:val="nil"/>
              <w:left w:val="nil"/>
              <w:bottom w:val="nil"/>
              <w:right w:val="nil"/>
            </w:tcBorders>
          </w:tcPr>
          <w:p w14:paraId="5523DC2C"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760" w:type="pct"/>
            <w:tcBorders>
              <w:top w:val="nil"/>
              <w:left w:val="nil"/>
              <w:bottom w:val="nil"/>
              <w:right w:val="nil"/>
            </w:tcBorders>
          </w:tcPr>
          <w:p w14:paraId="5BC2622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r>
      <w:tr w:rsidR="002242F3" w:rsidRPr="005E3B44" w14:paraId="35D80F01" w14:textId="77777777" w:rsidTr="005E3B44">
        <w:trPr>
          <w:trHeight w:val="113"/>
        </w:trPr>
        <w:tc>
          <w:tcPr>
            <w:tcW w:w="0" w:type="auto"/>
            <w:vMerge/>
            <w:tcBorders>
              <w:top w:val="nil"/>
              <w:left w:val="nil"/>
              <w:bottom w:val="nil"/>
              <w:right w:val="nil"/>
            </w:tcBorders>
            <w:vAlign w:val="center"/>
            <w:hideMark/>
          </w:tcPr>
          <w:p w14:paraId="7DCDC869"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2059" w:type="pct"/>
            <w:tcBorders>
              <w:top w:val="nil"/>
              <w:left w:val="nil"/>
              <w:bottom w:val="nil"/>
              <w:right w:val="nil"/>
            </w:tcBorders>
            <w:hideMark/>
          </w:tcPr>
          <w:p w14:paraId="5A8E5DC0"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275" w:hanging="240"/>
              <w:rPr>
                <w:rFonts w:asciiTheme="minorHAnsi" w:hAnsiTheme="minorHAnsi" w:cstheme="minorHAnsi"/>
                <w:bdr w:val="nil"/>
              </w:rPr>
            </w:pPr>
            <w:r w:rsidRPr="005E3B44">
              <w:rPr>
                <w:rFonts w:asciiTheme="minorHAnsi" w:hAnsiTheme="minorHAnsi" w:cstheme="minorHAnsi"/>
                <w:bdr w:val="nil"/>
              </w:rPr>
              <w:t xml:space="preserve">-    at home by themselves during the </w:t>
            </w:r>
          </w:p>
          <w:p w14:paraId="22AF8776"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275" w:hanging="240"/>
              <w:rPr>
                <w:rFonts w:asciiTheme="minorHAnsi" w:hAnsiTheme="minorHAnsi" w:cstheme="minorHAnsi"/>
                <w:bdr w:val="nil"/>
              </w:rPr>
            </w:pPr>
            <w:r w:rsidRPr="005E3B44">
              <w:rPr>
                <w:rFonts w:asciiTheme="minorHAnsi" w:hAnsiTheme="minorHAnsi" w:cstheme="minorHAnsi"/>
                <w:bdr w:val="nil"/>
              </w:rPr>
              <w:t xml:space="preserve">     Night </w:t>
            </w:r>
            <w:r w:rsidRPr="005E3B44">
              <w:rPr>
                <w:rFonts w:asciiTheme="minorHAnsi" w:hAnsiTheme="minorHAnsi" w:cstheme="minorHAnsi"/>
                <w:bdr w:val="nil"/>
                <w:vertAlign w:val="superscript"/>
              </w:rPr>
              <w:t>b</w:t>
            </w:r>
          </w:p>
        </w:tc>
        <w:tc>
          <w:tcPr>
            <w:tcW w:w="661" w:type="pct"/>
            <w:tcBorders>
              <w:top w:val="nil"/>
              <w:left w:val="nil"/>
              <w:bottom w:val="nil"/>
              <w:right w:val="nil"/>
            </w:tcBorders>
            <w:hideMark/>
          </w:tcPr>
          <w:p w14:paraId="42EC853F"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=&gt; 89%</w:t>
            </w:r>
          </w:p>
        </w:tc>
        <w:tc>
          <w:tcPr>
            <w:tcW w:w="760" w:type="pct"/>
            <w:tcBorders>
              <w:top w:val="nil"/>
              <w:left w:val="nil"/>
              <w:bottom w:val="nil"/>
              <w:right w:val="nil"/>
            </w:tcBorders>
            <w:hideMark/>
          </w:tcPr>
          <w:p w14:paraId="06C09164"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 91.6%</w:t>
            </w:r>
          </w:p>
        </w:tc>
        <w:tc>
          <w:tcPr>
            <w:tcW w:w="760" w:type="pct"/>
            <w:tcBorders>
              <w:top w:val="nil"/>
              <w:left w:val="nil"/>
              <w:bottom w:val="nil"/>
              <w:right w:val="nil"/>
            </w:tcBorders>
            <w:hideMark/>
          </w:tcPr>
          <w:p w14:paraId="2496521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=&gt;89.1%</w:t>
            </w:r>
          </w:p>
        </w:tc>
      </w:tr>
      <w:tr w:rsidR="002242F3" w:rsidRPr="005E3B44" w14:paraId="3827C44D" w14:textId="77777777" w:rsidTr="005E3B44">
        <w:trPr>
          <w:trHeight w:val="74"/>
        </w:trPr>
        <w:tc>
          <w:tcPr>
            <w:tcW w:w="0" w:type="auto"/>
            <w:vMerge/>
            <w:tcBorders>
              <w:top w:val="nil"/>
              <w:left w:val="nil"/>
              <w:bottom w:val="nil"/>
              <w:right w:val="nil"/>
            </w:tcBorders>
            <w:vAlign w:val="center"/>
            <w:hideMark/>
          </w:tcPr>
          <w:p w14:paraId="3CC45A40"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2059" w:type="pct"/>
            <w:tcBorders>
              <w:top w:val="nil"/>
              <w:left w:val="nil"/>
              <w:bottom w:val="nil"/>
              <w:right w:val="nil"/>
            </w:tcBorders>
            <w:hideMark/>
          </w:tcPr>
          <w:p w14:paraId="53C72EA1" w14:textId="77777777" w:rsidR="002242F3" w:rsidRPr="005E3B44" w:rsidRDefault="002242F3" w:rsidP="005E3B44">
            <w:pPr>
              <w:pStyle w:val="BStabledotpoint"/>
              <w:pBdr>
                <w:top w:val="nil"/>
                <w:left w:val="nil"/>
                <w:bottom w:val="nil"/>
                <w:right w:val="nil"/>
                <w:between w:val="nil"/>
                <w:bar w:val="nil"/>
              </w:pBdr>
              <w:tabs>
                <w:tab w:val="clear" w:pos="360"/>
                <w:tab w:val="left" w:pos="720"/>
              </w:tabs>
              <w:ind w:left="275" w:hanging="240"/>
              <w:rPr>
                <w:rFonts w:asciiTheme="minorHAnsi" w:hAnsiTheme="minorHAnsi" w:cstheme="minorHAnsi"/>
                <w:bdr w:val="nil"/>
              </w:rPr>
            </w:pPr>
            <w:r w:rsidRPr="005E3B44">
              <w:rPr>
                <w:rFonts w:asciiTheme="minorHAnsi" w:hAnsiTheme="minorHAnsi" w:cstheme="minorHAnsi"/>
                <w:bdr w:val="nil"/>
              </w:rPr>
              <w:t xml:space="preserve">-    walking by themselves in their neighbourhood during the night </w:t>
            </w:r>
            <w:r w:rsidRPr="005E3B44">
              <w:rPr>
                <w:rFonts w:asciiTheme="minorHAnsi" w:hAnsiTheme="minorHAnsi" w:cstheme="minorHAnsi"/>
                <w:bdr w:val="nil"/>
                <w:vertAlign w:val="superscript"/>
              </w:rPr>
              <w:t>b</w:t>
            </w:r>
          </w:p>
        </w:tc>
        <w:tc>
          <w:tcPr>
            <w:tcW w:w="661" w:type="pct"/>
            <w:tcBorders>
              <w:top w:val="nil"/>
              <w:left w:val="nil"/>
              <w:bottom w:val="nil"/>
              <w:right w:val="nil"/>
            </w:tcBorders>
            <w:hideMark/>
          </w:tcPr>
          <w:p w14:paraId="1B54A71D"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=&gt; 54.3%</w:t>
            </w:r>
          </w:p>
        </w:tc>
        <w:tc>
          <w:tcPr>
            <w:tcW w:w="760" w:type="pct"/>
            <w:tcBorders>
              <w:top w:val="nil"/>
              <w:left w:val="nil"/>
              <w:bottom w:val="nil"/>
              <w:right w:val="nil"/>
            </w:tcBorders>
            <w:hideMark/>
          </w:tcPr>
          <w:p w14:paraId="199BC81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56.6%</w:t>
            </w:r>
          </w:p>
        </w:tc>
        <w:tc>
          <w:tcPr>
            <w:tcW w:w="760" w:type="pct"/>
            <w:tcBorders>
              <w:top w:val="nil"/>
              <w:left w:val="nil"/>
              <w:bottom w:val="nil"/>
              <w:right w:val="nil"/>
            </w:tcBorders>
            <w:hideMark/>
          </w:tcPr>
          <w:p w14:paraId="0858224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=&gt; 54.8%</w:t>
            </w:r>
          </w:p>
        </w:tc>
      </w:tr>
      <w:tr w:rsidR="002242F3" w:rsidRPr="005E3B44" w14:paraId="1B2B0F38" w14:textId="77777777" w:rsidTr="005E3B44">
        <w:trPr>
          <w:trHeight w:val="921"/>
        </w:trPr>
        <w:tc>
          <w:tcPr>
            <w:tcW w:w="760" w:type="pct"/>
            <w:tcBorders>
              <w:top w:val="nil"/>
              <w:left w:val="nil"/>
              <w:bottom w:val="nil"/>
              <w:right w:val="nil"/>
            </w:tcBorders>
            <w:hideMark/>
          </w:tcPr>
          <w:p w14:paraId="68A294E3"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No escapes/ abscondments from custody</w:t>
            </w:r>
          </w:p>
        </w:tc>
        <w:tc>
          <w:tcPr>
            <w:tcW w:w="2059" w:type="pct"/>
            <w:tcBorders>
              <w:top w:val="nil"/>
              <w:left w:val="nil"/>
              <w:bottom w:val="nil"/>
              <w:right w:val="nil"/>
            </w:tcBorders>
            <w:hideMark/>
          </w:tcPr>
          <w:p w14:paraId="4036BD4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color w:val="000000"/>
                <w:sz w:val="20"/>
                <w:szCs w:val="20"/>
                <w:bdr w:val="nil"/>
              </w:rPr>
              <w:t>Number of escapes or absconds per 100 detainees</w:t>
            </w:r>
          </w:p>
        </w:tc>
        <w:tc>
          <w:tcPr>
            <w:tcW w:w="661" w:type="pct"/>
            <w:tcBorders>
              <w:top w:val="nil"/>
              <w:left w:val="nil"/>
              <w:bottom w:val="nil"/>
              <w:right w:val="nil"/>
            </w:tcBorders>
            <w:hideMark/>
          </w:tcPr>
          <w:p w14:paraId="0F082D74"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0</w:t>
            </w:r>
          </w:p>
        </w:tc>
        <w:tc>
          <w:tcPr>
            <w:tcW w:w="760" w:type="pct"/>
            <w:tcBorders>
              <w:top w:val="nil"/>
              <w:left w:val="nil"/>
              <w:bottom w:val="nil"/>
              <w:right w:val="nil"/>
            </w:tcBorders>
            <w:hideMark/>
          </w:tcPr>
          <w:p w14:paraId="47C47AC1"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color w:val="000000"/>
                <w:bdr w:val="nil"/>
              </w:rPr>
            </w:pPr>
            <w:r w:rsidRPr="005E3B44">
              <w:rPr>
                <w:rFonts w:asciiTheme="minorHAnsi" w:hAnsiTheme="minorHAnsi" w:cstheme="minorHAnsi"/>
                <w:color w:val="000000"/>
                <w:bdr w:val="nil"/>
              </w:rPr>
              <w:t>0</w:t>
            </w:r>
          </w:p>
        </w:tc>
        <w:tc>
          <w:tcPr>
            <w:tcW w:w="760" w:type="pct"/>
            <w:tcBorders>
              <w:top w:val="nil"/>
              <w:left w:val="nil"/>
              <w:bottom w:val="nil"/>
              <w:right w:val="nil"/>
            </w:tcBorders>
            <w:hideMark/>
          </w:tcPr>
          <w:p w14:paraId="57A6201E"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color w:val="000000"/>
                <w:bdr w:val="nil"/>
              </w:rPr>
            </w:pPr>
            <w:r w:rsidRPr="005E3B44">
              <w:rPr>
                <w:rFonts w:asciiTheme="minorHAnsi" w:hAnsiTheme="minorHAnsi" w:cstheme="minorHAnsi"/>
                <w:color w:val="000000"/>
                <w:bdr w:val="nil"/>
              </w:rPr>
              <w:t>0</w:t>
            </w:r>
          </w:p>
        </w:tc>
      </w:tr>
      <w:tr w:rsidR="002242F3" w:rsidRPr="005E3B44" w14:paraId="4FA1110A" w14:textId="77777777" w:rsidTr="005E3B44">
        <w:tc>
          <w:tcPr>
            <w:tcW w:w="760" w:type="pct"/>
            <w:tcBorders>
              <w:top w:val="nil"/>
              <w:left w:val="nil"/>
              <w:bottom w:val="single" w:sz="12" w:space="0" w:color="000000"/>
              <w:right w:val="nil"/>
            </w:tcBorders>
            <w:hideMark/>
          </w:tcPr>
          <w:p w14:paraId="5DF39588"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color w:val="000000"/>
                <w:sz w:val="20"/>
                <w:szCs w:val="20"/>
                <w:bdr w:val="nil"/>
              </w:rPr>
            </w:pPr>
            <w:r w:rsidRPr="005E3B44">
              <w:rPr>
                <w:rFonts w:asciiTheme="minorHAnsi" w:hAnsiTheme="minorHAnsi" w:cstheme="minorHAnsi"/>
                <w:b w:val="0"/>
                <w:color w:val="000000"/>
                <w:sz w:val="20"/>
                <w:szCs w:val="20"/>
                <w:bdr w:val="nil"/>
              </w:rPr>
              <w:t>Reduction in recidivism rate</w:t>
            </w:r>
          </w:p>
        </w:tc>
        <w:tc>
          <w:tcPr>
            <w:tcW w:w="2059" w:type="pct"/>
            <w:tcBorders>
              <w:top w:val="nil"/>
              <w:left w:val="nil"/>
              <w:bottom w:val="single" w:sz="12" w:space="0" w:color="000000"/>
              <w:right w:val="nil"/>
            </w:tcBorders>
            <w:hideMark/>
          </w:tcPr>
          <w:p w14:paraId="64BC797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color w:val="000000"/>
                <w:sz w:val="20"/>
                <w:szCs w:val="20"/>
                <w:bdr w:val="nil"/>
              </w:rPr>
            </w:pPr>
            <w:r w:rsidRPr="005E3B44">
              <w:rPr>
                <w:rFonts w:asciiTheme="minorHAnsi" w:hAnsiTheme="minorHAnsi" w:cstheme="minorHAnsi"/>
                <w:b w:val="0"/>
                <w:bCs w:val="0"/>
                <w:sz w:val="20"/>
                <w:szCs w:val="20"/>
                <w:bdr w:val="nil"/>
                <w:lang w:eastAsia="en-US"/>
              </w:rPr>
              <w:t>ACT sentenced detainees released two years earlier than the year being measured who returned to prison with a new correctional sanction within two years</w:t>
            </w:r>
          </w:p>
        </w:tc>
        <w:tc>
          <w:tcPr>
            <w:tcW w:w="661" w:type="pct"/>
            <w:tcBorders>
              <w:top w:val="nil"/>
              <w:left w:val="nil"/>
              <w:bottom w:val="single" w:sz="12" w:space="0" w:color="000000"/>
              <w:right w:val="nil"/>
            </w:tcBorders>
            <w:hideMark/>
          </w:tcPr>
          <w:p w14:paraId="2D8CBC1F"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41%</w:t>
            </w:r>
          </w:p>
        </w:tc>
        <w:tc>
          <w:tcPr>
            <w:tcW w:w="760" w:type="pct"/>
            <w:tcBorders>
              <w:top w:val="nil"/>
              <w:left w:val="nil"/>
              <w:bottom w:val="single" w:sz="12" w:space="0" w:color="000000"/>
              <w:right w:val="nil"/>
            </w:tcBorders>
            <w:hideMark/>
          </w:tcPr>
          <w:p w14:paraId="0B19CEB3"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color w:val="000000"/>
                <w:bdr w:val="nil"/>
              </w:rPr>
            </w:pPr>
            <w:r w:rsidRPr="005E3B44">
              <w:rPr>
                <w:rFonts w:asciiTheme="minorHAnsi" w:hAnsiTheme="minorHAnsi" w:cstheme="minorHAnsi"/>
                <w:color w:val="000000"/>
                <w:bdr w:val="nil"/>
              </w:rPr>
              <w:t>38.5%</w:t>
            </w:r>
          </w:p>
        </w:tc>
        <w:tc>
          <w:tcPr>
            <w:tcW w:w="760" w:type="pct"/>
            <w:tcBorders>
              <w:top w:val="nil"/>
              <w:left w:val="nil"/>
              <w:bottom w:val="single" w:sz="12" w:space="0" w:color="000000"/>
              <w:right w:val="nil"/>
            </w:tcBorders>
            <w:hideMark/>
          </w:tcPr>
          <w:p w14:paraId="781B6FE8"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color w:val="000000"/>
                <w:bdr w:val="nil"/>
              </w:rPr>
            </w:pPr>
            <w:r w:rsidRPr="005E3B44">
              <w:rPr>
                <w:rFonts w:asciiTheme="minorHAnsi" w:hAnsiTheme="minorHAnsi" w:cstheme="minorHAnsi"/>
                <w:color w:val="000000"/>
                <w:bdr w:val="nil"/>
              </w:rPr>
              <w:t>41%</w:t>
            </w:r>
          </w:p>
        </w:tc>
      </w:tr>
    </w:tbl>
    <w:p w14:paraId="71178CEA" w14:textId="77777777" w:rsidR="002242F3" w:rsidRPr="005E3B44" w:rsidRDefault="002242F3"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8"/>
          <w:bdr w:val="nil"/>
        </w:rPr>
      </w:pPr>
      <w:bookmarkStart w:id="7" w:name="OLE_LINK7"/>
      <w:bookmarkStart w:id="8" w:name="OLE_LINK6"/>
      <w:r w:rsidRPr="005E3B44">
        <w:rPr>
          <w:rFonts w:asciiTheme="minorHAnsi" w:hAnsiTheme="minorHAnsi" w:cstheme="minorHAnsi"/>
          <w:sz w:val="18"/>
          <w:szCs w:val="18"/>
          <w:bdr w:val="nil"/>
        </w:rPr>
        <w:t>Historical performance trends of these Strategic Indictors can be found in the Justice and Community Safety Directorate’s 2020-21 Annual Report.</w:t>
      </w:r>
    </w:p>
    <w:p w14:paraId="2F85D682" w14:textId="77777777" w:rsidR="002242F3" w:rsidRPr="005E3B44" w:rsidRDefault="002242F3" w:rsidP="002242F3">
      <w:pPr>
        <w:pBdr>
          <w:top w:val="nil"/>
          <w:left w:val="nil"/>
          <w:bottom w:val="nil"/>
          <w:right w:val="nil"/>
          <w:between w:val="nil"/>
          <w:bar w:val="nil"/>
        </w:pBdr>
        <w:shd w:val="clear" w:color="auto" w:fill="FFFFFF"/>
        <w:autoSpaceDE w:val="0"/>
        <w:autoSpaceDN w:val="0"/>
        <w:adjustRightInd w:val="0"/>
        <w:spacing w:before="0" w:after="0"/>
        <w:rPr>
          <w:rFonts w:asciiTheme="minorHAnsi" w:hAnsiTheme="minorHAnsi" w:cstheme="minorHAnsi"/>
          <w:sz w:val="18"/>
          <w:szCs w:val="18"/>
          <w:bdr w:val="nil"/>
        </w:rPr>
      </w:pPr>
    </w:p>
    <w:p w14:paraId="3C83097A"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color w:val="000000"/>
          <w:sz w:val="18"/>
          <w:szCs w:val="18"/>
          <w:bdr w:val="nil"/>
          <w:lang w:eastAsia="en-AU"/>
        </w:rPr>
      </w:pPr>
      <w:r w:rsidRPr="005E3B44">
        <w:rPr>
          <w:rFonts w:asciiTheme="minorHAnsi" w:hAnsiTheme="minorHAnsi" w:cstheme="minorHAnsi"/>
          <w:b/>
          <w:bCs/>
          <w:color w:val="000000"/>
          <w:sz w:val="18"/>
          <w:szCs w:val="18"/>
          <w:bdr w:val="nil"/>
          <w:lang w:eastAsia="en-AU"/>
        </w:rPr>
        <w:t>Explanation of Strategic Indicators:</w:t>
      </w:r>
    </w:p>
    <w:p w14:paraId="0A0F5568" w14:textId="77777777" w:rsidR="002242F3" w:rsidRPr="005E3B44" w:rsidRDefault="002242F3" w:rsidP="002242F3">
      <w:pPr>
        <w:pStyle w:val="BSnote0"/>
        <w:numPr>
          <w:ilvl w:val="0"/>
          <w:numId w:val="16"/>
        </w:numPr>
        <w:pBdr>
          <w:top w:val="nil"/>
          <w:left w:val="nil"/>
          <w:bottom w:val="nil"/>
          <w:right w:val="nil"/>
          <w:between w:val="nil"/>
          <w:bar w:val="nil"/>
        </w:pBdr>
        <w:spacing w:before="0"/>
        <w:ind w:left="425" w:hanging="425"/>
        <w:rPr>
          <w:rFonts w:asciiTheme="minorHAnsi" w:hAnsiTheme="minorHAnsi" w:cstheme="minorHAnsi"/>
          <w:b w:val="0"/>
          <w:szCs w:val="18"/>
          <w:bdr w:val="nil"/>
        </w:rPr>
      </w:pPr>
      <w:r w:rsidRPr="005E3B44">
        <w:rPr>
          <w:rFonts w:asciiTheme="minorHAnsi" w:hAnsiTheme="minorHAnsi" w:cstheme="minorHAnsi"/>
          <w:b w:val="0"/>
          <w:szCs w:val="18"/>
          <w:bdr w:val="nil"/>
        </w:rPr>
        <w:t>Perceptions of safety indicators are drawn from the National Survey of Community Satisfaction with Policing, a self</w:t>
      </w:r>
      <w:r w:rsidRPr="005E3B44">
        <w:rPr>
          <w:rFonts w:asciiTheme="minorHAnsi" w:hAnsiTheme="minorHAnsi" w:cstheme="minorHAnsi"/>
          <w:b w:val="0"/>
          <w:szCs w:val="18"/>
          <w:bdr w:val="nil"/>
        </w:rPr>
        <w:noBreakHyphen/>
        <w:t xml:space="preserve">reporting survey conducted by the Social Research Centre. The sample size and </w:t>
      </w:r>
      <w:proofErr w:type="gramStart"/>
      <w:r w:rsidRPr="005E3B44">
        <w:rPr>
          <w:rFonts w:asciiTheme="minorHAnsi" w:hAnsiTheme="minorHAnsi" w:cstheme="minorHAnsi"/>
          <w:b w:val="0"/>
          <w:szCs w:val="18"/>
          <w:bdr w:val="nil"/>
        </w:rPr>
        <w:t>landline based</w:t>
      </w:r>
      <w:proofErr w:type="gramEnd"/>
      <w:r w:rsidRPr="005E3B44">
        <w:rPr>
          <w:rFonts w:asciiTheme="minorHAnsi" w:hAnsiTheme="minorHAnsi" w:cstheme="minorHAnsi"/>
          <w:b w:val="0"/>
          <w:szCs w:val="18"/>
          <w:bdr w:val="nil"/>
        </w:rPr>
        <w:t xml:space="preserve"> methodology may limit how representative the results are of the ACT population as a whole.</w:t>
      </w:r>
      <w:bookmarkEnd w:id="7"/>
      <w:bookmarkEnd w:id="8"/>
    </w:p>
    <w:p w14:paraId="094C2038" w14:textId="77777777" w:rsidR="002242F3" w:rsidRPr="005E3B44" w:rsidRDefault="002242F3" w:rsidP="002242F3">
      <w:pPr>
        <w:pStyle w:val="BSnote0"/>
        <w:numPr>
          <w:ilvl w:val="0"/>
          <w:numId w:val="16"/>
        </w:numPr>
        <w:pBdr>
          <w:top w:val="nil"/>
          <w:left w:val="nil"/>
          <w:bottom w:val="nil"/>
          <w:right w:val="nil"/>
          <w:between w:val="nil"/>
          <w:bar w:val="nil"/>
        </w:pBdr>
        <w:spacing w:before="0"/>
        <w:ind w:left="425" w:hanging="425"/>
        <w:rPr>
          <w:rFonts w:asciiTheme="minorHAnsi" w:hAnsiTheme="minorHAnsi" w:cstheme="minorHAnsi"/>
          <w:b w:val="0"/>
          <w:bCs/>
          <w:szCs w:val="18"/>
          <w:bdr w:val="nil"/>
        </w:rPr>
      </w:pPr>
      <w:r w:rsidRPr="005E3B44">
        <w:rPr>
          <w:rFonts w:asciiTheme="minorHAnsi" w:hAnsiTheme="minorHAnsi" w:cstheme="minorHAnsi"/>
          <w:b w:val="0"/>
          <w:bCs/>
          <w:szCs w:val="18"/>
          <w:bdr w:val="nil"/>
        </w:rPr>
        <w:t xml:space="preserve">The targets for the perception of safety indicators are based on the national average for the previous financial year. </w:t>
      </w:r>
    </w:p>
    <w:p w14:paraId="487CC8FA" w14:textId="77777777" w:rsidR="002242F3" w:rsidRPr="005E3B44" w:rsidRDefault="002242F3" w:rsidP="002242F3">
      <w:pPr>
        <w:pStyle w:val="BSnoteslist"/>
        <w:numPr>
          <w:ilvl w:val="0"/>
          <w:numId w:val="0"/>
        </w:numPr>
        <w:pBdr>
          <w:top w:val="nil"/>
          <w:left w:val="nil"/>
          <w:bottom w:val="nil"/>
          <w:right w:val="nil"/>
          <w:between w:val="nil"/>
          <w:bar w:val="nil"/>
        </w:pBdr>
        <w:ind w:left="360"/>
        <w:rPr>
          <w:rFonts w:asciiTheme="minorHAnsi" w:hAnsiTheme="minorHAnsi" w:cstheme="minorHAnsi"/>
          <w:bdr w:val="nil"/>
        </w:rPr>
      </w:pPr>
    </w:p>
    <w:p w14:paraId="76370758"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color w:val="000000"/>
          <w:sz w:val="18"/>
          <w:szCs w:val="18"/>
          <w:bdr w:val="nil"/>
          <w:lang w:eastAsia="en-AU"/>
        </w:rPr>
      </w:pPr>
      <w:r w:rsidRPr="005E3B44">
        <w:rPr>
          <w:rFonts w:asciiTheme="minorHAnsi" w:hAnsiTheme="minorHAnsi" w:cstheme="minorHAnsi"/>
          <w:b/>
          <w:bCs/>
          <w:color w:val="000000"/>
          <w:sz w:val="18"/>
          <w:szCs w:val="18"/>
          <w:bdr w:val="nil"/>
          <w:lang w:eastAsia="en-AU"/>
        </w:rPr>
        <w:t>Note:</w:t>
      </w:r>
    </w:p>
    <w:p w14:paraId="3821A3B8" w14:textId="77777777" w:rsidR="002242F3" w:rsidRPr="005E3B44" w:rsidRDefault="002242F3" w:rsidP="002242F3">
      <w:pPr>
        <w:pBdr>
          <w:top w:val="nil"/>
          <w:left w:val="nil"/>
          <w:bottom w:val="nil"/>
          <w:right w:val="nil"/>
          <w:between w:val="nil"/>
          <w:bar w:val="nil"/>
        </w:pBdr>
        <w:spacing w:before="0"/>
        <w:ind w:left="426" w:hanging="426"/>
        <w:rPr>
          <w:rFonts w:asciiTheme="minorHAnsi" w:hAnsiTheme="minorHAnsi" w:cstheme="minorHAnsi"/>
          <w:i/>
          <w:iCs/>
          <w:sz w:val="18"/>
          <w:szCs w:val="18"/>
          <w:bdr w:val="nil"/>
        </w:rPr>
      </w:pPr>
      <w:r w:rsidRPr="005E3B44">
        <w:rPr>
          <w:rFonts w:asciiTheme="minorHAnsi" w:hAnsiTheme="minorHAnsi" w:cstheme="minorHAnsi"/>
          <w:sz w:val="18"/>
          <w:szCs w:val="18"/>
          <w:bdr w:val="nil"/>
        </w:rPr>
        <w:t>1.</w:t>
      </w:r>
      <w:r w:rsidRPr="005E3B44">
        <w:rPr>
          <w:rFonts w:asciiTheme="minorHAnsi" w:hAnsiTheme="minorHAnsi" w:cstheme="minorHAnsi"/>
          <w:sz w:val="18"/>
          <w:szCs w:val="18"/>
          <w:bdr w:val="nil"/>
        </w:rPr>
        <w:tab/>
        <w:t xml:space="preserve">ACT Government and ACT Policing implemented a range of targeted activities aimed at keeping property crime rates low under the </w:t>
      </w:r>
      <w:r w:rsidRPr="005E3B44">
        <w:rPr>
          <w:rFonts w:asciiTheme="minorHAnsi" w:hAnsiTheme="minorHAnsi" w:cstheme="minorHAnsi"/>
          <w:i/>
          <w:iCs/>
          <w:sz w:val="18"/>
          <w:szCs w:val="18"/>
          <w:bdr w:val="nil"/>
        </w:rPr>
        <w:t>Property Crime Prevention Strategy 2016-2020</w:t>
      </w:r>
      <w:r w:rsidRPr="005E3B44">
        <w:rPr>
          <w:rFonts w:asciiTheme="minorHAnsi" w:hAnsiTheme="minorHAnsi" w:cstheme="minorHAnsi"/>
          <w:sz w:val="18"/>
          <w:szCs w:val="18"/>
          <w:bdr w:val="nil"/>
        </w:rPr>
        <w:t>.</w:t>
      </w:r>
    </w:p>
    <w:p w14:paraId="7D92A148"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dr w:val="nil"/>
        </w:rPr>
      </w:pPr>
    </w:p>
    <w:p w14:paraId="7D424662"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sz w:val="18"/>
          <w:szCs w:val="24"/>
          <w:bdr w:val="nil"/>
        </w:rPr>
      </w:pPr>
      <w:bookmarkStart w:id="9" w:name="_Hlk83885340"/>
      <w:r w:rsidRPr="005E3B44">
        <w:rPr>
          <w:rFonts w:asciiTheme="minorHAnsi" w:hAnsiTheme="minorHAnsi" w:cstheme="minorHAnsi"/>
          <w:bdr w:val="nil"/>
        </w:rPr>
        <w:lastRenderedPageBreak/>
        <w:t xml:space="preserve">Strategic Objective 3 </w:t>
      </w:r>
    </w:p>
    <w:p w14:paraId="729307EC" w14:textId="77777777" w:rsidR="002242F3" w:rsidRPr="005E3B44" w:rsidRDefault="002242F3" w:rsidP="004C1875">
      <w:pPr>
        <w:pStyle w:val="Heading4"/>
      </w:pPr>
      <w:r w:rsidRPr="005E3B44">
        <w:t>Safe Community — Emergency Services</w:t>
      </w:r>
    </w:p>
    <w:p w14:paraId="0DA3DF59" w14:textId="17776FEC"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Table </w:t>
      </w:r>
      <w:r w:rsidR="00796CA3">
        <w:rPr>
          <w:rFonts w:asciiTheme="minorHAnsi" w:hAnsiTheme="minorHAnsi" w:cstheme="minorHAnsi"/>
          <w:bdr w:val="nil"/>
        </w:rPr>
        <w:t>4</w:t>
      </w:r>
      <w:r w:rsidRPr="005E3B44">
        <w:rPr>
          <w:rFonts w:asciiTheme="minorHAnsi" w:hAnsiTheme="minorHAnsi" w:cstheme="minorHAnsi"/>
          <w:bdr w:val="nil"/>
        </w:rPr>
        <w:t>: Strategic Indicator 3:  Emergency Related Community Safety</w:t>
      </w:r>
    </w:p>
    <w:tbl>
      <w:tblPr>
        <w:tblW w:w="9243" w:type="dxa"/>
        <w:tblBorders>
          <w:top w:val="single" w:sz="4" w:space="0" w:color="auto"/>
          <w:bottom w:val="single" w:sz="4" w:space="0" w:color="auto"/>
        </w:tblBorders>
        <w:tblLook w:val="01E0" w:firstRow="1" w:lastRow="1" w:firstColumn="1" w:lastColumn="1" w:noHBand="0" w:noVBand="0"/>
      </w:tblPr>
      <w:tblGrid>
        <w:gridCol w:w="1460"/>
        <w:gridCol w:w="3398"/>
        <w:gridCol w:w="1457"/>
        <w:gridCol w:w="1455"/>
        <w:gridCol w:w="1473"/>
      </w:tblGrid>
      <w:tr w:rsidR="002242F3" w:rsidRPr="005E3B44" w14:paraId="6BCEF4E6" w14:textId="77777777" w:rsidTr="00A25076">
        <w:tc>
          <w:tcPr>
            <w:tcW w:w="790" w:type="pct"/>
            <w:tcBorders>
              <w:top w:val="single" w:sz="12" w:space="0" w:color="auto"/>
              <w:left w:val="nil"/>
              <w:bottom w:val="single" w:sz="12" w:space="0" w:color="auto"/>
              <w:right w:val="nil"/>
            </w:tcBorders>
            <w:hideMark/>
          </w:tcPr>
          <w:p w14:paraId="62BC217C"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bookmarkStart w:id="10" w:name="_Hlk83885106"/>
            <w:bookmarkEnd w:id="9"/>
            <w:r w:rsidRPr="005E3B44">
              <w:rPr>
                <w:rFonts w:asciiTheme="minorHAnsi" w:hAnsiTheme="minorHAnsi" w:cstheme="minorHAnsi"/>
                <w:bdr w:val="nil"/>
              </w:rPr>
              <w:t>Success</w:t>
            </w:r>
          </w:p>
        </w:tc>
        <w:tc>
          <w:tcPr>
            <w:tcW w:w="1838" w:type="pct"/>
            <w:tcBorders>
              <w:top w:val="single" w:sz="12" w:space="0" w:color="auto"/>
              <w:left w:val="nil"/>
              <w:bottom w:val="single" w:sz="12" w:space="0" w:color="auto"/>
              <w:right w:val="nil"/>
            </w:tcBorders>
            <w:hideMark/>
          </w:tcPr>
          <w:p w14:paraId="665D8F2D"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 xml:space="preserve">Strategic Indicator </w:t>
            </w:r>
          </w:p>
        </w:tc>
        <w:tc>
          <w:tcPr>
            <w:tcW w:w="788" w:type="pct"/>
            <w:tcBorders>
              <w:top w:val="single" w:sz="12" w:space="0" w:color="auto"/>
              <w:left w:val="nil"/>
              <w:bottom w:val="single" w:sz="12" w:space="0" w:color="auto"/>
              <w:right w:val="nil"/>
            </w:tcBorders>
            <w:hideMark/>
          </w:tcPr>
          <w:p w14:paraId="2E4A983A"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7EBEAB9A"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c>
          <w:tcPr>
            <w:tcW w:w="787" w:type="pct"/>
            <w:tcBorders>
              <w:top w:val="single" w:sz="12" w:space="0" w:color="auto"/>
              <w:left w:val="nil"/>
              <w:bottom w:val="single" w:sz="12" w:space="0" w:color="auto"/>
              <w:right w:val="nil"/>
            </w:tcBorders>
            <w:hideMark/>
          </w:tcPr>
          <w:p w14:paraId="73CA3E89"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30CDF6E5"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Actuals</w:t>
            </w:r>
          </w:p>
        </w:tc>
        <w:tc>
          <w:tcPr>
            <w:tcW w:w="797" w:type="pct"/>
            <w:tcBorders>
              <w:top w:val="single" w:sz="12" w:space="0" w:color="auto"/>
              <w:left w:val="nil"/>
              <w:bottom w:val="single" w:sz="12" w:space="0" w:color="auto"/>
              <w:right w:val="nil"/>
            </w:tcBorders>
            <w:hideMark/>
          </w:tcPr>
          <w:p w14:paraId="68858309"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6500D3EC"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r>
      <w:bookmarkEnd w:id="10"/>
      <w:tr w:rsidR="002242F3" w:rsidRPr="005E3B44" w14:paraId="0268EB5B" w14:textId="77777777" w:rsidTr="005E3B44">
        <w:tc>
          <w:tcPr>
            <w:tcW w:w="790" w:type="pct"/>
            <w:vMerge w:val="restart"/>
            <w:tcBorders>
              <w:top w:val="single" w:sz="12" w:space="0" w:color="auto"/>
              <w:left w:val="nil"/>
              <w:bottom w:val="nil"/>
              <w:right w:val="nil"/>
            </w:tcBorders>
            <w:hideMark/>
          </w:tcPr>
          <w:p w14:paraId="7D961888"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eastAsia="Arial Unicode MS" w:hAnsiTheme="minorHAnsi" w:cstheme="minorHAnsi"/>
                <w:b w:val="0"/>
                <w:sz w:val="20"/>
                <w:bdr w:val="nil"/>
              </w:rPr>
              <w:t xml:space="preserve">Increased </w:t>
            </w:r>
            <w:r w:rsidRPr="005E3B44">
              <w:rPr>
                <w:rFonts w:asciiTheme="minorHAnsi" w:hAnsiTheme="minorHAnsi" w:cstheme="minorHAnsi"/>
                <w:b w:val="0"/>
                <w:sz w:val="20"/>
                <w:bdr w:val="nil"/>
              </w:rPr>
              <w:t>community</w:t>
            </w:r>
            <w:r w:rsidRPr="005E3B44">
              <w:rPr>
                <w:rFonts w:asciiTheme="minorHAnsi" w:eastAsia="Arial Unicode MS" w:hAnsiTheme="minorHAnsi" w:cstheme="minorHAnsi"/>
                <w:b w:val="0"/>
                <w:sz w:val="20"/>
                <w:bdr w:val="nil"/>
              </w:rPr>
              <w:t xml:space="preserve"> resilience for emergencies</w:t>
            </w:r>
          </w:p>
        </w:tc>
        <w:tc>
          <w:tcPr>
            <w:tcW w:w="1838" w:type="pct"/>
            <w:tcBorders>
              <w:top w:val="nil"/>
              <w:left w:val="nil"/>
              <w:bottom w:val="nil"/>
              <w:right w:val="nil"/>
            </w:tcBorders>
            <w:hideMark/>
          </w:tcPr>
          <w:p w14:paraId="023818B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Percentage of planned community engagement and awareness events conducted </w:t>
            </w:r>
            <w:r w:rsidRPr="005E3B44">
              <w:rPr>
                <w:rFonts w:asciiTheme="minorHAnsi" w:hAnsiTheme="minorHAnsi" w:cstheme="minorHAnsi"/>
                <w:b w:val="0"/>
                <w:sz w:val="20"/>
                <w:szCs w:val="20"/>
                <w:bdr w:val="nil"/>
                <w:vertAlign w:val="superscript"/>
              </w:rPr>
              <w:t>a</w:t>
            </w:r>
          </w:p>
          <w:p w14:paraId="3D18C8F9"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7AE2BD8A"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90%</w:t>
            </w:r>
          </w:p>
        </w:tc>
        <w:tc>
          <w:tcPr>
            <w:tcW w:w="787" w:type="pct"/>
            <w:tcBorders>
              <w:top w:val="nil"/>
              <w:left w:val="nil"/>
              <w:bottom w:val="nil"/>
              <w:right w:val="nil"/>
            </w:tcBorders>
          </w:tcPr>
          <w:p w14:paraId="678E5A1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91%</w:t>
            </w:r>
          </w:p>
        </w:tc>
        <w:tc>
          <w:tcPr>
            <w:tcW w:w="797" w:type="pct"/>
            <w:tcBorders>
              <w:top w:val="nil"/>
              <w:left w:val="nil"/>
              <w:bottom w:val="nil"/>
              <w:right w:val="nil"/>
            </w:tcBorders>
          </w:tcPr>
          <w:p w14:paraId="5B23AB21"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n/a</w:t>
            </w:r>
          </w:p>
        </w:tc>
      </w:tr>
      <w:tr w:rsidR="002242F3" w:rsidRPr="005E3B44" w14:paraId="3999476E" w14:textId="77777777" w:rsidTr="005E3B44">
        <w:trPr>
          <w:trHeight w:val="148"/>
        </w:trPr>
        <w:tc>
          <w:tcPr>
            <w:tcW w:w="0" w:type="auto"/>
            <w:vMerge/>
            <w:tcBorders>
              <w:top w:val="single" w:sz="12" w:space="0" w:color="auto"/>
              <w:left w:val="nil"/>
              <w:bottom w:val="nil"/>
              <w:right w:val="nil"/>
            </w:tcBorders>
            <w:vAlign w:val="center"/>
          </w:tcPr>
          <w:p w14:paraId="0E19B7C9"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0BAC5691"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Percentage of Public Information &amp; Engagement Annual Plan Priority Projects and Campaigns delivered </w:t>
            </w:r>
            <w:r w:rsidRPr="005E3B44">
              <w:rPr>
                <w:rFonts w:asciiTheme="minorHAnsi" w:hAnsiTheme="minorHAnsi" w:cstheme="minorHAnsi"/>
                <w:b w:val="0"/>
                <w:sz w:val="20"/>
                <w:szCs w:val="20"/>
                <w:bdr w:val="nil"/>
                <w:vertAlign w:val="superscript"/>
              </w:rPr>
              <w:t>b</w:t>
            </w:r>
          </w:p>
          <w:p w14:paraId="6D81BA29"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24CFADA8"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87" w:type="pct"/>
            <w:tcBorders>
              <w:top w:val="nil"/>
              <w:left w:val="nil"/>
              <w:bottom w:val="nil"/>
              <w:right w:val="nil"/>
            </w:tcBorders>
          </w:tcPr>
          <w:p w14:paraId="4E45DC20"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97" w:type="pct"/>
            <w:tcBorders>
              <w:top w:val="nil"/>
              <w:left w:val="nil"/>
              <w:bottom w:val="nil"/>
              <w:right w:val="nil"/>
            </w:tcBorders>
          </w:tcPr>
          <w:p w14:paraId="691A8626"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90%</w:t>
            </w:r>
          </w:p>
        </w:tc>
      </w:tr>
      <w:tr w:rsidR="002242F3" w:rsidRPr="005E3B44" w14:paraId="0F101CCC" w14:textId="77777777" w:rsidTr="005E3B44">
        <w:trPr>
          <w:trHeight w:val="148"/>
        </w:trPr>
        <w:tc>
          <w:tcPr>
            <w:tcW w:w="0" w:type="auto"/>
            <w:vMerge/>
            <w:tcBorders>
              <w:top w:val="single" w:sz="12" w:space="0" w:color="auto"/>
              <w:left w:val="nil"/>
              <w:bottom w:val="nil"/>
              <w:right w:val="nil"/>
            </w:tcBorders>
            <w:vAlign w:val="center"/>
            <w:hideMark/>
          </w:tcPr>
          <w:p w14:paraId="485628D1"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hideMark/>
          </w:tcPr>
          <w:p w14:paraId="2C68BC4F"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Percentage of leaseholders within the Bushfire Abatement Zone with a Farm Fire-wise Plan </w:t>
            </w:r>
            <w:r w:rsidRPr="005E3B44">
              <w:rPr>
                <w:rFonts w:asciiTheme="minorHAnsi" w:hAnsiTheme="minorHAnsi" w:cstheme="minorHAnsi"/>
                <w:b w:val="0"/>
                <w:sz w:val="20"/>
                <w:szCs w:val="20"/>
                <w:bdr w:val="nil"/>
                <w:vertAlign w:val="superscript"/>
              </w:rPr>
              <w:t>c</w:t>
            </w:r>
          </w:p>
          <w:p w14:paraId="490CE922"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rPr>
            </w:pPr>
          </w:p>
        </w:tc>
        <w:tc>
          <w:tcPr>
            <w:tcW w:w="788" w:type="pct"/>
            <w:tcBorders>
              <w:top w:val="nil"/>
              <w:left w:val="nil"/>
              <w:bottom w:val="nil"/>
              <w:right w:val="nil"/>
            </w:tcBorders>
            <w:hideMark/>
          </w:tcPr>
          <w:p w14:paraId="0F588D4E"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100%</w:t>
            </w:r>
          </w:p>
        </w:tc>
        <w:tc>
          <w:tcPr>
            <w:tcW w:w="787" w:type="pct"/>
            <w:tcBorders>
              <w:top w:val="nil"/>
              <w:left w:val="nil"/>
              <w:bottom w:val="nil"/>
              <w:right w:val="nil"/>
            </w:tcBorders>
            <w:hideMark/>
          </w:tcPr>
          <w:p w14:paraId="5331958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99%</w:t>
            </w:r>
          </w:p>
        </w:tc>
        <w:tc>
          <w:tcPr>
            <w:tcW w:w="797" w:type="pct"/>
            <w:tcBorders>
              <w:top w:val="nil"/>
              <w:left w:val="nil"/>
              <w:bottom w:val="nil"/>
              <w:right w:val="nil"/>
            </w:tcBorders>
            <w:hideMark/>
          </w:tcPr>
          <w:p w14:paraId="3042D5C8"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n/a</w:t>
            </w:r>
          </w:p>
        </w:tc>
      </w:tr>
      <w:tr w:rsidR="002242F3" w:rsidRPr="005E3B44" w14:paraId="4A71E422" w14:textId="77777777" w:rsidTr="005E3B44">
        <w:trPr>
          <w:trHeight w:val="219"/>
        </w:trPr>
        <w:tc>
          <w:tcPr>
            <w:tcW w:w="0" w:type="auto"/>
            <w:vMerge/>
            <w:tcBorders>
              <w:top w:val="single" w:sz="12" w:space="0" w:color="auto"/>
              <w:left w:val="nil"/>
              <w:bottom w:val="nil"/>
              <w:right w:val="nil"/>
            </w:tcBorders>
            <w:vAlign w:val="center"/>
          </w:tcPr>
          <w:p w14:paraId="782D67FE"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00FB69B9"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Percentage of leases within the Bushfire Abatement Zone with a Farm Fire-wise Plan </w:t>
            </w:r>
            <w:r w:rsidRPr="005E3B44">
              <w:rPr>
                <w:rFonts w:asciiTheme="minorHAnsi" w:hAnsiTheme="minorHAnsi" w:cstheme="minorHAnsi"/>
                <w:b w:val="0"/>
                <w:sz w:val="20"/>
                <w:szCs w:val="20"/>
                <w:bdr w:val="nil"/>
                <w:vertAlign w:val="superscript"/>
              </w:rPr>
              <w:t>c</w:t>
            </w:r>
          </w:p>
          <w:p w14:paraId="481387CB"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304D4952"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n/a</w:t>
            </w:r>
          </w:p>
        </w:tc>
        <w:tc>
          <w:tcPr>
            <w:tcW w:w="787" w:type="pct"/>
            <w:tcBorders>
              <w:top w:val="nil"/>
              <w:left w:val="nil"/>
              <w:bottom w:val="nil"/>
              <w:right w:val="nil"/>
            </w:tcBorders>
          </w:tcPr>
          <w:p w14:paraId="2002942D"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97" w:type="pct"/>
            <w:tcBorders>
              <w:top w:val="nil"/>
              <w:left w:val="nil"/>
              <w:bottom w:val="nil"/>
              <w:right w:val="nil"/>
            </w:tcBorders>
          </w:tcPr>
          <w:p w14:paraId="1DFB3D78"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100%</w:t>
            </w:r>
          </w:p>
        </w:tc>
      </w:tr>
      <w:tr w:rsidR="002242F3" w:rsidRPr="005E3B44" w14:paraId="36D03581" w14:textId="77777777" w:rsidTr="005E3B44">
        <w:trPr>
          <w:trHeight w:val="219"/>
        </w:trPr>
        <w:tc>
          <w:tcPr>
            <w:tcW w:w="0" w:type="auto"/>
            <w:vMerge/>
            <w:tcBorders>
              <w:top w:val="single" w:sz="12" w:space="0" w:color="auto"/>
              <w:left w:val="nil"/>
              <w:bottom w:val="nil"/>
              <w:right w:val="nil"/>
            </w:tcBorders>
            <w:vAlign w:val="center"/>
            <w:hideMark/>
          </w:tcPr>
          <w:p w14:paraId="0E49C765"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hideMark/>
          </w:tcPr>
          <w:p w14:paraId="3F73156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Number of sub-plans to the ACT Emergency Plan reviewed </w:t>
            </w:r>
            <w:r w:rsidRPr="005E3B44">
              <w:rPr>
                <w:rFonts w:asciiTheme="minorHAnsi" w:hAnsiTheme="minorHAnsi" w:cstheme="minorHAnsi"/>
                <w:b w:val="0"/>
                <w:sz w:val="20"/>
                <w:szCs w:val="20"/>
                <w:bdr w:val="nil"/>
                <w:vertAlign w:val="superscript"/>
              </w:rPr>
              <w:t>a,</w:t>
            </w:r>
            <w:r w:rsidRPr="005E3B44">
              <w:rPr>
                <w:rFonts w:asciiTheme="minorHAnsi" w:hAnsiTheme="minorHAnsi" w:cstheme="minorHAnsi"/>
                <w:b w:val="0"/>
                <w:sz w:val="22"/>
                <w:szCs w:val="22"/>
                <w:bdr w:val="nil"/>
              </w:rPr>
              <w:t xml:space="preserve"> </w:t>
            </w:r>
            <w:r w:rsidRPr="005E3B44">
              <w:rPr>
                <w:rFonts w:asciiTheme="minorHAnsi" w:hAnsiTheme="minorHAnsi" w:cstheme="minorHAnsi"/>
                <w:b w:val="0"/>
                <w:sz w:val="20"/>
                <w:szCs w:val="20"/>
                <w:bdr w:val="nil"/>
                <w:vertAlign w:val="superscript"/>
              </w:rPr>
              <w:t>1</w:t>
            </w:r>
          </w:p>
          <w:p w14:paraId="3D08F499"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hideMark/>
          </w:tcPr>
          <w:p w14:paraId="1B9C65CE"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6</w:t>
            </w:r>
          </w:p>
        </w:tc>
        <w:tc>
          <w:tcPr>
            <w:tcW w:w="787" w:type="pct"/>
            <w:tcBorders>
              <w:top w:val="nil"/>
              <w:left w:val="nil"/>
              <w:bottom w:val="nil"/>
              <w:right w:val="nil"/>
            </w:tcBorders>
            <w:hideMark/>
          </w:tcPr>
          <w:p w14:paraId="59FA499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2</w:t>
            </w:r>
          </w:p>
        </w:tc>
        <w:tc>
          <w:tcPr>
            <w:tcW w:w="797" w:type="pct"/>
            <w:tcBorders>
              <w:top w:val="nil"/>
              <w:left w:val="nil"/>
              <w:bottom w:val="nil"/>
              <w:right w:val="nil"/>
            </w:tcBorders>
            <w:hideMark/>
          </w:tcPr>
          <w:p w14:paraId="71E69ADE"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n/a</w:t>
            </w:r>
          </w:p>
        </w:tc>
      </w:tr>
      <w:tr w:rsidR="002242F3" w:rsidRPr="005E3B44" w14:paraId="24EC8AD4" w14:textId="77777777" w:rsidTr="005E3B44">
        <w:trPr>
          <w:trHeight w:val="219"/>
        </w:trPr>
        <w:tc>
          <w:tcPr>
            <w:tcW w:w="0" w:type="auto"/>
            <w:vMerge/>
            <w:tcBorders>
              <w:top w:val="single" w:sz="12" w:space="0" w:color="auto"/>
              <w:left w:val="nil"/>
              <w:bottom w:val="nil"/>
              <w:right w:val="nil"/>
            </w:tcBorders>
            <w:vAlign w:val="center"/>
          </w:tcPr>
          <w:p w14:paraId="6CA15D44"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0583FDE1"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Percentage of ESA led Emergency plans, sub plans and supporting plans within accepted ACT planning and review governance and timeframes </w:t>
            </w:r>
            <w:r w:rsidRPr="005E3B44">
              <w:rPr>
                <w:rFonts w:asciiTheme="minorHAnsi" w:hAnsiTheme="minorHAnsi" w:cstheme="minorHAnsi"/>
                <w:b w:val="0"/>
                <w:sz w:val="20"/>
                <w:szCs w:val="20"/>
                <w:bdr w:val="nil"/>
                <w:vertAlign w:val="superscript"/>
              </w:rPr>
              <w:t>d</w:t>
            </w:r>
          </w:p>
          <w:p w14:paraId="33AF641A"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6A9FF83C"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87" w:type="pct"/>
            <w:tcBorders>
              <w:top w:val="nil"/>
              <w:left w:val="nil"/>
              <w:bottom w:val="nil"/>
              <w:right w:val="nil"/>
            </w:tcBorders>
          </w:tcPr>
          <w:p w14:paraId="1602F7E2"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97" w:type="pct"/>
            <w:tcBorders>
              <w:top w:val="nil"/>
              <w:left w:val="nil"/>
              <w:bottom w:val="nil"/>
              <w:right w:val="nil"/>
            </w:tcBorders>
          </w:tcPr>
          <w:p w14:paraId="0AEC43AA"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100%</w:t>
            </w:r>
          </w:p>
        </w:tc>
      </w:tr>
      <w:tr w:rsidR="002242F3" w:rsidRPr="005E3B44" w14:paraId="2FB46026" w14:textId="77777777" w:rsidTr="005E3B44">
        <w:trPr>
          <w:trHeight w:val="219"/>
        </w:trPr>
        <w:tc>
          <w:tcPr>
            <w:tcW w:w="0" w:type="auto"/>
            <w:vMerge/>
            <w:tcBorders>
              <w:top w:val="single" w:sz="12" w:space="0" w:color="auto"/>
              <w:left w:val="nil"/>
              <w:bottom w:val="nil"/>
              <w:right w:val="nil"/>
            </w:tcBorders>
            <w:vAlign w:val="center"/>
            <w:hideMark/>
          </w:tcPr>
          <w:p w14:paraId="2196B817"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hideMark/>
          </w:tcPr>
          <w:p w14:paraId="2E21125D"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 xml:space="preserve">ACT Public Information Coordination Centre for ESA lead emergency response </w:t>
            </w:r>
          </w:p>
          <w:p w14:paraId="45CA429E"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 number of exercises conducted </w:t>
            </w:r>
            <w:r w:rsidRPr="005E3B44">
              <w:rPr>
                <w:rFonts w:asciiTheme="minorHAnsi" w:hAnsiTheme="minorHAnsi" w:cstheme="minorHAnsi"/>
                <w:b w:val="0"/>
                <w:sz w:val="20"/>
                <w:szCs w:val="20"/>
                <w:bdr w:val="nil"/>
                <w:vertAlign w:val="superscript"/>
              </w:rPr>
              <w:t>a,</w:t>
            </w:r>
            <w:r w:rsidRPr="005E3B44">
              <w:rPr>
                <w:rFonts w:asciiTheme="minorHAnsi" w:hAnsiTheme="minorHAnsi" w:cstheme="minorHAnsi"/>
                <w:b w:val="0"/>
                <w:sz w:val="22"/>
                <w:szCs w:val="22"/>
                <w:bdr w:val="nil"/>
              </w:rPr>
              <w:t xml:space="preserve"> </w:t>
            </w:r>
            <w:r w:rsidRPr="005E3B44">
              <w:rPr>
                <w:rFonts w:asciiTheme="minorHAnsi" w:hAnsiTheme="minorHAnsi" w:cstheme="minorHAnsi"/>
                <w:b w:val="0"/>
                <w:sz w:val="20"/>
                <w:szCs w:val="20"/>
                <w:bdr w:val="nil"/>
                <w:vertAlign w:val="superscript"/>
              </w:rPr>
              <w:t>2</w:t>
            </w:r>
          </w:p>
          <w:p w14:paraId="7B6A702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hideMark/>
          </w:tcPr>
          <w:p w14:paraId="3D5D7052"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2</w:t>
            </w:r>
          </w:p>
        </w:tc>
        <w:tc>
          <w:tcPr>
            <w:tcW w:w="787" w:type="pct"/>
            <w:tcBorders>
              <w:top w:val="nil"/>
              <w:left w:val="nil"/>
              <w:bottom w:val="nil"/>
              <w:right w:val="nil"/>
            </w:tcBorders>
            <w:hideMark/>
          </w:tcPr>
          <w:p w14:paraId="44AABFD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3</w:t>
            </w:r>
          </w:p>
        </w:tc>
        <w:tc>
          <w:tcPr>
            <w:tcW w:w="797" w:type="pct"/>
            <w:tcBorders>
              <w:top w:val="nil"/>
              <w:left w:val="nil"/>
              <w:bottom w:val="nil"/>
              <w:right w:val="nil"/>
            </w:tcBorders>
            <w:hideMark/>
          </w:tcPr>
          <w:p w14:paraId="658EBB4D"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n/a</w:t>
            </w:r>
          </w:p>
        </w:tc>
      </w:tr>
      <w:tr w:rsidR="002242F3" w:rsidRPr="005E3B44" w14:paraId="47114EF3" w14:textId="77777777" w:rsidTr="005E3B44">
        <w:trPr>
          <w:trHeight w:val="423"/>
        </w:trPr>
        <w:tc>
          <w:tcPr>
            <w:tcW w:w="0" w:type="auto"/>
            <w:tcBorders>
              <w:top w:val="nil"/>
              <w:left w:val="nil"/>
              <w:bottom w:val="nil"/>
              <w:right w:val="nil"/>
            </w:tcBorders>
            <w:vAlign w:val="center"/>
          </w:tcPr>
          <w:p w14:paraId="35D97037"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71B2C2B9"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Percentage of evaluations conducted for completed Public Information &amp; Engagement Campaigns </w:t>
            </w:r>
            <w:r w:rsidRPr="005E3B44">
              <w:rPr>
                <w:rFonts w:asciiTheme="minorHAnsi" w:hAnsiTheme="minorHAnsi" w:cstheme="minorHAnsi"/>
                <w:b w:val="0"/>
                <w:sz w:val="20"/>
                <w:szCs w:val="20"/>
                <w:bdr w:val="nil"/>
                <w:vertAlign w:val="superscript"/>
              </w:rPr>
              <w:t>e</w:t>
            </w:r>
          </w:p>
          <w:p w14:paraId="71E51DC1"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7DB35A57"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87" w:type="pct"/>
            <w:tcBorders>
              <w:top w:val="nil"/>
              <w:left w:val="nil"/>
              <w:bottom w:val="nil"/>
              <w:right w:val="nil"/>
            </w:tcBorders>
          </w:tcPr>
          <w:p w14:paraId="649DA4BA"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97" w:type="pct"/>
            <w:tcBorders>
              <w:top w:val="nil"/>
              <w:left w:val="nil"/>
              <w:bottom w:val="nil"/>
              <w:right w:val="nil"/>
            </w:tcBorders>
          </w:tcPr>
          <w:p w14:paraId="0EC56DC8"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90%</w:t>
            </w:r>
          </w:p>
        </w:tc>
      </w:tr>
      <w:tr w:rsidR="002242F3" w:rsidRPr="005E3B44" w14:paraId="4B42A7E8" w14:textId="77777777" w:rsidTr="005E3B44">
        <w:trPr>
          <w:trHeight w:val="423"/>
        </w:trPr>
        <w:tc>
          <w:tcPr>
            <w:tcW w:w="0" w:type="auto"/>
            <w:tcBorders>
              <w:top w:val="nil"/>
              <w:left w:val="nil"/>
              <w:bottom w:val="nil"/>
              <w:right w:val="nil"/>
            </w:tcBorders>
            <w:vAlign w:val="center"/>
          </w:tcPr>
          <w:p w14:paraId="7E0E8A14"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0ED41E40"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Percentage of emergency alerts, </w:t>
            </w:r>
            <w:proofErr w:type="gramStart"/>
            <w:r w:rsidRPr="005E3B44">
              <w:rPr>
                <w:rFonts w:asciiTheme="minorHAnsi" w:hAnsiTheme="minorHAnsi" w:cstheme="minorHAnsi"/>
                <w:b w:val="0"/>
                <w:sz w:val="20"/>
                <w:szCs w:val="20"/>
                <w:bdr w:val="nil"/>
              </w:rPr>
              <w:t>updates</w:t>
            </w:r>
            <w:proofErr w:type="gramEnd"/>
            <w:r w:rsidRPr="005E3B44">
              <w:rPr>
                <w:rFonts w:asciiTheme="minorHAnsi" w:hAnsiTheme="minorHAnsi" w:cstheme="minorHAnsi"/>
                <w:b w:val="0"/>
                <w:sz w:val="20"/>
                <w:szCs w:val="20"/>
                <w:bdr w:val="nil"/>
              </w:rPr>
              <w:t xml:space="preserve"> and warnings to the ACT community through the use of the SPOT System </w:t>
            </w:r>
            <w:r w:rsidRPr="005E3B44">
              <w:rPr>
                <w:rFonts w:asciiTheme="minorHAnsi" w:hAnsiTheme="minorHAnsi" w:cstheme="minorHAnsi"/>
                <w:b w:val="0"/>
                <w:sz w:val="20"/>
                <w:szCs w:val="20"/>
                <w:bdr w:val="nil"/>
                <w:vertAlign w:val="superscript"/>
              </w:rPr>
              <w:t>a</w:t>
            </w:r>
          </w:p>
          <w:p w14:paraId="7A992FD3"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61CCA2C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100%</w:t>
            </w:r>
          </w:p>
        </w:tc>
        <w:tc>
          <w:tcPr>
            <w:tcW w:w="787" w:type="pct"/>
            <w:tcBorders>
              <w:top w:val="nil"/>
              <w:left w:val="nil"/>
              <w:bottom w:val="nil"/>
              <w:right w:val="nil"/>
            </w:tcBorders>
          </w:tcPr>
          <w:p w14:paraId="028E2A61"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100%</w:t>
            </w:r>
          </w:p>
        </w:tc>
        <w:tc>
          <w:tcPr>
            <w:tcW w:w="797" w:type="pct"/>
            <w:tcBorders>
              <w:top w:val="nil"/>
              <w:left w:val="nil"/>
              <w:bottom w:val="nil"/>
              <w:right w:val="nil"/>
            </w:tcBorders>
          </w:tcPr>
          <w:p w14:paraId="22FC7C8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eastAsia="Arial Unicode MS" w:hAnsiTheme="minorHAnsi" w:cstheme="minorHAnsi"/>
                <w:bdr w:val="nil"/>
              </w:rPr>
              <w:t>n/a</w:t>
            </w:r>
          </w:p>
        </w:tc>
      </w:tr>
      <w:tr w:rsidR="002242F3" w:rsidRPr="005E3B44" w14:paraId="0B089500" w14:textId="77777777" w:rsidTr="005E3B44">
        <w:trPr>
          <w:trHeight w:val="303"/>
        </w:trPr>
        <w:tc>
          <w:tcPr>
            <w:tcW w:w="0" w:type="auto"/>
            <w:tcBorders>
              <w:top w:val="nil"/>
              <w:left w:val="nil"/>
              <w:bottom w:val="nil"/>
              <w:right w:val="nil"/>
            </w:tcBorders>
            <w:vAlign w:val="center"/>
          </w:tcPr>
          <w:p w14:paraId="57303DBB"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70BD0F97"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Annual increase in social media reach</w:t>
            </w:r>
            <w:r w:rsidRPr="005E3B44">
              <w:rPr>
                <w:rFonts w:asciiTheme="minorHAnsi" w:hAnsiTheme="minorHAnsi" w:cstheme="minorHAnsi"/>
                <w:b w:val="0"/>
                <w:sz w:val="16"/>
                <w:szCs w:val="16"/>
                <w:bdr w:val="nil"/>
              </w:rPr>
              <w:t xml:space="preserve"> </w:t>
            </w:r>
            <w:r w:rsidRPr="005E3B44">
              <w:rPr>
                <w:rFonts w:asciiTheme="minorHAnsi" w:hAnsiTheme="minorHAnsi" w:cstheme="minorHAnsi"/>
                <w:b w:val="0"/>
                <w:sz w:val="20"/>
                <w:szCs w:val="20"/>
                <w:bdr w:val="nil"/>
                <w:vertAlign w:val="superscript"/>
              </w:rPr>
              <w:t>f</w:t>
            </w:r>
            <w:r w:rsidRPr="005E3B44">
              <w:rPr>
                <w:rFonts w:asciiTheme="minorHAnsi" w:hAnsiTheme="minorHAnsi" w:cstheme="minorHAnsi"/>
                <w:b w:val="0"/>
                <w:sz w:val="20"/>
                <w:szCs w:val="20"/>
                <w:bdr w:val="nil"/>
              </w:rPr>
              <w:t xml:space="preserve">  </w:t>
            </w:r>
          </w:p>
          <w:p w14:paraId="200BF9D6"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067C4277"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87" w:type="pct"/>
            <w:tcBorders>
              <w:top w:val="nil"/>
              <w:left w:val="nil"/>
              <w:bottom w:val="nil"/>
              <w:right w:val="nil"/>
            </w:tcBorders>
          </w:tcPr>
          <w:p w14:paraId="680E79CA"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97" w:type="pct"/>
            <w:tcBorders>
              <w:top w:val="nil"/>
              <w:left w:val="nil"/>
              <w:bottom w:val="nil"/>
              <w:right w:val="nil"/>
            </w:tcBorders>
          </w:tcPr>
          <w:p w14:paraId="0E631AD2"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5%</w:t>
            </w:r>
          </w:p>
        </w:tc>
      </w:tr>
      <w:tr w:rsidR="002242F3" w:rsidRPr="005E3B44" w14:paraId="53BD4C93" w14:textId="77777777" w:rsidTr="005E3B44">
        <w:trPr>
          <w:trHeight w:val="423"/>
        </w:trPr>
        <w:tc>
          <w:tcPr>
            <w:tcW w:w="0" w:type="auto"/>
            <w:tcBorders>
              <w:top w:val="nil"/>
              <w:left w:val="nil"/>
              <w:bottom w:val="nil"/>
              <w:right w:val="nil"/>
            </w:tcBorders>
            <w:vAlign w:val="center"/>
          </w:tcPr>
          <w:p w14:paraId="6348E901"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7F1FBA8E"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szCs w:val="20"/>
                <w:bdr w:val="nil"/>
              </w:rPr>
              <w:t xml:space="preserve">Maintain or increase volunteer levels Percentage change in levels </w:t>
            </w:r>
            <w:r w:rsidRPr="005E3B44">
              <w:rPr>
                <w:rFonts w:asciiTheme="minorHAnsi" w:hAnsiTheme="minorHAnsi" w:cstheme="minorHAnsi"/>
                <w:b w:val="0"/>
                <w:sz w:val="20"/>
                <w:szCs w:val="20"/>
                <w:bdr w:val="nil"/>
                <w:vertAlign w:val="superscript"/>
              </w:rPr>
              <w:t>3</w:t>
            </w:r>
          </w:p>
          <w:p w14:paraId="7F44C8B3"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0CD4899F"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w:t>
            </w:r>
          </w:p>
        </w:tc>
        <w:tc>
          <w:tcPr>
            <w:tcW w:w="787" w:type="pct"/>
            <w:tcBorders>
              <w:top w:val="nil"/>
              <w:left w:val="nil"/>
              <w:bottom w:val="nil"/>
              <w:right w:val="nil"/>
            </w:tcBorders>
          </w:tcPr>
          <w:p w14:paraId="50B03F59"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-1.72%</w:t>
            </w:r>
          </w:p>
        </w:tc>
        <w:tc>
          <w:tcPr>
            <w:tcW w:w="797" w:type="pct"/>
            <w:tcBorders>
              <w:top w:val="nil"/>
              <w:left w:val="nil"/>
              <w:bottom w:val="nil"/>
              <w:right w:val="nil"/>
            </w:tcBorders>
          </w:tcPr>
          <w:p w14:paraId="147B2814" w14:textId="77777777" w:rsidR="002242F3" w:rsidRPr="005E3B44" w:rsidRDefault="002242F3" w:rsidP="005E3B44">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w:t>
            </w:r>
          </w:p>
        </w:tc>
      </w:tr>
    </w:tbl>
    <w:p w14:paraId="3A1F8DAC" w14:textId="77777777" w:rsidR="0028058E" w:rsidRDefault="0028058E"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51421F0B" w14:textId="77777777" w:rsidR="0028058E" w:rsidRDefault="0028058E"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575FE329" w14:textId="77777777" w:rsidR="0028058E" w:rsidRDefault="0028058E"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3AA96299" w14:textId="68564DB9" w:rsidR="004C1875" w:rsidRPr="004C1875" w:rsidRDefault="00A25076" w:rsidP="004C1875">
      <w:pPr>
        <w:pStyle w:val="Heading4"/>
      </w:pPr>
      <w:r w:rsidRPr="004C1875">
        <w:lastRenderedPageBreak/>
        <w:t>Strategic Objective 3</w:t>
      </w:r>
      <w:r w:rsidR="004C1875" w:rsidRPr="004C1875">
        <w:t xml:space="preserve"> (Continued)</w:t>
      </w:r>
    </w:p>
    <w:p w14:paraId="049335AA" w14:textId="660A77F8" w:rsidR="0028058E" w:rsidRPr="005E3B44" w:rsidRDefault="0028058E" w:rsidP="004C1875">
      <w:pPr>
        <w:pStyle w:val="Heading4"/>
      </w:pPr>
      <w:r w:rsidRPr="005E3B44">
        <w:t>Safe Community — Emergency Services</w:t>
      </w:r>
      <w:r>
        <w:t xml:space="preserve"> (Continued)</w:t>
      </w:r>
    </w:p>
    <w:p w14:paraId="1E7E7E45" w14:textId="4B59709B" w:rsidR="0028058E" w:rsidRPr="005E3B44" w:rsidRDefault="0028058E" w:rsidP="0028058E">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Table </w:t>
      </w:r>
      <w:r>
        <w:rPr>
          <w:rFonts w:asciiTheme="minorHAnsi" w:hAnsiTheme="minorHAnsi" w:cstheme="minorHAnsi"/>
          <w:bdr w:val="nil"/>
        </w:rPr>
        <w:t>4</w:t>
      </w:r>
      <w:r w:rsidRPr="005E3B44">
        <w:rPr>
          <w:rFonts w:asciiTheme="minorHAnsi" w:hAnsiTheme="minorHAnsi" w:cstheme="minorHAnsi"/>
          <w:bdr w:val="nil"/>
        </w:rPr>
        <w:t>: Strategic Indicator 3:  Emergency Related Community Safety</w:t>
      </w:r>
      <w:r>
        <w:rPr>
          <w:rFonts w:asciiTheme="minorHAnsi" w:hAnsiTheme="minorHAnsi" w:cstheme="minorHAnsi"/>
          <w:bdr w:val="nil"/>
        </w:rPr>
        <w:t xml:space="preserve"> (Continued)</w:t>
      </w:r>
    </w:p>
    <w:tbl>
      <w:tblPr>
        <w:tblW w:w="9243" w:type="dxa"/>
        <w:tblBorders>
          <w:top w:val="single" w:sz="4" w:space="0" w:color="auto"/>
          <w:bottom w:val="single" w:sz="4" w:space="0" w:color="auto"/>
        </w:tblBorders>
        <w:tblLook w:val="01E0" w:firstRow="1" w:lastRow="1" w:firstColumn="1" w:lastColumn="1" w:noHBand="0" w:noVBand="0"/>
      </w:tblPr>
      <w:tblGrid>
        <w:gridCol w:w="1460"/>
        <w:gridCol w:w="3398"/>
        <w:gridCol w:w="1457"/>
        <w:gridCol w:w="1455"/>
        <w:gridCol w:w="1473"/>
      </w:tblGrid>
      <w:tr w:rsidR="0028058E" w:rsidRPr="005E3B44" w14:paraId="79B5F6DB" w14:textId="77777777" w:rsidTr="00303EC6">
        <w:tc>
          <w:tcPr>
            <w:tcW w:w="790" w:type="pct"/>
            <w:tcBorders>
              <w:top w:val="single" w:sz="12" w:space="0" w:color="auto"/>
              <w:left w:val="nil"/>
              <w:bottom w:val="single" w:sz="12" w:space="0" w:color="auto"/>
              <w:right w:val="nil"/>
            </w:tcBorders>
            <w:hideMark/>
          </w:tcPr>
          <w:p w14:paraId="6DEA5463"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Success</w:t>
            </w:r>
          </w:p>
        </w:tc>
        <w:tc>
          <w:tcPr>
            <w:tcW w:w="1838" w:type="pct"/>
            <w:tcBorders>
              <w:top w:val="single" w:sz="12" w:space="0" w:color="auto"/>
              <w:left w:val="nil"/>
              <w:bottom w:val="single" w:sz="12" w:space="0" w:color="auto"/>
              <w:right w:val="nil"/>
            </w:tcBorders>
            <w:hideMark/>
          </w:tcPr>
          <w:p w14:paraId="51B45D50"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 xml:space="preserve">Strategic Indicator </w:t>
            </w:r>
          </w:p>
        </w:tc>
        <w:tc>
          <w:tcPr>
            <w:tcW w:w="788" w:type="pct"/>
            <w:tcBorders>
              <w:top w:val="single" w:sz="12" w:space="0" w:color="auto"/>
              <w:left w:val="nil"/>
              <w:bottom w:val="single" w:sz="12" w:space="0" w:color="auto"/>
              <w:right w:val="nil"/>
            </w:tcBorders>
            <w:hideMark/>
          </w:tcPr>
          <w:p w14:paraId="0F6CAFF1"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57A656EA"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c>
          <w:tcPr>
            <w:tcW w:w="787" w:type="pct"/>
            <w:tcBorders>
              <w:top w:val="single" w:sz="12" w:space="0" w:color="auto"/>
              <w:left w:val="nil"/>
              <w:bottom w:val="single" w:sz="12" w:space="0" w:color="auto"/>
              <w:right w:val="nil"/>
            </w:tcBorders>
            <w:hideMark/>
          </w:tcPr>
          <w:p w14:paraId="236128D9"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6168DE81"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Actuals</w:t>
            </w:r>
          </w:p>
        </w:tc>
        <w:tc>
          <w:tcPr>
            <w:tcW w:w="797" w:type="pct"/>
            <w:tcBorders>
              <w:top w:val="single" w:sz="12" w:space="0" w:color="auto"/>
              <w:left w:val="nil"/>
              <w:bottom w:val="single" w:sz="12" w:space="0" w:color="auto"/>
              <w:right w:val="nil"/>
            </w:tcBorders>
            <w:hideMark/>
          </w:tcPr>
          <w:p w14:paraId="0F2CD442"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45D78FD7" w14:textId="77777777" w:rsidR="0028058E" w:rsidRPr="005E3B44" w:rsidRDefault="0028058E" w:rsidP="00303EC6">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r>
      <w:tr w:rsidR="0028058E" w:rsidRPr="005E3B44" w14:paraId="3D899F4F" w14:textId="77777777" w:rsidTr="00303EC6">
        <w:trPr>
          <w:trHeight w:val="512"/>
        </w:trPr>
        <w:tc>
          <w:tcPr>
            <w:tcW w:w="0" w:type="auto"/>
            <w:vMerge w:val="restart"/>
            <w:tcBorders>
              <w:top w:val="nil"/>
              <w:left w:val="nil"/>
              <w:right w:val="nil"/>
            </w:tcBorders>
          </w:tcPr>
          <w:p w14:paraId="54CC21E6" w14:textId="77777777" w:rsidR="0028058E" w:rsidRPr="005E3B44" w:rsidRDefault="0028058E" w:rsidP="00303EC6">
            <w:pPr>
              <w:pBdr>
                <w:top w:val="nil"/>
                <w:left w:val="nil"/>
                <w:bottom w:val="nil"/>
                <w:right w:val="nil"/>
                <w:between w:val="nil"/>
                <w:bar w:val="nil"/>
              </w:pBdr>
              <w:spacing w:before="0" w:after="0"/>
              <w:rPr>
                <w:rFonts w:asciiTheme="minorHAnsi" w:hAnsiTheme="minorHAnsi" w:cstheme="minorHAnsi"/>
                <w:bCs/>
                <w:sz w:val="20"/>
                <w:bdr w:val="nil"/>
              </w:rPr>
            </w:pPr>
            <w:r w:rsidRPr="005E3B44">
              <w:rPr>
                <w:rFonts w:asciiTheme="minorHAnsi" w:hAnsiTheme="minorHAnsi" w:cstheme="minorHAnsi"/>
                <w:bCs/>
                <w:sz w:val="20"/>
                <w:bdr w:val="nil"/>
              </w:rPr>
              <w:t>Reduced loss of life and loss/damage to property</w:t>
            </w:r>
          </w:p>
          <w:p w14:paraId="363D5596" w14:textId="77777777" w:rsidR="0028058E" w:rsidRPr="005E3B44" w:rsidRDefault="0028058E" w:rsidP="00303EC6">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838" w:type="pct"/>
            <w:tcBorders>
              <w:top w:val="nil"/>
              <w:left w:val="nil"/>
              <w:bottom w:val="nil"/>
              <w:right w:val="nil"/>
            </w:tcBorders>
          </w:tcPr>
          <w:p w14:paraId="6A093DF2"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bdr w:val="nil"/>
              </w:rPr>
              <w:t xml:space="preserve">Percentage of structure fires confined to room of origin </w:t>
            </w:r>
            <w:r w:rsidRPr="005E3B44">
              <w:rPr>
                <w:rFonts w:asciiTheme="minorHAnsi" w:hAnsiTheme="minorHAnsi" w:cstheme="minorHAnsi"/>
                <w:b w:val="0"/>
                <w:sz w:val="20"/>
                <w:szCs w:val="20"/>
                <w:bdr w:val="nil"/>
                <w:vertAlign w:val="superscript"/>
              </w:rPr>
              <w:t>4</w:t>
            </w:r>
          </w:p>
          <w:p w14:paraId="7F9A60AD"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88" w:type="pct"/>
            <w:tcBorders>
              <w:top w:val="nil"/>
              <w:left w:val="nil"/>
              <w:bottom w:val="nil"/>
              <w:right w:val="nil"/>
            </w:tcBorders>
          </w:tcPr>
          <w:p w14:paraId="607BBF09"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80%</w:t>
            </w:r>
          </w:p>
        </w:tc>
        <w:tc>
          <w:tcPr>
            <w:tcW w:w="787" w:type="pct"/>
            <w:tcBorders>
              <w:top w:val="nil"/>
              <w:left w:val="nil"/>
              <w:bottom w:val="nil"/>
              <w:right w:val="nil"/>
            </w:tcBorders>
          </w:tcPr>
          <w:p w14:paraId="065CB595"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69%</w:t>
            </w:r>
          </w:p>
        </w:tc>
        <w:tc>
          <w:tcPr>
            <w:tcW w:w="797" w:type="pct"/>
            <w:tcBorders>
              <w:top w:val="nil"/>
              <w:left w:val="nil"/>
              <w:bottom w:val="nil"/>
              <w:right w:val="nil"/>
            </w:tcBorders>
          </w:tcPr>
          <w:p w14:paraId="2DAECB87"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80%</w:t>
            </w:r>
          </w:p>
          <w:p w14:paraId="25C2CEF0"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p>
        </w:tc>
      </w:tr>
      <w:tr w:rsidR="0028058E" w:rsidRPr="005E3B44" w14:paraId="4FF776E6" w14:textId="77777777" w:rsidTr="00303EC6">
        <w:trPr>
          <w:trHeight w:val="687"/>
        </w:trPr>
        <w:tc>
          <w:tcPr>
            <w:tcW w:w="0" w:type="auto"/>
            <w:vMerge/>
            <w:tcBorders>
              <w:left w:val="nil"/>
              <w:bottom w:val="nil"/>
              <w:right w:val="nil"/>
            </w:tcBorders>
            <w:vAlign w:val="center"/>
          </w:tcPr>
          <w:p w14:paraId="63B17689" w14:textId="77777777" w:rsidR="0028058E" w:rsidRPr="005E3B44" w:rsidRDefault="0028058E" w:rsidP="00303EC6">
            <w:pPr>
              <w:pBdr>
                <w:top w:val="nil"/>
                <w:left w:val="nil"/>
                <w:bottom w:val="nil"/>
                <w:right w:val="nil"/>
                <w:between w:val="nil"/>
                <w:bar w:val="nil"/>
              </w:pBdr>
              <w:spacing w:before="0" w:after="0"/>
              <w:rPr>
                <w:rFonts w:asciiTheme="minorHAnsi" w:hAnsiTheme="minorHAnsi" w:cstheme="minorHAnsi"/>
                <w:bCs/>
                <w:sz w:val="20"/>
                <w:bdr w:val="nil"/>
              </w:rPr>
            </w:pPr>
          </w:p>
        </w:tc>
        <w:tc>
          <w:tcPr>
            <w:tcW w:w="1838" w:type="pct"/>
            <w:tcBorders>
              <w:top w:val="nil"/>
              <w:left w:val="nil"/>
              <w:bottom w:val="nil"/>
              <w:right w:val="nil"/>
            </w:tcBorders>
          </w:tcPr>
          <w:p w14:paraId="2A1D41A2"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bdr w:val="nil"/>
              </w:rPr>
              <w:t>Percentage of 132 500 storm and flood callouts acknowledged within 24 hours </w:t>
            </w:r>
            <w:r w:rsidRPr="005E3B44">
              <w:rPr>
                <w:rFonts w:asciiTheme="minorHAnsi" w:hAnsiTheme="minorHAnsi" w:cstheme="minorHAnsi"/>
                <w:b w:val="0"/>
                <w:bdr w:val="nil"/>
                <w:vertAlign w:val="superscript"/>
              </w:rPr>
              <w:t>g</w:t>
            </w:r>
          </w:p>
          <w:p w14:paraId="3F6BB1DA"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sz w:val="20"/>
                <w:bdr w:val="nil"/>
              </w:rPr>
            </w:pPr>
          </w:p>
        </w:tc>
        <w:tc>
          <w:tcPr>
            <w:tcW w:w="788" w:type="pct"/>
            <w:tcBorders>
              <w:top w:val="nil"/>
              <w:left w:val="nil"/>
              <w:bottom w:val="nil"/>
              <w:right w:val="nil"/>
            </w:tcBorders>
          </w:tcPr>
          <w:p w14:paraId="2192D569"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95%</w:t>
            </w:r>
          </w:p>
        </w:tc>
        <w:tc>
          <w:tcPr>
            <w:tcW w:w="787" w:type="pct"/>
            <w:tcBorders>
              <w:top w:val="nil"/>
              <w:left w:val="nil"/>
              <w:bottom w:val="nil"/>
              <w:right w:val="nil"/>
            </w:tcBorders>
          </w:tcPr>
          <w:p w14:paraId="1911CF20"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100%</w:t>
            </w:r>
          </w:p>
        </w:tc>
        <w:tc>
          <w:tcPr>
            <w:tcW w:w="797" w:type="pct"/>
            <w:tcBorders>
              <w:top w:val="nil"/>
              <w:left w:val="nil"/>
              <w:bottom w:val="nil"/>
              <w:right w:val="nil"/>
            </w:tcBorders>
          </w:tcPr>
          <w:p w14:paraId="5B43B805"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r>
      <w:tr w:rsidR="0028058E" w:rsidRPr="005E3B44" w14:paraId="1B4A2C77" w14:textId="77777777" w:rsidTr="00303EC6">
        <w:trPr>
          <w:trHeight w:val="626"/>
        </w:trPr>
        <w:tc>
          <w:tcPr>
            <w:tcW w:w="0" w:type="auto"/>
            <w:tcBorders>
              <w:left w:val="nil"/>
              <w:bottom w:val="nil"/>
              <w:right w:val="nil"/>
            </w:tcBorders>
            <w:vAlign w:val="center"/>
          </w:tcPr>
          <w:p w14:paraId="639942A6" w14:textId="77777777" w:rsidR="0028058E" w:rsidRPr="005E3B44" w:rsidRDefault="0028058E" w:rsidP="00303EC6">
            <w:pPr>
              <w:pBdr>
                <w:top w:val="nil"/>
                <w:left w:val="nil"/>
                <w:bottom w:val="nil"/>
                <w:right w:val="nil"/>
                <w:between w:val="nil"/>
                <w:bar w:val="nil"/>
              </w:pBdr>
              <w:spacing w:before="0" w:after="0"/>
              <w:rPr>
                <w:rFonts w:asciiTheme="minorHAnsi" w:hAnsiTheme="minorHAnsi" w:cstheme="minorHAnsi"/>
                <w:bCs/>
                <w:sz w:val="20"/>
                <w:bdr w:val="nil"/>
              </w:rPr>
            </w:pPr>
          </w:p>
        </w:tc>
        <w:tc>
          <w:tcPr>
            <w:tcW w:w="1838" w:type="pct"/>
            <w:tcBorders>
              <w:top w:val="nil"/>
              <w:left w:val="nil"/>
              <w:bottom w:val="nil"/>
              <w:right w:val="nil"/>
            </w:tcBorders>
          </w:tcPr>
          <w:p w14:paraId="099EC621"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sz w:val="20"/>
                <w:bdr w:val="nil"/>
              </w:rPr>
            </w:pPr>
            <w:r w:rsidRPr="005E3B44">
              <w:rPr>
                <w:rFonts w:asciiTheme="minorHAnsi" w:hAnsiTheme="minorHAnsi" w:cstheme="minorHAnsi"/>
                <w:b w:val="0"/>
                <w:sz w:val="20"/>
                <w:bdr w:val="nil"/>
              </w:rPr>
              <w:t>Percentage of 132 500 storm and flood callouts completed within 24 hours</w:t>
            </w:r>
            <w:r w:rsidRPr="005E3B44">
              <w:rPr>
                <w:rFonts w:asciiTheme="minorHAnsi" w:hAnsiTheme="minorHAnsi" w:cstheme="minorHAnsi"/>
                <w:b w:val="0"/>
                <w:sz w:val="20"/>
                <w:szCs w:val="20"/>
                <w:bdr w:val="nil"/>
                <w:vertAlign w:val="superscript"/>
              </w:rPr>
              <w:t> g</w:t>
            </w:r>
          </w:p>
        </w:tc>
        <w:tc>
          <w:tcPr>
            <w:tcW w:w="788" w:type="pct"/>
            <w:tcBorders>
              <w:top w:val="nil"/>
              <w:left w:val="nil"/>
              <w:bottom w:val="nil"/>
              <w:right w:val="nil"/>
            </w:tcBorders>
          </w:tcPr>
          <w:p w14:paraId="2B23A214"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87" w:type="pct"/>
            <w:tcBorders>
              <w:top w:val="nil"/>
              <w:left w:val="nil"/>
              <w:bottom w:val="nil"/>
              <w:right w:val="nil"/>
            </w:tcBorders>
          </w:tcPr>
          <w:p w14:paraId="110D94B0"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97" w:type="pct"/>
            <w:tcBorders>
              <w:top w:val="nil"/>
              <w:left w:val="nil"/>
              <w:bottom w:val="nil"/>
              <w:right w:val="nil"/>
            </w:tcBorders>
          </w:tcPr>
          <w:p w14:paraId="510DD8FC"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90%</w:t>
            </w:r>
          </w:p>
        </w:tc>
      </w:tr>
      <w:tr w:rsidR="0028058E" w:rsidRPr="005E3B44" w14:paraId="5929899E" w14:textId="77777777" w:rsidTr="00303EC6">
        <w:trPr>
          <w:trHeight w:val="496"/>
        </w:trPr>
        <w:tc>
          <w:tcPr>
            <w:tcW w:w="0" w:type="auto"/>
            <w:vMerge w:val="restart"/>
            <w:tcBorders>
              <w:top w:val="nil"/>
              <w:left w:val="nil"/>
              <w:bottom w:val="nil"/>
              <w:right w:val="nil"/>
            </w:tcBorders>
          </w:tcPr>
          <w:p w14:paraId="0798A0CF" w14:textId="77777777" w:rsidR="0028058E" w:rsidRPr="005E3B44" w:rsidRDefault="0028058E" w:rsidP="00303EC6">
            <w:pPr>
              <w:pBdr>
                <w:top w:val="nil"/>
                <w:left w:val="nil"/>
                <w:bottom w:val="nil"/>
                <w:right w:val="nil"/>
                <w:between w:val="nil"/>
                <w:bar w:val="nil"/>
              </w:pBdr>
              <w:spacing w:before="0" w:after="0"/>
              <w:rPr>
                <w:rFonts w:asciiTheme="minorHAnsi" w:hAnsiTheme="minorHAnsi" w:cstheme="minorHAnsi"/>
                <w:bCs/>
                <w:sz w:val="20"/>
                <w:bdr w:val="nil"/>
              </w:rPr>
            </w:pPr>
            <w:r w:rsidRPr="005E3B44">
              <w:rPr>
                <w:rFonts w:asciiTheme="minorHAnsi" w:hAnsiTheme="minorHAnsi" w:cstheme="minorHAnsi"/>
                <w:bCs/>
                <w:sz w:val="20"/>
                <w:bdr w:val="nil"/>
              </w:rPr>
              <w:t>Reduced impact on the environment from bushfires</w:t>
            </w:r>
          </w:p>
          <w:p w14:paraId="055DD4EF" w14:textId="77777777" w:rsidR="0028058E" w:rsidRPr="005E3B44" w:rsidRDefault="0028058E" w:rsidP="00303EC6">
            <w:pPr>
              <w:pBdr>
                <w:top w:val="nil"/>
                <w:left w:val="nil"/>
                <w:bottom w:val="nil"/>
                <w:right w:val="nil"/>
                <w:between w:val="nil"/>
                <w:bar w:val="nil"/>
              </w:pBdr>
              <w:spacing w:before="0" w:after="0"/>
              <w:rPr>
                <w:rFonts w:asciiTheme="minorHAnsi" w:hAnsiTheme="minorHAnsi" w:cstheme="minorHAnsi"/>
                <w:bCs/>
                <w:sz w:val="20"/>
                <w:bdr w:val="nil"/>
              </w:rPr>
            </w:pPr>
          </w:p>
        </w:tc>
        <w:tc>
          <w:tcPr>
            <w:tcW w:w="1838" w:type="pct"/>
            <w:tcBorders>
              <w:top w:val="nil"/>
              <w:left w:val="nil"/>
              <w:bottom w:val="nil"/>
              <w:right w:val="nil"/>
            </w:tcBorders>
          </w:tcPr>
          <w:p w14:paraId="7BBE7CFC"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bdr w:val="nil"/>
                <w:vertAlign w:val="superscript"/>
              </w:rPr>
            </w:pPr>
            <w:r w:rsidRPr="005E3B44">
              <w:rPr>
                <w:rFonts w:asciiTheme="minorHAnsi" w:hAnsiTheme="minorHAnsi" w:cstheme="minorHAnsi"/>
                <w:b w:val="0"/>
                <w:sz w:val="20"/>
                <w:bdr w:val="nil"/>
              </w:rPr>
              <w:t xml:space="preserve">Percentage of bushfires kept below five hectares within the ACT </w:t>
            </w:r>
            <w:r w:rsidRPr="005E3B44">
              <w:rPr>
                <w:rFonts w:asciiTheme="minorHAnsi" w:hAnsiTheme="minorHAnsi" w:cstheme="minorHAnsi"/>
                <w:b w:val="0"/>
                <w:sz w:val="20"/>
                <w:szCs w:val="20"/>
                <w:bdr w:val="nil"/>
                <w:vertAlign w:val="superscript"/>
              </w:rPr>
              <w:t>a</w:t>
            </w:r>
          </w:p>
          <w:p w14:paraId="55CDB72C"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sz w:val="20"/>
                <w:bdr w:val="nil"/>
              </w:rPr>
            </w:pPr>
          </w:p>
        </w:tc>
        <w:tc>
          <w:tcPr>
            <w:tcW w:w="788" w:type="pct"/>
            <w:tcBorders>
              <w:top w:val="nil"/>
              <w:left w:val="nil"/>
              <w:bottom w:val="nil"/>
              <w:right w:val="nil"/>
            </w:tcBorders>
          </w:tcPr>
          <w:p w14:paraId="4FF8F4EA"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100%</w:t>
            </w:r>
          </w:p>
        </w:tc>
        <w:tc>
          <w:tcPr>
            <w:tcW w:w="787" w:type="pct"/>
            <w:tcBorders>
              <w:top w:val="nil"/>
              <w:left w:val="nil"/>
              <w:bottom w:val="nil"/>
              <w:right w:val="nil"/>
            </w:tcBorders>
          </w:tcPr>
          <w:p w14:paraId="1CD89E5C"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100%</w:t>
            </w:r>
          </w:p>
        </w:tc>
        <w:tc>
          <w:tcPr>
            <w:tcW w:w="797" w:type="pct"/>
            <w:tcBorders>
              <w:top w:val="nil"/>
              <w:left w:val="nil"/>
              <w:bottom w:val="nil"/>
              <w:right w:val="nil"/>
            </w:tcBorders>
          </w:tcPr>
          <w:p w14:paraId="3D3FF1BC"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r>
      <w:tr w:rsidR="0028058E" w:rsidRPr="005E3B44" w14:paraId="6E52830C" w14:textId="77777777" w:rsidTr="00303EC6">
        <w:trPr>
          <w:trHeight w:val="795"/>
        </w:trPr>
        <w:tc>
          <w:tcPr>
            <w:tcW w:w="0" w:type="auto"/>
            <w:vMerge/>
            <w:tcBorders>
              <w:top w:val="nil"/>
              <w:left w:val="nil"/>
              <w:bottom w:val="single" w:sz="12" w:space="0" w:color="auto"/>
              <w:right w:val="nil"/>
            </w:tcBorders>
          </w:tcPr>
          <w:p w14:paraId="299167D0" w14:textId="77777777" w:rsidR="0028058E" w:rsidRPr="005E3B44" w:rsidRDefault="0028058E" w:rsidP="00303EC6">
            <w:pPr>
              <w:pBdr>
                <w:top w:val="nil"/>
                <w:left w:val="nil"/>
                <w:bottom w:val="nil"/>
                <w:right w:val="nil"/>
                <w:between w:val="nil"/>
                <w:bar w:val="nil"/>
              </w:pBdr>
              <w:spacing w:before="0" w:after="0"/>
              <w:rPr>
                <w:rFonts w:asciiTheme="minorHAnsi" w:hAnsiTheme="minorHAnsi" w:cstheme="minorHAnsi"/>
                <w:bCs/>
                <w:sz w:val="20"/>
                <w:bdr w:val="nil"/>
              </w:rPr>
            </w:pPr>
          </w:p>
        </w:tc>
        <w:tc>
          <w:tcPr>
            <w:tcW w:w="1838" w:type="pct"/>
            <w:tcBorders>
              <w:top w:val="nil"/>
              <w:left w:val="nil"/>
              <w:bottom w:val="single" w:sz="12" w:space="0" w:color="auto"/>
              <w:right w:val="nil"/>
            </w:tcBorders>
          </w:tcPr>
          <w:p w14:paraId="4A48623D" w14:textId="77777777" w:rsidR="0028058E" w:rsidRPr="005E3B44" w:rsidRDefault="0028058E" w:rsidP="00303EC6">
            <w:pPr>
              <w:pStyle w:val="BStabletext3"/>
              <w:pBdr>
                <w:top w:val="nil"/>
                <w:left w:val="nil"/>
                <w:bottom w:val="nil"/>
                <w:right w:val="nil"/>
                <w:between w:val="nil"/>
                <w:bar w:val="nil"/>
              </w:pBdr>
              <w:rPr>
                <w:rFonts w:asciiTheme="minorHAnsi" w:hAnsiTheme="minorHAnsi" w:cstheme="minorHAnsi"/>
                <w:b w:val="0"/>
                <w:sz w:val="20"/>
                <w:bdr w:val="nil"/>
              </w:rPr>
            </w:pPr>
            <w:r w:rsidRPr="005E3B44">
              <w:rPr>
                <w:rFonts w:asciiTheme="minorHAnsi" w:hAnsiTheme="minorHAnsi" w:cstheme="minorHAnsi"/>
                <w:b w:val="0"/>
                <w:sz w:val="20"/>
                <w:bdr w:val="nil"/>
              </w:rPr>
              <w:t xml:space="preserve">Percentage of bushfires contained by the first response shift deployed (within the first 12 hours of the response) </w:t>
            </w:r>
            <w:r w:rsidRPr="005E3B44">
              <w:rPr>
                <w:rFonts w:asciiTheme="minorHAnsi" w:hAnsiTheme="minorHAnsi" w:cstheme="minorHAnsi"/>
                <w:b w:val="0"/>
                <w:sz w:val="20"/>
                <w:szCs w:val="20"/>
                <w:bdr w:val="nil"/>
                <w:vertAlign w:val="superscript"/>
              </w:rPr>
              <w:t>h</w:t>
            </w:r>
          </w:p>
        </w:tc>
        <w:tc>
          <w:tcPr>
            <w:tcW w:w="788" w:type="pct"/>
            <w:tcBorders>
              <w:top w:val="nil"/>
              <w:left w:val="nil"/>
              <w:bottom w:val="single" w:sz="12" w:space="0" w:color="auto"/>
              <w:right w:val="nil"/>
            </w:tcBorders>
          </w:tcPr>
          <w:p w14:paraId="55EDA988"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87" w:type="pct"/>
            <w:tcBorders>
              <w:top w:val="nil"/>
              <w:left w:val="nil"/>
              <w:bottom w:val="single" w:sz="12" w:space="0" w:color="auto"/>
              <w:right w:val="nil"/>
            </w:tcBorders>
          </w:tcPr>
          <w:p w14:paraId="198DAB6A"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n/a</w:t>
            </w:r>
          </w:p>
        </w:tc>
        <w:tc>
          <w:tcPr>
            <w:tcW w:w="797" w:type="pct"/>
            <w:tcBorders>
              <w:top w:val="nil"/>
              <w:left w:val="nil"/>
              <w:bottom w:val="single" w:sz="12" w:space="0" w:color="auto"/>
              <w:right w:val="nil"/>
            </w:tcBorders>
          </w:tcPr>
          <w:p w14:paraId="6AF5AF49" w14:textId="77777777" w:rsidR="0028058E" w:rsidRPr="005E3B44" w:rsidRDefault="0028058E" w:rsidP="00303EC6">
            <w:pPr>
              <w:pStyle w:val="BStablefigures"/>
              <w:pBdr>
                <w:top w:val="nil"/>
                <w:left w:val="nil"/>
                <w:bottom w:val="nil"/>
                <w:right w:val="nil"/>
                <w:between w:val="nil"/>
                <w:bar w:val="nil"/>
              </w:pBdr>
              <w:rPr>
                <w:rFonts w:asciiTheme="minorHAnsi" w:eastAsia="Arial Unicode MS" w:hAnsiTheme="minorHAnsi" w:cstheme="minorHAnsi"/>
                <w:bdr w:val="nil"/>
              </w:rPr>
            </w:pPr>
            <w:r w:rsidRPr="005E3B44">
              <w:rPr>
                <w:rFonts w:asciiTheme="minorHAnsi" w:eastAsia="Arial Unicode MS" w:hAnsiTheme="minorHAnsi" w:cstheme="minorHAnsi"/>
                <w:bdr w:val="nil"/>
              </w:rPr>
              <w:t>95%</w:t>
            </w:r>
          </w:p>
        </w:tc>
      </w:tr>
    </w:tbl>
    <w:p w14:paraId="1C518E45" w14:textId="149A7CC8" w:rsidR="002242F3" w:rsidRPr="005E3B44" w:rsidRDefault="002242F3"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r w:rsidRPr="005E3B44">
        <w:rPr>
          <w:rFonts w:asciiTheme="minorHAnsi" w:hAnsiTheme="minorHAnsi" w:cstheme="minorHAnsi"/>
          <w:sz w:val="18"/>
          <w:szCs w:val="16"/>
          <w:bdr w:val="nil"/>
        </w:rPr>
        <w:t>Historical performance trends of these Strategic Indictors can be found in the Justice and Community Safety Directorate’s 2020-21 Annual Report.</w:t>
      </w:r>
    </w:p>
    <w:p w14:paraId="7FCB9EF7" w14:textId="77777777" w:rsidR="002242F3" w:rsidRPr="005E3B44" w:rsidRDefault="002242F3" w:rsidP="002242F3">
      <w:pPr>
        <w:pStyle w:val="BSnoteslist0"/>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419E68E2"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color w:val="000000"/>
          <w:sz w:val="18"/>
          <w:szCs w:val="18"/>
          <w:bdr w:val="nil"/>
          <w:lang w:eastAsia="en-AU"/>
        </w:rPr>
      </w:pPr>
      <w:r w:rsidRPr="005E3B44">
        <w:rPr>
          <w:rFonts w:asciiTheme="minorHAnsi" w:hAnsiTheme="minorHAnsi" w:cstheme="minorHAnsi"/>
          <w:b/>
          <w:bCs/>
          <w:color w:val="000000"/>
          <w:sz w:val="18"/>
          <w:szCs w:val="18"/>
          <w:bdr w:val="nil"/>
          <w:lang w:eastAsia="en-AU"/>
        </w:rPr>
        <w:t>Explanation of Strategic Indicators:</w:t>
      </w:r>
    </w:p>
    <w:p w14:paraId="752A8961" w14:textId="77777777" w:rsidR="002242F3" w:rsidRPr="005E3B44"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szCs w:val="18"/>
          <w:bdr w:val="nil"/>
        </w:rPr>
        <w:t xml:space="preserve">a. </w:t>
      </w:r>
      <w:r w:rsidRPr="005E3B44">
        <w:rPr>
          <w:rFonts w:asciiTheme="minorHAnsi" w:hAnsiTheme="minorHAnsi" w:cstheme="minorHAnsi"/>
          <w:b w:val="0"/>
          <w:szCs w:val="18"/>
          <w:bdr w:val="nil"/>
        </w:rPr>
        <w:tab/>
        <w:t xml:space="preserve">These </w:t>
      </w:r>
      <w:r w:rsidRPr="005E3B44">
        <w:rPr>
          <w:rFonts w:asciiTheme="minorHAnsi" w:hAnsiTheme="minorHAnsi" w:cstheme="minorHAnsi"/>
          <w:b w:val="0"/>
          <w:bCs/>
          <w:szCs w:val="18"/>
          <w:bdr w:val="nil"/>
        </w:rPr>
        <w:t>indicators are discontinued in 2021-22 year following a comprehensive review of all strategic indicators against the ACT Government Strengthening Performance and Accountability Framework.  New indicators have been introduced which will drive the performance, have challenging targets and are relevant to strategic directions.</w:t>
      </w:r>
    </w:p>
    <w:p w14:paraId="7BE541ED" w14:textId="77777777" w:rsidR="002242F3" w:rsidRPr="005E3B44"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 xml:space="preserve">b. </w:t>
      </w:r>
      <w:r w:rsidRPr="005E3B44">
        <w:rPr>
          <w:rFonts w:asciiTheme="minorHAnsi" w:hAnsiTheme="minorHAnsi" w:cstheme="minorHAnsi"/>
          <w:b w:val="0"/>
          <w:bCs/>
          <w:szCs w:val="18"/>
          <w:bdr w:val="nil"/>
        </w:rPr>
        <w:tab/>
        <w:t xml:space="preserve">This is a new indicator in 2021-22 year replacing the indicator </w:t>
      </w:r>
      <w:r w:rsidRPr="00D03371">
        <w:rPr>
          <w:rFonts w:asciiTheme="minorHAnsi" w:hAnsiTheme="minorHAnsi" w:cstheme="minorHAnsi"/>
          <w:b w:val="0"/>
          <w:bCs/>
          <w:i/>
          <w:iCs/>
          <w:szCs w:val="18"/>
          <w:bdr w:val="nil"/>
        </w:rPr>
        <w:t>Percentage of planned community engagement and awareness events conducted</w:t>
      </w:r>
      <w:r w:rsidRPr="005E3B44">
        <w:rPr>
          <w:rFonts w:asciiTheme="minorHAnsi" w:hAnsiTheme="minorHAnsi" w:cstheme="minorHAnsi"/>
          <w:b w:val="0"/>
          <w:bCs/>
          <w:szCs w:val="18"/>
          <w:bdr w:val="nil"/>
        </w:rPr>
        <w:t>. This indicator ties directly into the strategic plan for the Public Information &amp; Engagement (PI&amp;E) area and is a more accurate indicator for PI&amp;E engagement and delivery.</w:t>
      </w:r>
    </w:p>
    <w:p w14:paraId="251F0C52" w14:textId="77777777" w:rsidR="002242F3" w:rsidRPr="005E3B44"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bdr w:val="nil"/>
        </w:rPr>
        <w:t xml:space="preserve">c. </w:t>
      </w:r>
      <w:r w:rsidRPr="005E3B44">
        <w:rPr>
          <w:rFonts w:asciiTheme="minorHAnsi" w:hAnsiTheme="minorHAnsi" w:cstheme="minorHAnsi"/>
          <w:b w:val="0"/>
          <w:bCs/>
          <w:bdr w:val="nil"/>
        </w:rPr>
        <w:tab/>
        <w:t>Description has been changed from ‘leaseholders’ to ‘leases’ as this reflects the indicator more accurately. A leaseholder (1) may have many leases in the Bushfire Abatement Zone, and the leaseholder must have a Fire-wise Farm (FFW) for each lease, rather than a single FFW per leaseholder.</w:t>
      </w:r>
    </w:p>
    <w:p w14:paraId="33287CEF" w14:textId="77777777" w:rsidR="002242F3" w:rsidRPr="005E3B44"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 xml:space="preserve">d. </w:t>
      </w:r>
      <w:r w:rsidRPr="005E3B44">
        <w:rPr>
          <w:rFonts w:asciiTheme="minorHAnsi" w:hAnsiTheme="minorHAnsi" w:cstheme="minorHAnsi"/>
          <w:b w:val="0"/>
          <w:bCs/>
          <w:szCs w:val="18"/>
          <w:bdr w:val="nil"/>
        </w:rPr>
        <w:tab/>
        <w:t xml:space="preserve">This is a new indicator in 2021-22 year replacing the indicator </w:t>
      </w:r>
      <w:r w:rsidRPr="00D03371">
        <w:rPr>
          <w:rFonts w:asciiTheme="minorHAnsi" w:hAnsiTheme="minorHAnsi" w:cstheme="minorHAnsi"/>
          <w:b w:val="0"/>
          <w:bCs/>
          <w:i/>
          <w:iCs/>
          <w:szCs w:val="18"/>
          <w:bdr w:val="nil"/>
        </w:rPr>
        <w:t>Number of sub-plans to the ACT Emergency Plan reviewed</w:t>
      </w:r>
      <w:r w:rsidRPr="005E3B44">
        <w:rPr>
          <w:rFonts w:asciiTheme="minorHAnsi" w:hAnsiTheme="minorHAnsi" w:cstheme="minorHAnsi"/>
          <w:b w:val="0"/>
          <w:bCs/>
          <w:szCs w:val="18"/>
          <w:bdr w:val="nil"/>
        </w:rPr>
        <w:t>. Due to review timetable of plans being subject to changes and agreement by the governing body, this new indicator will measure reviewed plans within those agreed timetables.</w:t>
      </w:r>
    </w:p>
    <w:p w14:paraId="334D99D1" w14:textId="77777777" w:rsidR="002242F3" w:rsidRPr="005E3B44"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 xml:space="preserve">e. </w:t>
      </w:r>
      <w:r w:rsidRPr="005E3B44">
        <w:rPr>
          <w:rFonts w:asciiTheme="minorHAnsi" w:hAnsiTheme="minorHAnsi" w:cstheme="minorHAnsi"/>
          <w:b w:val="0"/>
          <w:bCs/>
          <w:szCs w:val="18"/>
          <w:bdr w:val="nil"/>
        </w:rPr>
        <w:tab/>
        <w:t xml:space="preserve">This is a new indicator in 2021-22 year replacing the indicator </w:t>
      </w:r>
      <w:r w:rsidRPr="00D03371">
        <w:rPr>
          <w:rFonts w:asciiTheme="minorHAnsi" w:hAnsiTheme="minorHAnsi" w:cstheme="minorHAnsi"/>
          <w:b w:val="0"/>
          <w:bCs/>
          <w:i/>
          <w:iCs/>
          <w:szCs w:val="18"/>
          <w:bdr w:val="nil"/>
        </w:rPr>
        <w:t>ACT Public Information Coordination Centre for ESA lead emergency response – number of exercises conducted</w:t>
      </w:r>
      <w:r w:rsidRPr="005E3B44">
        <w:rPr>
          <w:rFonts w:asciiTheme="minorHAnsi" w:hAnsiTheme="minorHAnsi" w:cstheme="minorHAnsi"/>
          <w:b w:val="0"/>
          <w:bCs/>
          <w:szCs w:val="18"/>
          <w:bdr w:val="nil"/>
        </w:rPr>
        <w:t>. The new indicator ties directly into the strategic plan for the PI&amp;E area and is a more accurate indicator for PI&amp;E engagement and delivery.</w:t>
      </w:r>
    </w:p>
    <w:p w14:paraId="4312BB38" w14:textId="77777777" w:rsidR="002242F3" w:rsidRPr="005E3B44"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 xml:space="preserve">f. </w:t>
      </w:r>
      <w:r w:rsidRPr="005E3B44">
        <w:rPr>
          <w:rFonts w:asciiTheme="minorHAnsi" w:hAnsiTheme="minorHAnsi" w:cstheme="minorHAnsi"/>
          <w:b w:val="0"/>
          <w:bCs/>
          <w:szCs w:val="18"/>
          <w:bdr w:val="nil"/>
        </w:rPr>
        <w:tab/>
        <w:t xml:space="preserve">This is a new indicator in 2021-22 year replacing the indicator </w:t>
      </w:r>
      <w:r w:rsidRPr="00D03371">
        <w:rPr>
          <w:rFonts w:asciiTheme="minorHAnsi" w:hAnsiTheme="minorHAnsi" w:cstheme="minorHAnsi"/>
          <w:b w:val="0"/>
          <w:bCs/>
          <w:i/>
          <w:iCs/>
          <w:szCs w:val="18"/>
          <w:bdr w:val="nil"/>
        </w:rPr>
        <w:t xml:space="preserve">Percentage of Alerts, Updates and Warnings to ACT community </w:t>
      </w:r>
      <w:proofErr w:type="gramStart"/>
      <w:r w:rsidRPr="00D03371">
        <w:rPr>
          <w:rFonts w:asciiTheme="minorHAnsi" w:hAnsiTheme="minorHAnsi" w:cstheme="minorHAnsi"/>
          <w:b w:val="0"/>
          <w:bCs/>
          <w:i/>
          <w:iCs/>
          <w:szCs w:val="18"/>
          <w:bdr w:val="nil"/>
        </w:rPr>
        <w:t>through the use of</w:t>
      </w:r>
      <w:proofErr w:type="gramEnd"/>
      <w:r w:rsidRPr="00D03371">
        <w:rPr>
          <w:rFonts w:asciiTheme="minorHAnsi" w:hAnsiTheme="minorHAnsi" w:cstheme="minorHAnsi"/>
          <w:b w:val="0"/>
          <w:bCs/>
          <w:i/>
          <w:iCs/>
          <w:szCs w:val="18"/>
          <w:bdr w:val="nil"/>
        </w:rPr>
        <w:t xml:space="preserve"> SPOT system</w:t>
      </w:r>
      <w:r w:rsidRPr="005E3B44">
        <w:rPr>
          <w:rFonts w:asciiTheme="minorHAnsi" w:hAnsiTheme="minorHAnsi" w:cstheme="minorHAnsi"/>
          <w:b w:val="0"/>
          <w:bCs/>
          <w:szCs w:val="18"/>
          <w:bdr w:val="nil"/>
        </w:rPr>
        <w:t xml:space="preserve">.  The new indicator is about Social Media reach, given the current climate and </w:t>
      </w:r>
      <w:proofErr w:type="spellStart"/>
      <w:proofErr w:type="gramStart"/>
      <w:r w:rsidRPr="005E3B44">
        <w:rPr>
          <w:rFonts w:asciiTheme="minorHAnsi" w:hAnsiTheme="minorHAnsi" w:cstheme="minorHAnsi"/>
          <w:b w:val="0"/>
          <w:bCs/>
          <w:szCs w:val="18"/>
          <w:bdr w:val="nil"/>
        </w:rPr>
        <w:t>world wide</w:t>
      </w:r>
      <w:proofErr w:type="spellEnd"/>
      <w:proofErr w:type="gramEnd"/>
      <w:r w:rsidRPr="005E3B44">
        <w:rPr>
          <w:rFonts w:asciiTheme="minorHAnsi" w:hAnsiTheme="minorHAnsi" w:cstheme="minorHAnsi"/>
          <w:b w:val="0"/>
          <w:bCs/>
          <w:szCs w:val="18"/>
          <w:bdr w:val="nil"/>
        </w:rPr>
        <w:t xml:space="preserve"> use/reliance on social media to obtain information, and is seen as a key strategic indicator for ESA's PI&amp;E plan going forward.</w:t>
      </w:r>
    </w:p>
    <w:p w14:paraId="40A53A72" w14:textId="77777777" w:rsidR="002242F3" w:rsidRPr="005E3B44"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bdr w:val="nil"/>
        </w:rPr>
        <w:t xml:space="preserve">g. </w:t>
      </w:r>
      <w:r w:rsidRPr="005E3B44">
        <w:rPr>
          <w:rFonts w:asciiTheme="minorHAnsi" w:hAnsiTheme="minorHAnsi" w:cstheme="minorHAnsi"/>
          <w:b w:val="0"/>
          <w:bCs/>
          <w:bdr w:val="nil"/>
        </w:rPr>
        <w:tab/>
        <w:t xml:space="preserve">Description has been changed from ‘acknowledged’ to ‘completed’.  "Acknowledged" is defined as simply answering the phone and logging a job. The new indicator will measure a percentage of flood call outs completed, rather than acknowledged, in a </w:t>
      </w:r>
      <w:proofErr w:type="gramStart"/>
      <w:r w:rsidRPr="005E3B44">
        <w:rPr>
          <w:rFonts w:asciiTheme="minorHAnsi" w:hAnsiTheme="minorHAnsi" w:cstheme="minorHAnsi"/>
          <w:b w:val="0"/>
          <w:bCs/>
          <w:bdr w:val="nil"/>
        </w:rPr>
        <w:t>24 hour</w:t>
      </w:r>
      <w:proofErr w:type="gramEnd"/>
      <w:r w:rsidRPr="005E3B44">
        <w:rPr>
          <w:rFonts w:asciiTheme="minorHAnsi" w:hAnsiTheme="minorHAnsi" w:cstheme="minorHAnsi"/>
          <w:b w:val="0"/>
          <w:bCs/>
          <w:bdr w:val="nil"/>
        </w:rPr>
        <w:t xml:space="preserve"> period.  The change in the target from 95% to 90% is based on the past year’s data.</w:t>
      </w:r>
    </w:p>
    <w:p w14:paraId="1DBFFEDC" w14:textId="7CB3E4A5" w:rsidR="002242F3" w:rsidRDefault="002242F3"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 xml:space="preserve">h. </w:t>
      </w:r>
      <w:r w:rsidRPr="005E3B44">
        <w:rPr>
          <w:rFonts w:asciiTheme="minorHAnsi" w:hAnsiTheme="minorHAnsi" w:cstheme="minorHAnsi"/>
          <w:b w:val="0"/>
          <w:bCs/>
          <w:szCs w:val="18"/>
          <w:bdr w:val="nil"/>
        </w:rPr>
        <w:tab/>
        <w:t xml:space="preserve">This is a new indicator in 2021-22 year replacing the indicator </w:t>
      </w:r>
      <w:r w:rsidRPr="00D03371">
        <w:rPr>
          <w:rFonts w:asciiTheme="minorHAnsi" w:hAnsiTheme="minorHAnsi" w:cstheme="minorHAnsi"/>
          <w:b w:val="0"/>
          <w:bCs/>
          <w:i/>
          <w:iCs/>
          <w:szCs w:val="18"/>
          <w:bdr w:val="nil"/>
        </w:rPr>
        <w:t>Percentage of bushfires kept below five hectares within the ACT</w:t>
      </w:r>
      <w:r w:rsidRPr="005E3B44">
        <w:rPr>
          <w:rFonts w:asciiTheme="minorHAnsi" w:hAnsiTheme="minorHAnsi" w:cstheme="minorHAnsi"/>
          <w:b w:val="0"/>
          <w:bCs/>
          <w:szCs w:val="18"/>
          <w:bdr w:val="nil"/>
        </w:rPr>
        <w:t>.  The new indicator ties directly into an action item in the Strategic Bushfire Management Plan (SBMP), and it aligns with the benchmark that all jurisdictions use to measure their response.</w:t>
      </w:r>
    </w:p>
    <w:p w14:paraId="1C57963D" w14:textId="672B6538" w:rsidR="009F5EB8" w:rsidRDefault="009F5EB8" w:rsidP="002242F3">
      <w:pPr>
        <w:pStyle w:val="BSnote0"/>
        <w:pBdr>
          <w:top w:val="nil"/>
          <w:left w:val="nil"/>
          <w:bottom w:val="nil"/>
          <w:right w:val="nil"/>
          <w:between w:val="nil"/>
          <w:bar w:val="nil"/>
        </w:pBdr>
        <w:spacing w:before="0"/>
        <w:ind w:left="426" w:hanging="426"/>
        <w:rPr>
          <w:rFonts w:asciiTheme="minorHAnsi" w:hAnsiTheme="minorHAnsi" w:cstheme="minorHAnsi"/>
          <w:b w:val="0"/>
          <w:bCs/>
          <w:szCs w:val="18"/>
          <w:bdr w:val="nil"/>
        </w:rPr>
      </w:pPr>
    </w:p>
    <w:p w14:paraId="06D704FE" w14:textId="5AA06DA9" w:rsidR="009F5EB8" w:rsidRDefault="009F5EB8">
      <w:pPr>
        <w:spacing w:before="0" w:after="0"/>
        <w:rPr>
          <w:rFonts w:asciiTheme="minorHAnsi" w:hAnsiTheme="minorHAnsi" w:cstheme="minorHAnsi"/>
          <w:bCs/>
          <w:sz w:val="18"/>
          <w:szCs w:val="18"/>
          <w:bdr w:val="nil"/>
        </w:rPr>
      </w:pPr>
      <w:r>
        <w:rPr>
          <w:rFonts w:asciiTheme="minorHAnsi" w:hAnsiTheme="minorHAnsi" w:cstheme="minorHAnsi"/>
          <w:b/>
          <w:bCs/>
          <w:szCs w:val="18"/>
          <w:bdr w:val="nil"/>
        </w:rPr>
        <w:br w:type="page"/>
      </w:r>
    </w:p>
    <w:p w14:paraId="08BECA4F" w14:textId="77777777" w:rsidR="004C1875" w:rsidRDefault="00A25076" w:rsidP="004C1875">
      <w:pPr>
        <w:pStyle w:val="Heading4"/>
      </w:pPr>
      <w:r>
        <w:lastRenderedPageBreak/>
        <w:t xml:space="preserve">Strategic Objective 3 </w:t>
      </w:r>
    </w:p>
    <w:p w14:paraId="18C44105" w14:textId="04C77EC7" w:rsidR="009F5EB8" w:rsidRPr="005E3B44" w:rsidRDefault="009F5EB8" w:rsidP="004C1875">
      <w:pPr>
        <w:pStyle w:val="Heading4"/>
      </w:pPr>
      <w:r w:rsidRPr="005E3B44">
        <w:t>Safe Community — Emergency Services</w:t>
      </w:r>
      <w:r>
        <w:t xml:space="preserve"> (Continued)</w:t>
      </w:r>
    </w:p>
    <w:p w14:paraId="3BFF1337" w14:textId="77777777" w:rsidR="009F5EB8" w:rsidRPr="005E3B44" w:rsidRDefault="009F5EB8" w:rsidP="009F5EB8">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Table </w:t>
      </w:r>
      <w:r>
        <w:rPr>
          <w:rFonts w:asciiTheme="minorHAnsi" w:hAnsiTheme="minorHAnsi" w:cstheme="minorHAnsi"/>
          <w:bdr w:val="nil"/>
        </w:rPr>
        <w:t>4</w:t>
      </w:r>
      <w:r w:rsidRPr="005E3B44">
        <w:rPr>
          <w:rFonts w:asciiTheme="minorHAnsi" w:hAnsiTheme="minorHAnsi" w:cstheme="minorHAnsi"/>
          <w:bdr w:val="nil"/>
        </w:rPr>
        <w:t>: Strategic Indicator 3:  Emergency Related Community Safety</w:t>
      </w:r>
      <w:r>
        <w:rPr>
          <w:rFonts w:asciiTheme="minorHAnsi" w:hAnsiTheme="minorHAnsi" w:cstheme="minorHAnsi"/>
          <w:bdr w:val="nil"/>
        </w:rPr>
        <w:t xml:space="preserve"> (Continued)</w:t>
      </w:r>
    </w:p>
    <w:p w14:paraId="69A0F06C"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szCs w:val="18"/>
          <w:bdr w:val="nil"/>
        </w:rPr>
      </w:pPr>
      <w:r w:rsidRPr="005E3B44">
        <w:rPr>
          <w:rFonts w:asciiTheme="minorHAnsi" w:hAnsiTheme="minorHAnsi" w:cstheme="minorHAnsi"/>
          <w:szCs w:val="18"/>
          <w:bdr w:val="nil"/>
        </w:rPr>
        <w:t>Notes:</w:t>
      </w:r>
    </w:p>
    <w:p w14:paraId="5E344968" w14:textId="77777777" w:rsidR="002242F3" w:rsidRPr="005E3B44" w:rsidRDefault="002242F3" w:rsidP="002242F3">
      <w:pPr>
        <w:pStyle w:val="ListParagraph"/>
        <w:pBdr>
          <w:top w:val="nil"/>
          <w:left w:val="nil"/>
          <w:bottom w:val="nil"/>
          <w:right w:val="nil"/>
          <w:between w:val="nil"/>
          <w:bar w:val="nil"/>
        </w:pBdr>
        <w:spacing w:before="0" w:line="256" w:lineRule="auto"/>
        <w:ind w:left="426" w:hanging="426"/>
        <w:contextualSpacing/>
        <w:rPr>
          <w:rFonts w:asciiTheme="minorHAnsi" w:hAnsiTheme="minorHAnsi" w:cstheme="minorHAnsi"/>
          <w:sz w:val="18"/>
          <w:szCs w:val="18"/>
          <w:bdr w:val="nil"/>
        </w:rPr>
      </w:pPr>
      <w:r w:rsidRPr="005E3B44">
        <w:rPr>
          <w:rFonts w:asciiTheme="minorHAnsi" w:hAnsiTheme="minorHAnsi" w:cstheme="minorHAnsi"/>
          <w:sz w:val="18"/>
          <w:szCs w:val="18"/>
          <w:bdr w:val="nil"/>
        </w:rPr>
        <w:t xml:space="preserve">1. </w:t>
      </w:r>
      <w:r w:rsidRPr="005E3B44">
        <w:rPr>
          <w:rFonts w:asciiTheme="minorHAnsi" w:hAnsiTheme="minorHAnsi" w:cstheme="minorHAnsi"/>
          <w:sz w:val="18"/>
          <w:szCs w:val="18"/>
          <w:bdr w:val="nil"/>
        </w:rPr>
        <w:tab/>
        <w:t xml:space="preserve">The </w:t>
      </w:r>
      <w:r w:rsidRPr="005E3B44">
        <w:rPr>
          <w:rFonts w:asciiTheme="minorHAnsi" w:hAnsiTheme="minorHAnsi" w:cstheme="minorHAnsi"/>
          <w:sz w:val="18"/>
          <w:szCs w:val="16"/>
          <w:bdr w:val="nil"/>
        </w:rPr>
        <w:t>variance between 2020-21 outcome and target is a result of an administrative error in target setting. Based on ACT Emergency planning and governance timelines, the 2020- 21 target should have been two (2), not six (6).</w:t>
      </w:r>
    </w:p>
    <w:p w14:paraId="16F10362" w14:textId="77777777" w:rsidR="002242F3" w:rsidRPr="005E3B44" w:rsidRDefault="002242F3" w:rsidP="002242F3">
      <w:pPr>
        <w:pStyle w:val="ListParagraph"/>
        <w:pBdr>
          <w:top w:val="nil"/>
          <w:left w:val="nil"/>
          <w:bottom w:val="nil"/>
          <w:right w:val="nil"/>
          <w:between w:val="nil"/>
          <w:bar w:val="nil"/>
        </w:pBdr>
        <w:spacing w:before="0" w:line="256" w:lineRule="auto"/>
        <w:ind w:left="426" w:hanging="426"/>
        <w:contextualSpacing/>
        <w:rPr>
          <w:rFonts w:asciiTheme="minorHAnsi" w:hAnsiTheme="minorHAnsi" w:cstheme="minorHAnsi"/>
          <w:sz w:val="18"/>
          <w:szCs w:val="18"/>
          <w:bdr w:val="nil"/>
        </w:rPr>
      </w:pPr>
      <w:r w:rsidRPr="005E3B44">
        <w:rPr>
          <w:rFonts w:asciiTheme="minorHAnsi" w:hAnsiTheme="minorHAnsi" w:cstheme="minorHAnsi"/>
          <w:sz w:val="18"/>
          <w:szCs w:val="18"/>
          <w:bdr w:val="nil"/>
        </w:rPr>
        <w:t xml:space="preserve">2. </w:t>
      </w:r>
      <w:r w:rsidRPr="005E3B44">
        <w:rPr>
          <w:rFonts w:asciiTheme="minorHAnsi" w:hAnsiTheme="minorHAnsi" w:cstheme="minorHAnsi"/>
          <w:sz w:val="18"/>
          <w:szCs w:val="18"/>
          <w:bdr w:val="nil"/>
        </w:rPr>
        <w:tab/>
        <w:t xml:space="preserve">ESA planned and conducted two exercises in October and December 2020. In </w:t>
      </w:r>
      <w:proofErr w:type="gramStart"/>
      <w:r w:rsidRPr="005E3B44">
        <w:rPr>
          <w:rFonts w:asciiTheme="minorHAnsi" w:hAnsiTheme="minorHAnsi" w:cstheme="minorHAnsi"/>
          <w:sz w:val="18"/>
          <w:szCs w:val="18"/>
          <w:bdr w:val="nil"/>
        </w:rPr>
        <w:t>addition</w:t>
      </w:r>
      <w:proofErr w:type="gramEnd"/>
      <w:r w:rsidRPr="005E3B44">
        <w:rPr>
          <w:rFonts w:asciiTheme="minorHAnsi" w:hAnsiTheme="minorHAnsi" w:cstheme="minorHAnsi"/>
          <w:sz w:val="18"/>
          <w:szCs w:val="18"/>
          <w:bdr w:val="nil"/>
        </w:rPr>
        <w:t xml:space="preserve"> ESA exercised a PICC for the March 2021 flooding event, bringing the total exercises held to three.</w:t>
      </w:r>
    </w:p>
    <w:p w14:paraId="371B8FF5" w14:textId="77777777" w:rsidR="002242F3" w:rsidRPr="005E3B44" w:rsidRDefault="002242F3" w:rsidP="002242F3">
      <w:pPr>
        <w:pStyle w:val="ListParagraph"/>
        <w:pBdr>
          <w:top w:val="nil"/>
          <w:left w:val="nil"/>
          <w:bottom w:val="nil"/>
          <w:right w:val="nil"/>
          <w:between w:val="nil"/>
          <w:bar w:val="nil"/>
        </w:pBdr>
        <w:spacing w:before="0" w:line="256" w:lineRule="auto"/>
        <w:ind w:left="426" w:hanging="426"/>
        <w:contextualSpacing/>
        <w:rPr>
          <w:rFonts w:asciiTheme="minorHAnsi" w:hAnsiTheme="minorHAnsi" w:cstheme="minorHAnsi"/>
          <w:sz w:val="18"/>
          <w:szCs w:val="18"/>
          <w:bdr w:val="nil"/>
        </w:rPr>
      </w:pPr>
      <w:r w:rsidRPr="005E3B44">
        <w:rPr>
          <w:rFonts w:asciiTheme="minorHAnsi" w:hAnsiTheme="minorHAnsi" w:cstheme="minorHAnsi"/>
          <w:sz w:val="18"/>
          <w:szCs w:val="18"/>
          <w:bdr w:val="nil"/>
        </w:rPr>
        <w:t xml:space="preserve">3. </w:t>
      </w:r>
      <w:r w:rsidRPr="005E3B44">
        <w:rPr>
          <w:rFonts w:asciiTheme="minorHAnsi" w:hAnsiTheme="minorHAnsi" w:cstheme="minorHAnsi"/>
          <w:sz w:val="18"/>
          <w:szCs w:val="18"/>
          <w:bdr w:val="nil"/>
        </w:rPr>
        <w:tab/>
        <w:t xml:space="preserve">The </w:t>
      </w:r>
      <w:r w:rsidRPr="005E3B44">
        <w:rPr>
          <w:rFonts w:asciiTheme="minorHAnsi" w:hAnsiTheme="minorHAnsi" w:cstheme="minorHAnsi"/>
          <w:sz w:val="18"/>
          <w:szCs w:val="16"/>
          <w:bdr w:val="nil"/>
        </w:rPr>
        <w:t>CFU volunteers number reduced in 2020-21 due to COVID-19 and attrition. Additionally, an administrative review of volunteer membership resulted in a reduction in CFU and SES volunteer numbers. RFS volunteers increased due to a large recruitment round.</w:t>
      </w:r>
    </w:p>
    <w:p w14:paraId="376E7D2D" w14:textId="77777777" w:rsidR="002242F3" w:rsidRPr="005E3B44" w:rsidRDefault="002242F3" w:rsidP="002242F3">
      <w:pPr>
        <w:pStyle w:val="ListParagraph"/>
        <w:pBdr>
          <w:top w:val="nil"/>
          <w:left w:val="nil"/>
          <w:bottom w:val="nil"/>
          <w:right w:val="nil"/>
          <w:between w:val="nil"/>
          <w:bar w:val="nil"/>
        </w:pBdr>
        <w:spacing w:before="0" w:line="256" w:lineRule="auto"/>
        <w:ind w:left="426" w:hanging="426"/>
        <w:contextualSpacing/>
        <w:rPr>
          <w:rFonts w:asciiTheme="minorHAnsi" w:hAnsiTheme="minorHAnsi" w:cstheme="minorHAnsi"/>
          <w:sz w:val="18"/>
          <w:szCs w:val="18"/>
          <w:bdr w:val="nil"/>
        </w:rPr>
      </w:pPr>
      <w:r w:rsidRPr="005E3B44">
        <w:rPr>
          <w:rFonts w:asciiTheme="minorHAnsi" w:hAnsiTheme="minorHAnsi" w:cstheme="minorHAnsi"/>
          <w:sz w:val="18"/>
          <w:szCs w:val="18"/>
          <w:bdr w:val="nil"/>
        </w:rPr>
        <w:t xml:space="preserve">4. </w:t>
      </w:r>
      <w:r w:rsidRPr="005E3B44">
        <w:rPr>
          <w:rFonts w:asciiTheme="minorHAnsi" w:hAnsiTheme="minorHAnsi" w:cstheme="minorHAnsi"/>
          <w:sz w:val="18"/>
          <w:szCs w:val="18"/>
          <w:bdr w:val="nil"/>
        </w:rPr>
        <w:tab/>
        <w:t>Lower 2020-21 outcome is due to confinement to room of origin being impacted by larger home sizes with more open plans, increased fuel loads consisting of more combustible contents and new construction materials and techniques.</w:t>
      </w:r>
    </w:p>
    <w:p w14:paraId="24C4F2A7" w14:textId="77777777" w:rsidR="002242F3" w:rsidRPr="005E3B44" w:rsidRDefault="002242F3" w:rsidP="002242F3">
      <w:pPr>
        <w:pStyle w:val="BSnoteslist0"/>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29DB933" w14:textId="77777777" w:rsidR="002242F3" w:rsidRPr="005E3B44" w:rsidRDefault="002242F3" w:rsidP="002242F3">
      <w:pPr>
        <w:pStyle w:val="BSnoteslist0"/>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67D6ACC5" w14:textId="77777777" w:rsidR="002242F3" w:rsidRPr="005E3B44" w:rsidRDefault="002242F3" w:rsidP="002242F3">
      <w:pPr>
        <w:pStyle w:val="BSnoteslist0"/>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1AEFA34"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bookmarkStart w:id="11" w:name="OLE_LINK17"/>
      <w:bookmarkStart w:id="12" w:name="OLE_LINK16"/>
      <w:r w:rsidRPr="005E3B44">
        <w:rPr>
          <w:rFonts w:asciiTheme="minorHAnsi" w:hAnsiTheme="minorHAnsi" w:cstheme="minorHAnsi"/>
          <w:bCs w:val="0"/>
          <w:bdr w:val="nil"/>
        </w:rPr>
        <w:br w:type="page"/>
      </w:r>
      <w:bookmarkEnd w:id="11"/>
      <w:bookmarkEnd w:id="12"/>
      <w:r w:rsidRPr="005E3B44">
        <w:rPr>
          <w:rFonts w:asciiTheme="minorHAnsi" w:hAnsiTheme="minorHAnsi" w:cstheme="minorHAnsi"/>
          <w:bdr w:val="nil"/>
        </w:rPr>
        <w:lastRenderedPageBreak/>
        <w:t>Strategic Objective 4</w:t>
      </w:r>
    </w:p>
    <w:p w14:paraId="20C1614D" w14:textId="77777777" w:rsidR="002242F3" w:rsidRPr="005E3B44" w:rsidRDefault="002242F3" w:rsidP="004C1875">
      <w:pPr>
        <w:pStyle w:val="Heading4"/>
      </w:pPr>
      <w:r w:rsidRPr="005E3B44">
        <w:t>Promotion and Protection of Rights and Interests</w:t>
      </w:r>
    </w:p>
    <w:p w14:paraId="35BE9A98" w14:textId="77777777" w:rsidR="002242F3" w:rsidRPr="005E3B44" w:rsidRDefault="002242F3" w:rsidP="002242F3">
      <w:pPr>
        <w:pBdr>
          <w:top w:val="nil"/>
          <w:left w:val="nil"/>
          <w:bottom w:val="nil"/>
          <w:right w:val="nil"/>
          <w:between w:val="nil"/>
          <w:bar w:val="nil"/>
        </w:pBdr>
        <w:rPr>
          <w:rFonts w:asciiTheme="minorHAnsi" w:hAnsiTheme="minorHAnsi" w:cstheme="minorHAnsi"/>
          <w:color w:val="000000"/>
          <w:bdr w:val="nil"/>
        </w:rPr>
      </w:pPr>
      <w:r w:rsidRPr="005E3B44">
        <w:rPr>
          <w:rFonts w:asciiTheme="minorHAnsi" w:hAnsiTheme="minorHAnsi" w:cstheme="minorHAnsi"/>
          <w:bdr w:val="nil"/>
        </w:rPr>
        <w:t xml:space="preserve">The ACT Human Rights Commission, now including the Public Advocate of the ACT and Victim Support ACT, protects the rights of people in our community, including its vulnerable members. The Commission provides community engagement, information, support and/or advice in relation to the roles and functions of their Commissioners, including how members of our community can access and protect their rights. Additionally, as required under the </w:t>
      </w:r>
      <w:r w:rsidRPr="005E3B44">
        <w:rPr>
          <w:rFonts w:asciiTheme="minorHAnsi" w:hAnsiTheme="minorHAnsi" w:cstheme="minorHAnsi"/>
          <w:i/>
          <w:iCs/>
          <w:bdr w:val="nil"/>
        </w:rPr>
        <w:t>Human Rights Act</w:t>
      </w:r>
      <w:r w:rsidRPr="005E3B44">
        <w:rPr>
          <w:rFonts w:asciiTheme="minorHAnsi" w:hAnsiTheme="minorHAnsi" w:cstheme="minorHAnsi"/>
          <w:bdr w:val="nil"/>
        </w:rPr>
        <w:t xml:space="preserve"> </w:t>
      </w:r>
      <w:r w:rsidRPr="005E3B44">
        <w:rPr>
          <w:rFonts w:asciiTheme="minorHAnsi" w:hAnsiTheme="minorHAnsi" w:cstheme="minorHAnsi"/>
          <w:i/>
          <w:iCs/>
          <w:bdr w:val="nil"/>
        </w:rPr>
        <w:t>2004</w:t>
      </w:r>
      <w:r w:rsidRPr="005E3B44">
        <w:rPr>
          <w:rFonts w:asciiTheme="minorHAnsi" w:hAnsiTheme="minorHAnsi" w:cstheme="minorHAnsi"/>
          <w:bdr w:val="nil"/>
        </w:rPr>
        <w:t>, the Directorate seeks to ensure that all legislation is compatible with human rights.</w:t>
      </w:r>
    </w:p>
    <w:p w14:paraId="6C3D87F7" w14:textId="1E77827C" w:rsidR="002242F3" w:rsidRPr="00700C91" w:rsidRDefault="002242F3" w:rsidP="002242F3">
      <w:pPr>
        <w:pStyle w:val="Caption"/>
        <w:pBdr>
          <w:top w:val="nil"/>
          <w:left w:val="nil"/>
          <w:bottom w:val="nil"/>
          <w:right w:val="nil"/>
          <w:between w:val="nil"/>
          <w:bar w:val="nil"/>
        </w:pBdr>
        <w:rPr>
          <w:rFonts w:asciiTheme="minorHAnsi" w:hAnsiTheme="minorHAnsi" w:cstheme="minorHAnsi"/>
          <w:szCs w:val="22"/>
          <w:bdr w:val="nil"/>
        </w:rPr>
      </w:pPr>
      <w:r w:rsidRPr="00700C91">
        <w:rPr>
          <w:rFonts w:asciiTheme="minorHAnsi" w:hAnsiTheme="minorHAnsi" w:cstheme="minorHAnsi"/>
          <w:szCs w:val="22"/>
          <w:bdr w:val="nil"/>
        </w:rPr>
        <w:t xml:space="preserve">Table </w:t>
      </w:r>
      <w:r w:rsidR="00796CA3" w:rsidRPr="00370146">
        <w:rPr>
          <w:rFonts w:asciiTheme="minorHAnsi" w:hAnsiTheme="minorHAnsi" w:cstheme="minorHAnsi"/>
          <w:szCs w:val="22"/>
          <w:bdr w:val="nil"/>
        </w:rPr>
        <w:t>5</w:t>
      </w:r>
      <w:r w:rsidRPr="00700C91">
        <w:rPr>
          <w:rFonts w:asciiTheme="minorHAnsi" w:hAnsiTheme="minorHAnsi" w:cstheme="minorHAnsi"/>
          <w:szCs w:val="22"/>
          <w:bdr w:val="nil"/>
        </w:rPr>
        <w:t xml:space="preserve">: </w:t>
      </w:r>
      <w:r w:rsidRPr="00D03371">
        <w:rPr>
          <w:rFonts w:asciiTheme="minorHAnsi" w:hAnsiTheme="minorHAnsi" w:cstheme="minorHAnsi"/>
          <w:kern w:val="28"/>
          <w:szCs w:val="22"/>
          <w:bdr w:val="nil"/>
        </w:rPr>
        <w:t>Strategic Indicator 4</w:t>
      </w:r>
      <w:r w:rsidRPr="00700C91">
        <w:rPr>
          <w:rFonts w:asciiTheme="minorHAnsi" w:hAnsiTheme="minorHAnsi" w:cstheme="minorHAnsi"/>
          <w:szCs w:val="22"/>
          <w:bdr w:val="nil"/>
        </w:rPr>
        <w:t xml:space="preserve">:  </w:t>
      </w:r>
      <w:r w:rsidRPr="00D03371">
        <w:rPr>
          <w:rFonts w:asciiTheme="minorHAnsi" w:hAnsiTheme="minorHAnsi" w:cstheme="minorHAnsi"/>
          <w:kern w:val="28"/>
          <w:szCs w:val="22"/>
          <w:bdr w:val="nil"/>
        </w:rPr>
        <w:t>Awareness and Compliance with Human Rights and Interests</w:t>
      </w:r>
    </w:p>
    <w:tbl>
      <w:tblPr>
        <w:tblW w:w="9242" w:type="dxa"/>
        <w:tblBorders>
          <w:top w:val="single" w:sz="4" w:space="0" w:color="auto"/>
          <w:bottom w:val="single" w:sz="4" w:space="0" w:color="auto"/>
        </w:tblBorders>
        <w:tblLook w:val="01E0" w:firstRow="1" w:lastRow="1" w:firstColumn="1" w:lastColumn="1" w:noHBand="0" w:noVBand="0"/>
      </w:tblPr>
      <w:tblGrid>
        <w:gridCol w:w="1667"/>
        <w:gridCol w:w="3261"/>
        <w:gridCol w:w="1351"/>
        <w:gridCol w:w="1482"/>
        <w:gridCol w:w="1481"/>
      </w:tblGrid>
      <w:tr w:rsidR="002242F3" w:rsidRPr="005E3B44" w14:paraId="66722E7C" w14:textId="77777777" w:rsidTr="005E3B44">
        <w:tc>
          <w:tcPr>
            <w:tcW w:w="902" w:type="pct"/>
            <w:tcBorders>
              <w:top w:val="single" w:sz="12" w:space="0" w:color="auto"/>
              <w:left w:val="nil"/>
              <w:bottom w:val="single" w:sz="12" w:space="0" w:color="auto"/>
              <w:right w:val="nil"/>
            </w:tcBorders>
            <w:hideMark/>
          </w:tcPr>
          <w:p w14:paraId="0F960B44"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Success</w:t>
            </w:r>
          </w:p>
        </w:tc>
        <w:tc>
          <w:tcPr>
            <w:tcW w:w="1764" w:type="pct"/>
            <w:tcBorders>
              <w:top w:val="single" w:sz="12" w:space="0" w:color="auto"/>
              <w:left w:val="nil"/>
              <w:bottom w:val="single" w:sz="12" w:space="0" w:color="auto"/>
              <w:right w:val="nil"/>
            </w:tcBorders>
            <w:hideMark/>
          </w:tcPr>
          <w:p w14:paraId="0A3ADEFD"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jc w:val="left"/>
              <w:rPr>
                <w:rFonts w:asciiTheme="minorHAnsi" w:hAnsiTheme="minorHAnsi" w:cstheme="minorHAnsi"/>
                <w:bdr w:val="nil"/>
              </w:rPr>
            </w:pPr>
            <w:r w:rsidRPr="005E3B44">
              <w:rPr>
                <w:rFonts w:asciiTheme="minorHAnsi" w:hAnsiTheme="minorHAnsi" w:cstheme="minorHAnsi"/>
                <w:bdr w:val="nil"/>
              </w:rPr>
              <w:t xml:space="preserve">Strategic Indicator </w:t>
            </w:r>
          </w:p>
        </w:tc>
        <w:tc>
          <w:tcPr>
            <w:tcW w:w="731" w:type="pct"/>
            <w:tcBorders>
              <w:top w:val="single" w:sz="12" w:space="0" w:color="auto"/>
              <w:left w:val="nil"/>
              <w:bottom w:val="single" w:sz="12" w:space="0" w:color="auto"/>
              <w:right w:val="nil"/>
            </w:tcBorders>
            <w:hideMark/>
          </w:tcPr>
          <w:p w14:paraId="0F8934A1"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1DB4B81E"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c>
          <w:tcPr>
            <w:tcW w:w="802" w:type="pct"/>
            <w:tcBorders>
              <w:top w:val="single" w:sz="12" w:space="0" w:color="auto"/>
              <w:left w:val="nil"/>
              <w:bottom w:val="single" w:sz="12" w:space="0" w:color="auto"/>
              <w:right w:val="nil"/>
            </w:tcBorders>
            <w:hideMark/>
          </w:tcPr>
          <w:p w14:paraId="39081025"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05602C98"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Actuals</w:t>
            </w:r>
          </w:p>
        </w:tc>
        <w:tc>
          <w:tcPr>
            <w:tcW w:w="801" w:type="pct"/>
            <w:tcBorders>
              <w:top w:val="single" w:sz="12" w:space="0" w:color="auto"/>
              <w:left w:val="nil"/>
              <w:bottom w:val="single" w:sz="12" w:space="0" w:color="auto"/>
              <w:right w:val="nil"/>
            </w:tcBorders>
            <w:hideMark/>
          </w:tcPr>
          <w:p w14:paraId="559B6BD4"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46848F17" w14:textId="77777777" w:rsidR="002242F3" w:rsidRPr="005E3B44" w:rsidRDefault="002242F3" w:rsidP="005E3B44">
            <w:pPr>
              <w:pStyle w:val="BStableheading1"/>
              <w:keepNext/>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763A71AE" w14:textId="77777777" w:rsidTr="005E3B44">
        <w:tc>
          <w:tcPr>
            <w:tcW w:w="902" w:type="pct"/>
            <w:tcBorders>
              <w:top w:val="single" w:sz="12" w:space="0" w:color="auto"/>
              <w:left w:val="nil"/>
              <w:bottom w:val="nil"/>
              <w:right w:val="nil"/>
            </w:tcBorders>
            <w:hideMark/>
          </w:tcPr>
          <w:p w14:paraId="456E2FAD"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New government laws are compatible with human rights legislation at time of introduction</w:t>
            </w:r>
          </w:p>
        </w:tc>
        <w:tc>
          <w:tcPr>
            <w:tcW w:w="1764" w:type="pct"/>
            <w:tcBorders>
              <w:top w:val="single" w:sz="12" w:space="0" w:color="auto"/>
              <w:left w:val="nil"/>
              <w:bottom w:val="nil"/>
              <w:right w:val="nil"/>
            </w:tcBorders>
            <w:hideMark/>
          </w:tcPr>
          <w:p w14:paraId="2F27D784"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Percentage of new government laws that are compatible with human rights legislation at the time of introduction</w:t>
            </w:r>
          </w:p>
        </w:tc>
        <w:tc>
          <w:tcPr>
            <w:tcW w:w="731" w:type="pct"/>
            <w:tcBorders>
              <w:top w:val="single" w:sz="12" w:space="0" w:color="auto"/>
              <w:left w:val="nil"/>
              <w:bottom w:val="nil"/>
              <w:right w:val="nil"/>
            </w:tcBorders>
            <w:hideMark/>
          </w:tcPr>
          <w:p w14:paraId="2683AA5D"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100%</w:t>
            </w:r>
          </w:p>
        </w:tc>
        <w:tc>
          <w:tcPr>
            <w:tcW w:w="802" w:type="pct"/>
            <w:tcBorders>
              <w:top w:val="single" w:sz="12" w:space="0" w:color="auto"/>
              <w:left w:val="nil"/>
              <w:bottom w:val="nil"/>
              <w:right w:val="nil"/>
            </w:tcBorders>
            <w:hideMark/>
          </w:tcPr>
          <w:p w14:paraId="242B693C"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100%</w:t>
            </w:r>
          </w:p>
        </w:tc>
        <w:tc>
          <w:tcPr>
            <w:tcW w:w="801" w:type="pct"/>
            <w:tcBorders>
              <w:top w:val="single" w:sz="12" w:space="0" w:color="auto"/>
              <w:left w:val="nil"/>
              <w:bottom w:val="nil"/>
              <w:right w:val="nil"/>
            </w:tcBorders>
            <w:hideMark/>
          </w:tcPr>
          <w:p w14:paraId="3070E62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100%</w:t>
            </w:r>
          </w:p>
        </w:tc>
      </w:tr>
      <w:tr w:rsidR="002242F3" w:rsidRPr="005E3B44" w14:paraId="37B94AEE" w14:textId="77777777" w:rsidTr="005E3B44">
        <w:trPr>
          <w:trHeight w:val="891"/>
        </w:trPr>
        <w:tc>
          <w:tcPr>
            <w:tcW w:w="902" w:type="pct"/>
            <w:vMerge w:val="restart"/>
            <w:tcBorders>
              <w:top w:val="nil"/>
              <w:left w:val="nil"/>
              <w:bottom w:val="nil"/>
              <w:right w:val="nil"/>
            </w:tcBorders>
            <w:hideMark/>
          </w:tcPr>
          <w:p w14:paraId="3B2828A8"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p w14:paraId="0EAC8608"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 xml:space="preserve">Increased community awareness and understanding of human rights </w:t>
            </w:r>
            <w:r w:rsidRPr="005E3B44">
              <w:rPr>
                <w:rFonts w:asciiTheme="minorHAnsi" w:hAnsiTheme="minorHAnsi" w:cstheme="minorHAnsi"/>
                <w:b w:val="0"/>
                <w:sz w:val="20"/>
                <w:bdr w:val="nil"/>
                <w:vertAlign w:val="superscript"/>
              </w:rPr>
              <w:t>a</w:t>
            </w:r>
          </w:p>
        </w:tc>
        <w:tc>
          <w:tcPr>
            <w:tcW w:w="1764" w:type="pct"/>
            <w:tcBorders>
              <w:top w:val="nil"/>
              <w:left w:val="nil"/>
              <w:bottom w:val="nil"/>
              <w:right w:val="nil"/>
            </w:tcBorders>
            <w:hideMark/>
          </w:tcPr>
          <w:p w14:paraId="0B9EA1F3"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p w14:paraId="5FB78DDD"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vertAlign w:val="superscript"/>
              </w:rPr>
            </w:pPr>
            <w:r w:rsidRPr="005E3B44">
              <w:rPr>
                <w:rFonts w:asciiTheme="minorHAnsi" w:hAnsiTheme="minorHAnsi" w:cstheme="minorHAnsi"/>
                <w:b w:val="0"/>
                <w:sz w:val="20"/>
                <w:szCs w:val="20"/>
                <w:bdr w:val="nil"/>
              </w:rPr>
              <w:t xml:space="preserve">Number of community members made aware of their rights </w:t>
            </w:r>
            <w:proofErr w:type="gramStart"/>
            <w:r w:rsidRPr="005E3B44">
              <w:rPr>
                <w:rFonts w:asciiTheme="minorHAnsi" w:hAnsiTheme="minorHAnsi" w:cstheme="minorHAnsi"/>
                <w:b w:val="0"/>
                <w:sz w:val="20"/>
                <w:szCs w:val="20"/>
                <w:bdr w:val="nil"/>
              </w:rPr>
              <w:t>in the area of</w:t>
            </w:r>
            <w:proofErr w:type="gramEnd"/>
            <w:r w:rsidRPr="005E3B44">
              <w:rPr>
                <w:rFonts w:asciiTheme="minorHAnsi" w:hAnsiTheme="minorHAnsi" w:cstheme="minorHAnsi"/>
                <w:b w:val="0"/>
                <w:sz w:val="20"/>
                <w:szCs w:val="20"/>
                <w:bdr w:val="nil"/>
              </w:rPr>
              <w:t xml:space="preserve"> responsibility for victim support </w:t>
            </w:r>
            <w:r w:rsidRPr="005E3B44">
              <w:rPr>
                <w:rFonts w:asciiTheme="minorHAnsi" w:hAnsiTheme="minorHAnsi" w:cstheme="minorHAnsi"/>
                <w:b w:val="0"/>
                <w:bCs w:val="0"/>
                <w:sz w:val="20"/>
                <w:szCs w:val="20"/>
                <w:bdr w:val="nil"/>
                <w:vertAlign w:val="superscript"/>
              </w:rPr>
              <w:t>b, 1</w:t>
            </w:r>
          </w:p>
        </w:tc>
        <w:tc>
          <w:tcPr>
            <w:tcW w:w="731" w:type="pct"/>
            <w:tcBorders>
              <w:top w:val="nil"/>
              <w:left w:val="nil"/>
              <w:bottom w:val="nil"/>
              <w:right w:val="nil"/>
            </w:tcBorders>
            <w:hideMark/>
          </w:tcPr>
          <w:p w14:paraId="1FCA4608"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p w14:paraId="2DED663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1,400</w:t>
            </w:r>
          </w:p>
        </w:tc>
        <w:tc>
          <w:tcPr>
            <w:tcW w:w="802" w:type="pct"/>
            <w:tcBorders>
              <w:top w:val="nil"/>
              <w:left w:val="nil"/>
              <w:bottom w:val="nil"/>
              <w:right w:val="nil"/>
            </w:tcBorders>
            <w:hideMark/>
          </w:tcPr>
          <w:p w14:paraId="0777267F"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p w14:paraId="010C99CD"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3,083</w:t>
            </w:r>
          </w:p>
        </w:tc>
        <w:tc>
          <w:tcPr>
            <w:tcW w:w="801" w:type="pct"/>
            <w:tcBorders>
              <w:top w:val="nil"/>
              <w:left w:val="nil"/>
              <w:bottom w:val="nil"/>
              <w:right w:val="nil"/>
            </w:tcBorders>
            <w:hideMark/>
          </w:tcPr>
          <w:p w14:paraId="5B7501C5"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p w14:paraId="32D1DA8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n/a</w:t>
            </w:r>
          </w:p>
        </w:tc>
      </w:tr>
      <w:tr w:rsidR="002242F3" w:rsidRPr="005E3B44" w14:paraId="17E9D633" w14:textId="77777777" w:rsidTr="005E3B44">
        <w:tc>
          <w:tcPr>
            <w:tcW w:w="902" w:type="pct"/>
            <w:vMerge/>
            <w:tcBorders>
              <w:top w:val="nil"/>
              <w:left w:val="nil"/>
              <w:bottom w:val="nil"/>
              <w:right w:val="nil"/>
            </w:tcBorders>
            <w:vAlign w:val="center"/>
            <w:hideMark/>
          </w:tcPr>
          <w:p w14:paraId="5A7C56CA"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764" w:type="pct"/>
            <w:tcBorders>
              <w:top w:val="nil"/>
              <w:left w:val="nil"/>
              <w:bottom w:val="nil"/>
              <w:right w:val="nil"/>
            </w:tcBorders>
            <w:hideMark/>
          </w:tcPr>
          <w:p w14:paraId="6F1A646A"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p w14:paraId="628B18F6"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r w:rsidRPr="005E3B44">
              <w:rPr>
                <w:rFonts w:asciiTheme="minorHAnsi" w:hAnsiTheme="minorHAnsi" w:cstheme="minorHAnsi"/>
                <w:b w:val="0"/>
                <w:sz w:val="20"/>
                <w:szCs w:val="20"/>
                <w:bdr w:val="nil"/>
              </w:rPr>
              <w:t>Number of community engagement activities undertaken by:</w:t>
            </w:r>
          </w:p>
        </w:tc>
        <w:tc>
          <w:tcPr>
            <w:tcW w:w="731" w:type="pct"/>
            <w:tcBorders>
              <w:top w:val="nil"/>
              <w:left w:val="nil"/>
              <w:bottom w:val="nil"/>
              <w:right w:val="nil"/>
            </w:tcBorders>
          </w:tcPr>
          <w:p w14:paraId="0D49894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802" w:type="pct"/>
            <w:tcBorders>
              <w:top w:val="nil"/>
              <w:left w:val="nil"/>
              <w:bottom w:val="nil"/>
              <w:right w:val="nil"/>
            </w:tcBorders>
          </w:tcPr>
          <w:p w14:paraId="592468E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c>
          <w:tcPr>
            <w:tcW w:w="801" w:type="pct"/>
            <w:tcBorders>
              <w:top w:val="nil"/>
              <w:left w:val="nil"/>
              <w:bottom w:val="nil"/>
              <w:right w:val="nil"/>
            </w:tcBorders>
          </w:tcPr>
          <w:p w14:paraId="64D9F070"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p>
        </w:tc>
      </w:tr>
      <w:tr w:rsidR="002242F3" w:rsidRPr="005E3B44" w14:paraId="29FB80EF" w14:textId="77777777" w:rsidTr="005E3B44">
        <w:tc>
          <w:tcPr>
            <w:tcW w:w="902" w:type="pct"/>
            <w:vMerge/>
            <w:tcBorders>
              <w:top w:val="nil"/>
              <w:left w:val="nil"/>
              <w:bottom w:val="nil"/>
              <w:right w:val="nil"/>
            </w:tcBorders>
            <w:vAlign w:val="center"/>
            <w:hideMark/>
          </w:tcPr>
          <w:p w14:paraId="00CB3062"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764" w:type="pct"/>
            <w:tcBorders>
              <w:top w:val="nil"/>
              <w:left w:val="nil"/>
              <w:bottom w:val="nil"/>
              <w:right w:val="nil"/>
            </w:tcBorders>
            <w:hideMark/>
          </w:tcPr>
          <w:p w14:paraId="0E0BC884" w14:textId="77777777" w:rsidR="002242F3" w:rsidRPr="005E3B44" w:rsidRDefault="002242F3" w:rsidP="005E3B44">
            <w:pPr>
              <w:pStyle w:val="BStabledotpoint"/>
              <w:pBdr>
                <w:top w:val="nil"/>
                <w:left w:val="nil"/>
                <w:bottom w:val="nil"/>
                <w:right w:val="nil"/>
                <w:between w:val="nil"/>
                <w:bar w:val="nil"/>
              </w:pBdr>
              <w:tabs>
                <w:tab w:val="clear" w:pos="360"/>
                <w:tab w:val="left" w:pos="720"/>
              </w:tabs>
              <w:rPr>
                <w:rFonts w:asciiTheme="minorHAnsi" w:hAnsiTheme="minorHAnsi" w:cstheme="minorHAnsi"/>
                <w:bdr w:val="nil"/>
                <w:vertAlign w:val="superscript"/>
              </w:rPr>
            </w:pPr>
            <w:r w:rsidRPr="005E3B44">
              <w:rPr>
                <w:rFonts w:asciiTheme="minorHAnsi" w:hAnsiTheme="minorHAnsi" w:cstheme="minorHAnsi"/>
                <w:bdr w:val="nil"/>
              </w:rPr>
              <w:t>Human Rights Commission in area of human rights and service provision</w:t>
            </w:r>
            <w:r w:rsidRPr="005E3B44">
              <w:rPr>
                <w:rFonts w:asciiTheme="minorHAnsi" w:hAnsiTheme="minorHAnsi" w:cstheme="minorHAnsi"/>
                <w:bdr w:val="nil"/>
                <w:vertAlign w:val="superscript"/>
              </w:rPr>
              <w:t xml:space="preserve"> </w:t>
            </w:r>
          </w:p>
          <w:p w14:paraId="75182A2C" w14:textId="77777777" w:rsidR="002242F3" w:rsidRPr="005E3B44" w:rsidRDefault="002242F3" w:rsidP="005E3B44">
            <w:pPr>
              <w:pStyle w:val="BStabledotpoint"/>
              <w:pBdr>
                <w:top w:val="nil"/>
                <w:left w:val="nil"/>
                <w:bottom w:val="nil"/>
                <w:right w:val="nil"/>
                <w:between w:val="nil"/>
                <w:bar w:val="nil"/>
              </w:pBdr>
              <w:tabs>
                <w:tab w:val="clear" w:pos="360"/>
                <w:tab w:val="left" w:pos="720"/>
              </w:tabs>
              <w:rPr>
                <w:rFonts w:asciiTheme="minorHAnsi" w:hAnsiTheme="minorHAnsi" w:cstheme="minorHAnsi"/>
                <w:bdr w:val="nil"/>
              </w:rPr>
            </w:pPr>
          </w:p>
        </w:tc>
        <w:tc>
          <w:tcPr>
            <w:tcW w:w="731" w:type="pct"/>
            <w:tcBorders>
              <w:top w:val="nil"/>
              <w:left w:val="nil"/>
              <w:bottom w:val="nil"/>
              <w:right w:val="nil"/>
            </w:tcBorders>
            <w:hideMark/>
          </w:tcPr>
          <w:p w14:paraId="3B16C47F"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70</w:t>
            </w:r>
          </w:p>
        </w:tc>
        <w:tc>
          <w:tcPr>
            <w:tcW w:w="802" w:type="pct"/>
            <w:tcBorders>
              <w:top w:val="nil"/>
              <w:left w:val="nil"/>
              <w:bottom w:val="nil"/>
              <w:right w:val="nil"/>
            </w:tcBorders>
            <w:hideMark/>
          </w:tcPr>
          <w:p w14:paraId="737D0A95"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75</w:t>
            </w:r>
          </w:p>
        </w:tc>
        <w:tc>
          <w:tcPr>
            <w:tcW w:w="801" w:type="pct"/>
            <w:tcBorders>
              <w:top w:val="nil"/>
              <w:left w:val="nil"/>
              <w:bottom w:val="nil"/>
              <w:right w:val="nil"/>
            </w:tcBorders>
            <w:hideMark/>
          </w:tcPr>
          <w:p w14:paraId="1F0BFD27"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70</w:t>
            </w:r>
          </w:p>
        </w:tc>
      </w:tr>
      <w:tr w:rsidR="002242F3" w:rsidRPr="005E3B44" w14:paraId="3A1A7168" w14:textId="77777777" w:rsidTr="005E3B44">
        <w:tc>
          <w:tcPr>
            <w:tcW w:w="902" w:type="pct"/>
            <w:vMerge/>
            <w:tcBorders>
              <w:top w:val="nil"/>
              <w:left w:val="nil"/>
              <w:bottom w:val="nil"/>
              <w:right w:val="nil"/>
            </w:tcBorders>
            <w:vAlign w:val="center"/>
          </w:tcPr>
          <w:p w14:paraId="308E1A68"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p>
        </w:tc>
        <w:tc>
          <w:tcPr>
            <w:tcW w:w="1764" w:type="pct"/>
            <w:tcBorders>
              <w:top w:val="nil"/>
              <w:left w:val="nil"/>
              <w:bottom w:val="nil"/>
              <w:right w:val="nil"/>
            </w:tcBorders>
          </w:tcPr>
          <w:p w14:paraId="5697C97E" w14:textId="77777777" w:rsidR="002242F3" w:rsidRPr="005E3B44" w:rsidRDefault="002242F3" w:rsidP="005E3B44">
            <w:pPr>
              <w:pStyle w:val="BStabledotpoint"/>
              <w:pBdr>
                <w:top w:val="nil"/>
                <w:left w:val="nil"/>
                <w:bottom w:val="nil"/>
                <w:right w:val="nil"/>
                <w:between w:val="nil"/>
                <w:bar w:val="nil"/>
              </w:pBdr>
              <w:tabs>
                <w:tab w:val="clear" w:pos="360"/>
                <w:tab w:val="left" w:pos="720"/>
              </w:tabs>
              <w:rPr>
                <w:rFonts w:asciiTheme="minorHAnsi" w:hAnsiTheme="minorHAnsi" w:cstheme="minorHAnsi"/>
                <w:bdr w:val="nil"/>
                <w:vertAlign w:val="superscript"/>
              </w:rPr>
            </w:pPr>
            <w:r w:rsidRPr="005E3B44">
              <w:rPr>
                <w:rFonts w:asciiTheme="minorHAnsi" w:hAnsiTheme="minorHAnsi" w:cstheme="minorHAnsi"/>
                <w:bdr w:val="nil"/>
              </w:rPr>
              <w:t xml:space="preserve">Number of submissions, advices and comments directed at increasing human rights compliance on systemic issues in legislative and policy proposals </w:t>
            </w:r>
            <w:r w:rsidRPr="005E3B44">
              <w:rPr>
                <w:rFonts w:asciiTheme="minorHAnsi" w:hAnsiTheme="minorHAnsi" w:cstheme="minorHAnsi"/>
                <w:bdr w:val="nil"/>
                <w:vertAlign w:val="superscript"/>
              </w:rPr>
              <w:t>c</w:t>
            </w:r>
          </w:p>
          <w:p w14:paraId="1819CC14" w14:textId="77777777" w:rsidR="002242F3" w:rsidRPr="005E3B44" w:rsidRDefault="002242F3" w:rsidP="005E3B44">
            <w:pPr>
              <w:pStyle w:val="BStabledotpoint"/>
              <w:pBdr>
                <w:top w:val="nil"/>
                <w:left w:val="nil"/>
                <w:bottom w:val="nil"/>
                <w:right w:val="nil"/>
                <w:between w:val="nil"/>
                <w:bar w:val="nil"/>
              </w:pBdr>
              <w:tabs>
                <w:tab w:val="clear" w:pos="360"/>
                <w:tab w:val="left" w:pos="720"/>
              </w:tabs>
              <w:rPr>
                <w:rFonts w:asciiTheme="minorHAnsi" w:hAnsiTheme="minorHAnsi" w:cstheme="minorHAnsi"/>
                <w:bdr w:val="nil"/>
              </w:rPr>
            </w:pPr>
          </w:p>
        </w:tc>
        <w:tc>
          <w:tcPr>
            <w:tcW w:w="731" w:type="pct"/>
            <w:tcBorders>
              <w:top w:val="nil"/>
              <w:left w:val="nil"/>
              <w:bottom w:val="nil"/>
              <w:right w:val="nil"/>
            </w:tcBorders>
          </w:tcPr>
          <w:p w14:paraId="30B6E4EC"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n/a</w:t>
            </w:r>
          </w:p>
        </w:tc>
        <w:tc>
          <w:tcPr>
            <w:tcW w:w="802" w:type="pct"/>
            <w:tcBorders>
              <w:top w:val="nil"/>
              <w:left w:val="nil"/>
              <w:bottom w:val="nil"/>
              <w:right w:val="nil"/>
            </w:tcBorders>
          </w:tcPr>
          <w:p w14:paraId="7378FA69"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n/a</w:t>
            </w:r>
          </w:p>
        </w:tc>
        <w:tc>
          <w:tcPr>
            <w:tcW w:w="801" w:type="pct"/>
            <w:tcBorders>
              <w:top w:val="nil"/>
              <w:left w:val="nil"/>
              <w:bottom w:val="nil"/>
              <w:right w:val="nil"/>
            </w:tcBorders>
          </w:tcPr>
          <w:p w14:paraId="032B95B2"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50</w:t>
            </w:r>
          </w:p>
        </w:tc>
      </w:tr>
      <w:tr w:rsidR="002242F3" w:rsidRPr="005E3B44" w14:paraId="34DE49F1" w14:textId="77777777" w:rsidTr="005E3B44">
        <w:trPr>
          <w:trHeight w:val="891"/>
        </w:trPr>
        <w:tc>
          <w:tcPr>
            <w:tcW w:w="902" w:type="pct"/>
            <w:tcBorders>
              <w:top w:val="nil"/>
              <w:left w:val="nil"/>
              <w:bottom w:val="single" w:sz="12" w:space="0" w:color="auto"/>
              <w:right w:val="nil"/>
            </w:tcBorders>
          </w:tcPr>
          <w:p w14:paraId="237D6EEA" w14:textId="77777777" w:rsidR="002242F3" w:rsidRPr="005E3B44" w:rsidRDefault="002242F3" w:rsidP="005E3B44">
            <w:pPr>
              <w:pBdr>
                <w:top w:val="nil"/>
                <w:left w:val="nil"/>
                <w:bottom w:val="nil"/>
                <w:right w:val="nil"/>
                <w:between w:val="nil"/>
                <w:bar w:val="nil"/>
              </w:pBdr>
              <w:spacing w:before="0" w:after="0"/>
              <w:rPr>
                <w:rFonts w:asciiTheme="minorHAnsi" w:hAnsiTheme="minorHAnsi" w:cstheme="minorHAnsi"/>
                <w:bCs/>
                <w:sz w:val="20"/>
                <w:bdr w:val="nil"/>
                <w:lang w:eastAsia="en-AU"/>
              </w:rPr>
            </w:pPr>
            <w:bookmarkStart w:id="13" w:name="_Hlk74768098"/>
            <w:r w:rsidRPr="005E3B44">
              <w:rPr>
                <w:rFonts w:asciiTheme="minorHAnsi" w:hAnsiTheme="minorHAnsi" w:cstheme="minorHAnsi"/>
                <w:bCs/>
                <w:sz w:val="20"/>
                <w:bdr w:val="nil"/>
                <w:lang w:eastAsia="en-AU"/>
              </w:rPr>
              <w:t xml:space="preserve">Increased support for victims of </w:t>
            </w:r>
            <w:bookmarkEnd w:id="13"/>
            <w:r w:rsidRPr="005E3B44">
              <w:rPr>
                <w:rFonts w:asciiTheme="minorHAnsi" w:hAnsiTheme="minorHAnsi" w:cstheme="minorHAnsi"/>
                <w:bCs/>
                <w:sz w:val="20"/>
                <w:bdr w:val="nil"/>
                <w:lang w:eastAsia="en-AU"/>
              </w:rPr>
              <w:t xml:space="preserve">crime </w:t>
            </w:r>
            <w:r w:rsidRPr="005E3B44">
              <w:rPr>
                <w:rFonts w:asciiTheme="minorHAnsi" w:hAnsiTheme="minorHAnsi" w:cstheme="minorHAnsi"/>
                <w:bCs/>
                <w:sz w:val="20"/>
                <w:bdr w:val="nil"/>
                <w:vertAlign w:val="superscript"/>
                <w:lang w:eastAsia="en-AU"/>
              </w:rPr>
              <w:t>d</w:t>
            </w:r>
          </w:p>
          <w:p w14:paraId="1E14C01B"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1764" w:type="pct"/>
            <w:tcBorders>
              <w:top w:val="nil"/>
              <w:left w:val="nil"/>
              <w:bottom w:val="single" w:sz="12" w:space="0" w:color="auto"/>
              <w:right w:val="nil"/>
            </w:tcBorders>
          </w:tcPr>
          <w:p w14:paraId="1D1A8F06" w14:textId="77777777" w:rsidR="002242F3" w:rsidRPr="005E3B44" w:rsidRDefault="002242F3" w:rsidP="005E3B44">
            <w:pPr>
              <w:pStyle w:val="BStabledotpoint"/>
              <w:pBdr>
                <w:top w:val="nil"/>
                <w:left w:val="nil"/>
                <w:bottom w:val="nil"/>
                <w:right w:val="nil"/>
                <w:between w:val="nil"/>
                <w:bar w:val="nil"/>
              </w:pBdr>
              <w:tabs>
                <w:tab w:val="left" w:pos="720"/>
              </w:tabs>
              <w:rPr>
                <w:rFonts w:asciiTheme="minorHAnsi" w:hAnsiTheme="minorHAnsi" w:cstheme="minorHAnsi"/>
                <w:bdr w:val="nil"/>
              </w:rPr>
            </w:pPr>
            <w:r w:rsidRPr="005E3B44">
              <w:rPr>
                <w:rFonts w:asciiTheme="minorHAnsi" w:hAnsiTheme="minorHAnsi" w:cstheme="minorHAnsi"/>
                <w:bCs/>
                <w:bdr w:val="nil"/>
                <w:lang w:eastAsia="en-AU"/>
              </w:rPr>
              <w:t xml:space="preserve">Number of victims of crime who have received support, </w:t>
            </w:r>
            <w:proofErr w:type="gramStart"/>
            <w:r w:rsidRPr="005E3B44">
              <w:rPr>
                <w:rFonts w:asciiTheme="minorHAnsi" w:hAnsiTheme="minorHAnsi" w:cstheme="minorHAnsi"/>
                <w:bCs/>
                <w:bdr w:val="nil"/>
                <w:lang w:eastAsia="en-AU"/>
              </w:rPr>
              <w:t>assistance</w:t>
            </w:r>
            <w:proofErr w:type="gramEnd"/>
            <w:r w:rsidRPr="005E3B44">
              <w:rPr>
                <w:rFonts w:asciiTheme="minorHAnsi" w:hAnsiTheme="minorHAnsi" w:cstheme="minorHAnsi"/>
                <w:bCs/>
                <w:bdr w:val="nil"/>
                <w:lang w:eastAsia="en-AU"/>
              </w:rPr>
              <w:t xml:space="preserve"> or advocacy</w:t>
            </w:r>
            <w:r w:rsidRPr="005E3B44">
              <w:rPr>
                <w:rFonts w:asciiTheme="minorHAnsi" w:hAnsiTheme="minorHAnsi" w:cstheme="minorHAnsi"/>
                <w:b/>
                <w:bdr w:val="nil"/>
              </w:rPr>
              <w:t xml:space="preserve"> </w:t>
            </w:r>
            <w:r w:rsidRPr="005E3B44">
              <w:rPr>
                <w:rFonts w:asciiTheme="minorHAnsi" w:hAnsiTheme="minorHAnsi" w:cstheme="minorHAnsi"/>
                <w:bdr w:val="nil"/>
                <w:vertAlign w:val="superscript"/>
              </w:rPr>
              <w:t>e</w:t>
            </w:r>
          </w:p>
          <w:p w14:paraId="1EED8A09" w14:textId="77777777" w:rsidR="002242F3" w:rsidRPr="005E3B44" w:rsidRDefault="002242F3" w:rsidP="005E3B44">
            <w:pPr>
              <w:pStyle w:val="BStabletext3"/>
              <w:pBdr>
                <w:top w:val="nil"/>
                <w:left w:val="nil"/>
                <w:bottom w:val="nil"/>
                <w:right w:val="nil"/>
                <w:between w:val="nil"/>
                <w:bar w:val="nil"/>
              </w:pBdr>
              <w:rPr>
                <w:rFonts w:asciiTheme="minorHAnsi" w:hAnsiTheme="minorHAnsi" w:cstheme="minorHAnsi"/>
                <w:b w:val="0"/>
                <w:sz w:val="20"/>
                <w:szCs w:val="20"/>
                <w:bdr w:val="nil"/>
              </w:rPr>
            </w:pPr>
          </w:p>
        </w:tc>
        <w:tc>
          <w:tcPr>
            <w:tcW w:w="731" w:type="pct"/>
            <w:tcBorders>
              <w:top w:val="nil"/>
              <w:left w:val="nil"/>
              <w:bottom w:val="single" w:sz="12" w:space="0" w:color="auto"/>
              <w:right w:val="nil"/>
            </w:tcBorders>
          </w:tcPr>
          <w:p w14:paraId="19D53F3B"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n/a</w:t>
            </w:r>
          </w:p>
        </w:tc>
        <w:tc>
          <w:tcPr>
            <w:tcW w:w="802" w:type="pct"/>
            <w:tcBorders>
              <w:top w:val="nil"/>
              <w:left w:val="nil"/>
              <w:bottom w:val="single" w:sz="12" w:space="0" w:color="auto"/>
              <w:right w:val="nil"/>
            </w:tcBorders>
          </w:tcPr>
          <w:p w14:paraId="24E78A9C"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n/a</w:t>
            </w:r>
          </w:p>
        </w:tc>
        <w:tc>
          <w:tcPr>
            <w:tcW w:w="801" w:type="pct"/>
            <w:tcBorders>
              <w:top w:val="nil"/>
              <w:left w:val="nil"/>
              <w:bottom w:val="single" w:sz="12" w:space="0" w:color="auto"/>
              <w:right w:val="nil"/>
            </w:tcBorders>
          </w:tcPr>
          <w:p w14:paraId="61BD43C8" w14:textId="77777777" w:rsidR="002242F3" w:rsidRPr="005E3B44" w:rsidRDefault="002242F3" w:rsidP="005E3B44">
            <w:pPr>
              <w:pStyle w:val="BStablefigures"/>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1,600</w:t>
            </w:r>
          </w:p>
        </w:tc>
      </w:tr>
    </w:tbl>
    <w:p w14:paraId="4EC766CF" w14:textId="77777777" w:rsidR="002242F3" w:rsidRPr="005E3B44" w:rsidRDefault="002242F3"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r w:rsidRPr="005E3B44">
        <w:rPr>
          <w:rFonts w:asciiTheme="minorHAnsi" w:hAnsiTheme="minorHAnsi" w:cstheme="minorHAnsi"/>
          <w:sz w:val="18"/>
          <w:szCs w:val="16"/>
          <w:bdr w:val="nil"/>
        </w:rPr>
        <w:t>Historical performance trends of these Strategic Indictors can be found in the Justice and Community Safety Directorate’s 2020-21 Annual Report.</w:t>
      </w:r>
    </w:p>
    <w:p w14:paraId="52BFFF3F" w14:textId="26FED38A" w:rsidR="002242F3" w:rsidRDefault="002242F3"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19062682" w14:textId="1C0006BF" w:rsidR="005468DD" w:rsidRDefault="005468DD"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480F85BC" w14:textId="168A478E" w:rsidR="005468DD" w:rsidRDefault="005468DD"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51E7C649" w14:textId="43AEC519" w:rsidR="005468DD" w:rsidRDefault="005468DD"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22CC1D1C" w14:textId="0B858A86" w:rsidR="005468DD" w:rsidRDefault="005468DD"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1D1FF7DF" w14:textId="6E74DA89" w:rsidR="005468DD" w:rsidRDefault="005468DD" w:rsidP="002242F3">
      <w:pPr>
        <w:pBdr>
          <w:top w:val="nil"/>
          <w:left w:val="nil"/>
          <w:bottom w:val="nil"/>
          <w:right w:val="nil"/>
          <w:between w:val="nil"/>
          <w:bar w:val="nil"/>
        </w:pBdr>
        <w:shd w:val="clear" w:color="auto" w:fill="FFFFFF"/>
        <w:autoSpaceDE w:val="0"/>
        <w:autoSpaceDN w:val="0"/>
        <w:adjustRightInd w:val="0"/>
        <w:spacing w:before="120" w:after="0"/>
        <w:rPr>
          <w:rFonts w:asciiTheme="minorHAnsi" w:hAnsiTheme="minorHAnsi" w:cstheme="minorHAnsi"/>
          <w:sz w:val="18"/>
          <w:szCs w:val="16"/>
          <w:bdr w:val="nil"/>
        </w:rPr>
      </w:pPr>
    </w:p>
    <w:p w14:paraId="6160A302" w14:textId="36D9831F" w:rsidR="004C1875" w:rsidRDefault="00A25076" w:rsidP="004C1875">
      <w:pPr>
        <w:pStyle w:val="Heading4"/>
      </w:pPr>
      <w:r>
        <w:lastRenderedPageBreak/>
        <w:t xml:space="preserve">Strategic Indicator 4 </w:t>
      </w:r>
      <w:r w:rsidR="004C1875">
        <w:t>(Continued)</w:t>
      </w:r>
    </w:p>
    <w:p w14:paraId="2C5705D8" w14:textId="535A7BFC" w:rsidR="00756878" w:rsidRPr="005E3B44" w:rsidRDefault="00756878" w:rsidP="004C1875">
      <w:pPr>
        <w:pStyle w:val="Heading4"/>
      </w:pPr>
      <w:r w:rsidRPr="005E3B44">
        <w:t>Promotion and Protection of Rights and Interests</w:t>
      </w:r>
      <w:r>
        <w:t xml:space="preserve"> (Continued)</w:t>
      </w:r>
    </w:p>
    <w:p w14:paraId="13F0A046" w14:textId="7871C888" w:rsidR="005468DD" w:rsidRPr="00D03371" w:rsidRDefault="009F5EB8" w:rsidP="00D03371">
      <w:pPr>
        <w:pStyle w:val="Caption"/>
        <w:pBdr>
          <w:top w:val="nil"/>
          <w:left w:val="nil"/>
          <w:bottom w:val="nil"/>
          <w:right w:val="nil"/>
          <w:between w:val="nil"/>
          <w:bar w:val="nil"/>
        </w:pBdr>
        <w:rPr>
          <w:rFonts w:asciiTheme="minorHAnsi" w:hAnsiTheme="minorHAnsi" w:cstheme="minorHAnsi"/>
          <w:szCs w:val="22"/>
          <w:bdr w:val="nil"/>
        </w:rPr>
      </w:pPr>
      <w:r w:rsidRPr="00700C91">
        <w:rPr>
          <w:rFonts w:asciiTheme="minorHAnsi" w:hAnsiTheme="minorHAnsi" w:cstheme="minorHAnsi"/>
          <w:szCs w:val="22"/>
          <w:bdr w:val="nil"/>
        </w:rPr>
        <w:t xml:space="preserve">Table </w:t>
      </w:r>
      <w:r w:rsidRPr="00370146">
        <w:rPr>
          <w:rFonts w:asciiTheme="minorHAnsi" w:hAnsiTheme="minorHAnsi" w:cstheme="minorHAnsi"/>
          <w:szCs w:val="22"/>
          <w:bdr w:val="nil"/>
        </w:rPr>
        <w:t>5</w:t>
      </w:r>
      <w:r w:rsidRPr="00700C91">
        <w:rPr>
          <w:rFonts w:asciiTheme="minorHAnsi" w:hAnsiTheme="minorHAnsi" w:cstheme="minorHAnsi"/>
          <w:szCs w:val="22"/>
          <w:bdr w:val="nil"/>
        </w:rPr>
        <w:t xml:space="preserve">: </w:t>
      </w:r>
      <w:r w:rsidR="005468DD" w:rsidRPr="00D03371">
        <w:rPr>
          <w:rFonts w:asciiTheme="minorHAnsi" w:hAnsiTheme="minorHAnsi" w:cstheme="minorHAnsi"/>
          <w:kern w:val="28"/>
          <w:szCs w:val="22"/>
          <w:bdr w:val="nil"/>
        </w:rPr>
        <w:t>Strategic Indicator 4</w:t>
      </w:r>
      <w:r w:rsidR="005468DD" w:rsidRPr="00700C91">
        <w:rPr>
          <w:rFonts w:asciiTheme="minorHAnsi" w:hAnsiTheme="minorHAnsi" w:cstheme="minorHAnsi"/>
          <w:szCs w:val="22"/>
          <w:bdr w:val="nil"/>
        </w:rPr>
        <w:t xml:space="preserve">:  </w:t>
      </w:r>
      <w:r w:rsidR="005468DD" w:rsidRPr="00D03371">
        <w:rPr>
          <w:rFonts w:asciiTheme="minorHAnsi" w:hAnsiTheme="minorHAnsi" w:cstheme="minorHAnsi"/>
          <w:kern w:val="28"/>
          <w:szCs w:val="22"/>
          <w:bdr w:val="nil"/>
        </w:rPr>
        <w:t>Awareness and Compliance with Human Rights and Interests</w:t>
      </w:r>
      <w:r w:rsidR="00D03371">
        <w:rPr>
          <w:rFonts w:asciiTheme="minorHAnsi" w:hAnsiTheme="minorHAnsi" w:cstheme="minorHAnsi"/>
          <w:kern w:val="28"/>
          <w:szCs w:val="22"/>
          <w:bdr w:val="nil"/>
        </w:rPr>
        <w:t xml:space="preserve"> </w:t>
      </w:r>
      <w:r w:rsidR="00D03371" w:rsidRPr="004C1875">
        <w:rPr>
          <w:rFonts w:asciiTheme="minorHAnsi" w:hAnsiTheme="minorHAnsi" w:cstheme="minorHAnsi"/>
          <w:kern w:val="28"/>
          <w:szCs w:val="22"/>
          <w:bdr w:val="nil"/>
        </w:rPr>
        <w:t>(Continued)</w:t>
      </w:r>
    </w:p>
    <w:p w14:paraId="2AAFEAE1"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color w:val="000000"/>
          <w:sz w:val="18"/>
          <w:szCs w:val="18"/>
          <w:bdr w:val="nil"/>
          <w:lang w:eastAsia="en-AU"/>
        </w:rPr>
      </w:pPr>
      <w:r w:rsidRPr="005E3B44">
        <w:rPr>
          <w:rFonts w:asciiTheme="minorHAnsi" w:hAnsiTheme="minorHAnsi" w:cstheme="minorHAnsi"/>
          <w:b/>
          <w:bCs/>
          <w:color w:val="000000"/>
          <w:sz w:val="18"/>
          <w:szCs w:val="18"/>
          <w:bdr w:val="nil"/>
          <w:lang w:eastAsia="en-AU"/>
        </w:rPr>
        <w:t>Explanation of Strategic Indicators:</w:t>
      </w:r>
    </w:p>
    <w:p w14:paraId="39D28F28" w14:textId="77777777" w:rsidR="002242F3" w:rsidRPr="005E3B44" w:rsidRDefault="002242F3" w:rsidP="002242F3">
      <w:pPr>
        <w:pStyle w:val="BSnote0"/>
        <w:numPr>
          <w:ilvl w:val="0"/>
          <w:numId w:val="18"/>
        </w:numPr>
        <w:pBdr>
          <w:top w:val="nil"/>
          <w:left w:val="nil"/>
          <w:bottom w:val="nil"/>
          <w:right w:val="nil"/>
          <w:between w:val="nil"/>
          <w:bar w:val="nil"/>
        </w:pBdr>
        <w:spacing w:before="0"/>
        <w:ind w:left="426" w:hanging="426"/>
        <w:rPr>
          <w:rFonts w:asciiTheme="minorHAnsi" w:hAnsiTheme="minorHAnsi" w:cstheme="minorHAnsi"/>
          <w:b w:val="0"/>
          <w:szCs w:val="18"/>
          <w:bdr w:val="nil"/>
        </w:rPr>
      </w:pPr>
      <w:r w:rsidRPr="005E3B44">
        <w:rPr>
          <w:rFonts w:asciiTheme="minorHAnsi" w:hAnsiTheme="minorHAnsi" w:cstheme="minorHAnsi"/>
          <w:b w:val="0"/>
          <w:szCs w:val="18"/>
          <w:bdr w:val="nil"/>
        </w:rPr>
        <w:t xml:space="preserve">The Success indicator Increased community awareness of how to access and protect rights has been changed to the </w:t>
      </w:r>
      <w:r w:rsidRPr="005E3B44">
        <w:rPr>
          <w:rFonts w:asciiTheme="minorHAnsi" w:hAnsiTheme="minorHAnsi" w:cstheme="minorHAnsi"/>
          <w:b w:val="0"/>
          <w:i/>
          <w:iCs/>
          <w:szCs w:val="18"/>
          <w:bdr w:val="nil"/>
        </w:rPr>
        <w:t>Increased community awareness and understanding of human rights</w:t>
      </w:r>
      <w:r w:rsidRPr="005E3B44">
        <w:rPr>
          <w:rFonts w:asciiTheme="minorHAnsi" w:hAnsiTheme="minorHAnsi" w:cstheme="minorHAnsi"/>
          <w:b w:val="0"/>
          <w:szCs w:val="18"/>
          <w:bdr w:val="nil"/>
        </w:rPr>
        <w:t>.</w:t>
      </w:r>
    </w:p>
    <w:p w14:paraId="5DCACE11" w14:textId="77777777" w:rsidR="002242F3" w:rsidRPr="005E3B44" w:rsidRDefault="002242F3" w:rsidP="002242F3">
      <w:pPr>
        <w:pStyle w:val="BSnote0"/>
        <w:numPr>
          <w:ilvl w:val="0"/>
          <w:numId w:val="18"/>
        </w:numPr>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This indicator will be discontinued in 2021-22 and replaced by a new indicator as described in Note e below.</w:t>
      </w:r>
    </w:p>
    <w:p w14:paraId="48504887" w14:textId="77777777" w:rsidR="002242F3" w:rsidRPr="005E3B44" w:rsidRDefault="002242F3" w:rsidP="002242F3">
      <w:pPr>
        <w:pStyle w:val="BSnote0"/>
        <w:numPr>
          <w:ilvl w:val="0"/>
          <w:numId w:val="18"/>
        </w:numPr>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This is a new indicator in 2021-22 which will measure the Commission’s outputs addressing systemic human rights compliance issues in legislative and policy proposals.  This indicator will measure the number of submissions, advice and comments the Commission makes on human right compliance issues in legislative and policy proposals.</w:t>
      </w:r>
    </w:p>
    <w:p w14:paraId="4AFB4187" w14:textId="77777777" w:rsidR="002242F3" w:rsidRPr="005E3B44" w:rsidRDefault="002242F3" w:rsidP="002242F3">
      <w:pPr>
        <w:pStyle w:val="BSnote0"/>
        <w:numPr>
          <w:ilvl w:val="0"/>
          <w:numId w:val="18"/>
        </w:numPr>
        <w:pBdr>
          <w:top w:val="nil"/>
          <w:left w:val="nil"/>
          <w:bottom w:val="nil"/>
          <w:right w:val="nil"/>
          <w:between w:val="nil"/>
          <w:bar w:val="nil"/>
        </w:pBdr>
        <w:spacing w:before="0"/>
        <w:ind w:left="426" w:hanging="426"/>
        <w:rPr>
          <w:rFonts w:asciiTheme="minorHAnsi" w:hAnsiTheme="minorHAnsi" w:cstheme="minorHAnsi"/>
          <w:b w:val="0"/>
          <w:szCs w:val="18"/>
          <w:bdr w:val="nil"/>
        </w:rPr>
      </w:pPr>
      <w:r w:rsidRPr="005E3B44">
        <w:rPr>
          <w:rFonts w:asciiTheme="minorHAnsi" w:hAnsiTheme="minorHAnsi" w:cstheme="minorHAnsi"/>
          <w:b w:val="0"/>
          <w:szCs w:val="18"/>
          <w:bdr w:val="nil"/>
        </w:rPr>
        <w:t>This is a new Success Indicator.</w:t>
      </w:r>
    </w:p>
    <w:p w14:paraId="240DB3C2" w14:textId="77777777" w:rsidR="002242F3" w:rsidRPr="005E3B44" w:rsidRDefault="002242F3" w:rsidP="002242F3">
      <w:pPr>
        <w:pStyle w:val="BSnote0"/>
        <w:numPr>
          <w:ilvl w:val="0"/>
          <w:numId w:val="18"/>
        </w:numPr>
        <w:pBdr>
          <w:top w:val="nil"/>
          <w:left w:val="nil"/>
          <w:bottom w:val="nil"/>
          <w:right w:val="nil"/>
          <w:between w:val="nil"/>
          <w:bar w:val="nil"/>
        </w:pBdr>
        <w:spacing w:before="0"/>
        <w:ind w:left="426" w:hanging="426"/>
        <w:rPr>
          <w:rFonts w:asciiTheme="minorHAnsi" w:hAnsiTheme="minorHAnsi" w:cstheme="minorHAnsi"/>
          <w:b w:val="0"/>
          <w:bCs/>
          <w:szCs w:val="18"/>
          <w:bdr w:val="nil"/>
        </w:rPr>
      </w:pPr>
      <w:r w:rsidRPr="005E3B44">
        <w:rPr>
          <w:rFonts w:asciiTheme="minorHAnsi" w:hAnsiTheme="minorHAnsi" w:cstheme="minorHAnsi"/>
          <w:b w:val="0"/>
          <w:bCs/>
          <w:szCs w:val="18"/>
          <w:bdr w:val="nil"/>
        </w:rPr>
        <w:t xml:space="preserve">This is a new indicator in 2021-22 year which replaces the </w:t>
      </w:r>
      <w:r w:rsidRPr="005E3B44">
        <w:rPr>
          <w:rFonts w:asciiTheme="minorHAnsi" w:hAnsiTheme="minorHAnsi" w:cstheme="minorHAnsi"/>
          <w:b w:val="0"/>
          <w:bCs/>
          <w:i/>
          <w:iCs/>
          <w:szCs w:val="18"/>
          <w:bdr w:val="nil"/>
        </w:rPr>
        <w:t xml:space="preserve">Number of community members made aware of their rights </w:t>
      </w:r>
      <w:proofErr w:type="gramStart"/>
      <w:r w:rsidRPr="005E3B44">
        <w:rPr>
          <w:rFonts w:asciiTheme="minorHAnsi" w:hAnsiTheme="minorHAnsi" w:cstheme="minorHAnsi"/>
          <w:b w:val="0"/>
          <w:bCs/>
          <w:i/>
          <w:iCs/>
          <w:szCs w:val="18"/>
          <w:bdr w:val="nil"/>
        </w:rPr>
        <w:t>in the area of</w:t>
      </w:r>
      <w:proofErr w:type="gramEnd"/>
      <w:r w:rsidRPr="005E3B44">
        <w:rPr>
          <w:rFonts w:asciiTheme="minorHAnsi" w:hAnsiTheme="minorHAnsi" w:cstheme="minorHAnsi"/>
          <w:b w:val="0"/>
          <w:bCs/>
          <w:i/>
          <w:iCs/>
          <w:szCs w:val="18"/>
          <w:bdr w:val="nil"/>
        </w:rPr>
        <w:t xml:space="preserve"> responsibility for victim support</w:t>
      </w:r>
      <w:r w:rsidRPr="005E3B44">
        <w:rPr>
          <w:rFonts w:asciiTheme="minorHAnsi" w:hAnsiTheme="minorHAnsi" w:cstheme="minorHAnsi"/>
          <w:b w:val="0"/>
          <w:bCs/>
          <w:szCs w:val="18"/>
          <w:bdr w:val="nil"/>
        </w:rPr>
        <w:t xml:space="preserve">.  It is introduced as a comprehensive measure of the number of victims of crime who receive support, </w:t>
      </w:r>
      <w:proofErr w:type="gramStart"/>
      <w:r w:rsidRPr="005E3B44">
        <w:rPr>
          <w:rFonts w:asciiTheme="minorHAnsi" w:hAnsiTheme="minorHAnsi" w:cstheme="minorHAnsi"/>
          <w:b w:val="0"/>
          <w:bCs/>
          <w:szCs w:val="18"/>
          <w:bdr w:val="nil"/>
        </w:rPr>
        <w:t>assistance</w:t>
      </w:r>
      <w:proofErr w:type="gramEnd"/>
      <w:r w:rsidRPr="005E3B44">
        <w:rPr>
          <w:rFonts w:asciiTheme="minorHAnsi" w:hAnsiTheme="minorHAnsi" w:cstheme="minorHAnsi"/>
          <w:b w:val="0"/>
          <w:bCs/>
          <w:szCs w:val="18"/>
          <w:bdr w:val="nil"/>
        </w:rPr>
        <w:t xml:space="preserve"> or advocacy services.  </w:t>
      </w:r>
    </w:p>
    <w:p w14:paraId="3CB5D98A"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szCs w:val="18"/>
          <w:bdr w:val="nil"/>
        </w:rPr>
      </w:pPr>
      <w:r w:rsidRPr="005E3B44">
        <w:rPr>
          <w:rFonts w:asciiTheme="minorHAnsi" w:hAnsiTheme="minorHAnsi" w:cstheme="minorHAnsi"/>
          <w:szCs w:val="18"/>
          <w:bdr w:val="nil"/>
        </w:rPr>
        <w:t>Note:</w:t>
      </w:r>
    </w:p>
    <w:p w14:paraId="27676896" w14:textId="77777777" w:rsidR="002242F3" w:rsidRPr="005E3B44" w:rsidRDefault="002242F3" w:rsidP="002242F3">
      <w:pPr>
        <w:pBdr>
          <w:top w:val="nil"/>
          <w:left w:val="nil"/>
          <w:bottom w:val="nil"/>
          <w:right w:val="nil"/>
          <w:between w:val="nil"/>
          <w:bar w:val="nil"/>
        </w:pBdr>
        <w:spacing w:before="0"/>
        <w:ind w:left="426" w:hanging="426"/>
        <w:rPr>
          <w:rFonts w:asciiTheme="minorHAnsi" w:hAnsiTheme="minorHAnsi" w:cstheme="minorHAnsi"/>
          <w:color w:val="000000"/>
          <w:sz w:val="18"/>
          <w:szCs w:val="18"/>
          <w:bdr w:val="nil"/>
          <w:lang w:eastAsia="en-AU"/>
        </w:rPr>
      </w:pPr>
      <w:r w:rsidRPr="005E3B44">
        <w:rPr>
          <w:rFonts w:asciiTheme="minorHAnsi" w:hAnsiTheme="minorHAnsi" w:cstheme="minorHAnsi"/>
          <w:color w:val="000000"/>
          <w:sz w:val="18"/>
          <w:szCs w:val="18"/>
          <w:bdr w:val="nil"/>
          <w:lang w:eastAsia="en-AU"/>
        </w:rPr>
        <w:t>1.</w:t>
      </w:r>
      <w:r w:rsidRPr="005E3B44">
        <w:rPr>
          <w:rFonts w:asciiTheme="minorHAnsi" w:hAnsiTheme="minorHAnsi" w:cstheme="minorHAnsi"/>
          <w:color w:val="000000"/>
          <w:sz w:val="18"/>
          <w:szCs w:val="18"/>
          <w:bdr w:val="nil"/>
          <w:lang w:eastAsia="en-AU"/>
        </w:rPr>
        <w:tab/>
        <w:t xml:space="preserve">The number of victim support clients increased significantly in 2020-21 with the COVID-19 lockdown driving a surge from victims of crime for family violence related support.  </w:t>
      </w:r>
    </w:p>
    <w:p w14:paraId="45241A15" w14:textId="77777777" w:rsidR="002242F3" w:rsidRPr="005E3B44" w:rsidRDefault="002242F3" w:rsidP="002242F3">
      <w:pPr>
        <w:pStyle w:val="BSnote0"/>
        <w:pBdr>
          <w:top w:val="nil"/>
          <w:left w:val="nil"/>
          <w:bottom w:val="nil"/>
          <w:right w:val="nil"/>
          <w:between w:val="nil"/>
          <w:bar w:val="nil"/>
        </w:pBdr>
        <w:spacing w:before="0"/>
        <w:rPr>
          <w:rFonts w:asciiTheme="minorHAnsi" w:hAnsiTheme="minorHAnsi" w:cstheme="minorHAnsi"/>
          <w:b w:val="0"/>
          <w:bCs/>
          <w:szCs w:val="18"/>
          <w:bdr w:val="nil"/>
        </w:rPr>
      </w:pPr>
    </w:p>
    <w:p w14:paraId="15097E6F" w14:textId="77777777" w:rsidR="002242F3" w:rsidRPr="005E3B44" w:rsidRDefault="002242F3" w:rsidP="002242F3">
      <w:pPr>
        <w:pBdr>
          <w:top w:val="nil"/>
          <w:left w:val="nil"/>
          <w:bottom w:val="nil"/>
          <w:right w:val="nil"/>
          <w:between w:val="nil"/>
          <w:bar w:val="nil"/>
        </w:pBdr>
        <w:spacing w:before="0"/>
        <w:rPr>
          <w:rFonts w:asciiTheme="minorHAnsi" w:hAnsiTheme="minorHAnsi" w:cstheme="minorHAnsi"/>
          <w:b/>
          <w:bCs/>
          <w:color w:val="000000"/>
          <w:sz w:val="18"/>
          <w:szCs w:val="18"/>
          <w:bdr w:val="nil"/>
          <w:lang w:eastAsia="en-AU"/>
        </w:rPr>
      </w:pPr>
    </w:p>
    <w:p w14:paraId="284423E5"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highlight w:val="yellow"/>
          <w:bdr w:val="nil"/>
        </w:rPr>
      </w:pPr>
      <w:r w:rsidRPr="005E3B44">
        <w:rPr>
          <w:rFonts w:asciiTheme="minorHAnsi" w:hAnsiTheme="minorHAnsi" w:cstheme="minorHAnsi"/>
        </w:rPr>
        <w:t xml:space="preserve"> </w:t>
      </w:r>
    </w:p>
    <w:p w14:paraId="5921CB2D" w14:textId="77777777" w:rsidR="002242F3" w:rsidRPr="005E3B44" w:rsidRDefault="002242F3" w:rsidP="002242F3">
      <w:pPr>
        <w:pStyle w:val="Heading2"/>
        <w:pageBreakBefore/>
        <w:pBdr>
          <w:top w:val="nil"/>
          <w:left w:val="nil"/>
          <w:bottom w:val="nil"/>
          <w:right w:val="nil"/>
          <w:between w:val="nil"/>
          <w:bar w:val="nil"/>
        </w:pBdr>
        <w:rPr>
          <w:rFonts w:asciiTheme="minorHAnsi" w:hAnsiTheme="minorHAnsi" w:cstheme="minorHAnsi"/>
          <w:bdr w:val="nil"/>
        </w:rPr>
      </w:pPr>
      <w:bookmarkStart w:id="14" w:name="_Toc452467799"/>
      <w:r w:rsidRPr="005E3B44">
        <w:rPr>
          <w:rFonts w:asciiTheme="minorHAnsi" w:hAnsiTheme="minorHAnsi" w:cstheme="minorHAnsi"/>
          <w:bdr w:val="nil"/>
        </w:rPr>
        <w:lastRenderedPageBreak/>
        <w:t>Output Classes</w:t>
      </w:r>
      <w:bookmarkEnd w:id="14"/>
      <w:r w:rsidRPr="005E3B44">
        <w:rPr>
          <w:rFonts w:asciiTheme="minorHAnsi" w:hAnsiTheme="minorHAnsi" w:cstheme="minorHAnsi"/>
          <w:bdr w:val="nil"/>
        </w:rPr>
        <w:t xml:space="preserve"> </w:t>
      </w:r>
    </w:p>
    <w:p w14:paraId="007C6607"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Output Class 1: Justice Services</w:t>
      </w:r>
    </w:p>
    <w:p w14:paraId="3F62C481" w14:textId="65103104" w:rsidR="002242F3" w:rsidRPr="00D03371" w:rsidRDefault="002242F3" w:rsidP="002242F3">
      <w:pPr>
        <w:pStyle w:val="Caption"/>
        <w:pBdr>
          <w:top w:val="nil"/>
          <w:left w:val="nil"/>
          <w:bottom w:val="nil"/>
          <w:right w:val="nil"/>
          <w:between w:val="nil"/>
          <w:bar w:val="nil"/>
        </w:pBdr>
        <w:rPr>
          <w:rFonts w:asciiTheme="minorHAnsi" w:hAnsiTheme="minorHAnsi" w:cstheme="minorHAnsi"/>
          <w:szCs w:val="22"/>
          <w:bdr w:val="nil"/>
        </w:rPr>
      </w:pPr>
      <w:r w:rsidRPr="00D03371">
        <w:rPr>
          <w:rFonts w:asciiTheme="minorHAnsi" w:hAnsiTheme="minorHAnsi" w:cstheme="minorHAnsi"/>
          <w:szCs w:val="22"/>
          <w:bdr w:val="nil"/>
        </w:rPr>
        <w:t xml:space="preserve">Table </w:t>
      </w:r>
      <w:r w:rsidR="00796CA3" w:rsidRPr="00D03371">
        <w:rPr>
          <w:rFonts w:asciiTheme="minorHAnsi" w:hAnsiTheme="minorHAnsi" w:cstheme="minorHAnsi"/>
          <w:szCs w:val="22"/>
          <w:bdr w:val="nil"/>
        </w:rPr>
        <w:t>6</w:t>
      </w:r>
      <w:r w:rsidRPr="00D03371">
        <w:rPr>
          <w:rFonts w:asciiTheme="minorHAnsi" w:hAnsiTheme="minorHAnsi" w:cstheme="minorHAnsi"/>
          <w:szCs w:val="22"/>
          <w:bdr w:val="nil"/>
        </w:rPr>
        <w:t>: Output Class 1: Justice Services</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75671989"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4B1957E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64E8327"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D0A2C29"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A4CF53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2C09096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F4B9A94"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275D257"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D1344BF"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74137D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6F23DC7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1B99DE2"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8EAEA86"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7340798"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214483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352910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4DCEBE8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F709C36"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E25828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83,539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00E719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86,062</w:t>
            </w:r>
          </w:p>
        </w:tc>
      </w:tr>
      <w:tr w:rsidR="002242F3" w:rsidRPr="005E3B44" w14:paraId="7B87F68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035A1DF8"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33C52A4"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C3B231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66,260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3BED896"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75,452</w:t>
            </w:r>
          </w:p>
        </w:tc>
      </w:tr>
    </w:tbl>
    <w:p w14:paraId="2A0901E4"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Note:</w:t>
      </w:r>
    </w:p>
    <w:p w14:paraId="369A5CDF" w14:textId="77777777" w:rsidR="002242F3" w:rsidRPr="005E3B44" w:rsidRDefault="002242F3" w:rsidP="002242F3">
      <w:pPr>
        <w:pStyle w:val="BSnoteslist"/>
        <w:numPr>
          <w:ilvl w:val="0"/>
          <w:numId w:val="19"/>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Total cost </w:t>
      </w:r>
      <w:r w:rsidRPr="005E3B44">
        <w:rPr>
          <w:rFonts w:asciiTheme="minorHAnsi" w:hAnsiTheme="minorHAnsi" w:cstheme="minorHAnsi"/>
          <w:szCs w:val="16"/>
          <w:bdr w:val="nil"/>
        </w:rPr>
        <w:t>includes</w:t>
      </w:r>
      <w:r w:rsidRPr="005E3B44">
        <w:rPr>
          <w:rFonts w:asciiTheme="minorHAnsi" w:hAnsiTheme="minorHAnsi" w:cstheme="minorHAnsi"/>
          <w:bdr w:val="nil"/>
        </w:rPr>
        <w:t xml:space="preserve"> depreciation and amortisation of $2.110 million in 2020-21 and $2.505 million in 2021-22.</w:t>
      </w:r>
    </w:p>
    <w:p w14:paraId="5AE9B712"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53210222" w14:textId="77777777" w:rsidR="002242F3" w:rsidRPr="005E3B44" w:rsidRDefault="002242F3" w:rsidP="004C1875">
      <w:pPr>
        <w:pStyle w:val="Heading4"/>
      </w:pPr>
      <w:r w:rsidRPr="005E3B44">
        <w:t>Output 1.1: Policy Advice and Justice Programs</w:t>
      </w:r>
    </w:p>
    <w:p w14:paraId="345BAEF7"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High quality policy, legislation, ministerial support and advice to portfolio Ministers, Cabinet and other agencies on justice and community safety matters.  Administer security coordination and emergency management policy, and innovative justice and crime prevention programs (including the Restorative Justice Program) across government and the community.</w:t>
      </w:r>
    </w:p>
    <w:p w14:paraId="3C5400B0" w14:textId="39356023" w:rsidR="002242F3" w:rsidRPr="00D03371" w:rsidRDefault="002242F3" w:rsidP="002242F3">
      <w:pPr>
        <w:pStyle w:val="BSbullet1"/>
        <w:keepNext/>
        <w:keepLines/>
        <w:numPr>
          <w:ilvl w:val="0"/>
          <w:numId w:val="0"/>
        </w:numPr>
        <w:pBdr>
          <w:top w:val="nil"/>
          <w:left w:val="nil"/>
          <w:bottom w:val="nil"/>
          <w:right w:val="nil"/>
          <w:between w:val="nil"/>
          <w:bar w:val="nil"/>
        </w:pBdr>
        <w:rPr>
          <w:rFonts w:asciiTheme="minorHAnsi" w:hAnsiTheme="minorHAnsi" w:cstheme="minorHAnsi"/>
          <w:b/>
          <w:sz w:val="22"/>
          <w:szCs w:val="22"/>
          <w:bdr w:val="nil"/>
        </w:rPr>
      </w:pPr>
      <w:r w:rsidRPr="00D03371">
        <w:rPr>
          <w:rFonts w:asciiTheme="minorHAnsi" w:hAnsiTheme="minorHAnsi" w:cstheme="minorHAnsi"/>
          <w:b/>
          <w:sz w:val="22"/>
          <w:szCs w:val="22"/>
          <w:bdr w:val="nil"/>
        </w:rPr>
        <w:t xml:space="preserve">Table </w:t>
      </w:r>
      <w:r w:rsidR="00796CA3" w:rsidRPr="00D03371">
        <w:rPr>
          <w:rFonts w:asciiTheme="minorHAnsi" w:hAnsiTheme="minorHAnsi" w:cstheme="minorHAnsi"/>
          <w:b/>
          <w:sz w:val="22"/>
          <w:szCs w:val="22"/>
          <w:bdr w:val="nil"/>
        </w:rPr>
        <w:t>7</w:t>
      </w:r>
      <w:r w:rsidRPr="00D03371">
        <w:rPr>
          <w:rFonts w:asciiTheme="minorHAnsi" w:hAnsiTheme="minorHAnsi" w:cstheme="minorHAnsi"/>
          <w:b/>
          <w:sz w:val="22"/>
          <w:szCs w:val="22"/>
          <w:bdr w:val="nil"/>
        </w:rPr>
        <w:t>: Output 1.1:  Policy Advice and Justice Programs</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7E69D8A2"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DAB3A4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CE8781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D52BA6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9C6E5C8"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217F978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3DA8BAC9"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D127548"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82A10D8"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20D4DF19"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4DD7330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36E3E60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FFCCD9F"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0692B4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DACEB99"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72E7461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3CCC791"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210D878"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B4D68C9"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27,746</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3B99DC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30,384</w:t>
            </w:r>
          </w:p>
        </w:tc>
      </w:tr>
      <w:tr w:rsidR="002242F3" w:rsidRPr="005E3B44" w14:paraId="2952A5A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D79D0C8"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54B4114"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30C6D7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24,311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ED12A5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28,451</w:t>
            </w:r>
          </w:p>
        </w:tc>
      </w:tr>
    </w:tbl>
    <w:p w14:paraId="62A99ACF"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1FA4D84F" w14:textId="77777777" w:rsidR="002242F3" w:rsidRPr="005E3B44" w:rsidRDefault="002242F3" w:rsidP="004C1875">
      <w:pPr>
        <w:pStyle w:val="Heading4"/>
      </w:pPr>
      <w:r w:rsidRPr="005E3B44">
        <w:t>Output 1.2: Legal Services to Government</w:t>
      </w:r>
    </w:p>
    <w:p w14:paraId="120B11C3"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High quality and timely legal advice and representation for the Attorney-General and Government.</w:t>
      </w:r>
    </w:p>
    <w:p w14:paraId="4DB52F1F" w14:textId="4FB5F7F4" w:rsidR="002242F3" w:rsidRPr="00D03371" w:rsidRDefault="002242F3" w:rsidP="002242F3">
      <w:pPr>
        <w:pStyle w:val="BSbullet1"/>
        <w:keepNext/>
        <w:keepLines/>
        <w:numPr>
          <w:ilvl w:val="0"/>
          <w:numId w:val="0"/>
        </w:numPr>
        <w:pBdr>
          <w:top w:val="nil"/>
          <w:left w:val="nil"/>
          <w:bottom w:val="nil"/>
          <w:right w:val="nil"/>
          <w:between w:val="nil"/>
          <w:bar w:val="nil"/>
        </w:pBdr>
        <w:rPr>
          <w:rFonts w:asciiTheme="minorHAnsi" w:hAnsiTheme="minorHAnsi" w:cstheme="minorHAnsi"/>
          <w:b/>
          <w:sz w:val="22"/>
          <w:szCs w:val="22"/>
          <w:bdr w:val="nil"/>
        </w:rPr>
      </w:pPr>
      <w:r w:rsidRPr="00D03371">
        <w:rPr>
          <w:rFonts w:asciiTheme="minorHAnsi" w:hAnsiTheme="minorHAnsi" w:cstheme="minorHAnsi"/>
          <w:b/>
          <w:sz w:val="22"/>
          <w:szCs w:val="22"/>
          <w:bdr w:val="nil"/>
        </w:rPr>
        <w:t xml:space="preserve">Table </w:t>
      </w:r>
      <w:r w:rsidR="00796CA3" w:rsidRPr="00D03371">
        <w:rPr>
          <w:rFonts w:asciiTheme="minorHAnsi" w:hAnsiTheme="minorHAnsi" w:cstheme="minorHAnsi"/>
          <w:b/>
          <w:sz w:val="22"/>
          <w:szCs w:val="22"/>
          <w:bdr w:val="nil"/>
        </w:rPr>
        <w:t>8</w:t>
      </w:r>
      <w:r w:rsidRPr="00D03371">
        <w:rPr>
          <w:rFonts w:asciiTheme="minorHAnsi" w:hAnsiTheme="minorHAnsi" w:cstheme="minorHAnsi"/>
          <w:b/>
          <w:sz w:val="22"/>
          <w:szCs w:val="22"/>
          <w:bdr w:val="nil"/>
        </w:rPr>
        <w:t>: Output 1.2:  Legal Services to Government</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5EE7EEC4"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ADD8477"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F2F98A7"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0002D3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1D2613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24DB352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2BFBE1B"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10ECD0AD"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80E3F89"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5A84E9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57D4500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8929AD2"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B4A1D9D"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55EFA22"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7AECBF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652F111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70EC8FB"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D40EDA5"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EE9B01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22,425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614C0A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17,763</w:t>
            </w:r>
          </w:p>
        </w:tc>
      </w:tr>
      <w:tr w:rsidR="002242F3" w:rsidRPr="005E3B44" w14:paraId="521ECA6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9AFA46D"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243DA37"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0174A0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11,522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8806E92"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12,036</w:t>
            </w:r>
          </w:p>
        </w:tc>
      </w:tr>
    </w:tbl>
    <w:p w14:paraId="0248AD50"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559928AE" w14:textId="77777777" w:rsidR="008014C6" w:rsidRDefault="008014C6">
      <w:pPr>
        <w:spacing w:before="0" w:after="0"/>
        <w:rPr>
          <w:rFonts w:asciiTheme="minorHAnsi" w:hAnsiTheme="minorHAnsi" w:cstheme="minorHAnsi"/>
          <w:b/>
          <w:i/>
          <w:bdr w:val="nil"/>
        </w:rPr>
      </w:pPr>
      <w:r>
        <w:rPr>
          <w:rFonts w:asciiTheme="minorHAnsi" w:hAnsiTheme="minorHAnsi" w:cstheme="minorHAnsi"/>
          <w:bdr w:val="nil"/>
        </w:rPr>
        <w:br w:type="page"/>
      </w:r>
    </w:p>
    <w:p w14:paraId="392D9740" w14:textId="2523484B" w:rsidR="002242F3" w:rsidRPr="005E3B44" w:rsidRDefault="002242F3" w:rsidP="004C1875">
      <w:pPr>
        <w:pStyle w:val="Heading4"/>
      </w:pPr>
      <w:r w:rsidRPr="005E3B44">
        <w:lastRenderedPageBreak/>
        <w:t>Output 1.3: Legislative Drafting and Publishing Services</w:t>
      </w:r>
    </w:p>
    <w:p w14:paraId="25104D24"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Provision of high quality and timely legislative drafting and publishing services for ACT legislation and maintenance of the ACT legislation register.</w:t>
      </w:r>
    </w:p>
    <w:p w14:paraId="6823FDC7" w14:textId="77777777" w:rsidR="008C695C" w:rsidRDefault="008C695C" w:rsidP="002242F3">
      <w:pPr>
        <w:pStyle w:val="BSbullet1"/>
        <w:keepNext/>
        <w:keepLines/>
        <w:numPr>
          <w:ilvl w:val="0"/>
          <w:numId w:val="0"/>
        </w:numPr>
        <w:pBdr>
          <w:top w:val="nil"/>
          <w:left w:val="nil"/>
          <w:bottom w:val="nil"/>
          <w:right w:val="nil"/>
          <w:between w:val="nil"/>
          <w:bar w:val="nil"/>
        </w:pBdr>
        <w:rPr>
          <w:rFonts w:asciiTheme="minorHAnsi" w:hAnsiTheme="minorHAnsi" w:cstheme="minorHAnsi"/>
          <w:b/>
          <w:bdr w:val="nil"/>
        </w:rPr>
      </w:pPr>
    </w:p>
    <w:p w14:paraId="7D6C3537" w14:textId="6EAFDE35" w:rsidR="002242F3" w:rsidRPr="00D03371" w:rsidRDefault="002242F3" w:rsidP="002242F3">
      <w:pPr>
        <w:pStyle w:val="BSbullet1"/>
        <w:keepNext/>
        <w:keepLines/>
        <w:numPr>
          <w:ilvl w:val="0"/>
          <w:numId w:val="0"/>
        </w:numPr>
        <w:pBdr>
          <w:top w:val="nil"/>
          <w:left w:val="nil"/>
          <w:bottom w:val="nil"/>
          <w:right w:val="nil"/>
          <w:between w:val="nil"/>
          <w:bar w:val="nil"/>
        </w:pBdr>
        <w:rPr>
          <w:rFonts w:asciiTheme="minorHAnsi" w:hAnsiTheme="minorHAnsi" w:cstheme="minorHAnsi"/>
          <w:b/>
          <w:sz w:val="22"/>
          <w:szCs w:val="22"/>
          <w:bdr w:val="nil"/>
        </w:rPr>
      </w:pPr>
      <w:r w:rsidRPr="00D03371">
        <w:rPr>
          <w:rFonts w:asciiTheme="minorHAnsi" w:hAnsiTheme="minorHAnsi" w:cstheme="minorHAnsi"/>
          <w:b/>
          <w:sz w:val="22"/>
          <w:szCs w:val="22"/>
          <w:bdr w:val="nil"/>
        </w:rPr>
        <w:t xml:space="preserve">Table </w:t>
      </w:r>
      <w:r w:rsidR="00796CA3" w:rsidRPr="00D03371">
        <w:rPr>
          <w:rFonts w:asciiTheme="minorHAnsi" w:hAnsiTheme="minorHAnsi" w:cstheme="minorHAnsi"/>
          <w:b/>
          <w:sz w:val="22"/>
          <w:szCs w:val="22"/>
          <w:bdr w:val="nil"/>
        </w:rPr>
        <w:t>9</w:t>
      </w:r>
      <w:r w:rsidRPr="00D03371">
        <w:rPr>
          <w:rFonts w:asciiTheme="minorHAnsi" w:hAnsiTheme="minorHAnsi" w:cstheme="minorHAnsi"/>
          <w:b/>
          <w:sz w:val="22"/>
          <w:szCs w:val="22"/>
          <w:bdr w:val="nil"/>
        </w:rPr>
        <w:t>: Output 1.3:  Legislative Drafting and Publishing Services</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788D9C56"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B4288B3"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2830F7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8F563A1"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8FC0D0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2FF9607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6BB38FBE"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29E59A4"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FE1DEE3"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730A366"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070559C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CF76C7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B09990E"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A4176E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C7BDE21"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46DC214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351ED33"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905A96D"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94183A7"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5,764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1647B5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6,504</w:t>
            </w:r>
          </w:p>
        </w:tc>
      </w:tr>
      <w:tr w:rsidR="002242F3" w:rsidRPr="005E3B44" w14:paraId="63689BD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05F6745F"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ADB1B7B"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2BA15A7"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4,840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7DD649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4,916</w:t>
            </w:r>
          </w:p>
        </w:tc>
      </w:tr>
    </w:tbl>
    <w:p w14:paraId="3F2E8C26"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77C364DE" w14:textId="77777777" w:rsidR="002242F3" w:rsidRPr="005E3B44" w:rsidRDefault="002242F3" w:rsidP="004C1875">
      <w:pPr>
        <w:pStyle w:val="Heading4"/>
      </w:pPr>
      <w:r w:rsidRPr="005E3B44">
        <w:t>Output 1.4: Public Prosecutions</w:t>
      </w:r>
    </w:p>
    <w:p w14:paraId="1E019B67"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Prosecution of summary and indictable matters, at first instance and on appeal, provision of assistance to the Coroner, and provision of witness assistance services.</w:t>
      </w:r>
    </w:p>
    <w:p w14:paraId="3EB3708C" w14:textId="5ACBF2FB" w:rsidR="002242F3" w:rsidRPr="00860F3A" w:rsidRDefault="002242F3" w:rsidP="002242F3">
      <w:pPr>
        <w:pBdr>
          <w:top w:val="nil"/>
          <w:left w:val="nil"/>
          <w:bottom w:val="nil"/>
          <w:right w:val="nil"/>
          <w:between w:val="nil"/>
          <w:bar w:val="nil"/>
        </w:pBdr>
        <w:rPr>
          <w:rFonts w:asciiTheme="minorHAnsi" w:hAnsiTheme="minorHAnsi" w:cstheme="minorHAnsi"/>
          <w:b/>
          <w:sz w:val="22"/>
          <w:szCs w:val="22"/>
          <w:bdr w:val="nil"/>
        </w:rPr>
      </w:pPr>
      <w:r w:rsidRPr="00860F3A">
        <w:rPr>
          <w:rFonts w:asciiTheme="minorHAnsi" w:hAnsiTheme="minorHAnsi" w:cstheme="minorHAnsi"/>
          <w:b/>
          <w:sz w:val="22"/>
          <w:szCs w:val="22"/>
          <w:bdr w:val="nil"/>
        </w:rPr>
        <w:t xml:space="preserve">Table </w:t>
      </w:r>
      <w:r w:rsidR="00796CA3" w:rsidRPr="00860F3A">
        <w:rPr>
          <w:rFonts w:asciiTheme="minorHAnsi" w:hAnsiTheme="minorHAnsi" w:cstheme="minorHAnsi"/>
          <w:b/>
          <w:sz w:val="22"/>
          <w:szCs w:val="22"/>
          <w:bdr w:val="nil"/>
        </w:rPr>
        <w:t>10</w:t>
      </w:r>
      <w:r w:rsidRPr="00860F3A">
        <w:rPr>
          <w:rFonts w:asciiTheme="minorHAnsi" w:hAnsiTheme="minorHAnsi" w:cstheme="minorHAnsi"/>
          <w:b/>
          <w:sz w:val="22"/>
          <w:szCs w:val="22"/>
          <w:bdr w:val="nil"/>
        </w:rPr>
        <w:t>: Output 1.4:  Public Prosecutions</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2895DDB2"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4F17232"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DB698A5"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10AB96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378490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7AB51EA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866B4D5"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37340793"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213751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F7F88F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10C185D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165C0BE"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79FE503"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C21491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3FE604F"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39ED90E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6B37C24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525C4D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4FE117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14,867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1F04756"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16,330</w:t>
            </w:r>
          </w:p>
        </w:tc>
      </w:tr>
      <w:tr w:rsidR="002242F3" w:rsidRPr="005E3B44" w14:paraId="20A0F32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9DD900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3EBB575"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49D43F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14,956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0442089"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15,905</w:t>
            </w:r>
          </w:p>
        </w:tc>
      </w:tr>
    </w:tbl>
    <w:p w14:paraId="599CC84D"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6EBD2775" w14:textId="77777777" w:rsidR="002242F3" w:rsidRPr="005E3B44" w:rsidRDefault="002242F3" w:rsidP="004C1875">
      <w:pPr>
        <w:pStyle w:val="Heading4"/>
      </w:pPr>
      <w:r w:rsidRPr="005E3B44">
        <w:t>Output 1.5: Protection on Rights</w:t>
      </w:r>
    </w:p>
    <w:p w14:paraId="699FAC83"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Provision of advocacy, complaints-handling, advice, community awareness raising and other services in connection with the promotion and protection of rights especially for vulnerable members of society, through services provided by the ACT Human Rights Commission, including the Public Advocate of the ACT and Victim Support ACT.  This output also includes services provided by the Privacy Commissioner.</w:t>
      </w:r>
    </w:p>
    <w:p w14:paraId="2DAA04EB" w14:textId="160DB4CB" w:rsidR="002242F3" w:rsidRPr="001152EA" w:rsidRDefault="002242F3" w:rsidP="002242F3">
      <w:pPr>
        <w:pStyle w:val="BSbullet1"/>
        <w:keepNext/>
        <w:keepLines/>
        <w:numPr>
          <w:ilvl w:val="0"/>
          <w:numId w:val="0"/>
        </w:numPr>
        <w:pBdr>
          <w:top w:val="nil"/>
          <w:left w:val="nil"/>
          <w:bottom w:val="nil"/>
          <w:right w:val="nil"/>
          <w:between w:val="nil"/>
          <w:bar w:val="nil"/>
        </w:pBdr>
        <w:rPr>
          <w:rFonts w:asciiTheme="minorHAnsi" w:hAnsiTheme="minorHAnsi" w:cstheme="minorHAnsi"/>
          <w:b/>
          <w:sz w:val="22"/>
          <w:szCs w:val="22"/>
          <w:bdr w:val="nil"/>
        </w:rPr>
      </w:pPr>
      <w:r w:rsidRPr="001152EA">
        <w:rPr>
          <w:rFonts w:asciiTheme="minorHAnsi" w:hAnsiTheme="minorHAnsi" w:cstheme="minorHAnsi"/>
          <w:b/>
          <w:sz w:val="22"/>
          <w:szCs w:val="22"/>
          <w:bdr w:val="nil"/>
        </w:rPr>
        <w:t>Table 1</w:t>
      </w:r>
      <w:r w:rsidR="00796CA3" w:rsidRPr="001152EA">
        <w:rPr>
          <w:rFonts w:asciiTheme="minorHAnsi" w:hAnsiTheme="minorHAnsi" w:cstheme="minorHAnsi"/>
          <w:b/>
          <w:sz w:val="22"/>
          <w:szCs w:val="22"/>
          <w:bdr w:val="nil"/>
        </w:rPr>
        <w:t>1</w:t>
      </w:r>
      <w:r w:rsidRPr="001152EA">
        <w:rPr>
          <w:rFonts w:asciiTheme="minorHAnsi" w:hAnsiTheme="minorHAnsi" w:cstheme="minorHAnsi"/>
          <w:b/>
          <w:sz w:val="22"/>
          <w:szCs w:val="22"/>
          <w:bdr w:val="nil"/>
        </w:rPr>
        <w:t>: Output 1.5:  Protection on Rights</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665F22D6"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E8B715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6887C8F"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D1F6552"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87EDFD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0572DFF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6AC847C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075930D"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9972EC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7E9F54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70559D2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305B07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C4E7FA5"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A83B74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A1C076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68DFEE7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1F7A3EEE"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FCCE3A3"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245C06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12,737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8F20CC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15,081</w:t>
            </w:r>
          </w:p>
        </w:tc>
      </w:tr>
      <w:tr w:rsidR="002242F3" w:rsidRPr="005E3B44" w14:paraId="27C1DAF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1CC9828"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0F62E91"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F654A38"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10,631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BDCFC2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14,144</w:t>
            </w:r>
          </w:p>
        </w:tc>
      </w:tr>
    </w:tbl>
    <w:p w14:paraId="52F98F5E"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4AFDE2FD"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sectPr w:rsidR="002242F3" w:rsidRPr="005E3B44" w:rsidSect="002F4741">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51" w:right="1440" w:bottom="1729" w:left="1440" w:header="720" w:footer="720" w:gutter="0"/>
          <w:pgBorders>
            <w:top w:val="nil"/>
            <w:left w:val="nil"/>
            <w:bottom w:val="nil"/>
            <w:right w:val="nil"/>
          </w:pgBorders>
          <w:pgNumType w:start="1"/>
          <w:cols w:space="720"/>
        </w:sectPr>
      </w:pPr>
    </w:p>
    <w:p w14:paraId="08F9D596"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Output Class 2: Corrective Services</w:t>
      </w:r>
    </w:p>
    <w:p w14:paraId="73838E84" w14:textId="26DD9E0C"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Table 1</w:t>
      </w:r>
      <w:r w:rsidR="00796CA3">
        <w:rPr>
          <w:rFonts w:asciiTheme="minorHAnsi" w:hAnsiTheme="minorHAnsi" w:cstheme="minorHAnsi"/>
          <w:bdr w:val="nil"/>
        </w:rPr>
        <w:t>2</w:t>
      </w:r>
      <w:r w:rsidRPr="005E3B44">
        <w:rPr>
          <w:rFonts w:asciiTheme="minorHAnsi" w:hAnsiTheme="minorHAnsi" w:cstheme="minorHAnsi"/>
          <w:bdr w:val="nil"/>
        </w:rPr>
        <w:t>: Output Class 2: Corrective Services</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5D4FDF29"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18FF528B"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60E6A4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20EE53A"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07CC2F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5E5A408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C30FD89"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E7B6236"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3E738B9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1BF98EA"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35B3EA3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4769FD5E"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829CAD3"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656EC07"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FA9872F"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35D10BC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22D3F82"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CEA3DE9"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155EBC3"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95,514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84262B1"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110,004</w:t>
            </w:r>
          </w:p>
        </w:tc>
      </w:tr>
      <w:tr w:rsidR="002242F3" w:rsidRPr="005E3B44" w14:paraId="45E0433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FBC8A5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F14BB71"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967DDF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82,123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0BAB5E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97,750</w:t>
            </w:r>
          </w:p>
        </w:tc>
      </w:tr>
    </w:tbl>
    <w:p w14:paraId="477F8419"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Note(s):</w:t>
      </w:r>
    </w:p>
    <w:p w14:paraId="01FB9B3D" w14:textId="77777777" w:rsidR="002242F3" w:rsidRPr="005E3B44" w:rsidRDefault="002242F3" w:rsidP="002242F3">
      <w:pPr>
        <w:pStyle w:val="BSnoteslist"/>
        <w:numPr>
          <w:ilvl w:val="0"/>
          <w:numId w:val="20"/>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Total cost </w:t>
      </w:r>
      <w:r w:rsidRPr="005E3B44">
        <w:rPr>
          <w:rFonts w:asciiTheme="minorHAnsi" w:hAnsiTheme="minorHAnsi" w:cstheme="minorHAnsi"/>
          <w:szCs w:val="16"/>
          <w:bdr w:val="nil"/>
        </w:rPr>
        <w:t>includes</w:t>
      </w:r>
      <w:r w:rsidRPr="005E3B44">
        <w:rPr>
          <w:rFonts w:asciiTheme="minorHAnsi" w:hAnsiTheme="minorHAnsi" w:cstheme="minorHAnsi"/>
          <w:bdr w:val="nil"/>
        </w:rPr>
        <w:t xml:space="preserve"> depreciation and amortisation of $7.475 million in 2020-21 and $10.378 million in 2021-22.</w:t>
      </w:r>
    </w:p>
    <w:p w14:paraId="2C7F12B5" w14:textId="77777777" w:rsidR="002242F3" w:rsidRPr="005E3B44" w:rsidRDefault="002242F3" w:rsidP="002242F3">
      <w:pPr>
        <w:pStyle w:val="BSnoteslist"/>
        <w:numPr>
          <w:ilvl w:val="0"/>
          <w:numId w:val="0"/>
        </w:numPr>
        <w:pBdr>
          <w:top w:val="nil"/>
          <w:left w:val="nil"/>
          <w:bottom w:val="nil"/>
          <w:right w:val="nil"/>
          <w:between w:val="nil"/>
          <w:bar w:val="nil"/>
        </w:pBdr>
        <w:ind w:left="360"/>
        <w:rPr>
          <w:rFonts w:asciiTheme="minorHAnsi" w:hAnsiTheme="minorHAnsi" w:cstheme="minorHAnsi"/>
          <w:bdr w:val="nil"/>
        </w:rPr>
      </w:pPr>
    </w:p>
    <w:p w14:paraId="21FD6F4B"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12A349F2" w14:textId="77777777" w:rsidR="002242F3" w:rsidRPr="005E3B44" w:rsidRDefault="002242F3" w:rsidP="004C1875">
      <w:pPr>
        <w:pStyle w:val="Heading4"/>
      </w:pPr>
      <w:r w:rsidRPr="005E3B44">
        <w:t>Output 2.1: Corrective Services</w:t>
      </w:r>
    </w:p>
    <w:p w14:paraId="1D587726" w14:textId="77777777" w:rsidR="002242F3" w:rsidRPr="005E3B44" w:rsidRDefault="002242F3" w:rsidP="002242F3">
      <w:pPr>
        <w:pBdr>
          <w:top w:val="nil"/>
          <w:left w:val="nil"/>
          <w:bottom w:val="nil"/>
          <w:right w:val="nil"/>
          <w:between w:val="nil"/>
          <w:bar w:val="nil"/>
        </w:pBdr>
        <w:spacing w:after="120"/>
        <w:rPr>
          <w:rFonts w:asciiTheme="minorHAnsi" w:hAnsiTheme="minorHAnsi" w:cstheme="minorHAnsi"/>
          <w:bdr w:val="nil"/>
        </w:rPr>
      </w:pPr>
      <w:r w:rsidRPr="005E3B44">
        <w:rPr>
          <w:rFonts w:asciiTheme="minorHAnsi" w:hAnsiTheme="minorHAnsi" w:cstheme="minorHAnsi"/>
          <w:bdr w:val="nil"/>
        </w:rPr>
        <w:t xml:space="preserve">Provision of safe and secure custody for detainees with a strong focus on the delivery of rehabilitative, educational and vocational programs, effectively managing un-sentenced offenders and </w:t>
      </w:r>
      <w:proofErr w:type="gramStart"/>
      <w:r w:rsidRPr="005E3B44">
        <w:rPr>
          <w:rFonts w:asciiTheme="minorHAnsi" w:hAnsiTheme="minorHAnsi" w:cstheme="minorHAnsi"/>
          <w:bdr w:val="nil"/>
        </w:rPr>
        <w:t>community based</w:t>
      </w:r>
      <w:proofErr w:type="gramEnd"/>
      <w:r w:rsidRPr="005E3B44">
        <w:rPr>
          <w:rFonts w:asciiTheme="minorHAnsi" w:hAnsiTheme="minorHAnsi" w:cstheme="minorHAnsi"/>
          <w:bdr w:val="nil"/>
        </w:rPr>
        <w:t xml:space="preserve"> corrections programs and providing advice and services to the ACT justice system.</w:t>
      </w:r>
    </w:p>
    <w:p w14:paraId="65DFA30D"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Output Class 3: Courts and Tribunal</w:t>
      </w:r>
    </w:p>
    <w:p w14:paraId="4F7F170B" w14:textId="1F050515"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Table 1</w:t>
      </w:r>
      <w:r w:rsidR="00796CA3">
        <w:rPr>
          <w:rFonts w:asciiTheme="minorHAnsi" w:hAnsiTheme="minorHAnsi" w:cstheme="minorHAnsi"/>
          <w:bdr w:val="nil"/>
        </w:rPr>
        <w:t>3</w:t>
      </w:r>
      <w:r w:rsidRPr="005E3B44">
        <w:rPr>
          <w:rFonts w:asciiTheme="minorHAnsi" w:hAnsiTheme="minorHAnsi" w:cstheme="minorHAnsi"/>
          <w:bdr w:val="nil"/>
        </w:rPr>
        <w:t>: Output Class 3: Courts and Tribunal</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404BF4FE"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59A3DB5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E233481"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7A24222"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6CFE33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65C3D67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3D028978"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560883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356E56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37AC3D99"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73826B5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5089DA8"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694EF8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AB4E78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923F532"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0183D94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6D5D8D59"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90482F2"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D20623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72,220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E65C6A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80,831</w:t>
            </w:r>
          </w:p>
        </w:tc>
      </w:tr>
      <w:tr w:rsidR="002242F3" w:rsidRPr="005E3B44" w14:paraId="67A04F8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A32568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82D35B5"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9723174"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49,923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CDFFAAA"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59,425</w:t>
            </w:r>
          </w:p>
        </w:tc>
      </w:tr>
    </w:tbl>
    <w:p w14:paraId="0C18E7E9"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Note:</w:t>
      </w:r>
    </w:p>
    <w:p w14:paraId="328589A5" w14:textId="5A564A9A" w:rsidR="002242F3" w:rsidRPr="005E3B44" w:rsidRDefault="008C695C" w:rsidP="008C695C">
      <w:pPr>
        <w:pStyle w:val="BSnoteslist"/>
        <w:numPr>
          <w:ilvl w:val="0"/>
          <w:numId w:val="0"/>
        </w:numPr>
        <w:pBdr>
          <w:top w:val="nil"/>
          <w:left w:val="nil"/>
          <w:bottom w:val="nil"/>
          <w:right w:val="nil"/>
          <w:between w:val="nil"/>
          <w:bar w:val="nil"/>
        </w:pBdr>
        <w:rPr>
          <w:rFonts w:asciiTheme="minorHAnsi" w:hAnsiTheme="minorHAnsi" w:cstheme="minorHAnsi"/>
          <w:bdr w:val="nil"/>
        </w:rPr>
      </w:pPr>
      <w:r>
        <w:rPr>
          <w:rFonts w:asciiTheme="minorHAnsi" w:hAnsiTheme="minorHAnsi" w:cstheme="minorHAnsi"/>
          <w:bdr w:val="nil"/>
        </w:rPr>
        <w:t xml:space="preserve">1.     </w:t>
      </w:r>
      <w:r w:rsidR="002242F3" w:rsidRPr="005E3B44">
        <w:rPr>
          <w:rFonts w:asciiTheme="minorHAnsi" w:hAnsiTheme="minorHAnsi" w:cstheme="minorHAnsi"/>
          <w:bdr w:val="nil"/>
        </w:rPr>
        <w:t xml:space="preserve">Total cost </w:t>
      </w:r>
      <w:r w:rsidR="002242F3" w:rsidRPr="005E3B44">
        <w:rPr>
          <w:rFonts w:asciiTheme="minorHAnsi" w:hAnsiTheme="minorHAnsi" w:cstheme="minorHAnsi"/>
          <w:szCs w:val="16"/>
          <w:bdr w:val="nil"/>
        </w:rPr>
        <w:t>includes</w:t>
      </w:r>
      <w:r w:rsidR="002242F3" w:rsidRPr="005E3B44">
        <w:rPr>
          <w:rFonts w:asciiTheme="minorHAnsi" w:hAnsiTheme="minorHAnsi" w:cstheme="minorHAnsi"/>
          <w:bdr w:val="nil"/>
        </w:rPr>
        <w:t xml:space="preserve"> depreciation and amortisation of $8.007 million in 2020-21 and $9.230 million in 2021-22.</w:t>
      </w:r>
    </w:p>
    <w:p w14:paraId="47FE5B07" w14:textId="77777777" w:rsidR="002242F3" w:rsidRPr="005E3B44" w:rsidRDefault="002242F3" w:rsidP="002242F3">
      <w:pPr>
        <w:pStyle w:val="BSnoteslist"/>
        <w:numPr>
          <w:ilvl w:val="0"/>
          <w:numId w:val="0"/>
        </w:numPr>
        <w:pBdr>
          <w:top w:val="nil"/>
          <w:left w:val="nil"/>
          <w:bottom w:val="nil"/>
          <w:right w:val="nil"/>
          <w:between w:val="nil"/>
          <w:bar w:val="nil"/>
        </w:pBdr>
        <w:ind w:left="360"/>
        <w:rPr>
          <w:rFonts w:asciiTheme="minorHAnsi" w:hAnsiTheme="minorHAnsi" w:cstheme="minorHAnsi"/>
          <w:bdr w:val="nil"/>
        </w:rPr>
      </w:pPr>
    </w:p>
    <w:p w14:paraId="03F6FE74"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58C52A0" w14:textId="77777777" w:rsidR="002242F3" w:rsidRPr="005E3B44" w:rsidRDefault="002242F3" w:rsidP="004C1875">
      <w:pPr>
        <w:pStyle w:val="Heading4"/>
      </w:pPr>
      <w:r w:rsidRPr="005E3B44">
        <w:t>Output 3.1: Courts and Tribunal</w:t>
      </w:r>
    </w:p>
    <w:p w14:paraId="634A9D96" w14:textId="77777777" w:rsidR="002242F3" w:rsidRPr="005E3B44" w:rsidRDefault="002242F3" w:rsidP="002242F3">
      <w:pPr>
        <w:pBdr>
          <w:top w:val="nil"/>
          <w:left w:val="nil"/>
          <w:bottom w:val="nil"/>
          <w:right w:val="nil"/>
          <w:between w:val="nil"/>
          <w:bar w:val="nil"/>
        </w:pBdr>
        <w:spacing w:after="120"/>
        <w:rPr>
          <w:rFonts w:asciiTheme="minorHAnsi" w:hAnsiTheme="minorHAnsi" w:cstheme="minorHAnsi"/>
          <w:bdr w:val="nil"/>
        </w:rPr>
      </w:pPr>
      <w:r w:rsidRPr="005E3B44">
        <w:rPr>
          <w:rFonts w:asciiTheme="minorHAnsi" w:hAnsiTheme="minorHAnsi" w:cstheme="minorHAnsi"/>
          <w:bdr w:val="nil"/>
        </w:rPr>
        <w:t xml:space="preserve">High quality support to judicial officers and tribunal members in the ACT Courts </w:t>
      </w:r>
      <w:proofErr w:type="gramStart"/>
      <w:r w:rsidRPr="005E3B44">
        <w:rPr>
          <w:rFonts w:asciiTheme="minorHAnsi" w:hAnsiTheme="minorHAnsi" w:cstheme="minorHAnsi"/>
          <w:bdr w:val="nil"/>
        </w:rPr>
        <w:t>and  Tribunal</w:t>
      </w:r>
      <w:proofErr w:type="gramEnd"/>
      <w:r w:rsidRPr="005E3B44">
        <w:rPr>
          <w:rFonts w:asciiTheme="minorHAnsi" w:hAnsiTheme="minorHAnsi" w:cstheme="minorHAnsi"/>
          <w:bdr w:val="nil"/>
        </w:rPr>
        <w:t xml:space="preserve"> and high quality services to the public using the courts and the tribunal.</w:t>
      </w:r>
    </w:p>
    <w:p w14:paraId="408C7F0D"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sectPr w:rsidR="002242F3" w:rsidRPr="005E3B44" w:rsidSect="005E3B44">
          <w:headerReference w:type="even" r:id="rId23"/>
          <w:headerReference w:type="default" r:id="rId24"/>
          <w:footerReference w:type="even" r:id="rId25"/>
          <w:footerReference w:type="default" r:id="rId26"/>
          <w:headerReference w:type="first" r:id="rId27"/>
          <w:footerReference w:type="first" r:id="rId28"/>
          <w:pgSz w:w="11906" w:h="16838"/>
          <w:pgMar w:top="1151" w:right="1440" w:bottom="1729" w:left="1440" w:header="720" w:footer="720" w:gutter="0"/>
          <w:pgBorders>
            <w:top w:val="nil"/>
            <w:left w:val="nil"/>
            <w:bottom w:val="nil"/>
            <w:right w:val="nil"/>
          </w:pgBorders>
          <w:cols w:space="720"/>
        </w:sectPr>
      </w:pPr>
    </w:p>
    <w:p w14:paraId="68F2DD5A"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Output Class 4: Emergency Services</w:t>
      </w:r>
    </w:p>
    <w:p w14:paraId="4822B869" w14:textId="1EA0BE7D"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Table 1</w:t>
      </w:r>
      <w:r w:rsidR="00796CA3">
        <w:rPr>
          <w:rFonts w:asciiTheme="minorHAnsi" w:hAnsiTheme="minorHAnsi" w:cstheme="minorHAnsi"/>
          <w:bdr w:val="nil"/>
        </w:rPr>
        <w:t>4</w:t>
      </w:r>
      <w:r w:rsidRPr="005E3B44">
        <w:rPr>
          <w:rFonts w:asciiTheme="minorHAnsi" w:hAnsiTheme="minorHAnsi" w:cstheme="minorHAnsi"/>
          <w:bdr w:val="nil"/>
        </w:rPr>
        <w:t>: Output Class 4: Emergency Services</w:t>
      </w:r>
    </w:p>
    <w:tbl>
      <w:tblPr>
        <w:tblW w:w="9060" w:type="dxa"/>
        <w:tblLayout w:type="fixed"/>
        <w:tblLook w:val="0600" w:firstRow="0" w:lastRow="0" w:firstColumn="0" w:lastColumn="0" w:noHBand="1" w:noVBand="1"/>
      </w:tblPr>
      <w:tblGrid>
        <w:gridCol w:w="4695"/>
        <w:gridCol w:w="540"/>
        <w:gridCol w:w="2175"/>
        <w:gridCol w:w="1650"/>
      </w:tblGrid>
      <w:tr w:rsidR="002242F3" w:rsidRPr="005E3B44" w14:paraId="1D9571AB" w14:textId="77777777" w:rsidTr="005E3B44">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7097181"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0544824"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C6064AA"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902DAE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1A44E0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936701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877A47D"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0EDF95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484808F"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6F1AC8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5F54B83A"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02C70E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3F4DE22"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3FA945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2B7CDE9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17A1FFF"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52A6229"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604A7B7"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184,212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BA31C2E"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182,926</w:t>
            </w:r>
          </w:p>
        </w:tc>
      </w:tr>
      <w:tr w:rsidR="002242F3" w:rsidRPr="005E3B44" w14:paraId="43733E6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0730996"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843A014"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560D7FD"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142,456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F4ACBA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152,382</w:t>
            </w:r>
          </w:p>
        </w:tc>
      </w:tr>
    </w:tbl>
    <w:p w14:paraId="372DB781"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Note:</w:t>
      </w:r>
    </w:p>
    <w:p w14:paraId="6FE5B1A4" w14:textId="3B3C0E00" w:rsidR="002242F3" w:rsidRPr="005E3B44" w:rsidRDefault="008C695C" w:rsidP="008C695C">
      <w:pPr>
        <w:pStyle w:val="BSnoteslist"/>
        <w:numPr>
          <w:ilvl w:val="0"/>
          <w:numId w:val="0"/>
        </w:numPr>
        <w:pBdr>
          <w:top w:val="nil"/>
          <w:left w:val="nil"/>
          <w:bottom w:val="nil"/>
          <w:right w:val="nil"/>
          <w:between w:val="nil"/>
          <w:bar w:val="nil"/>
        </w:pBdr>
        <w:rPr>
          <w:rFonts w:asciiTheme="minorHAnsi" w:hAnsiTheme="minorHAnsi" w:cstheme="minorHAnsi"/>
          <w:bdr w:val="nil"/>
        </w:rPr>
      </w:pPr>
      <w:r>
        <w:rPr>
          <w:rFonts w:asciiTheme="minorHAnsi" w:hAnsiTheme="minorHAnsi" w:cstheme="minorHAnsi"/>
          <w:bdr w:val="nil"/>
        </w:rPr>
        <w:t xml:space="preserve">1.     </w:t>
      </w:r>
      <w:r w:rsidR="002242F3" w:rsidRPr="005E3B44">
        <w:rPr>
          <w:rFonts w:asciiTheme="minorHAnsi" w:hAnsiTheme="minorHAnsi" w:cstheme="minorHAnsi"/>
          <w:bdr w:val="nil"/>
        </w:rPr>
        <w:t xml:space="preserve">Total cost </w:t>
      </w:r>
      <w:r w:rsidR="002242F3" w:rsidRPr="005E3B44">
        <w:rPr>
          <w:rFonts w:asciiTheme="minorHAnsi" w:hAnsiTheme="minorHAnsi" w:cstheme="minorHAnsi"/>
          <w:szCs w:val="16"/>
          <w:bdr w:val="nil"/>
        </w:rPr>
        <w:t>includes</w:t>
      </w:r>
      <w:r w:rsidR="002242F3" w:rsidRPr="005E3B44">
        <w:rPr>
          <w:rFonts w:asciiTheme="minorHAnsi" w:hAnsiTheme="minorHAnsi" w:cstheme="minorHAnsi"/>
          <w:bdr w:val="nil"/>
        </w:rPr>
        <w:t xml:space="preserve"> depreciation and amortisation of $10.750 million in 2020-21 and $14.149 million in 2021-22.</w:t>
      </w:r>
    </w:p>
    <w:p w14:paraId="59DCE25A"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09E4879E" w14:textId="77777777" w:rsidR="002242F3" w:rsidRPr="005E3B44" w:rsidRDefault="002242F3" w:rsidP="004C1875">
      <w:pPr>
        <w:pStyle w:val="Heading4"/>
      </w:pPr>
      <w:r w:rsidRPr="005E3B44">
        <w:t>Output 4.1: Emergency Services</w:t>
      </w:r>
    </w:p>
    <w:p w14:paraId="1F33619D" w14:textId="77777777" w:rsidR="002242F3" w:rsidRPr="005E3B44" w:rsidRDefault="002242F3" w:rsidP="002242F3">
      <w:pPr>
        <w:pStyle w:val="BSbullet1"/>
        <w:numPr>
          <w:ilvl w:val="0"/>
          <w:numId w:val="0"/>
        </w:numPr>
        <w:pBdr>
          <w:top w:val="nil"/>
          <w:left w:val="nil"/>
          <w:bottom w:val="nil"/>
          <w:right w:val="nil"/>
          <w:between w:val="nil"/>
          <w:bar w:val="nil"/>
        </w:pBdr>
        <w:tabs>
          <w:tab w:val="left" w:pos="720"/>
        </w:tabs>
        <w:spacing w:before="120" w:after="60"/>
        <w:jc w:val="both"/>
        <w:rPr>
          <w:rFonts w:asciiTheme="minorHAnsi" w:hAnsiTheme="minorHAnsi" w:cstheme="minorHAnsi"/>
          <w:bdr w:val="nil"/>
        </w:rPr>
      </w:pPr>
      <w:r w:rsidRPr="005E3B44">
        <w:rPr>
          <w:rFonts w:asciiTheme="minorHAnsi" w:hAnsiTheme="minorHAnsi" w:cstheme="minorHAnsi"/>
          <w:i/>
          <w:bdr w:val="nil"/>
        </w:rPr>
        <w:t>Prevention and Mitigation</w:t>
      </w:r>
      <w:r w:rsidRPr="005E3B44">
        <w:rPr>
          <w:rFonts w:asciiTheme="minorHAnsi" w:hAnsiTheme="minorHAnsi" w:cstheme="minorHAnsi"/>
          <w:bdr w:val="nil"/>
        </w:rPr>
        <w:t>: Measures taken in advance of an emergency aimed at decreasing or eliminating its impact on the community and the environment.</w:t>
      </w:r>
    </w:p>
    <w:p w14:paraId="113473C5" w14:textId="77777777" w:rsidR="002242F3" w:rsidRPr="005E3B44" w:rsidRDefault="002242F3" w:rsidP="002242F3">
      <w:pPr>
        <w:pStyle w:val="BSbullet1"/>
        <w:numPr>
          <w:ilvl w:val="0"/>
          <w:numId w:val="0"/>
        </w:numPr>
        <w:pBdr>
          <w:top w:val="nil"/>
          <w:left w:val="nil"/>
          <w:bottom w:val="nil"/>
          <w:right w:val="nil"/>
          <w:between w:val="nil"/>
          <w:bar w:val="nil"/>
        </w:pBdr>
        <w:tabs>
          <w:tab w:val="left" w:pos="720"/>
        </w:tabs>
        <w:spacing w:after="60"/>
        <w:jc w:val="both"/>
        <w:rPr>
          <w:rFonts w:asciiTheme="minorHAnsi" w:hAnsiTheme="minorHAnsi" w:cstheme="minorHAnsi"/>
          <w:bdr w:val="nil"/>
        </w:rPr>
      </w:pPr>
      <w:r w:rsidRPr="005E3B44">
        <w:rPr>
          <w:rFonts w:asciiTheme="minorHAnsi" w:hAnsiTheme="minorHAnsi" w:cstheme="minorHAnsi"/>
          <w:i/>
          <w:bdr w:val="nil"/>
        </w:rPr>
        <w:t>Preparedness</w:t>
      </w:r>
      <w:r w:rsidRPr="005E3B44">
        <w:rPr>
          <w:rFonts w:asciiTheme="minorHAnsi" w:hAnsiTheme="minorHAnsi" w:cstheme="minorHAnsi"/>
          <w:bdr w:val="nil"/>
        </w:rPr>
        <w:t xml:space="preserve">: Measures to ensure that, should an emergency occur, communities, resources and services </w:t>
      </w:r>
      <w:proofErr w:type="gramStart"/>
      <w:r w:rsidRPr="005E3B44">
        <w:rPr>
          <w:rFonts w:asciiTheme="minorHAnsi" w:hAnsiTheme="minorHAnsi" w:cstheme="minorHAnsi"/>
          <w:bdr w:val="nil"/>
        </w:rPr>
        <w:t>are capable of responding</w:t>
      </w:r>
      <w:proofErr w:type="gramEnd"/>
      <w:r w:rsidRPr="005E3B44">
        <w:rPr>
          <w:rFonts w:asciiTheme="minorHAnsi" w:hAnsiTheme="minorHAnsi" w:cstheme="minorHAnsi"/>
          <w:bdr w:val="nil"/>
        </w:rPr>
        <w:t xml:space="preserve"> to and coping with the effects.</w:t>
      </w:r>
    </w:p>
    <w:p w14:paraId="2449F4BB" w14:textId="77777777" w:rsidR="002242F3" w:rsidRPr="005E3B44" w:rsidRDefault="002242F3" w:rsidP="002242F3">
      <w:pPr>
        <w:pStyle w:val="BSbullet1"/>
        <w:numPr>
          <w:ilvl w:val="0"/>
          <w:numId w:val="0"/>
        </w:numPr>
        <w:pBdr>
          <w:top w:val="nil"/>
          <w:left w:val="nil"/>
          <w:bottom w:val="nil"/>
          <w:right w:val="nil"/>
          <w:between w:val="nil"/>
          <w:bar w:val="nil"/>
        </w:pBdr>
        <w:tabs>
          <w:tab w:val="left" w:pos="720"/>
        </w:tabs>
        <w:spacing w:after="60"/>
        <w:jc w:val="both"/>
        <w:rPr>
          <w:rFonts w:asciiTheme="minorHAnsi" w:hAnsiTheme="minorHAnsi" w:cstheme="minorHAnsi"/>
          <w:bdr w:val="nil"/>
        </w:rPr>
      </w:pPr>
      <w:r w:rsidRPr="005E3B44">
        <w:rPr>
          <w:rFonts w:asciiTheme="minorHAnsi" w:hAnsiTheme="minorHAnsi" w:cstheme="minorHAnsi"/>
          <w:i/>
          <w:bdr w:val="nil"/>
        </w:rPr>
        <w:t>Response</w:t>
      </w:r>
      <w:r w:rsidRPr="005E3B44">
        <w:rPr>
          <w:rFonts w:asciiTheme="minorHAnsi" w:hAnsiTheme="minorHAnsi" w:cstheme="minorHAnsi"/>
          <w:bdr w:val="nil"/>
        </w:rPr>
        <w:t>: Strategies and services to control, limit or modify an emergency to reduce its consequences.</w:t>
      </w:r>
    </w:p>
    <w:p w14:paraId="443E6B32" w14:textId="77777777" w:rsidR="002242F3" w:rsidRPr="005E3B44" w:rsidRDefault="002242F3" w:rsidP="002242F3">
      <w:pPr>
        <w:pStyle w:val="BSbullet1"/>
        <w:numPr>
          <w:ilvl w:val="0"/>
          <w:numId w:val="0"/>
        </w:numPr>
        <w:pBdr>
          <w:top w:val="nil"/>
          <w:left w:val="nil"/>
          <w:bottom w:val="nil"/>
          <w:right w:val="nil"/>
          <w:between w:val="nil"/>
          <w:bar w:val="nil"/>
        </w:pBdr>
        <w:tabs>
          <w:tab w:val="left" w:pos="720"/>
        </w:tabs>
        <w:jc w:val="both"/>
        <w:rPr>
          <w:rFonts w:asciiTheme="minorHAnsi" w:hAnsiTheme="minorHAnsi" w:cstheme="minorHAnsi"/>
          <w:bdr w:val="nil"/>
        </w:rPr>
      </w:pPr>
      <w:r w:rsidRPr="005E3B44">
        <w:rPr>
          <w:rFonts w:asciiTheme="minorHAnsi" w:hAnsiTheme="minorHAnsi" w:cstheme="minorHAnsi"/>
          <w:i/>
          <w:bdr w:val="nil"/>
        </w:rPr>
        <w:t>Recovery</w:t>
      </w:r>
      <w:r w:rsidRPr="005E3B44">
        <w:rPr>
          <w:rFonts w:asciiTheme="minorHAnsi" w:hAnsiTheme="minorHAnsi" w:cstheme="minorHAnsi"/>
          <w:bdr w:val="nil"/>
        </w:rPr>
        <w:t>: Strategies and services to return the ACT Emergency Services Agency to a state of preparedness after emergency situations and to assist with community recovery.</w:t>
      </w:r>
    </w:p>
    <w:p w14:paraId="29A33F06"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EBT 1: ACT Policing</w:t>
      </w:r>
    </w:p>
    <w:p w14:paraId="76B58532" w14:textId="17B87C4E"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Table 1</w:t>
      </w:r>
      <w:r w:rsidR="00796CA3">
        <w:rPr>
          <w:rFonts w:asciiTheme="minorHAnsi" w:hAnsiTheme="minorHAnsi" w:cstheme="minorHAnsi"/>
          <w:bdr w:val="nil"/>
        </w:rPr>
        <w:t>5</w:t>
      </w:r>
      <w:r w:rsidRPr="005E3B44">
        <w:rPr>
          <w:rFonts w:asciiTheme="minorHAnsi" w:hAnsiTheme="minorHAnsi" w:cstheme="minorHAnsi"/>
          <w:bdr w:val="nil"/>
        </w:rPr>
        <w:t>: EBT 1: ACT Policing</w:t>
      </w:r>
    </w:p>
    <w:tbl>
      <w:tblPr>
        <w:tblW w:w="9060" w:type="dxa"/>
        <w:tblLayout w:type="fixed"/>
        <w:tblLook w:val="0600" w:firstRow="0" w:lastRow="0" w:firstColumn="0" w:lastColumn="0" w:noHBand="1" w:noVBand="1"/>
      </w:tblPr>
      <w:tblGrid>
        <w:gridCol w:w="4800"/>
        <w:gridCol w:w="540"/>
        <w:gridCol w:w="2175"/>
        <w:gridCol w:w="1545"/>
      </w:tblGrid>
      <w:tr w:rsidR="002242F3" w:rsidRPr="005E3B44" w14:paraId="2AAB479D" w14:textId="77777777" w:rsidTr="005E3B44">
        <w:trPr>
          <w:trHeight w:hRule="exact" w:val="240"/>
        </w:trPr>
        <w:tc>
          <w:tcPr>
            <w:tcW w:w="4800" w:type="dxa"/>
            <w:tcBorders>
              <w:top w:val="single" w:sz="4" w:space="0" w:color="000000"/>
              <w:left w:val="nil"/>
              <w:bottom w:val="nil"/>
              <w:right w:val="nil"/>
              <w:tl2br w:val="nil"/>
              <w:tr2bl w:val="nil"/>
            </w:tcBorders>
            <w:shd w:val="clear" w:color="auto" w:fill="auto"/>
            <w:noWrap/>
            <w:tcMar>
              <w:left w:w="0" w:type="dxa"/>
              <w:right w:w="0" w:type="dxa"/>
            </w:tcMar>
          </w:tcPr>
          <w:p w14:paraId="2CC3BBF6"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C0E9C5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78FA200"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2020-21</w:t>
            </w:r>
          </w:p>
        </w:tc>
        <w:tc>
          <w:tcPr>
            <w:tcW w:w="1545" w:type="dxa"/>
            <w:tcBorders>
              <w:top w:val="single" w:sz="4" w:space="0" w:color="000000"/>
              <w:left w:val="nil"/>
              <w:bottom w:val="nil"/>
              <w:right w:val="nil"/>
              <w:tl2br w:val="nil"/>
              <w:tr2bl w:val="nil"/>
            </w:tcBorders>
            <w:shd w:val="clear" w:color="auto" w:fill="auto"/>
            <w:noWrap/>
            <w:tcMar>
              <w:left w:w="40" w:type="dxa"/>
              <w:right w:w="40" w:type="dxa"/>
            </w:tcMar>
          </w:tcPr>
          <w:p w14:paraId="2C469412"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2021-22</w:t>
            </w:r>
          </w:p>
        </w:tc>
      </w:tr>
      <w:tr w:rsidR="002242F3" w:rsidRPr="005E3B44" w14:paraId="592E06C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tcPr>
          <w:p w14:paraId="07E71A0C"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47DEE0D4"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4C63EDC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Interim Outcome</w:t>
            </w:r>
          </w:p>
        </w:tc>
        <w:tc>
          <w:tcPr>
            <w:tcW w:w="1545" w:type="dxa"/>
            <w:tcBorders>
              <w:top w:val="nil"/>
              <w:left w:val="nil"/>
              <w:bottom w:val="nil"/>
              <w:right w:val="nil"/>
              <w:tl2br w:val="nil"/>
              <w:tr2bl w:val="nil"/>
            </w:tcBorders>
            <w:shd w:val="clear" w:color="auto" w:fill="auto"/>
            <w:noWrap/>
            <w:tcMar>
              <w:left w:w="40" w:type="dxa"/>
              <w:right w:w="40" w:type="dxa"/>
            </w:tcMar>
          </w:tcPr>
          <w:p w14:paraId="30A586B8"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Budget</w:t>
            </w:r>
          </w:p>
        </w:tc>
      </w:tr>
      <w:tr w:rsidR="002242F3" w:rsidRPr="005E3B44" w14:paraId="2053A7E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800" w:type="dxa"/>
            <w:tcBorders>
              <w:top w:val="nil"/>
              <w:left w:val="nil"/>
              <w:bottom w:val="single" w:sz="4" w:space="0" w:color="000000"/>
              <w:right w:val="nil"/>
              <w:tl2br w:val="nil"/>
              <w:tr2bl w:val="nil"/>
            </w:tcBorders>
            <w:shd w:val="clear" w:color="auto" w:fill="auto"/>
            <w:noWrap/>
            <w:tcMar>
              <w:left w:w="0" w:type="dxa"/>
              <w:right w:w="0" w:type="dxa"/>
            </w:tcMar>
          </w:tcPr>
          <w:p w14:paraId="55C5DFA5"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321AC5D"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DDE231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c>
          <w:tcPr>
            <w:tcW w:w="1545" w:type="dxa"/>
            <w:tcBorders>
              <w:top w:val="nil"/>
              <w:left w:val="nil"/>
              <w:bottom w:val="single" w:sz="4" w:space="0" w:color="000000"/>
              <w:right w:val="nil"/>
              <w:tl2br w:val="nil"/>
              <w:tr2bl w:val="nil"/>
            </w:tcBorders>
            <w:shd w:val="clear" w:color="auto" w:fill="auto"/>
            <w:noWrap/>
            <w:tcMar>
              <w:left w:w="40" w:type="dxa"/>
              <w:right w:w="40" w:type="dxa"/>
            </w:tcMar>
          </w:tcPr>
          <w:p w14:paraId="2DF4B86B"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$'000</w:t>
            </w:r>
          </w:p>
        </w:tc>
      </w:tr>
      <w:tr w:rsidR="002242F3" w:rsidRPr="005E3B44" w14:paraId="696DDDF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single" w:sz="4" w:space="0" w:color="000000"/>
              <w:left w:val="nil"/>
              <w:bottom w:val="nil"/>
              <w:right w:val="nil"/>
              <w:tl2br w:val="nil"/>
              <w:tr2bl w:val="nil"/>
            </w:tcBorders>
            <w:shd w:val="clear" w:color="auto" w:fill="auto"/>
            <w:noWrap/>
            <w:tcMar>
              <w:left w:w="40" w:type="dxa"/>
              <w:right w:w="40" w:type="dxa"/>
            </w:tcMar>
          </w:tcPr>
          <w:p w14:paraId="445D2A40"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52AB137"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1DD6E43"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183,523</w:t>
            </w:r>
          </w:p>
        </w:tc>
        <w:tc>
          <w:tcPr>
            <w:tcW w:w="1545" w:type="dxa"/>
            <w:tcBorders>
              <w:top w:val="single" w:sz="4" w:space="0" w:color="000000"/>
              <w:left w:val="nil"/>
              <w:bottom w:val="nil"/>
              <w:right w:val="nil"/>
              <w:tl2br w:val="nil"/>
              <w:tr2bl w:val="nil"/>
            </w:tcBorders>
            <w:shd w:val="clear" w:color="auto" w:fill="auto"/>
            <w:noWrap/>
            <w:tcMar>
              <w:left w:w="40" w:type="dxa"/>
              <w:right w:w="40" w:type="dxa"/>
            </w:tcMar>
          </w:tcPr>
          <w:p w14:paraId="76DBCDAA"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196,546</w:t>
            </w:r>
          </w:p>
        </w:tc>
      </w:tr>
      <w:tr w:rsidR="002242F3" w:rsidRPr="005E3B44" w14:paraId="268E345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800" w:type="dxa"/>
            <w:tcBorders>
              <w:top w:val="nil"/>
              <w:left w:val="nil"/>
              <w:bottom w:val="single" w:sz="4" w:space="0" w:color="000000"/>
              <w:right w:val="nil"/>
              <w:tl2br w:val="nil"/>
              <w:tr2bl w:val="nil"/>
            </w:tcBorders>
            <w:shd w:val="clear" w:color="auto" w:fill="auto"/>
            <w:noWrap/>
            <w:tcMar>
              <w:left w:w="40" w:type="dxa"/>
              <w:right w:w="40" w:type="dxa"/>
            </w:tcMar>
          </w:tcPr>
          <w:p w14:paraId="36E9BD53"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r w:rsidRPr="005E3B44">
              <w:rPr>
                <w:rFonts w:asciiTheme="minorHAnsi" w:eastAsia="Calibri" w:hAnsiTheme="minorHAnsi" w:cstheme="minorHAnsi"/>
                <w:b/>
                <w:color w:val="000000"/>
                <w:sz w:val="18"/>
                <w:bdr w:val="nil"/>
              </w:rPr>
              <w:t>Payment for Expenses on Behalf of the Territory</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010FC82" w14:textId="77777777" w:rsidR="002242F3" w:rsidRPr="005E3B44" w:rsidRDefault="002242F3" w:rsidP="005E3B44">
            <w:pPr>
              <w:pBdr>
                <w:top w:val="nil"/>
                <w:left w:val="nil"/>
                <w:bottom w:val="nil"/>
                <w:right w:val="nil"/>
                <w:between w:val="nil"/>
                <w:bar w:val="nil"/>
              </w:pBdr>
              <w:spacing w:before="0" w:after="0"/>
              <w:rPr>
                <w:rFonts w:asciiTheme="minorHAnsi" w:eastAsia="Calibri" w:hAnsiTheme="minorHAnsi" w:cstheme="minorHAns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6B3DB85"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180,407</w:t>
            </w:r>
          </w:p>
        </w:tc>
        <w:tc>
          <w:tcPr>
            <w:tcW w:w="1545" w:type="dxa"/>
            <w:tcBorders>
              <w:top w:val="nil"/>
              <w:left w:val="nil"/>
              <w:bottom w:val="single" w:sz="4" w:space="0" w:color="000000"/>
              <w:right w:val="nil"/>
              <w:tl2br w:val="nil"/>
              <w:tr2bl w:val="nil"/>
            </w:tcBorders>
            <w:shd w:val="clear" w:color="auto" w:fill="auto"/>
            <w:noWrap/>
            <w:tcMar>
              <w:left w:w="40" w:type="dxa"/>
              <w:right w:w="40" w:type="dxa"/>
            </w:tcMar>
          </w:tcPr>
          <w:p w14:paraId="1CF9646C" w14:textId="77777777" w:rsidR="002242F3" w:rsidRPr="005E3B44" w:rsidRDefault="002242F3" w:rsidP="005E3B44">
            <w:pPr>
              <w:pBdr>
                <w:top w:val="nil"/>
                <w:left w:val="nil"/>
                <w:bottom w:val="nil"/>
                <w:right w:val="nil"/>
                <w:between w:val="nil"/>
                <w:bar w:val="nil"/>
              </w:pBdr>
              <w:spacing w:before="0" w:after="0"/>
              <w:jc w:val="right"/>
              <w:rPr>
                <w:rFonts w:asciiTheme="minorHAnsi" w:eastAsia="Calibri" w:hAnsiTheme="minorHAnsi" w:cstheme="minorHAnsi"/>
                <w:color w:val="000000"/>
                <w:sz w:val="18"/>
                <w:bdr w:val="nil"/>
              </w:rPr>
            </w:pPr>
            <w:r w:rsidRPr="005E3B44">
              <w:rPr>
                <w:rFonts w:asciiTheme="minorHAnsi" w:eastAsia="Calibri" w:hAnsiTheme="minorHAnsi" w:cstheme="minorHAnsi"/>
                <w:color w:val="000000"/>
                <w:sz w:val="18"/>
                <w:bdr w:val="nil"/>
              </w:rPr>
              <w:t>192,981</w:t>
            </w:r>
          </w:p>
        </w:tc>
      </w:tr>
    </w:tbl>
    <w:p w14:paraId="3879B9EE"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Note:</w:t>
      </w:r>
    </w:p>
    <w:p w14:paraId="30DEA346" w14:textId="77777777" w:rsidR="002242F3" w:rsidRPr="005E3B44" w:rsidRDefault="002242F3" w:rsidP="002242F3">
      <w:pPr>
        <w:pStyle w:val="BSnoteslist"/>
        <w:numPr>
          <w:ilvl w:val="0"/>
          <w:numId w:val="23"/>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Total cost includes depreciation and amortisation of $3.116 million in 2020-21 and $3.565 million in 2021-22.</w:t>
      </w:r>
    </w:p>
    <w:p w14:paraId="682A76AA" w14:textId="77777777" w:rsidR="002242F3" w:rsidRPr="005E3B44" w:rsidRDefault="002242F3" w:rsidP="002242F3">
      <w:pPr>
        <w:pStyle w:val="BSnoteslist"/>
        <w:numPr>
          <w:ilvl w:val="0"/>
          <w:numId w:val="0"/>
        </w:numPr>
        <w:pBdr>
          <w:top w:val="nil"/>
          <w:left w:val="nil"/>
          <w:bottom w:val="nil"/>
          <w:right w:val="nil"/>
          <w:between w:val="nil"/>
          <w:bar w:val="nil"/>
        </w:pBdr>
        <w:ind w:left="360"/>
        <w:rPr>
          <w:rFonts w:asciiTheme="minorHAnsi" w:hAnsiTheme="minorHAnsi" w:cstheme="minorHAnsi"/>
          <w:bdr w:val="nil"/>
        </w:rPr>
      </w:pPr>
    </w:p>
    <w:p w14:paraId="4017477A" w14:textId="77777777" w:rsidR="002242F3" w:rsidRPr="005E3B44" w:rsidRDefault="002242F3" w:rsidP="002242F3">
      <w:pPr>
        <w:pStyle w:val="BSnoteslist"/>
        <w:numPr>
          <w:ilvl w:val="0"/>
          <w:numId w:val="0"/>
        </w:numPr>
        <w:pBdr>
          <w:top w:val="nil"/>
          <w:left w:val="nil"/>
          <w:bottom w:val="nil"/>
          <w:right w:val="nil"/>
          <w:between w:val="nil"/>
          <w:bar w:val="nil"/>
        </w:pBdr>
        <w:ind w:left="360"/>
        <w:rPr>
          <w:rFonts w:asciiTheme="minorHAnsi" w:hAnsiTheme="minorHAnsi" w:cstheme="minorHAnsi"/>
          <w:bdr w:val="nil"/>
        </w:rPr>
      </w:pPr>
    </w:p>
    <w:p w14:paraId="581DE67D" w14:textId="77777777" w:rsidR="002242F3" w:rsidRPr="005E3B44" w:rsidRDefault="002242F3" w:rsidP="004C1875">
      <w:pPr>
        <w:pStyle w:val="Heading4"/>
      </w:pPr>
      <w:r w:rsidRPr="005E3B44">
        <w:t>Output 1.1: ACT Policing</w:t>
      </w:r>
    </w:p>
    <w:p w14:paraId="0E203B14" w14:textId="77777777" w:rsidR="002242F3" w:rsidRPr="005E3B44" w:rsidRDefault="002242F3" w:rsidP="002242F3">
      <w:pPr>
        <w:pStyle w:val="BSbullet1"/>
        <w:numPr>
          <w:ilvl w:val="0"/>
          <w:numId w:val="0"/>
        </w:numPr>
        <w:pBdr>
          <w:top w:val="nil"/>
          <w:left w:val="nil"/>
          <w:bottom w:val="nil"/>
          <w:right w:val="nil"/>
          <w:between w:val="nil"/>
          <w:bar w:val="nil"/>
        </w:pBdr>
        <w:jc w:val="both"/>
        <w:rPr>
          <w:rFonts w:asciiTheme="minorHAnsi" w:hAnsiTheme="minorHAnsi" w:cstheme="minorHAnsi"/>
          <w:bdr w:val="nil"/>
        </w:rPr>
      </w:pPr>
      <w:r w:rsidRPr="005E3B44">
        <w:rPr>
          <w:rFonts w:asciiTheme="minorHAnsi" w:hAnsiTheme="minorHAnsi" w:cstheme="minorHAnsi"/>
          <w:bdr w:val="nil"/>
        </w:rPr>
        <w:t>Payment to ACT Policing (the ACT branch of the Australian Federal Police) for the provision of police services to the ACT community.  These services include the protection of persons and property, crime prevention and detection, maintaining peace and good order and the enforcement of ACT laws.</w:t>
      </w:r>
    </w:p>
    <w:p w14:paraId="058736CD" w14:textId="77777777" w:rsidR="002242F3" w:rsidRPr="005E3B44" w:rsidRDefault="002242F3" w:rsidP="002242F3">
      <w:pPr>
        <w:pBdr>
          <w:top w:val="nil"/>
          <w:left w:val="nil"/>
          <w:bottom w:val="nil"/>
          <w:right w:val="nil"/>
          <w:between w:val="nil"/>
          <w:bar w:val="nil"/>
        </w:pBdr>
        <w:rPr>
          <w:rFonts w:asciiTheme="minorHAnsi" w:hAnsiTheme="minorHAnsi" w:cstheme="minorHAnsi"/>
          <w:szCs w:val="24"/>
          <w:bdr w:val="nil"/>
        </w:rPr>
      </w:pPr>
      <w:r w:rsidRPr="005E3B44">
        <w:rPr>
          <w:rFonts w:asciiTheme="minorHAnsi" w:hAnsiTheme="minorHAnsi" w:cstheme="minorHAnsi"/>
        </w:rPr>
        <w:t xml:space="preserve"> </w:t>
      </w:r>
    </w:p>
    <w:p w14:paraId="2F4E035B" w14:textId="77777777" w:rsidR="002242F3" w:rsidRPr="005E3B44" w:rsidRDefault="002242F3" w:rsidP="002242F3">
      <w:pPr>
        <w:pStyle w:val="Heading2"/>
        <w:pageBreakBefore/>
        <w:pBdr>
          <w:top w:val="nil"/>
          <w:left w:val="nil"/>
          <w:bottom w:val="nil"/>
          <w:right w:val="nil"/>
          <w:between w:val="nil"/>
          <w:bar w:val="nil"/>
        </w:pBdr>
        <w:rPr>
          <w:rFonts w:asciiTheme="minorHAnsi" w:hAnsiTheme="minorHAnsi" w:cstheme="minorHAnsi"/>
          <w:bdr w:val="nil"/>
        </w:rPr>
      </w:pPr>
      <w:bookmarkStart w:id="15" w:name="_Toc452467800"/>
      <w:r w:rsidRPr="005E3B44">
        <w:rPr>
          <w:rFonts w:asciiTheme="minorHAnsi" w:hAnsiTheme="minorHAnsi" w:cstheme="minorHAnsi"/>
          <w:bdr w:val="nil"/>
        </w:rPr>
        <w:lastRenderedPageBreak/>
        <w:t>Accountability Indicators</w:t>
      </w:r>
      <w:bookmarkEnd w:id="15"/>
    </w:p>
    <w:p w14:paraId="5EE38C54"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Due to the release of the 2021-22 Budget on 6 October 2021, the 2020-21 Interim Outcome column reflects the interim outcome included in the draft 2020</w:t>
      </w:r>
      <w:r w:rsidRPr="005E3B44">
        <w:rPr>
          <w:rFonts w:asciiTheme="minorHAnsi" w:hAnsiTheme="minorHAnsi" w:cstheme="minorHAnsi"/>
          <w:bdr w:val="nil"/>
        </w:rPr>
        <w:noBreakHyphen/>
        <w:t>21 Statement of Performance, which were unaudited at the time of preparing these budget statements.</w:t>
      </w:r>
    </w:p>
    <w:p w14:paraId="5A8B5D4A"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Output Class 1: Justice Services</w:t>
      </w:r>
    </w:p>
    <w:p w14:paraId="2F86B381" w14:textId="77777777" w:rsidR="002242F3" w:rsidRPr="005E3B44" w:rsidRDefault="002242F3" w:rsidP="004C1875">
      <w:pPr>
        <w:pStyle w:val="Heading4"/>
      </w:pPr>
      <w:r w:rsidRPr="005E3B44">
        <w:t>Output 1.1: Policy Advice and Justice Programs</w:t>
      </w:r>
    </w:p>
    <w:p w14:paraId="5DA12A9D" w14:textId="1B858D56"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1</w:t>
      </w:r>
      <w:r w:rsidR="00796CA3">
        <w:rPr>
          <w:rFonts w:asciiTheme="minorHAnsi" w:hAnsiTheme="minorHAnsi" w:cstheme="minorHAnsi"/>
          <w:bdr w:val="nil"/>
        </w:rPr>
        <w:t>6</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1.1</w:t>
      </w:r>
    </w:p>
    <w:tbl>
      <w:tblPr>
        <w:tblW w:w="9243" w:type="dxa"/>
        <w:tblBorders>
          <w:top w:val="single" w:sz="12" w:space="0" w:color="000000"/>
          <w:bottom w:val="single" w:sz="12" w:space="0" w:color="000000"/>
        </w:tblBorders>
        <w:tblLook w:val="04A0" w:firstRow="1" w:lastRow="0" w:firstColumn="1" w:lastColumn="0" w:noHBand="0" w:noVBand="1"/>
      </w:tblPr>
      <w:tblGrid>
        <w:gridCol w:w="3476"/>
        <w:gridCol w:w="1806"/>
        <w:gridCol w:w="1497"/>
        <w:gridCol w:w="1233"/>
        <w:gridCol w:w="1231"/>
      </w:tblGrid>
      <w:tr w:rsidR="002242F3" w:rsidRPr="005E3B44" w14:paraId="4A78AF69" w14:textId="77777777" w:rsidTr="005E3B44">
        <w:trPr>
          <w:trHeight w:val="754"/>
          <w:tblHeader/>
        </w:trPr>
        <w:tc>
          <w:tcPr>
            <w:tcW w:w="1880" w:type="pct"/>
            <w:tcBorders>
              <w:top w:val="single" w:sz="12" w:space="0" w:color="000000"/>
              <w:left w:val="nil"/>
              <w:bottom w:val="single" w:sz="12" w:space="0" w:color="000000"/>
              <w:right w:val="nil"/>
            </w:tcBorders>
          </w:tcPr>
          <w:p w14:paraId="0AEC9F35"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p>
        </w:tc>
        <w:tc>
          <w:tcPr>
            <w:tcW w:w="977" w:type="pct"/>
            <w:tcBorders>
              <w:top w:val="single" w:sz="12" w:space="0" w:color="000000"/>
              <w:left w:val="nil"/>
              <w:bottom w:val="single" w:sz="12" w:space="0" w:color="000000"/>
              <w:right w:val="nil"/>
            </w:tcBorders>
            <w:hideMark/>
          </w:tcPr>
          <w:p w14:paraId="32A46363"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67858A1B"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10" w:type="pct"/>
            <w:tcBorders>
              <w:top w:val="single" w:sz="12" w:space="0" w:color="000000"/>
              <w:left w:val="nil"/>
              <w:bottom w:val="single" w:sz="12" w:space="0" w:color="000000"/>
              <w:right w:val="nil"/>
            </w:tcBorders>
            <w:hideMark/>
          </w:tcPr>
          <w:p w14:paraId="0910100B"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48442E7E"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7AB86FF6"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67" w:type="pct"/>
            <w:tcBorders>
              <w:top w:val="single" w:sz="12" w:space="0" w:color="000000"/>
              <w:left w:val="nil"/>
              <w:bottom w:val="single" w:sz="12" w:space="0" w:color="000000"/>
              <w:right w:val="nil"/>
            </w:tcBorders>
          </w:tcPr>
          <w:p w14:paraId="10AC288E"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379C908D"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66" w:type="pct"/>
            <w:tcBorders>
              <w:top w:val="single" w:sz="12" w:space="0" w:color="000000"/>
              <w:left w:val="nil"/>
              <w:bottom w:val="single" w:sz="12" w:space="0" w:color="000000"/>
              <w:right w:val="nil"/>
            </w:tcBorders>
            <w:hideMark/>
          </w:tcPr>
          <w:p w14:paraId="0C623736"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2EECB8C2"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7797990F" w14:textId="77777777" w:rsidTr="005E3B44">
        <w:trPr>
          <w:trHeight w:val="288"/>
        </w:trPr>
        <w:tc>
          <w:tcPr>
            <w:tcW w:w="1880" w:type="pct"/>
            <w:tcBorders>
              <w:top w:val="single" w:sz="12" w:space="0" w:color="000000"/>
              <w:left w:val="nil"/>
              <w:bottom w:val="nil"/>
              <w:right w:val="nil"/>
            </w:tcBorders>
            <w:hideMark/>
          </w:tcPr>
          <w:p w14:paraId="12EE2D2F" w14:textId="77777777" w:rsidR="002242F3" w:rsidRPr="005E3B44" w:rsidRDefault="002242F3" w:rsidP="005E3B44">
            <w:pPr>
              <w:pStyle w:val="BStablelist"/>
              <w:numPr>
                <w:ilvl w:val="0"/>
                <w:numId w:val="25"/>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Percentage of legislation requested by the JACS portfolio ministers is developed within timeframes agreed by the JACS portfolio ministers</w:t>
            </w:r>
          </w:p>
        </w:tc>
        <w:tc>
          <w:tcPr>
            <w:tcW w:w="977" w:type="pct"/>
            <w:tcBorders>
              <w:top w:val="single" w:sz="12" w:space="0" w:color="000000"/>
              <w:left w:val="nil"/>
              <w:bottom w:val="nil"/>
              <w:right w:val="nil"/>
            </w:tcBorders>
            <w:hideMark/>
          </w:tcPr>
          <w:p w14:paraId="564815FA"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100%</w:t>
            </w:r>
          </w:p>
        </w:tc>
        <w:tc>
          <w:tcPr>
            <w:tcW w:w="810" w:type="pct"/>
            <w:tcBorders>
              <w:top w:val="single" w:sz="12" w:space="0" w:color="000000"/>
              <w:left w:val="nil"/>
              <w:bottom w:val="nil"/>
              <w:right w:val="nil"/>
            </w:tcBorders>
            <w:hideMark/>
          </w:tcPr>
          <w:p w14:paraId="267FF09D"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100%</w:t>
            </w:r>
          </w:p>
        </w:tc>
        <w:tc>
          <w:tcPr>
            <w:tcW w:w="667" w:type="pct"/>
            <w:tcBorders>
              <w:top w:val="single" w:sz="12" w:space="0" w:color="000000"/>
              <w:left w:val="nil"/>
              <w:bottom w:val="nil"/>
              <w:right w:val="nil"/>
            </w:tcBorders>
          </w:tcPr>
          <w:p w14:paraId="153E73E1"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w:t>
            </w:r>
          </w:p>
        </w:tc>
        <w:tc>
          <w:tcPr>
            <w:tcW w:w="666" w:type="pct"/>
            <w:tcBorders>
              <w:top w:val="single" w:sz="12" w:space="0" w:color="000000"/>
              <w:left w:val="nil"/>
              <w:bottom w:val="nil"/>
              <w:right w:val="nil"/>
            </w:tcBorders>
            <w:hideMark/>
          </w:tcPr>
          <w:p w14:paraId="17F04519"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100%</w:t>
            </w:r>
          </w:p>
        </w:tc>
      </w:tr>
      <w:tr w:rsidR="002242F3" w:rsidRPr="005E3B44" w14:paraId="44B254E9" w14:textId="77777777" w:rsidTr="005E3B44">
        <w:trPr>
          <w:trHeight w:val="288"/>
        </w:trPr>
        <w:tc>
          <w:tcPr>
            <w:tcW w:w="1880" w:type="pct"/>
            <w:tcBorders>
              <w:top w:val="nil"/>
              <w:left w:val="nil"/>
              <w:bottom w:val="nil"/>
              <w:right w:val="nil"/>
            </w:tcBorders>
            <w:hideMark/>
          </w:tcPr>
          <w:p w14:paraId="0DD7D182" w14:textId="77777777" w:rsidR="002242F3" w:rsidRPr="005E3B44" w:rsidRDefault="002242F3" w:rsidP="005E3B44">
            <w:pPr>
              <w:pStyle w:val="BStablelist"/>
              <w:numPr>
                <w:ilvl w:val="0"/>
                <w:numId w:val="25"/>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 xml:space="preserve">Proportion of surveyed users of restorative justice programs satisfied with service received </w:t>
            </w:r>
            <w:r w:rsidRPr="005E3B44">
              <w:rPr>
                <w:rFonts w:asciiTheme="minorHAnsi" w:hAnsiTheme="minorHAnsi" w:cstheme="minorHAnsi"/>
                <w:bdr w:val="nil"/>
                <w:vertAlign w:val="superscript"/>
              </w:rPr>
              <w:t>a</w:t>
            </w:r>
          </w:p>
        </w:tc>
        <w:tc>
          <w:tcPr>
            <w:tcW w:w="977" w:type="pct"/>
            <w:tcBorders>
              <w:top w:val="nil"/>
              <w:left w:val="nil"/>
              <w:bottom w:val="nil"/>
              <w:right w:val="nil"/>
            </w:tcBorders>
            <w:hideMark/>
          </w:tcPr>
          <w:p w14:paraId="2B8D21D9"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97%</w:t>
            </w:r>
          </w:p>
        </w:tc>
        <w:tc>
          <w:tcPr>
            <w:tcW w:w="810" w:type="pct"/>
            <w:tcBorders>
              <w:top w:val="nil"/>
              <w:left w:val="nil"/>
              <w:bottom w:val="nil"/>
              <w:right w:val="nil"/>
            </w:tcBorders>
            <w:hideMark/>
          </w:tcPr>
          <w:p w14:paraId="60584F75"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99%</w:t>
            </w:r>
          </w:p>
        </w:tc>
        <w:tc>
          <w:tcPr>
            <w:tcW w:w="667" w:type="pct"/>
            <w:tcBorders>
              <w:top w:val="nil"/>
              <w:left w:val="nil"/>
              <w:bottom w:val="nil"/>
              <w:right w:val="nil"/>
            </w:tcBorders>
          </w:tcPr>
          <w:p w14:paraId="36ED1C3D"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w:t>
            </w:r>
          </w:p>
        </w:tc>
        <w:tc>
          <w:tcPr>
            <w:tcW w:w="666" w:type="pct"/>
            <w:tcBorders>
              <w:top w:val="nil"/>
              <w:left w:val="nil"/>
              <w:bottom w:val="nil"/>
              <w:right w:val="nil"/>
            </w:tcBorders>
            <w:hideMark/>
          </w:tcPr>
          <w:p w14:paraId="416116BE"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97%</w:t>
            </w:r>
          </w:p>
        </w:tc>
      </w:tr>
      <w:tr w:rsidR="002242F3" w:rsidRPr="005E3B44" w14:paraId="5822062B" w14:textId="77777777" w:rsidTr="005E3B44">
        <w:trPr>
          <w:trHeight w:val="549"/>
        </w:trPr>
        <w:tc>
          <w:tcPr>
            <w:tcW w:w="1880" w:type="pct"/>
            <w:tcBorders>
              <w:top w:val="nil"/>
              <w:left w:val="nil"/>
              <w:bottom w:val="single" w:sz="4" w:space="0" w:color="auto"/>
              <w:right w:val="nil"/>
            </w:tcBorders>
            <w:hideMark/>
          </w:tcPr>
          <w:p w14:paraId="087038FA" w14:textId="77777777" w:rsidR="002242F3" w:rsidRPr="005E3B44" w:rsidRDefault="002242F3" w:rsidP="005E3B44">
            <w:pPr>
              <w:pStyle w:val="BStablelist"/>
              <w:numPr>
                <w:ilvl w:val="0"/>
                <w:numId w:val="25"/>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 xml:space="preserve">Number of initiatives that reduce regulatory burden </w:t>
            </w:r>
            <w:r w:rsidRPr="005E3B44">
              <w:rPr>
                <w:rFonts w:asciiTheme="minorHAnsi" w:hAnsiTheme="minorHAnsi" w:cstheme="minorHAnsi"/>
                <w:bdr w:val="nil"/>
                <w:vertAlign w:val="superscript"/>
              </w:rPr>
              <w:t>b</w:t>
            </w:r>
          </w:p>
        </w:tc>
        <w:tc>
          <w:tcPr>
            <w:tcW w:w="977" w:type="pct"/>
            <w:tcBorders>
              <w:top w:val="nil"/>
              <w:left w:val="nil"/>
              <w:bottom w:val="single" w:sz="4" w:space="0" w:color="auto"/>
              <w:right w:val="nil"/>
            </w:tcBorders>
            <w:hideMark/>
          </w:tcPr>
          <w:p w14:paraId="5446897D"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w:t>
            </w:r>
          </w:p>
        </w:tc>
        <w:tc>
          <w:tcPr>
            <w:tcW w:w="810" w:type="pct"/>
            <w:tcBorders>
              <w:top w:val="nil"/>
              <w:left w:val="nil"/>
              <w:bottom w:val="single" w:sz="4" w:space="0" w:color="auto"/>
              <w:right w:val="nil"/>
            </w:tcBorders>
            <w:hideMark/>
          </w:tcPr>
          <w:p w14:paraId="311562DE"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w:t>
            </w:r>
          </w:p>
        </w:tc>
        <w:tc>
          <w:tcPr>
            <w:tcW w:w="667" w:type="pct"/>
            <w:tcBorders>
              <w:top w:val="nil"/>
              <w:left w:val="nil"/>
              <w:bottom w:val="single" w:sz="4" w:space="0" w:color="auto"/>
              <w:right w:val="nil"/>
            </w:tcBorders>
          </w:tcPr>
          <w:p w14:paraId="1C7EAC0D"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w:t>
            </w:r>
          </w:p>
        </w:tc>
        <w:tc>
          <w:tcPr>
            <w:tcW w:w="666" w:type="pct"/>
            <w:tcBorders>
              <w:top w:val="nil"/>
              <w:left w:val="nil"/>
              <w:bottom w:val="single" w:sz="4" w:space="0" w:color="auto"/>
              <w:right w:val="nil"/>
            </w:tcBorders>
            <w:hideMark/>
          </w:tcPr>
          <w:p w14:paraId="429B3A8D"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w:t>
            </w:r>
          </w:p>
        </w:tc>
      </w:tr>
      <w:tr w:rsidR="002242F3" w:rsidRPr="005E3B44" w14:paraId="33226DC8" w14:textId="77777777" w:rsidTr="005E3B44">
        <w:trPr>
          <w:trHeight w:val="549"/>
        </w:trPr>
        <w:tc>
          <w:tcPr>
            <w:tcW w:w="1880" w:type="pct"/>
            <w:tcBorders>
              <w:top w:val="nil"/>
              <w:left w:val="nil"/>
              <w:bottom w:val="single" w:sz="12" w:space="0" w:color="auto"/>
              <w:right w:val="nil"/>
            </w:tcBorders>
          </w:tcPr>
          <w:p w14:paraId="2C537C62"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Total Cost ($’000)</w:t>
            </w:r>
          </w:p>
          <w:p w14:paraId="19D7907F"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Controlled Recurrent Payments ($’000)</w:t>
            </w:r>
          </w:p>
        </w:tc>
        <w:tc>
          <w:tcPr>
            <w:tcW w:w="977" w:type="pct"/>
            <w:tcBorders>
              <w:top w:val="nil"/>
              <w:left w:val="nil"/>
              <w:bottom w:val="single" w:sz="12" w:space="0" w:color="auto"/>
              <w:right w:val="nil"/>
            </w:tcBorders>
          </w:tcPr>
          <w:p w14:paraId="7DCF2A41"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28,810</w:t>
            </w:r>
          </w:p>
          <w:p w14:paraId="0F9502D1"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26,219</w:t>
            </w:r>
          </w:p>
        </w:tc>
        <w:tc>
          <w:tcPr>
            <w:tcW w:w="810" w:type="pct"/>
            <w:tcBorders>
              <w:top w:val="nil"/>
              <w:left w:val="nil"/>
              <w:bottom w:val="single" w:sz="12" w:space="0" w:color="auto"/>
              <w:right w:val="nil"/>
            </w:tcBorders>
          </w:tcPr>
          <w:p w14:paraId="6299C17F"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27,746</w:t>
            </w:r>
          </w:p>
          <w:p w14:paraId="3FA12078"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24,311</w:t>
            </w:r>
          </w:p>
        </w:tc>
        <w:tc>
          <w:tcPr>
            <w:tcW w:w="667" w:type="pct"/>
            <w:tcBorders>
              <w:top w:val="nil"/>
              <w:left w:val="nil"/>
              <w:bottom w:val="single" w:sz="12" w:space="0" w:color="auto"/>
              <w:right w:val="nil"/>
            </w:tcBorders>
          </w:tcPr>
          <w:p w14:paraId="236774B0"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(4)</w:t>
            </w:r>
          </w:p>
          <w:p w14:paraId="52F4364A"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(7)</w:t>
            </w:r>
          </w:p>
        </w:tc>
        <w:tc>
          <w:tcPr>
            <w:tcW w:w="666" w:type="pct"/>
            <w:tcBorders>
              <w:top w:val="nil"/>
              <w:left w:val="nil"/>
              <w:bottom w:val="single" w:sz="12" w:space="0" w:color="auto"/>
              <w:right w:val="nil"/>
            </w:tcBorders>
          </w:tcPr>
          <w:p w14:paraId="7DD3911E"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30,384</w:t>
            </w:r>
          </w:p>
          <w:p w14:paraId="38731CBE"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r w:rsidRPr="001152EA">
              <w:rPr>
                <w:rFonts w:asciiTheme="minorHAnsi" w:hAnsiTheme="minorHAnsi" w:cstheme="minorHAnsi"/>
                <w:sz w:val="20"/>
                <w:szCs w:val="20"/>
                <w:bdr w:val="nil"/>
              </w:rPr>
              <w:t>28,451</w:t>
            </w:r>
          </w:p>
        </w:tc>
      </w:tr>
    </w:tbl>
    <w:p w14:paraId="4ADA5371"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 w:val="0"/>
          <w:bCs/>
          <w:bdr w:val="nil"/>
        </w:rPr>
      </w:pPr>
      <w:r w:rsidRPr="005E3B44">
        <w:rPr>
          <w:rFonts w:asciiTheme="minorHAnsi" w:hAnsiTheme="minorHAnsi" w:cstheme="minorHAnsi"/>
          <w:b w:val="0"/>
          <w:bCs/>
          <w:bdr w:val="nil"/>
        </w:rPr>
        <w:t xml:space="preserve">The above Accountability Indicators should be read in conjunction with the accompanying notes. </w:t>
      </w:r>
    </w:p>
    <w:p w14:paraId="34C00253"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4525EFB0" w14:textId="77777777" w:rsidR="002242F3" w:rsidRPr="005E3B44" w:rsidRDefault="002242F3" w:rsidP="002242F3">
      <w:pPr>
        <w:pStyle w:val="BSnoteslist2"/>
        <w:widowControl w:val="0"/>
        <w:numPr>
          <w:ilvl w:val="0"/>
          <w:numId w:val="27"/>
        </w:numPr>
        <w:pBdr>
          <w:top w:val="nil"/>
          <w:left w:val="nil"/>
          <w:bottom w:val="nil"/>
          <w:right w:val="nil"/>
          <w:between w:val="nil"/>
          <w:bar w:val="nil"/>
        </w:pBdr>
        <w:rPr>
          <w:rFonts w:asciiTheme="minorHAnsi" w:hAnsiTheme="minorHAnsi" w:cstheme="minorHAnsi"/>
          <w:szCs w:val="18"/>
          <w:bdr w:val="nil"/>
        </w:rPr>
      </w:pPr>
      <w:r w:rsidRPr="005E3B44">
        <w:rPr>
          <w:rFonts w:asciiTheme="minorHAnsi" w:hAnsiTheme="minorHAnsi" w:cstheme="minorHAnsi"/>
          <w:bdr w:val="nil"/>
        </w:rPr>
        <w:t xml:space="preserve">Following a restorative justice conference, surveys designed to monitor convenors’ delivery of the process and participant experience for quality assurance and service improvement, are provided to each offender, </w:t>
      </w:r>
      <w:proofErr w:type="gramStart"/>
      <w:r w:rsidRPr="005E3B44">
        <w:rPr>
          <w:rFonts w:asciiTheme="minorHAnsi" w:hAnsiTheme="minorHAnsi" w:cstheme="minorHAnsi"/>
          <w:bdr w:val="nil"/>
        </w:rPr>
        <w:t>victim</w:t>
      </w:r>
      <w:proofErr w:type="gramEnd"/>
      <w:r w:rsidRPr="005E3B44">
        <w:rPr>
          <w:rFonts w:asciiTheme="minorHAnsi" w:hAnsiTheme="minorHAnsi" w:cstheme="minorHAnsi"/>
          <w:bdr w:val="nil"/>
        </w:rPr>
        <w:t xml:space="preserve"> and support person. Nine key questions are included in the surveys. These questions capture feedback on different aspects of the restorative justice process to provide an insight into the level of participant satisfaction. 104 out of 132 participants completed the survey with 99% being satisfied with services received.</w:t>
      </w:r>
    </w:p>
    <w:p w14:paraId="5B68FBFE" w14:textId="77777777" w:rsidR="002242F3" w:rsidRPr="005E3B44" w:rsidRDefault="002242F3" w:rsidP="002242F3">
      <w:pPr>
        <w:pStyle w:val="BSnoteslist2"/>
        <w:widowControl w:val="0"/>
        <w:numPr>
          <w:ilvl w:val="0"/>
          <w:numId w:val="27"/>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szCs w:val="18"/>
          <w:bdr w:val="nil"/>
        </w:rPr>
        <w:t xml:space="preserve">Relevant initiatives include changes or innovations, made as part of legislative reforms or policy or program design or modification, and which have been identified as reducing regulatory burden. </w:t>
      </w:r>
      <w:r w:rsidRPr="005E3B44">
        <w:rPr>
          <w:rFonts w:asciiTheme="minorHAnsi" w:hAnsiTheme="minorHAnsi" w:cstheme="minorHAnsi"/>
          <w:i/>
          <w:iCs/>
          <w:szCs w:val="18"/>
          <w:bdr w:val="nil"/>
        </w:rPr>
        <w:t>Birth, Deaths and Marriages Registration Amendment Bill</w:t>
      </w:r>
      <w:r w:rsidRPr="005E3B44">
        <w:rPr>
          <w:rFonts w:asciiTheme="minorHAnsi" w:hAnsiTheme="minorHAnsi" w:cstheme="minorHAnsi"/>
          <w:szCs w:val="18"/>
          <w:bdr w:val="nil"/>
        </w:rPr>
        <w:t xml:space="preserve"> </w:t>
      </w:r>
      <w:r w:rsidRPr="005E3B44">
        <w:rPr>
          <w:rFonts w:asciiTheme="minorHAnsi" w:hAnsiTheme="minorHAnsi" w:cstheme="minorHAnsi"/>
          <w:i/>
          <w:iCs/>
          <w:szCs w:val="18"/>
          <w:bdr w:val="nil"/>
        </w:rPr>
        <w:t>2020</w:t>
      </w:r>
      <w:r w:rsidRPr="005E3B44">
        <w:rPr>
          <w:rFonts w:asciiTheme="minorHAnsi" w:hAnsiTheme="minorHAnsi" w:cstheme="minorHAnsi"/>
          <w:szCs w:val="18"/>
          <w:bdr w:val="nil"/>
        </w:rPr>
        <w:t xml:space="preserve"> and Justice and </w:t>
      </w:r>
      <w:r w:rsidRPr="005E3B44">
        <w:rPr>
          <w:rFonts w:asciiTheme="minorHAnsi" w:hAnsiTheme="minorHAnsi" w:cstheme="minorHAnsi"/>
          <w:i/>
          <w:iCs/>
          <w:szCs w:val="18"/>
          <w:bdr w:val="nil"/>
        </w:rPr>
        <w:t>Community Safety Legislation Amendment Bill 2020</w:t>
      </w:r>
      <w:r w:rsidRPr="005E3B44">
        <w:rPr>
          <w:rFonts w:asciiTheme="minorHAnsi" w:hAnsiTheme="minorHAnsi" w:cstheme="minorHAnsi"/>
          <w:szCs w:val="18"/>
          <w:bdr w:val="nil"/>
        </w:rPr>
        <w:t xml:space="preserve"> are the two bills that reduced red tape in the 2020-21 financial year.  </w:t>
      </w:r>
    </w:p>
    <w:p w14:paraId="65981CEF"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179AD89D"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2A74C612"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5CDF5B82"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7FC66230"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78B1D514"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59485407"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46CC82CF" w14:textId="1F63918B"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noProof/>
          <w:bdr w:val="nil"/>
        </w:rPr>
        <mc:AlternateContent>
          <mc:Choice Requires="wpi">
            <w:drawing>
              <wp:anchor distT="0" distB="0" distL="114300" distR="114300" simplePos="0" relativeHeight="251664384" behindDoc="0" locked="0" layoutInCell="1" allowOverlap="1" wp14:anchorId="37CAF2B2" wp14:editId="73B26F45">
                <wp:simplePos x="0" y="0"/>
                <wp:positionH relativeFrom="column">
                  <wp:posOffset>-655955</wp:posOffset>
                </wp:positionH>
                <wp:positionV relativeFrom="paragraph">
                  <wp:posOffset>-302895</wp:posOffset>
                </wp:positionV>
                <wp:extent cx="214630" cy="845820"/>
                <wp:effectExtent l="1270" t="1905" r="3175" b="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214630" cy="845820"/>
                      </w14:xfrm>
                    </w14:contentPart>
                  </a:graphicData>
                </a:graphic>
                <wp14:sizeRelH relativeFrom="page">
                  <wp14:pctWidth>0</wp14:pctWidth>
                </wp14:sizeRelH>
                <wp14:sizeRelV relativeFrom="page">
                  <wp14:pctHeight>0</wp14:pctHeight>
                </wp14:sizeRelV>
              </wp:anchor>
            </w:drawing>
          </mc:Choice>
          <mc:Fallback>
            <w:pict>
              <v:shapetype w14:anchorId="485B56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1.65pt;margin-top:-23.85pt;width:16.9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">
                <v:imagedata r:id="rId34" o:title=""/>
                <o:lock v:ext="edit" rotation="t" verticies="t" shapetype="t"/>
              </v:shape>
            </w:pict>
          </mc:Fallback>
        </mc:AlternateContent>
      </w:r>
    </w:p>
    <w:p w14:paraId="2EC3191D" w14:textId="77777777" w:rsidR="002242F3" w:rsidRPr="005E3B44" w:rsidRDefault="002242F3" w:rsidP="004C1875">
      <w:pPr>
        <w:pStyle w:val="Heading4"/>
        <w:rPr>
          <w:lang w:eastAsia="en-AU"/>
        </w:rPr>
      </w:pPr>
      <w:bookmarkStart w:id="16" w:name="_Toc452127432"/>
      <w:bookmarkStart w:id="17" w:name="_Toc434844187"/>
      <w:r w:rsidRPr="005E3B44">
        <w:lastRenderedPageBreak/>
        <w:t>Output 1.2: Legal Services to Government</w:t>
      </w:r>
    </w:p>
    <w:p w14:paraId="0DA7462E" w14:textId="6D8BDD47"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1</w:t>
      </w:r>
      <w:r w:rsidR="00796CA3">
        <w:rPr>
          <w:rFonts w:asciiTheme="minorHAnsi" w:hAnsiTheme="minorHAnsi" w:cstheme="minorHAnsi"/>
          <w:bdr w:val="nil"/>
        </w:rPr>
        <w:t>7</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1.2</w:t>
      </w:r>
    </w:p>
    <w:tbl>
      <w:tblPr>
        <w:tblW w:w="9243" w:type="dxa"/>
        <w:tblBorders>
          <w:top w:val="single" w:sz="12" w:space="0" w:color="000000"/>
          <w:bottom w:val="single" w:sz="12" w:space="0" w:color="000000"/>
        </w:tblBorders>
        <w:tblLook w:val="04A0" w:firstRow="1" w:lastRow="0" w:firstColumn="1" w:lastColumn="0" w:noHBand="0" w:noVBand="1"/>
      </w:tblPr>
      <w:tblGrid>
        <w:gridCol w:w="3738"/>
        <w:gridCol w:w="1654"/>
        <w:gridCol w:w="1568"/>
        <w:gridCol w:w="1142"/>
        <w:gridCol w:w="1141"/>
      </w:tblGrid>
      <w:tr w:rsidR="002242F3" w:rsidRPr="005E3B44" w14:paraId="6FAB990A" w14:textId="77777777" w:rsidTr="005E3B44">
        <w:trPr>
          <w:trHeight w:val="731"/>
          <w:tblHeader/>
        </w:trPr>
        <w:tc>
          <w:tcPr>
            <w:tcW w:w="2022" w:type="pct"/>
            <w:tcBorders>
              <w:top w:val="single" w:sz="12" w:space="0" w:color="000000"/>
              <w:left w:val="nil"/>
              <w:bottom w:val="single" w:sz="12" w:space="0" w:color="000000"/>
              <w:right w:val="nil"/>
            </w:tcBorders>
          </w:tcPr>
          <w:p w14:paraId="653C019D"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p>
        </w:tc>
        <w:tc>
          <w:tcPr>
            <w:tcW w:w="895" w:type="pct"/>
            <w:tcBorders>
              <w:top w:val="single" w:sz="12" w:space="0" w:color="000000"/>
              <w:left w:val="nil"/>
              <w:bottom w:val="single" w:sz="12" w:space="0" w:color="000000"/>
              <w:right w:val="nil"/>
            </w:tcBorders>
            <w:hideMark/>
          </w:tcPr>
          <w:p w14:paraId="4A16D8FF"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698F9D3B"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48" w:type="pct"/>
            <w:tcBorders>
              <w:top w:val="single" w:sz="12" w:space="0" w:color="000000"/>
              <w:left w:val="nil"/>
              <w:bottom w:val="single" w:sz="12" w:space="0" w:color="000000"/>
              <w:right w:val="nil"/>
            </w:tcBorders>
            <w:hideMark/>
          </w:tcPr>
          <w:p w14:paraId="458FBE2B"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367F5A61"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4EBAFE26"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18" w:type="pct"/>
            <w:tcBorders>
              <w:top w:val="single" w:sz="12" w:space="0" w:color="000000"/>
              <w:left w:val="nil"/>
              <w:bottom w:val="single" w:sz="12" w:space="0" w:color="000000"/>
              <w:right w:val="nil"/>
            </w:tcBorders>
          </w:tcPr>
          <w:p w14:paraId="76B4D982"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13094B09"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17" w:type="pct"/>
            <w:tcBorders>
              <w:top w:val="single" w:sz="12" w:space="0" w:color="000000"/>
              <w:left w:val="nil"/>
              <w:bottom w:val="single" w:sz="12" w:space="0" w:color="000000"/>
              <w:right w:val="nil"/>
            </w:tcBorders>
            <w:hideMark/>
          </w:tcPr>
          <w:p w14:paraId="66906704"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4CCD00FC"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49314DF4" w14:textId="77777777" w:rsidTr="005E3B44">
        <w:trPr>
          <w:trHeight w:val="280"/>
        </w:trPr>
        <w:tc>
          <w:tcPr>
            <w:tcW w:w="2022" w:type="pct"/>
            <w:tcBorders>
              <w:top w:val="single" w:sz="12" w:space="0" w:color="000000"/>
              <w:left w:val="nil"/>
              <w:bottom w:val="nil"/>
              <w:right w:val="nil"/>
            </w:tcBorders>
            <w:hideMark/>
          </w:tcPr>
          <w:p w14:paraId="251AF824" w14:textId="77777777" w:rsidR="002242F3" w:rsidRPr="005E3B44" w:rsidRDefault="002242F3" w:rsidP="005E3B44">
            <w:pPr>
              <w:pStyle w:val="BStablelist"/>
              <w:numPr>
                <w:ilvl w:val="0"/>
                <w:numId w:val="28"/>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Timely legal services provided by the ACT Government Solicitor:  percentage of advices completed within 28 days</w:t>
            </w:r>
          </w:p>
        </w:tc>
        <w:tc>
          <w:tcPr>
            <w:tcW w:w="895" w:type="pct"/>
            <w:tcBorders>
              <w:top w:val="single" w:sz="12" w:space="0" w:color="000000"/>
              <w:left w:val="nil"/>
              <w:bottom w:val="nil"/>
              <w:right w:val="nil"/>
            </w:tcBorders>
            <w:hideMark/>
          </w:tcPr>
          <w:p w14:paraId="16AE38F3"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85%</w:t>
            </w:r>
          </w:p>
        </w:tc>
        <w:tc>
          <w:tcPr>
            <w:tcW w:w="848" w:type="pct"/>
            <w:tcBorders>
              <w:top w:val="single" w:sz="12" w:space="0" w:color="000000"/>
              <w:left w:val="nil"/>
              <w:bottom w:val="nil"/>
              <w:right w:val="nil"/>
            </w:tcBorders>
            <w:hideMark/>
          </w:tcPr>
          <w:p w14:paraId="34CB7AC6"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82%</w:t>
            </w:r>
          </w:p>
        </w:tc>
        <w:tc>
          <w:tcPr>
            <w:tcW w:w="618" w:type="pct"/>
            <w:tcBorders>
              <w:top w:val="single" w:sz="12" w:space="0" w:color="000000"/>
              <w:left w:val="nil"/>
              <w:bottom w:val="nil"/>
              <w:right w:val="nil"/>
            </w:tcBorders>
            <w:shd w:val="clear" w:color="auto" w:fill="auto"/>
          </w:tcPr>
          <w:p w14:paraId="7D31D61E"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r w:rsidRPr="001152EA">
              <w:rPr>
                <w:rFonts w:asciiTheme="minorHAnsi" w:hAnsiTheme="minorHAnsi" w:cstheme="minorHAnsi"/>
                <w:sz w:val="20"/>
                <w:szCs w:val="20"/>
                <w:bdr w:val="nil"/>
              </w:rPr>
              <w:t>(4)</w:t>
            </w:r>
          </w:p>
        </w:tc>
        <w:tc>
          <w:tcPr>
            <w:tcW w:w="617" w:type="pct"/>
            <w:tcBorders>
              <w:top w:val="single" w:sz="12" w:space="0" w:color="000000"/>
              <w:left w:val="nil"/>
              <w:bottom w:val="nil"/>
              <w:right w:val="nil"/>
            </w:tcBorders>
            <w:hideMark/>
          </w:tcPr>
          <w:p w14:paraId="7BF03515"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85%</w:t>
            </w:r>
          </w:p>
        </w:tc>
      </w:tr>
      <w:tr w:rsidR="002242F3" w:rsidRPr="005E3B44" w14:paraId="475932AC" w14:textId="77777777" w:rsidTr="005E3B44">
        <w:trPr>
          <w:trHeight w:val="280"/>
        </w:trPr>
        <w:tc>
          <w:tcPr>
            <w:tcW w:w="2022" w:type="pct"/>
            <w:tcBorders>
              <w:top w:val="nil"/>
              <w:left w:val="nil"/>
              <w:bottom w:val="nil"/>
              <w:right w:val="nil"/>
            </w:tcBorders>
            <w:hideMark/>
          </w:tcPr>
          <w:p w14:paraId="03887611" w14:textId="77777777" w:rsidR="002242F3" w:rsidRPr="005E3B44" w:rsidRDefault="002242F3" w:rsidP="005E3B44">
            <w:pPr>
              <w:pStyle w:val="BStablelist"/>
              <w:numPr>
                <w:ilvl w:val="0"/>
                <w:numId w:val="28"/>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 xml:space="preserve">High quality legal services provided by the ACT Government Solicitor:  percentage of client survey respondents satisfied with quality of advice and representation </w:t>
            </w:r>
            <w:r w:rsidRPr="005E3B44">
              <w:rPr>
                <w:rFonts w:asciiTheme="minorHAnsi" w:hAnsiTheme="minorHAnsi" w:cstheme="minorHAnsi"/>
                <w:bdr w:val="nil"/>
                <w:vertAlign w:val="superscript"/>
              </w:rPr>
              <w:t>a</w:t>
            </w:r>
          </w:p>
        </w:tc>
        <w:tc>
          <w:tcPr>
            <w:tcW w:w="895" w:type="pct"/>
            <w:tcBorders>
              <w:top w:val="nil"/>
              <w:left w:val="nil"/>
              <w:bottom w:val="nil"/>
              <w:right w:val="nil"/>
            </w:tcBorders>
            <w:hideMark/>
          </w:tcPr>
          <w:p w14:paraId="25261749"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95%</w:t>
            </w:r>
          </w:p>
        </w:tc>
        <w:tc>
          <w:tcPr>
            <w:tcW w:w="848" w:type="pct"/>
            <w:tcBorders>
              <w:top w:val="nil"/>
              <w:left w:val="nil"/>
              <w:bottom w:val="nil"/>
              <w:right w:val="nil"/>
            </w:tcBorders>
            <w:hideMark/>
          </w:tcPr>
          <w:p w14:paraId="41580C55"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91%</w:t>
            </w:r>
          </w:p>
        </w:tc>
        <w:tc>
          <w:tcPr>
            <w:tcW w:w="618" w:type="pct"/>
            <w:tcBorders>
              <w:top w:val="nil"/>
              <w:left w:val="nil"/>
              <w:bottom w:val="nil"/>
              <w:right w:val="nil"/>
            </w:tcBorders>
          </w:tcPr>
          <w:p w14:paraId="69DDF749"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(4)</w:t>
            </w:r>
          </w:p>
        </w:tc>
        <w:tc>
          <w:tcPr>
            <w:tcW w:w="617" w:type="pct"/>
            <w:tcBorders>
              <w:top w:val="nil"/>
              <w:left w:val="nil"/>
              <w:bottom w:val="nil"/>
              <w:right w:val="nil"/>
            </w:tcBorders>
            <w:hideMark/>
          </w:tcPr>
          <w:p w14:paraId="0364A6A1"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95%</w:t>
            </w:r>
          </w:p>
        </w:tc>
      </w:tr>
      <w:tr w:rsidR="002242F3" w:rsidRPr="005E3B44" w14:paraId="3F866BD0" w14:textId="77777777" w:rsidTr="005E3B44">
        <w:trPr>
          <w:trHeight w:val="280"/>
        </w:trPr>
        <w:tc>
          <w:tcPr>
            <w:tcW w:w="2022" w:type="pct"/>
            <w:tcBorders>
              <w:top w:val="nil"/>
              <w:left w:val="nil"/>
              <w:bottom w:val="single" w:sz="4" w:space="0" w:color="auto"/>
              <w:right w:val="nil"/>
            </w:tcBorders>
            <w:hideMark/>
          </w:tcPr>
          <w:p w14:paraId="43F9D590" w14:textId="77777777" w:rsidR="002242F3" w:rsidRPr="005E3B44" w:rsidRDefault="002242F3" w:rsidP="005E3B44">
            <w:pPr>
              <w:pStyle w:val="BStablelist"/>
              <w:numPr>
                <w:ilvl w:val="0"/>
                <w:numId w:val="28"/>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 xml:space="preserve">Timely legal services provided by the ACT Government Solicitor:  percentage of court matters undertaken and completed within courts, </w:t>
            </w:r>
            <w:proofErr w:type="gramStart"/>
            <w:r w:rsidRPr="005E3B44">
              <w:rPr>
                <w:rFonts w:asciiTheme="minorHAnsi" w:hAnsiTheme="minorHAnsi" w:cstheme="minorHAnsi"/>
                <w:bdr w:val="nil"/>
              </w:rPr>
              <w:t>tribunal</w:t>
            </w:r>
            <w:proofErr w:type="gramEnd"/>
            <w:r w:rsidRPr="005E3B44">
              <w:rPr>
                <w:rFonts w:asciiTheme="minorHAnsi" w:hAnsiTheme="minorHAnsi" w:cstheme="minorHAnsi"/>
                <w:bdr w:val="nil"/>
              </w:rPr>
              <w:t xml:space="preserve"> or any applicable statutory timetable</w:t>
            </w:r>
          </w:p>
        </w:tc>
        <w:tc>
          <w:tcPr>
            <w:tcW w:w="895" w:type="pct"/>
            <w:tcBorders>
              <w:top w:val="nil"/>
              <w:left w:val="nil"/>
              <w:bottom w:val="single" w:sz="4" w:space="0" w:color="auto"/>
              <w:right w:val="nil"/>
            </w:tcBorders>
            <w:hideMark/>
          </w:tcPr>
          <w:p w14:paraId="6282D06C"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95%</w:t>
            </w:r>
          </w:p>
        </w:tc>
        <w:tc>
          <w:tcPr>
            <w:tcW w:w="848" w:type="pct"/>
            <w:tcBorders>
              <w:top w:val="nil"/>
              <w:left w:val="nil"/>
              <w:bottom w:val="single" w:sz="4" w:space="0" w:color="auto"/>
              <w:right w:val="nil"/>
            </w:tcBorders>
            <w:hideMark/>
          </w:tcPr>
          <w:p w14:paraId="4F82BAA4"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91%</w:t>
            </w:r>
          </w:p>
        </w:tc>
        <w:tc>
          <w:tcPr>
            <w:tcW w:w="618" w:type="pct"/>
            <w:tcBorders>
              <w:top w:val="nil"/>
              <w:left w:val="nil"/>
              <w:bottom w:val="single" w:sz="4" w:space="0" w:color="auto"/>
              <w:right w:val="nil"/>
            </w:tcBorders>
          </w:tcPr>
          <w:p w14:paraId="653F05A2"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(4)</w:t>
            </w:r>
          </w:p>
        </w:tc>
        <w:tc>
          <w:tcPr>
            <w:tcW w:w="617" w:type="pct"/>
            <w:tcBorders>
              <w:top w:val="nil"/>
              <w:left w:val="nil"/>
              <w:bottom w:val="single" w:sz="4" w:space="0" w:color="auto"/>
              <w:right w:val="nil"/>
            </w:tcBorders>
            <w:hideMark/>
          </w:tcPr>
          <w:p w14:paraId="3DC812CF"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95%</w:t>
            </w:r>
          </w:p>
        </w:tc>
      </w:tr>
      <w:tr w:rsidR="002242F3" w:rsidRPr="005E3B44" w14:paraId="7D2CCD88" w14:textId="77777777" w:rsidTr="005E3B44">
        <w:trPr>
          <w:trHeight w:val="280"/>
        </w:trPr>
        <w:tc>
          <w:tcPr>
            <w:tcW w:w="2022" w:type="pct"/>
            <w:tcBorders>
              <w:top w:val="single" w:sz="4" w:space="0" w:color="auto"/>
              <w:left w:val="nil"/>
              <w:bottom w:val="single" w:sz="12" w:space="0" w:color="auto"/>
              <w:right w:val="nil"/>
            </w:tcBorders>
          </w:tcPr>
          <w:p w14:paraId="22E2D186"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Total Cost ($’000)</w:t>
            </w:r>
          </w:p>
          <w:p w14:paraId="728CB5AD"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Controlled Recurrent Payments ($’000)</w:t>
            </w:r>
          </w:p>
        </w:tc>
        <w:tc>
          <w:tcPr>
            <w:tcW w:w="895" w:type="pct"/>
            <w:tcBorders>
              <w:top w:val="single" w:sz="4" w:space="0" w:color="auto"/>
              <w:left w:val="nil"/>
              <w:bottom w:val="single" w:sz="12" w:space="0" w:color="auto"/>
              <w:right w:val="nil"/>
            </w:tcBorders>
          </w:tcPr>
          <w:p w14:paraId="1B22B04D"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21,120</w:t>
            </w:r>
          </w:p>
          <w:p w14:paraId="1CD23698"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11,662</w:t>
            </w:r>
          </w:p>
        </w:tc>
        <w:tc>
          <w:tcPr>
            <w:tcW w:w="848" w:type="pct"/>
            <w:tcBorders>
              <w:top w:val="single" w:sz="4" w:space="0" w:color="auto"/>
              <w:left w:val="nil"/>
              <w:bottom w:val="single" w:sz="12" w:space="0" w:color="auto"/>
              <w:right w:val="nil"/>
            </w:tcBorders>
          </w:tcPr>
          <w:p w14:paraId="478516AC"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22,425</w:t>
            </w:r>
          </w:p>
          <w:p w14:paraId="57C399D4"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11,522</w:t>
            </w:r>
          </w:p>
        </w:tc>
        <w:tc>
          <w:tcPr>
            <w:tcW w:w="618" w:type="pct"/>
            <w:tcBorders>
              <w:top w:val="single" w:sz="4" w:space="0" w:color="auto"/>
              <w:left w:val="nil"/>
              <w:bottom w:val="single" w:sz="12" w:space="0" w:color="auto"/>
              <w:right w:val="nil"/>
            </w:tcBorders>
          </w:tcPr>
          <w:p w14:paraId="05F12F96"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6</w:t>
            </w:r>
          </w:p>
          <w:p w14:paraId="10BB519B"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(1)</w:t>
            </w:r>
          </w:p>
        </w:tc>
        <w:tc>
          <w:tcPr>
            <w:tcW w:w="617" w:type="pct"/>
            <w:tcBorders>
              <w:top w:val="single" w:sz="4" w:space="0" w:color="auto"/>
              <w:left w:val="nil"/>
              <w:bottom w:val="single" w:sz="12" w:space="0" w:color="auto"/>
              <w:right w:val="nil"/>
            </w:tcBorders>
          </w:tcPr>
          <w:p w14:paraId="7D365F0D"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1152EA">
              <w:rPr>
                <w:rFonts w:asciiTheme="minorHAnsi" w:hAnsiTheme="minorHAnsi" w:cstheme="minorHAnsi"/>
                <w:sz w:val="20"/>
                <w:szCs w:val="20"/>
                <w:bdr w:val="nil"/>
              </w:rPr>
              <w:t>17,763</w:t>
            </w:r>
          </w:p>
          <w:p w14:paraId="29E97B52" w14:textId="77777777" w:rsidR="002242F3" w:rsidRPr="001152EA"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r w:rsidRPr="001152EA">
              <w:rPr>
                <w:rFonts w:asciiTheme="minorHAnsi" w:hAnsiTheme="minorHAnsi" w:cstheme="minorHAnsi"/>
                <w:sz w:val="20"/>
                <w:szCs w:val="20"/>
                <w:bdr w:val="nil"/>
              </w:rPr>
              <w:t>12,036</w:t>
            </w:r>
          </w:p>
        </w:tc>
      </w:tr>
    </w:tbl>
    <w:p w14:paraId="3AD5C4F4"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 w:val="0"/>
          <w:bCs/>
          <w:bdr w:val="nil"/>
        </w:rPr>
      </w:pPr>
      <w:r w:rsidRPr="005E3B44">
        <w:rPr>
          <w:rFonts w:asciiTheme="minorHAnsi" w:hAnsiTheme="minorHAnsi" w:cstheme="minorHAnsi"/>
          <w:b w:val="0"/>
          <w:bCs/>
          <w:bdr w:val="nil"/>
        </w:rPr>
        <w:t xml:space="preserve">The above Accountability Indicators should be read in conjunction with the accompanying notes. </w:t>
      </w:r>
    </w:p>
    <w:p w14:paraId="35F1A9DF"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130E92B3" w14:textId="77777777" w:rsidR="002242F3" w:rsidRPr="005E3B44" w:rsidRDefault="002242F3" w:rsidP="002242F3">
      <w:pPr>
        <w:pStyle w:val="BSnoteslist2"/>
        <w:widowControl w:val="0"/>
        <w:numPr>
          <w:ilvl w:val="0"/>
          <w:numId w:val="29"/>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The client survey is conducted using the online Survey Monkey Tool. 134 out of 148 respondents indicated an overall level of satisfaction with the quality of legal services in 2020-21. Respondents indicate the quality of legal services delivered was either ‘excellent’ or ‘satisfactory’ as a % of the total survey responses to the question.</w:t>
      </w:r>
    </w:p>
    <w:p w14:paraId="311EA9D5"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00660AD4"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65BA0E33"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2DBFBAA8"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2F68981F"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5AA0B5FA"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6272140E"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4D784DED"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1B526C12"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4408A264"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1A4AA47B"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C94C778"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2B516B1"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683464CE"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D0C313E"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17C9DB69"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5F3145A"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496085EE"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16FECF02"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48584782"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7DBC2083"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p w14:paraId="35383D13" w14:textId="77777777" w:rsidR="002242F3" w:rsidRPr="005E3B44" w:rsidRDefault="002242F3" w:rsidP="002242F3">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p>
    <w:bookmarkEnd w:id="16"/>
    <w:bookmarkEnd w:id="17"/>
    <w:p w14:paraId="498BC291" w14:textId="77777777" w:rsidR="002242F3" w:rsidRPr="005E3B44" w:rsidRDefault="002242F3" w:rsidP="004C1875">
      <w:pPr>
        <w:pStyle w:val="Heading4"/>
      </w:pPr>
      <w:r w:rsidRPr="005E3B44">
        <w:lastRenderedPageBreak/>
        <w:t>Output 1.3: Legislative Drafting and Publishing Services</w:t>
      </w:r>
    </w:p>
    <w:p w14:paraId="11B40527" w14:textId="516B2ACF"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1</w:t>
      </w:r>
      <w:r w:rsidR="00796CA3">
        <w:rPr>
          <w:rFonts w:asciiTheme="minorHAnsi" w:hAnsiTheme="minorHAnsi" w:cstheme="minorHAnsi"/>
          <w:bdr w:val="nil"/>
        </w:rPr>
        <w:t>8</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1.3</w:t>
      </w:r>
    </w:p>
    <w:tbl>
      <w:tblPr>
        <w:tblW w:w="9243" w:type="dxa"/>
        <w:tblBorders>
          <w:top w:val="single" w:sz="12" w:space="0" w:color="000000"/>
          <w:bottom w:val="single" w:sz="12" w:space="0" w:color="000000"/>
        </w:tblBorders>
        <w:tblLook w:val="04A0" w:firstRow="1" w:lastRow="0" w:firstColumn="1" w:lastColumn="0" w:noHBand="0" w:noVBand="1"/>
      </w:tblPr>
      <w:tblGrid>
        <w:gridCol w:w="3824"/>
        <w:gridCol w:w="1560"/>
        <w:gridCol w:w="1581"/>
        <w:gridCol w:w="1139"/>
        <w:gridCol w:w="1139"/>
      </w:tblGrid>
      <w:tr w:rsidR="002242F3" w:rsidRPr="005E3B44" w14:paraId="024483C6" w14:textId="77777777" w:rsidTr="005E3B44">
        <w:trPr>
          <w:trHeight w:val="726"/>
          <w:tblHeader/>
        </w:trPr>
        <w:tc>
          <w:tcPr>
            <w:tcW w:w="2069" w:type="pct"/>
            <w:tcBorders>
              <w:top w:val="single" w:sz="12" w:space="0" w:color="000000"/>
              <w:left w:val="nil"/>
              <w:bottom w:val="single" w:sz="12" w:space="0" w:color="000000"/>
              <w:right w:val="nil"/>
            </w:tcBorders>
          </w:tcPr>
          <w:p w14:paraId="42365FCA"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p>
        </w:tc>
        <w:tc>
          <w:tcPr>
            <w:tcW w:w="844" w:type="pct"/>
            <w:tcBorders>
              <w:top w:val="single" w:sz="12" w:space="0" w:color="000000"/>
              <w:left w:val="nil"/>
              <w:bottom w:val="single" w:sz="12" w:space="0" w:color="000000"/>
              <w:right w:val="nil"/>
            </w:tcBorders>
            <w:hideMark/>
          </w:tcPr>
          <w:p w14:paraId="3B05B22F"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64917AD5"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55" w:type="pct"/>
            <w:tcBorders>
              <w:top w:val="single" w:sz="12" w:space="0" w:color="000000"/>
              <w:left w:val="nil"/>
              <w:bottom w:val="single" w:sz="12" w:space="0" w:color="000000"/>
              <w:right w:val="nil"/>
            </w:tcBorders>
            <w:hideMark/>
          </w:tcPr>
          <w:p w14:paraId="3C221B57"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037FA9E8"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53A5DFD4"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16" w:type="pct"/>
            <w:tcBorders>
              <w:top w:val="single" w:sz="12" w:space="0" w:color="000000"/>
              <w:left w:val="nil"/>
              <w:bottom w:val="single" w:sz="12" w:space="0" w:color="000000"/>
              <w:right w:val="nil"/>
            </w:tcBorders>
          </w:tcPr>
          <w:p w14:paraId="1D88AAD9"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1F0F10B7"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16" w:type="pct"/>
            <w:tcBorders>
              <w:top w:val="single" w:sz="12" w:space="0" w:color="000000"/>
              <w:left w:val="nil"/>
              <w:bottom w:val="single" w:sz="12" w:space="0" w:color="000000"/>
              <w:right w:val="nil"/>
            </w:tcBorders>
            <w:hideMark/>
          </w:tcPr>
          <w:p w14:paraId="2000F3B4"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5F921535"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2524445D" w14:textId="77777777" w:rsidTr="005E3B44">
        <w:trPr>
          <w:trHeight w:val="278"/>
        </w:trPr>
        <w:tc>
          <w:tcPr>
            <w:tcW w:w="2069" w:type="pct"/>
            <w:tcBorders>
              <w:top w:val="single" w:sz="12" w:space="0" w:color="000000"/>
              <w:left w:val="nil"/>
              <w:bottom w:val="nil"/>
              <w:right w:val="nil"/>
            </w:tcBorders>
            <w:hideMark/>
          </w:tcPr>
          <w:p w14:paraId="197FFD87" w14:textId="77777777" w:rsidR="002242F3" w:rsidRPr="005E3B44" w:rsidRDefault="002242F3" w:rsidP="005E3B44">
            <w:pPr>
              <w:pStyle w:val="BStablelist"/>
              <w:numPr>
                <w:ilvl w:val="0"/>
                <w:numId w:val="30"/>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 xml:space="preserve">High level of client satisfaction for legislative drafting and publishing services by the Parliamentary Counsel’s Office: </w:t>
            </w:r>
          </w:p>
          <w:p w14:paraId="5E2DD92B" w14:textId="77777777" w:rsidR="002242F3" w:rsidRPr="005E3B44" w:rsidRDefault="002242F3" w:rsidP="005E3B44">
            <w:pPr>
              <w:pStyle w:val="BStablelist"/>
              <w:numPr>
                <w:ilvl w:val="0"/>
                <w:numId w:val="31"/>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 xml:space="preserve">percentage of satisfied client survey respondents </w:t>
            </w:r>
            <w:r w:rsidRPr="005E3B44">
              <w:rPr>
                <w:rFonts w:asciiTheme="minorHAnsi" w:hAnsiTheme="minorHAnsi" w:cstheme="minorHAnsi"/>
                <w:bdr w:val="nil"/>
                <w:vertAlign w:val="superscript"/>
              </w:rPr>
              <w:t>a</w:t>
            </w:r>
          </w:p>
        </w:tc>
        <w:tc>
          <w:tcPr>
            <w:tcW w:w="844" w:type="pct"/>
            <w:tcBorders>
              <w:top w:val="single" w:sz="12" w:space="0" w:color="000000"/>
              <w:left w:val="nil"/>
              <w:bottom w:val="nil"/>
              <w:right w:val="nil"/>
            </w:tcBorders>
            <w:hideMark/>
          </w:tcPr>
          <w:p w14:paraId="1FF12F26"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90%</w:t>
            </w:r>
          </w:p>
        </w:tc>
        <w:tc>
          <w:tcPr>
            <w:tcW w:w="855" w:type="pct"/>
            <w:tcBorders>
              <w:top w:val="single" w:sz="12" w:space="0" w:color="000000"/>
              <w:left w:val="nil"/>
              <w:bottom w:val="nil"/>
              <w:right w:val="nil"/>
            </w:tcBorders>
            <w:hideMark/>
          </w:tcPr>
          <w:p w14:paraId="02AA8732"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89%</w:t>
            </w:r>
          </w:p>
        </w:tc>
        <w:tc>
          <w:tcPr>
            <w:tcW w:w="616" w:type="pct"/>
            <w:tcBorders>
              <w:top w:val="single" w:sz="12" w:space="0" w:color="000000"/>
              <w:left w:val="nil"/>
              <w:bottom w:val="nil"/>
              <w:right w:val="nil"/>
            </w:tcBorders>
          </w:tcPr>
          <w:p w14:paraId="63113A1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w:t>
            </w:r>
          </w:p>
        </w:tc>
        <w:tc>
          <w:tcPr>
            <w:tcW w:w="616" w:type="pct"/>
            <w:tcBorders>
              <w:top w:val="single" w:sz="12" w:space="0" w:color="000000"/>
              <w:left w:val="nil"/>
              <w:bottom w:val="nil"/>
              <w:right w:val="nil"/>
            </w:tcBorders>
          </w:tcPr>
          <w:p w14:paraId="26EE75A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90%</w:t>
            </w:r>
          </w:p>
        </w:tc>
      </w:tr>
      <w:tr w:rsidR="002242F3" w:rsidRPr="005E3B44" w14:paraId="15A1F19A" w14:textId="77777777" w:rsidTr="005E3B44">
        <w:trPr>
          <w:trHeight w:val="278"/>
        </w:trPr>
        <w:tc>
          <w:tcPr>
            <w:tcW w:w="2069" w:type="pct"/>
            <w:tcBorders>
              <w:top w:val="nil"/>
              <w:left w:val="nil"/>
              <w:bottom w:val="nil"/>
              <w:right w:val="nil"/>
            </w:tcBorders>
            <w:hideMark/>
          </w:tcPr>
          <w:p w14:paraId="7B5F5C34" w14:textId="77777777" w:rsidR="002242F3" w:rsidRPr="005E3B44" w:rsidRDefault="002242F3" w:rsidP="005E3B44">
            <w:pPr>
              <w:pStyle w:val="BStablelist"/>
              <w:numPr>
                <w:ilvl w:val="0"/>
                <w:numId w:val="30"/>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Timely legislative drafting and publishing services by the Parliamentary Counsel’s Office:</w:t>
            </w:r>
          </w:p>
        </w:tc>
        <w:tc>
          <w:tcPr>
            <w:tcW w:w="844" w:type="pct"/>
            <w:tcBorders>
              <w:top w:val="nil"/>
              <w:left w:val="nil"/>
              <w:bottom w:val="nil"/>
              <w:right w:val="nil"/>
            </w:tcBorders>
          </w:tcPr>
          <w:p w14:paraId="14612E7B"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shd w:val="clear" w:color="auto" w:fill="FFFF00"/>
              </w:rPr>
            </w:pPr>
          </w:p>
        </w:tc>
        <w:tc>
          <w:tcPr>
            <w:tcW w:w="855" w:type="pct"/>
            <w:tcBorders>
              <w:top w:val="nil"/>
              <w:left w:val="nil"/>
              <w:bottom w:val="nil"/>
              <w:right w:val="nil"/>
            </w:tcBorders>
          </w:tcPr>
          <w:p w14:paraId="6F40D44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shd w:val="clear" w:color="auto" w:fill="FFFF00"/>
              </w:rPr>
            </w:pPr>
          </w:p>
        </w:tc>
        <w:tc>
          <w:tcPr>
            <w:tcW w:w="616" w:type="pct"/>
            <w:tcBorders>
              <w:top w:val="nil"/>
              <w:left w:val="nil"/>
              <w:bottom w:val="nil"/>
              <w:right w:val="nil"/>
            </w:tcBorders>
          </w:tcPr>
          <w:p w14:paraId="251BF54B"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shd w:val="clear" w:color="auto" w:fill="FFFF00"/>
              </w:rPr>
            </w:pPr>
          </w:p>
        </w:tc>
        <w:tc>
          <w:tcPr>
            <w:tcW w:w="616" w:type="pct"/>
            <w:tcBorders>
              <w:top w:val="nil"/>
              <w:left w:val="nil"/>
              <w:bottom w:val="nil"/>
              <w:right w:val="nil"/>
            </w:tcBorders>
          </w:tcPr>
          <w:p w14:paraId="3C9E07E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shd w:val="clear" w:color="auto" w:fill="FFFF00"/>
              </w:rPr>
            </w:pPr>
          </w:p>
        </w:tc>
      </w:tr>
      <w:tr w:rsidR="002242F3" w:rsidRPr="005E3B44" w14:paraId="77541819" w14:textId="77777777" w:rsidTr="005E3B44">
        <w:trPr>
          <w:trHeight w:val="278"/>
        </w:trPr>
        <w:tc>
          <w:tcPr>
            <w:tcW w:w="2069" w:type="pct"/>
            <w:tcBorders>
              <w:top w:val="nil"/>
              <w:left w:val="nil"/>
              <w:bottom w:val="nil"/>
              <w:right w:val="nil"/>
            </w:tcBorders>
            <w:hideMark/>
          </w:tcPr>
          <w:p w14:paraId="00BE5BC5"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rPr>
                <w:rFonts w:asciiTheme="minorHAnsi" w:hAnsiTheme="minorHAnsi" w:cstheme="minorHAnsi"/>
                <w:bdr w:val="nil"/>
              </w:rPr>
            </w:pPr>
            <w:r w:rsidRPr="005E3B44">
              <w:rPr>
                <w:rFonts w:asciiTheme="minorHAnsi" w:hAnsiTheme="minorHAnsi" w:cstheme="minorHAnsi"/>
                <w:bdr w:val="nil"/>
              </w:rPr>
              <w:t>Percentage of drafting responses provided within 30</w:t>
            </w:r>
            <w:r w:rsidRPr="005E3B44">
              <w:rPr>
                <w:rFonts w:asciiTheme="minorHAnsi" w:hAnsiTheme="minorHAnsi" w:cstheme="minorHAnsi"/>
                <w:bdr w:val="nil"/>
              </w:rPr>
              <w:noBreakHyphen/>
              <w:t>day standard</w:t>
            </w:r>
          </w:p>
        </w:tc>
        <w:tc>
          <w:tcPr>
            <w:tcW w:w="844" w:type="pct"/>
            <w:tcBorders>
              <w:top w:val="nil"/>
              <w:left w:val="nil"/>
              <w:bottom w:val="nil"/>
              <w:right w:val="nil"/>
            </w:tcBorders>
            <w:hideMark/>
          </w:tcPr>
          <w:p w14:paraId="21D3383C"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95%</w:t>
            </w:r>
          </w:p>
        </w:tc>
        <w:tc>
          <w:tcPr>
            <w:tcW w:w="855" w:type="pct"/>
            <w:tcBorders>
              <w:top w:val="nil"/>
              <w:left w:val="nil"/>
              <w:bottom w:val="nil"/>
              <w:right w:val="nil"/>
            </w:tcBorders>
            <w:hideMark/>
          </w:tcPr>
          <w:p w14:paraId="3F211AF5"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99%</w:t>
            </w:r>
          </w:p>
        </w:tc>
        <w:tc>
          <w:tcPr>
            <w:tcW w:w="616" w:type="pct"/>
            <w:tcBorders>
              <w:top w:val="nil"/>
              <w:left w:val="nil"/>
              <w:bottom w:val="nil"/>
              <w:right w:val="nil"/>
            </w:tcBorders>
          </w:tcPr>
          <w:p w14:paraId="74140114"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4</w:t>
            </w:r>
          </w:p>
        </w:tc>
        <w:tc>
          <w:tcPr>
            <w:tcW w:w="616" w:type="pct"/>
            <w:tcBorders>
              <w:top w:val="nil"/>
              <w:left w:val="nil"/>
              <w:bottom w:val="nil"/>
              <w:right w:val="nil"/>
            </w:tcBorders>
          </w:tcPr>
          <w:p w14:paraId="3E7A5D25"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95%</w:t>
            </w:r>
          </w:p>
        </w:tc>
      </w:tr>
      <w:tr w:rsidR="002242F3" w:rsidRPr="005E3B44" w14:paraId="649DDE7F" w14:textId="77777777" w:rsidTr="005E3B44">
        <w:trPr>
          <w:trHeight w:val="278"/>
        </w:trPr>
        <w:tc>
          <w:tcPr>
            <w:tcW w:w="2069" w:type="pct"/>
            <w:tcBorders>
              <w:top w:val="nil"/>
              <w:left w:val="nil"/>
              <w:bottom w:val="nil"/>
              <w:right w:val="nil"/>
            </w:tcBorders>
            <w:hideMark/>
          </w:tcPr>
          <w:p w14:paraId="702D781B"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rPr>
                <w:rFonts w:asciiTheme="minorHAnsi" w:hAnsiTheme="minorHAnsi" w:cstheme="minorHAnsi"/>
                <w:bdr w:val="nil"/>
              </w:rPr>
            </w:pPr>
            <w:r w:rsidRPr="005E3B44">
              <w:rPr>
                <w:rFonts w:asciiTheme="minorHAnsi" w:hAnsiTheme="minorHAnsi" w:cstheme="minorHAnsi"/>
                <w:bdr w:val="nil"/>
              </w:rPr>
              <w:t>Percentage of notifications notified on ACT legislation register on requested notification day</w:t>
            </w:r>
          </w:p>
        </w:tc>
        <w:tc>
          <w:tcPr>
            <w:tcW w:w="844" w:type="pct"/>
            <w:tcBorders>
              <w:top w:val="nil"/>
              <w:left w:val="nil"/>
              <w:bottom w:val="nil"/>
              <w:right w:val="nil"/>
            </w:tcBorders>
            <w:hideMark/>
          </w:tcPr>
          <w:p w14:paraId="1B659BEC"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99%</w:t>
            </w:r>
          </w:p>
        </w:tc>
        <w:tc>
          <w:tcPr>
            <w:tcW w:w="855" w:type="pct"/>
            <w:tcBorders>
              <w:top w:val="nil"/>
              <w:left w:val="nil"/>
              <w:bottom w:val="nil"/>
              <w:right w:val="nil"/>
            </w:tcBorders>
            <w:hideMark/>
          </w:tcPr>
          <w:p w14:paraId="241B66CE"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100%</w:t>
            </w:r>
          </w:p>
        </w:tc>
        <w:tc>
          <w:tcPr>
            <w:tcW w:w="616" w:type="pct"/>
            <w:tcBorders>
              <w:top w:val="nil"/>
              <w:left w:val="nil"/>
              <w:bottom w:val="nil"/>
              <w:right w:val="nil"/>
            </w:tcBorders>
          </w:tcPr>
          <w:p w14:paraId="4A43BDE8"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w:t>
            </w:r>
          </w:p>
        </w:tc>
        <w:tc>
          <w:tcPr>
            <w:tcW w:w="616" w:type="pct"/>
            <w:tcBorders>
              <w:top w:val="nil"/>
              <w:left w:val="nil"/>
              <w:bottom w:val="nil"/>
              <w:right w:val="nil"/>
            </w:tcBorders>
          </w:tcPr>
          <w:p w14:paraId="23D95BA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99%</w:t>
            </w:r>
          </w:p>
        </w:tc>
      </w:tr>
      <w:tr w:rsidR="002242F3" w:rsidRPr="005E3B44" w14:paraId="34FCA8E1" w14:textId="77777777" w:rsidTr="005E3B44">
        <w:trPr>
          <w:trHeight w:val="278"/>
        </w:trPr>
        <w:tc>
          <w:tcPr>
            <w:tcW w:w="2069" w:type="pct"/>
            <w:tcBorders>
              <w:top w:val="nil"/>
              <w:left w:val="nil"/>
              <w:bottom w:val="nil"/>
              <w:right w:val="nil"/>
            </w:tcBorders>
            <w:hideMark/>
          </w:tcPr>
          <w:p w14:paraId="176D9D42"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rPr>
                <w:rFonts w:asciiTheme="minorHAnsi" w:hAnsiTheme="minorHAnsi" w:cstheme="minorHAnsi"/>
                <w:bdr w:val="nil"/>
              </w:rPr>
            </w:pPr>
            <w:r w:rsidRPr="005E3B44">
              <w:rPr>
                <w:rFonts w:asciiTheme="minorHAnsi" w:hAnsiTheme="minorHAnsi" w:cstheme="minorHAnsi"/>
                <w:bdr w:val="nil"/>
              </w:rPr>
              <w:t>Percentage of republications of changed legislation published on ACT legislation register on day the change happens</w:t>
            </w:r>
          </w:p>
        </w:tc>
        <w:tc>
          <w:tcPr>
            <w:tcW w:w="844" w:type="pct"/>
            <w:tcBorders>
              <w:top w:val="nil"/>
              <w:left w:val="nil"/>
              <w:bottom w:val="nil"/>
              <w:right w:val="nil"/>
            </w:tcBorders>
            <w:hideMark/>
          </w:tcPr>
          <w:p w14:paraId="6336AEC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99%</w:t>
            </w:r>
          </w:p>
        </w:tc>
        <w:tc>
          <w:tcPr>
            <w:tcW w:w="855" w:type="pct"/>
            <w:tcBorders>
              <w:top w:val="nil"/>
              <w:left w:val="nil"/>
              <w:bottom w:val="nil"/>
              <w:right w:val="nil"/>
            </w:tcBorders>
            <w:hideMark/>
          </w:tcPr>
          <w:p w14:paraId="43DB5B1C"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100%</w:t>
            </w:r>
          </w:p>
        </w:tc>
        <w:tc>
          <w:tcPr>
            <w:tcW w:w="616" w:type="pct"/>
            <w:tcBorders>
              <w:top w:val="nil"/>
              <w:left w:val="nil"/>
              <w:bottom w:val="nil"/>
              <w:right w:val="nil"/>
            </w:tcBorders>
          </w:tcPr>
          <w:p w14:paraId="51432D11"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w:t>
            </w:r>
          </w:p>
        </w:tc>
        <w:tc>
          <w:tcPr>
            <w:tcW w:w="616" w:type="pct"/>
            <w:tcBorders>
              <w:top w:val="nil"/>
              <w:left w:val="nil"/>
              <w:bottom w:val="nil"/>
              <w:right w:val="nil"/>
            </w:tcBorders>
          </w:tcPr>
          <w:p w14:paraId="1924D499"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99%</w:t>
            </w:r>
          </w:p>
        </w:tc>
      </w:tr>
      <w:tr w:rsidR="002242F3" w:rsidRPr="005E3B44" w14:paraId="24E611AF" w14:textId="77777777" w:rsidTr="005E3B44">
        <w:trPr>
          <w:trHeight w:val="278"/>
        </w:trPr>
        <w:tc>
          <w:tcPr>
            <w:tcW w:w="2069" w:type="pct"/>
            <w:tcBorders>
              <w:top w:val="single" w:sz="4" w:space="0" w:color="auto"/>
              <w:left w:val="nil"/>
              <w:bottom w:val="single" w:sz="12" w:space="0" w:color="auto"/>
              <w:right w:val="nil"/>
            </w:tcBorders>
          </w:tcPr>
          <w:p w14:paraId="5BE79B86" w14:textId="77777777" w:rsidR="002242F3" w:rsidRPr="005E3B44" w:rsidRDefault="002242F3" w:rsidP="005E3B44">
            <w:pPr>
              <w:pStyle w:val="BStabledotpoint"/>
              <w:pBdr>
                <w:top w:val="nil"/>
                <w:left w:val="nil"/>
                <w:bottom w:val="nil"/>
                <w:right w:val="nil"/>
                <w:between w:val="nil"/>
                <w:bar w:val="nil"/>
              </w:pBdr>
              <w:tabs>
                <w:tab w:val="clear" w:pos="360"/>
                <w:tab w:val="left" w:pos="296"/>
              </w:tabs>
              <w:spacing w:line="256" w:lineRule="auto"/>
              <w:ind w:left="360" w:hanging="360"/>
              <w:rPr>
                <w:rFonts w:asciiTheme="minorHAnsi" w:hAnsiTheme="minorHAnsi" w:cstheme="minorHAnsi"/>
                <w:bdr w:val="nil"/>
              </w:rPr>
            </w:pPr>
            <w:r w:rsidRPr="005E3B44">
              <w:rPr>
                <w:rFonts w:asciiTheme="minorHAnsi" w:hAnsiTheme="minorHAnsi" w:cstheme="minorHAnsi"/>
                <w:bdr w:val="nil"/>
              </w:rPr>
              <w:t>Total Cost ($’000)</w:t>
            </w:r>
          </w:p>
          <w:p w14:paraId="5F465113" w14:textId="77777777" w:rsidR="002242F3" w:rsidRPr="005E3B44" w:rsidRDefault="002242F3" w:rsidP="005E3B44">
            <w:pPr>
              <w:pStyle w:val="BStabledotpoint"/>
              <w:pBdr>
                <w:top w:val="nil"/>
                <w:left w:val="nil"/>
                <w:bottom w:val="nil"/>
                <w:right w:val="nil"/>
                <w:between w:val="nil"/>
                <w:bar w:val="nil"/>
              </w:pBdr>
              <w:tabs>
                <w:tab w:val="clear" w:pos="360"/>
                <w:tab w:val="left" w:pos="296"/>
              </w:tabs>
              <w:spacing w:line="256" w:lineRule="auto"/>
              <w:ind w:left="360" w:hanging="360"/>
              <w:rPr>
                <w:rFonts w:asciiTheme="minorHAnsi" w:hAnsiTheme="minorHAnsi" w:cstheme="minorHAnsi"/>
                <w:bdr w:val="nil"/>
              </w:rPr>
            </w:pPr>
            <w:r w:rsidRPr="005E3B44">
              <w:rPr>
                <w:rFonts w:asciiTheme="minorHAnsi" w:hAnsiTheme="minorHAnsi" w:cstheme="minorHAnsi"/>
                <w:bdr w:val="nil"/>
              </w:rPr>
              <w:t>Controlled Recurrent Payments ($’000)</w:t>
            </w:r>
          </w:p>
        </w:tc>
        <w:tc>
          <w:tcPr>
            <w:tcW w:w="844" w:type="pct"/>
            <w:tcBorders>
              <w:top w:val="single" w:sz="4" w:space="0" w:color="auto"/>
              <w:left w:val="nil"/>
              <w:bottom w:val="single" w:sz="12" w:space="0" w:color="auto"/>
              <w:right w:val="nil"/>
            </w:tcBorders>
          </w:tcPr>
          <w:p w14:paraId="27A1273C"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5,715</w:t>
            </w:r>
          </w:p>
          <w:p w14:paraId="6C6B00C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4,875</w:t>
            </w:r>
          </w:p>
        </w:tc>
        <w:tc>
          <w:tcPr>
            <w:tcW w:w="855" w:type="pct"/>
            <w:tcBorders>
              <w:top w:val="single" w:sz="4" w:space="0" w:color="auto"/>
              <w:left w:val="nil"/>
              <w:bottom w:val="single" w:sz="12" w:space="0" w:color="auto"/>
              <w:right w:val="nil"/>
            </w:tcBorders>
          </w:tcPr>
          <w:p w14:paraId="60091C1E"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5,764</w:t>
            </w:r>
          </w:p>
          <w:p w14:paraId="58889EA9"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4,840</w:t>
            </w:r>
          </w:p>
        </w:tc>
        <w:tc>
          <w:tcPr>
            <w:tcW w:w="616" w:type="pct"/>
            <w:tcBorders>
              <w:top w:val="single" w:sz="4" w:space="0" w:color="auto"/>
              <w:left w:val="nil"/>
              <w:bottom w:val="single" w:sz="12" w:space="0" w:color="auto"/>
              <w:right w:val="nil"/>
            </w:tcBorders>
          </w:tcPr>
          <w:p w14:paraId="0C3BAB9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w:t>
            </w:r>
          </w:p>
          <w:p w14:paraId="68326C70"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w:t>
            </w:r>
          </w:p>
        </w:tc>
        <w:tc>
          <w:tcPr>
            <w:tcW w:w="616" w:type="pct"/>
            <w:tcBorders>
              <w:top w:val="single" w:sz="4" w:space="0" w:color="auto"/>
              <w:left w:val="nil"/>
              <w:bottom w:val="single" w:sz="12" w:space="0" w:color="auto"/>
              <w:right w:val="nil"/>
            </w:tcBorders>
          </w:tcPr>
          <w:p w14:paraId="7176E172"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6,504</w:t>
            </w:r>
          </w:p>
          <w:p w14:paraId="78B3CDAB"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r w:rsidRPr="008E46C2">
              <w:rPr>
                <w:rFonts w:asciiTheme="minorHAnsi" w:hAnsiTheme="minorHAnsi" w:cstheme="minorHAnsi"/>
                <w:sz w:val="20"/>
                <w:szCs w:val="20"/>
                <w:bdr w:val="nil"/>
              </w:rPr>
              <w:t>4,916</w:t>
            </w:r>
          </w:p>
        </w:tc>
      </w:tr>
    </w:tbl>
    <w:p w14:paraId="29412418"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 w:val="0"/>
          <w:bCs/>
          <w:bdr w:val="nil"/>
        </w:rPr>
      </w:pPr>
      <w:bookmarkStart w:id="18" w:name="_Hlk57801215"/>
      <w:r w:rsidRPr="005E3B44">
        <w:rPr>
          <w:rFonts w:asciiTheme="minorHAnsi" w:hAnsiTheme="minorHAnsi" w:cstheme="minorHAnsi"/>
          <w:b w:val="0"/>
          <w:bCs/>
          <w:bdr w:val="nil"/>
        </w:rPr>
        <w:t xml:space="preserve">The above Accountability Indicators should be read in conjunction with the accompanying notes. </w:t>
      </w:r>
    </w:p>
    <w:p w14:paraId="43126511"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33BC076E" w14:textId="77777777" w:rsidR="002242F3" w:rsidRPr="005E3B44" w:rsidRDefault="002242F3" w:rsidP="002242F3">
      <w:pPr>
        <w:pStyle w:val="BSnoteslist2"/>
        <w:widowControl w:val="0"/>
        <w:numPr>
          <w:ilvl w:val="0"/>
          <w:numId w:val="33"/>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 xml:space="preserve">Parliamentary Counsel Office (PCO) annually conducts three client surveys over a two-week period: the ACT Legislation Register Survey, the Legislative Drafting Service </w:t>
      </w:r>
      <w:proofErr w:type="gramStart"/>
      <w:r w:rsidRPr="005E3B44">
        <w:rPr>
          <w:rFonts w:asciiTheme="minorHAnsi" w:hAnsiTheme="minorHAnsi" w:cstheme="minorHAnsi"/>
          <w:bdr w:val="nil"/>
        </w:rPr>
        <w:t>Survey</w:t>
      </w:r>
      <w:proofErr w:type="gramEnd"/>
      <w:r w:rsidRPr="005E3B44">
        <w:rPr>
          <w:rFonts w:asciiTheme="minorHAnsi" w:hAnsiTheme="minorHAnsi" w:cstheme="minorHAnsi"/>
          <w:bdr w:val="nil"/>
        </w:rPr>
        <w:t xml:space="preserve"> and the ACT Legislation Register Notifications Service Survey. Satisfied client survey respondents </w:t>
      </w:r>
      <w:proofErr w:type="gramStart"/>
      <w:r w:rsidRPr="005E3B44">
        <w:rPr>
          <w:rFonts w:asciiTheme="minorHAnsi" w:hAnsiTheme="minorHAnsi" w:cstheme="minorHAnsi"/>
          <w:bdr w:val="nil"/>
        </w:rPr>
        <w:t>means</w:t>
      </w:r>
      <w:proofErr w:type="gramEnd"/>
      <w:r w:rsidRPr="005E3B44">
        <w:rPr>
          <w:rFonts w:asciiTheme="minorHAnsi" w:hAnsiTheme="minorHAnsi" w:cstheme="minorHAnsi"/>
          <w:bdr w:val="nil"/>
        </w:rPr>
        <w:t xml:space="preserve"> respondents who indicated an overall level of satisfaction of 'good' or 'excellent'.  174 out of 195 participants indicated an overall level of satisfaction to the survey in 2020-21. The survey was conducted in May 2021.</w:t>
      </w:r>
    </w:p>
    <w:bookmarkEnd w:id="18"/>
    <w:p w14:paraId="4F75E106"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784689C1"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451FA481"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69F6B836"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3905D72B"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301C6783"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4CBBCCBA"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5BA9E7FD"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2035CEBF"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4B493633"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52B120F0"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70496BEE"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4BBE7402"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647555F4"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046F5AB2"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bCs/>
          <w:snapToGrid w:val="0"/>
          <w:sz w:val="18"/>
          <w:szCs w:val="18"/>
          <w:bdr w:val="nil"/>
        </w:rPr>
      </w:pPr>
    </w:p>
    <w:p w14:paraId="3EF7051A" w14:textId="77777777" w:rsidR="002242F3" w:rsidRPr="005E3B44" w:rsidRDefault="002242F3" w:rsidP="004C1875">
      <w:pPr>
        <w:pStyle w:val="Heading4"/>
      </w:pPr>
      <w:r w:rsidRPr="005E3B44">
        <w:lastRenderedPageBreak/>
        <w:t>Output 1.4: Public Prosecutions</w:t>
      </w:r>
    </w:p>
    <w:p w14:paraId="258B9741" w14:textId="17561E32"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1</w:t>
      </w:r>
      <w:r w:rsidR="00796CA3">
        <w:rPr>
          <w:rFonts w:asciiTheme="minorHAnsi" w:hAnsiTheme="minorHAnsi" w:cstheme="minorHAnsi"/>
          <w:bdr w:val="nil"/>
        </w:rPr>
        <w:t>9</w:t>
      </w:r>
      <w:r w:rsidRPr="005E3B44">
        <w:rPr>
          <w:rFonts w:asciiTheme="minorHAnsi" w:hAnsiTheme="minorHAnsi" w:cstheme="minorHAnsi"/>
          <w:bdr w:val="nil"/>
        </w:rPr>
        <w:t>: Accountability Indicators</w:t>
      </w:r>
      <w:r w:rsidRPr="005E3B44">
        <w:rPr>
          <w:rFonts w:asciiTheme="minorHAnsi" w:hAnsiTheme="minorHAnsi" w:cstheme="minorHAnsi"/>
          <w:noProof/>
          <w:bdr w:val="nil"/>
        </w:rPr>
        <w:t xml:space="preserve"> Output 1.4</w:t>
      </w:r>
    </w:p>
    <w:tbl>
      <w:tblPr>
        <w:tblW w:w="9243" w:type="dxa"/>
        <w:tblBorders>
          <w:top w:val="single" w:sz="4" w:space="0" w:color="auto"/>
        </w:tblBorders>
        <w:tblLook w:val="04A0" w:firstRow="1" w:lastRow="0" w:firstColumn="1" w:lastColumn="0" w:noHBand="0" w:noVBand="1"/>
      </w:tblPr>
      <w:tblGrid>
        <w:gridCol w:w="4110"/>
        <w:gridCol w:w="1061"/>
        <w:gridCol w:w="1632"/>
        <w:gridCol w:w="1220"/>
        <w:gridCol w:w="1220"/>
      </w:tblGrid>
      <w:tr w:rsidR="002242F3" w:rsidRPr="005E3B44" w14:paraId="0C7C20D6" w14:textId="77777777" w:rsidTr="005E3B44">
        <w:trPr>
          <w:cantSplit/>
          <w:trHeight w:val="787"/>
          <w:tblHeader/>
        </w:trPr>
        <w:tc>
          <w:tcPr>
            <w:tcW w:w="2223" w:type="pct"/>
            <w:tcBorders>
              <w:top w:val="single" w:sz="12" w:space="0" w:color="000000"/>
              <w:left w:val="nil"/>
              <w:bottom w:val="single" w:sz="12" w:space="0" w:color="000000"/>
              <w:right w:val="nil"/>
            </w:tcBorders>
          </w:tcPr>
          <w:p w14:paraId="77366629"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p>
          <w:p w14:paraId="7CFA3305"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p>
        </w:tc>
        <w:tc>
          <w:tcPr>
            <w:tcW w:w="574" w:type="pct"/>
            <w:tcBorders>
              <w:top w:val="single" w:sz="12" w:space="0" w:color="000000"/>
              <w:left w:val="nil"/>
              <w:bottom w:val="single" w:sz="12" w:space="0" w:color="000000"/>
              <w:right w:val="nil"/>
            </w:tcBorders>
            <w:hideMark/>
          </w:tcPr>
          <w:p w14:paraId="25843809"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5C66766D"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83" w:type="pct"/>
            <w:tcBorders>
              <w:top w:val="single" w:sz="12" w:space="0" w:color="000000"/>
              <w:left w:val="nil"/>
              <w:bottom w:val="single" w:sz="12" w:space="0" w:color="000000"/>
              <w:right w:val="nil"/>
            </w:tcBorders>
            <w:hideMark/>
          </w:tcPr>
          <w:p w14:paraId="61DA2689"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0905480A"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2AA95B2F"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60" w:type="pct"/>
            <w:tcBorders>
              <w:top w:val="single" w:sz="12" w:space="0" w:color="000000"/>
              <w:left w:val="nil"/>
              <w:bottom w:val="single" w:sz="12" w:space="0" w:color="000000"/>
              <w:right w:val="nil"/>
            </w:tcBorders>
          </w:tcPr>
          <w:p w14:paraId="3E1BF2B7"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513B2BC0"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60" w:type="pct"/>
            <w:tcBorders>
              <w:top w:val="single" w:sz="12" w:space="0" w:color="000000"/>
              <w:left w:val="nil"/>
              <w:bottom w:val="single" w:sz="12" w:space="0" w:color="000000"/>
              <w:right w:val="nil"/>
            </w:tcBorders>
            <w:hideMark/>
          </w:tcPr>
          <w:p w14:paraId="660A3359"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3060CBED"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045BE3B8" w14:textId="77777777" w:rsidTr="005E3B44">
        <w:trPr>
          <w:cantSplit/>
          <w:trHeight w:val="301"/>
        </w:trPr>
        <w:tc>
          <w:tcPr>
            <w:tcW w:w="2223" w:type="pct"/>
            <w:tcBorders>
              <w:top w:val="nil"/>
              <w:left w:val="nil"/>
              <w:bottom w:val="nil"/>
              <w:right w:val="nil"/>
            </w:tcBorders>
          </w:tcPr>
          <w:p w14:paraId="11046E23" w14:textId="77777777" w:rsidR="002242F3" w:rsidRPr="005E3B44" w:rsidRDefault="002242F3" w:rsidP="005E3B44">
            <w:pPr>
              <w:pStyle w:val="BStablelist"/>
              <w:numPr>
                <w:ilvl w:val="0"/>
                <w:numId w:val="34"/>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 xml:space="preserve">Average cost per matter finalised </w:t>
            </w:r>
            <w:r w:rsidRPr="005E3B44">
              <w:rPr>
                <w:rFonts w:asciiTheme="minorHAnsi" w:hAnsiTheme="minorHAnsi" w:cstheme="minorHAnsi"/>
                <w:bdr w:val="nil"/>
                <w:vertAlign w:val="superscript"/>
              </w:rPr>
              <w:t>1</w:t>
            </w:r>
          </w:p>
        </w:tc>
        <w:tc>
          <w:tcPr>
            <w:tcW w:w="574" w:type="pct"/>
            <w:tcBorders>
              <w:top w:val="nil"/>
              <w:left w:val="nil"/>
              <w:bottom w:val="nil"/>
              <w:right w:val="nil"/>
            </w:tcBorders>
          </w:tcPr>
          <w:p w14:paraId="7201F7A0"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$3,000</w:t>
            </w:r>
          </w:p>
        </w:tc>
        <w:tc>
          <w:tcPr>
            <w:tcW w:w="883" w:type="pct"/>
            <w:tcBorders>
              <w:top w:val="nil"/>
              <w:left w:val="nil"/>
              <w:bottom w:val="nil"/>
              <w:right w:val="nil"/>
            </w:tcBorders>
          </w:tcPr>
          <w:p w14:paraId="508596D5"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$2,581</w:t>
            </w:r>
          </w:p>
        </w:tc>
        <w:tc>
          <w:tcPr>
            <w:tcW w:w="660" w:type="pct"/>
            <w:tcBorders>
              <w:top w:val="nil"/>
              <w:left w:val="nil"/>
              <w:bottom w:val="nil"/>
              <w:right w:val="nil"/>
            </w:tcBorders>
          </w:tcPr>
          <w:p w14:paraId="2FF83DD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(14)</w:t>
            </w:r>
          </w:p>
        </w:tc>
        <w:tc>
          <w:tcPr>
            <w:tcW w:w="660" w:type="pct"/>
            <w:tcBorders>
              <w:top w:val="nil"/>
              <w:left w:val="nil"/>
              <w:bottom w:val="nil"/>
              <w:right w:val="nil"/>
            </w:tcBorders>
          </w:tcPr>
          <w:p w14:paraId="6168965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 xml:space="preserve">$3,000 </w:t>
            </w:r>
          </w:p>
        </w:tc>
      </w:tr>
      <w:tr w:rsidR="002242F3" w:rsidRPr="005E3B44" w14:paraId="5E3BA933" w14:textId="77777777" w:rsidTr="005E3B44">
        <w:trPr>
          <w:cantSplit/>
          <w:trHeight w:val="301"/>
        </w:trPr>
        <w:tc>
          <w:tcPr>
            <w:tcW w:w="2223" w:type="pct"/>
            <w:tcBorders>
              <w:top w:val="nil"/>
              <w:left w:val="nil"/>
              <w:bottom w:val="nil"/>
              <w:right w:val="nil"/>
            </w:tcBorders>
          </w:tcPr>
          <w:p w14:paraId="543BBD18" w14:textId="77777777" w:rsidR="002242F3" w:rsidRPr="005E3B44" w:rsidRDefault="002242F3" w:rsidP="005E3B44">
            <w:pPr>
              <w:pStyle w:val="BStablelist"/>
              <w:numPr>
                <w:ilvl w:val="0"/>
                <w:numId w:val="34"/>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The percentage of cases where the brief is served within two weeks of it being received from the ACT Police</w:t>
            </w:r>
            <w:r w:rsidRPr="005E3B44">
              <w:rPr>
                <w:rFonts w:asciiTheme="minorHAnsi" w:hAnsiTheme="minorHAnsi" w:cstheme="minorHAnsi"/>
                <w:bdr w:val="nil"/>
                <w:vertAlign w:val="superscript"/>
              </w:rPr>
              <w:t xml:space="preserve"> 2</w:t>
            </w:r>
          </w:p>
        </w:tc>
        <w:tc>
          <w:tcPr>
            <w:tcW w:w="574" w:type="pct"/>
            <w:tcBorders>
              <w:top w:val="nil"/>
              <w:left w:val="nil"/>
              <w:bottom w:val="nil"/>
              <w:right w:val="nil"/>
            </w:tcBorders>
          </w:tcPr>
          <w:p w14:paraId="12D224DA"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80%</w:t>
            </w:r>
          </w:p>
        </w:tc>
        <w:tc>
          <w:tcPr>
            <w:tcW w:w="883" w:type="pct"/>
            <w:tcBorders>
              <w:top w:val="nil"/>
              <w:left w:val="nil"/>
              <w:bottom w:val="nil"/>
              <w:right w:val="nil"/>
            </w:tcBorders>
          </w:tcPr>
          <w:p w14:paraId="22DC7E96"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94%</w:t>
            </w:r>
          </w:p>
        </w:tc>
        <w:tc>
          <w:tcPr>
            <w:tcW w:w="660" w:type="pct"/>
            <w:tcBorders>
              <w:top w:val="nil"/>
              <w:left w:val="nil"/>
              <w:bottom w:val="nil"/>
              <w:right w:val="nil"/>
            </w:tcBorders>
          </w:tcPr>
          <w:p w14:paraId="7FF10D9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18</w:t>
            </w:r>
          </w:p>
        </w:tc>
        <w:tc>
          <w:tcPr>
            <w:tcW w:w="660" w:type="pct"/>
            <w:tcBorders>
              <w:top w:val="nil"/>
              <w:left w:val="nil"/>
              <w:bottom w:val="nil"/>
              <w:right w:val="nil"/>
            </w:tcBorders>
          </w:tcPr>
          <w:p w14:paraId="5DA35689"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80%</w:t>
            </w:r>
          </w:p>
        </w:tc>
      </w:tr>
      <w:tr w:rsidR="002242F3" w:rsidRPr="005E3B44" w14:paraId="17C07241" w14:textId="77777777" w:rsidTr="005E3B44">
        <w:trPr>
          <w:cantSplit/>
          <w:trHeight w:val="301"/>
        </w:trPr>
        <w:tc>
          <w:tcPr>
            <w:tcW w:w="2223" w:type="pct"/>
            <w:tcBorders>
              <w:top w:val="nil"/>
              <w:left w:val="nil"/>
              <w:bottom w:val="single" w:sz="4" w:space="0" w:color="auto"/>
              <w:right w:val="nil"/>
            </w:tcBorders>
            <w:hideMark/>
          </w:tcPr>
          <w:p w14:paraId="31D6E4CB" w14:textId="77777777" w:rsidR="002242F3" w:rsidRPr="005E3B44" w:rsidRDefault="002242F3" w:rsidP="005E3B44">
            <w:pPr>
              <w:pStyle w:val="BStablelist"/>
              <w:numPr>
                <w:ilvl w:val="0"/>
                <w:numId w:val="34"/>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 xml:space="preserve">The percentage of cases where the indictment case statement and questionnaire are filed within the timeframes specified at directions in the Supreme Court </w:t>
            </w:r>
            <w:r w:rsidRPr="005E3B44">
              <w:rPr>
                <w:rFonts w:asciiTheme="minorHAnsi" w:hAnsiTheme="minorHAnsi" w:cstheme="minorHAnsi"/>
                <w:bdr w:val="nil"/>
                <w:vertAlign w:val="superscript"/>
              </w:rPr>
              <w:t>a ,3</w:t>
            </w:r>
          </w:p>
        </w:tc>
        <w:tc>
          <w:tcPr>
            <w:tcW w:w="574" w:type="pct"/>
            <w:tcBorders>
              <w:top w:val="nil"/>
              <w:left w:val="nil"/>
              <w:bottom w:val="single" w:sz="4" w:space="0" w:color="auto"/>
              <w:right w:val="nil"/>
            </w:tcBorders>
            <w:hideMark/>
          </w:tcPr>
          <w:p w14:paraId="1C13FC5E"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80%</w:t>
            </w:r>
          </w:p>
        </w:tc>
        <w:tc>
          <w:tcPr>
            <w:tcW w:w="883" w:type="pct"/>
            <w:tcBorders>
              <w:top w:val="nil"/>
              <w:left w:val="nil"/>
              <w:bottom w:val="single" w:sz="4" w:space="0" w:color="auto"/>
              <w:right w:val="nil"/>
            </w:tcBorders>
            <w:hideMark/>
          </w:tcPr>
          <w:p w14:paraId="45C5539A"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70%</w:t>
            </w:r>
          </w:p>
        </w:tc>
        <w:tc>
          <w:tcPr>
            <w:tcW w:w="660" w:type="pct"/>
            <w:tcBorders>
              <w:top w:val="nil"/>
              <w:left w:val="nil"/>
              <w:bottom w:val="single" w:sz="4" w:space="0" w:color="auto"/>
              <w:right w:val="nil"/>
            </w:tcBorders>
          </w:tcPr>
          <w:p w14:paraId="3E25104A"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(13)</w:t>
            </w:r>
          </w:p>
        </w:tc>
        <w:tc>
          <w:tcPr>
            <w:tcW w:w="660" w:type="pct"/>
            <w:tcBorders>
              <w:top w:val="nil"/>
              <w:left w:val="nil"/>
              <w:bottom w:val="single" w:sz="4" w:space="0" w:color="auto"/>
              <w:right w:val="nil"/>
            </w:tcBorders>
            <w:hideMark/>
          </w:tcPr>
          <w:p w14:paraId="2EEEBC74"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80%</w:t>
            </w:r>
          </w:p>
        </w:tc>
      </w:tr>
      <w:tr w:rsidR="002242F3" w:rsidRPr="005E3B44" w14:paraId="0B6DCDA0" w14:textId="77777777" w:rsidTr="005E3B44">
        <w:trPr>
          <w:cantSplit/>
          <w:trHeight w:val="301"/>
        </w:trPr>
        <w:tc>
          <w:tcPr>
            <w:tcW w:w="2223" w:type="pct"/>
            <w:tcBorders>
              <w:top w:val="single" w:sz="4" w:space="0" w:color="auto"/>
              <w:left w:val="nil"/>
              <w:bottom w:val="single" w:sz="12" w:space="0" w:color="auto"/>
              <w:right w:val="nil"/>
            </w:tcBorders>
          </w:tcPr>
          <w:p w14:paraId="4CEBDF5C"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Total Cost ($’000)</w:t>
            </w:r>
            <w:r w:rsidRPr="005E3B44">
              <w:rPr>
                <w:rFonts w:asciiTheme="minorHAnsi" w:hAnsiTheme="minorHAnsi" w:cstheme="minorHAnsi"/>
                <w:bdr w:val="nil"/>
                <w:vertAlign w:val="superscript"/>
              </w:rPr>
              <w:t xml:space="preserve"> </w:t>
            </w:r>
          </w:p>
          <w:p w14:paraId="0FE4ABA9"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Controlled Recurrent Payments ($’000)</w:t>
            </w:r>
            <w:r w:rsidRPr="005E3B44">
              <w:rPr>
                <w:rFonts w:asciiTheme="minorHAnsi" w:hAnsiTheme="minorHAnsi" w:cstheme="minorHAnsi"/>
                <w:bdr w:val="nil"/>
                <w:vertAlign w:val="superscript"/>
              </w:rPr>
              <w:t xml:space="preserve"> </w:t>
            </w:r>
          </w:p>
        </w:tc>
        <w:tc>
          <w:tcPr>
            <w:tcW w:w="574" w:type="pct"/>
            <w:tcBorders>
              <w:top w:val="single" w:sz="4" w:space="0" w:color="auto"/>
              <w:left w:val="nil"/>
              <w:bottom w:val="single" w:sz="12" w:space="0" w:color="auto"/>
              <w:right w:val="nil"/>
            </w:tcBorders>
          </w:tcPr>
          <w:p w14:paraId="529A20B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14,665</w:t>
            </w:r>
          </w:p>
          <w:p w14:paraId="7DE5569B"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15,048</w:t>
            </w:r>
          </w:p>
        </w:tc>
        <w:tc>
          <w:tcPr>
            <w:tcW w:w="883" w:type="pct"/>
            <w:tcBorders>
              <w:top w:val="single" w:sz="4" w:space="0" w:color="auto"/>
              <w:left w:val="nil"/>
              <w:bottom w:val="single" w:sz="12" w:space="0" w:color="auto"/>
              <w:right w:val="nil"/>
            </w:tcBorders>
          </w:tcPr>
          <w:p w14:paraId="62386182"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14,867</w:t>
            </w:r>
          </w:p>
          <w:p w14:paraId="280192F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14,956</w:t>
            </w:r>
          </w:p>
        </w:tc>
        <w:tc>
          <w:tcPr>
            <w:tcW w:w="660" w:type="pct"/>
            <w:tcBorders>
              <w:top w:val="single" w:sz="4" w:space="0" w:color="auto"/>
              <w:left w:val="nil"/>
              <w:bottom w:val="single" w:sz="12" w:space="0" w:color="auto"/>
              <w:right w:val="nil"/>
            </w:tcBorders>
          </w:tcPr>
          <w:p w14:paraId="5F6FE64B"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w:t>
            </w:r>
          </w:p>
          <w:p w14:paraId="62E2BFE8"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w:t>
            </w:r>
          </w:p>
        </w:tc>
        <w:tc>
          <w:tcPr>
            <w:tcW w:w="660" w:type="pct"/>
            <w:tcBorders>
              <w:top w:val="single" w:sz="4" w:space="0" w:color="auto"/>
              <w:left w:val="nil"/>
              <w:bottom w:val="single" w:sz="12" w:space="0" w:color="auto"/>
              <w:right w:val="nil"/>
            </w:tcBorders>
          </w:tcPr>
          <w:p w14:paraId="2FE9205E"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16,330</w:t>
            </w:r>
          </w:p>
          <w:p w14:paraId="1D8B7E02"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r w:rsidRPr="008E46C2">
              <w:rPr>
                <w:rFonts w:asciiTheme="minorHAnsi" w:hAnsiTheme="minorHAnsi" w:cstheme="minorHAnsi"/>
                <w:sz w:val="20"/>
                <w:szCs w:val="20"/>
                <w:bdr w:val="nil"/>
              </w:rPr>
              <w:t>15,905</w:t>
            </w:r>
          </w:p>
        </w:tc>
      </w:tr>
    </w:tbl>
    <w:p w14:paraId="0E761DC3"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 w:val="0"/>
          <w:bCs/>
          <w:bdr w:val="nil"/>
        </w:rPr>
      </w:pPr>
      <w:r w:rsidRPr="005E3B44">
        <w:rPr>
          <w:rFonts w:asciiTheme="minorHAnsi" w:hAnsiTheme="minorHAnsi" w:cstheme="minorHAnsi"/>
          <w:b w:val="0"/>
          <w:bCs/>
          <w:bdr w:val="nil"/>
        </w:rPr>
        <w:t xml:space="preserve">The above Accountability Indicators should be read in conjunction with the accompanying notes. </w:t>
      </w:r>
    </w:p>
    <w:p w14:paraId="646082E0"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6589BEB0" w14:textId="77777777" w:rsidR="002242F3" w:rsidRPr="005E3B44" w:rsidRDefault="002242F3" w:rsidP="002242F3">
      <w:pPr>
        <w:pStyle w:val="BSnoteslist2"/>
        <w:widowControl w:val="0"/>
        <w:numPr>
          <w:ilvl w:val="0"/>
          <w:numId w:val="35"/>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These are new indicators in 2020-21 which better reflect the performance of the Director of Public Prosecutions.</w:t>
      </w:r>
    </w:p>
    <w:p w14:paraId="706554AE" w14:textId="77777777" w:rsidR="002242F3" w:rsidRPr="005E3B44" w:rsidRDefault="002242F3" w:rsidP="002242F3">
      <w:pPr>
        <w:pStyle w:val="BSnoteslist2"/>
        <w:widowControl w:val="0"/>
        <w:numPr>
          <w:ilvl w:val="0"/>
          <w:numId w:val="0"/>
        </w:numPr>
        <w:pBdr>
          <w:top w:val="nil"/>
          <w:left w:val="nil"/>
          <w:bottom w:val="nil"/>
          <w:right w:val="nil"/>
          <w:between w:val="nil"/>
          <w:bar w:val="nil"/>
        </w:pBdr>
        <w:spacing w:before="120"/>
        <w:rPr>
          <w:rFonts w:asciiTheme="minorHAnsi" w:hAnsiTheme="minorHAnsi" w:cstheme="minorHAnsi"/>
          <w:b/>
          <w:bCs/>
          <w:bdr w:val="nil"/>
        </w:rPr>
      </w:pPr>
      <w:r w:rsidRPr="005E3B44">
        <w:rPr>
          <w:rFonts w:asciiTheme="minorHAnsi" w:hAnsiTheme="minorHAnsi" w:cstheme="minorHAnsi"/>
          <w:b/>
          <w:bCs/>
          <w:bdr w:val="nil"/>
        </w:rPr>
        <w:t>Notes:</w:t>
      </w:r>
    </w:p>
    <w:p w14:paraId="7A6E82E1" w14:textId="77777777" w:rsidR="002242F3" w:rsidRPr="005E3B44" w:rsidRDefault="002242F3" w:rsidP="002242F3">
      <w:pPr>
        <w:pStyle w:val="BSnoteslist2"/>
        <w:widowControl w:val="0"/>
        <w:numPr>
          <w:ilvl w:val="0"/>
          <w:numId w:val="36"/>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 xml:space="preserve">Due to productivity gains facilitated by the automation of data transfer process between various systems, operating costs per matter have been lower than expected. </w:t>
      </w:r>
    </w:p>
    <w:p w14:paraId="7C9FF2B0" w14:textId="77777777" w:rsidR="002242F3" w:rsidRPr="005E3B44" w:rsidRDefault="002242F3" w:rsidP="002242F3">
      <w:pPr>
        <w:pStyle w:val="BSnoteslist2"/>
        <w:widowControl w:val="0"/>
        <w:numPr>
          <w:ilvl w:val="0"/>
          <w:numId w:val="36"/>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This is a new indicator and resulted in a better than predicted performance. The target will be reviewed when more data becomes available.</w:t>
      </w:r>
    </w:p>
    <w:p w14:paraId="1F2E3B02" w14:textId="77777777" w:rsidR="002242F3" w:rsidRPr="005E3B44" w:rsidRDefault="002242F3" w:rsidP="002242F3">
      <w:pPr>
        <w:pStyle w:val="BSnoteslist2"/>
        <w:widowControl w:val="0"/>
        <w:numPr>
          <w:ilvl w:val="0"/>
          <w:numId w:val="36"/>
        </w:num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This is a new indicator, lower than target results was due to delays in filing documents relating to the significant portion of matters being committed without a brief, extending the time required to prepare and file these documents.</w:t>
      </w:r>
    </w:p>
    <w:p w14:paraId="4B9A72F3"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284"/>
        <w:rPr>
          <w:rFonts w:asciiTheme="minorHAnsi" w:hAnsiTheme="minorHAnsi" w:cstheme="minorHAnsi"/>
          <w:bdr w:val="nil"/>
        </w:rPr>
      </w:pPr>
    </w:p>
    <w:p w14:paraId="7F38A918"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i/>
          <w:bdr w:val="nil"/>
        </w:rPr>
      </w:pPr>
      <w:r w:rsidRPr="005E3B44">
        <w:rPr>
          <w:rFonts w:asciiTheme="minorHAnsi" w:hAnsiTheme="minorHAnsi" w:cstheme="minorHAnsi"/>
          <w:bdr w:val="nil"/>
        </w:rPr>
        <w:br w:type="page"/>
      </w:r>
    </w:p>
    <w:p w14:paraId="3BBBEF3C" w14:textId="77777777" w:rsidR="002242F3" w:rsidRPr="005E3B44" w:rsidRDefault="002242F3" w:rsidP="004C1875">
      <w:pPr>
        <w:pStyle w:val="Heading4"/>
      </w:pPr>
      <w:r w:rsidRPr="005E3B44">
        <w:lastRenderedPageBreak/>
        <w:t>Output 1.5: Protection on Rights</w:t>
      </w:r>
    </w:p>
    <w:p w14:paraId="33D5B1D5" w14:textId="5DD11338"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 xml:space="preserve">Table </w:t>
      </w:r>
      <w:r w:rsidR="00796CA3">
        <w:rPr>
          <w:rFonts w:asciiTheme="minorHAnsi" w:hAnsiTheme="minorHAnsi" w:cstheme="minorHAnsi"/>
          <w:bdr w:val="nil"/>
        </w:rPr>
        <w:t>20</w:t>
      </w:r>
      <w:r w:rsidRPr="005E3B44">
        <w:rPr>
          <w:rFonts w:asciiTheme="minorHAnsi" w:hAnsiTheme="minorHAnsi" w:cstheme="minorHAnsi"/>
          <w:bdr w:val="nil"/>
        </w:rPr>
        <w:t>: Accountability Indicators</w:t>
      </w:r>
      <w:r w:rsidRPr="005E3B44">
        <w:rPr>
          <w:rFonts w:asciiTheme="minorHAnsi" w:hAnsiTheme="minorHAnsi" w:cstheme="minorHAnsi"/>
          <w:noProof/>
          <w:bdr w:val="nil"/>
        </w:rPr>
        <w:t xml:space="preserve"> Output 1.5</w:t>
      </w:r>
    </w:p>
    <w:tbl>
      <w:tblPr>
        <w:tblW w:w="9243" w:type="dxa"/>
        <w:tblBorders>
          <w:top w:val="single" w:sz="12" w:space="0" w:color="000000"/>
          <w:bottom w:val="single" w:sz="12" w:space="0" w:color="000000"/>
        </w:tblBorders>
        <w:tblLook w:val="04A0" w:firstRow="1" w:lastRow="0" w:firstColumn="1" w:lastColumn="0" w:noHBand="0" w:noVBand="1"/>
      </w:tblPr>
      <w:tblGrid>
        <w:gridCol w:w="3944"/>
        <w:gridCol w:w="1353"/>
        <w:gridCol w:w="1542"/>
        <w:gridCol w:w="1202"/>
        <w:gridCol w:w="1202"/>
      </w:tblGrid>
      <w:tr w:rsidR="002242F3" w:rsidRPr="005E3B44" w14:paraId="68C8FB5E" w14:textId="77777777" w:rsidTr="00694B7C">
        <w:trPr>
          <w:trHeight w:val="739"/>
        </w:trPr>
        <w:tc>
          <w:tcPr>
            <w:tcW w:w="2134" w:type="pct"/>
            <w:tcBorders>
              <w:top w:val="single" w:sz="12" w:space="0" w:color="000000"/>
              <w:left w:val="nil"/>
              <w:bottom w:val="single" w:sz="12" w:space="0" w:color="000000"/>
              <w:right w:val="nil"/>
            </w:tcBorders>
          </w:tcPr>
          <w:p w14:paraId="2813F479"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bookmarkStart w:id="19" w:name="_Hlk83883805"/>
          </w:p>
        </w:tc>
        <w:tc>
          <w:tcPr>
            <w:tcW w:w="732" w:type="pct"/>
            <w:tcBorders>
              <w:top w:val="single" w:sz="12" w:space="0" w:color="000000"/>
              <w:left w:val="nil"/>
              <w:bottom w:val="single" w:sz="12" w:space="0" w:color="000000"/>
              <w:right w:val="nil"/>
            </w:tcBorders>
            <w:hideMark/>
          </w:tcPr>
          <w:p w14:paraId="2096935C"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4B9FFC40"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34" w:type="pct"/>
            <w:tcBorders>
              <w:top w:val="single" w:sz="12" w:space="0" w:color="000000"/>
              <w:left w:val="nil"/>
              <w:bottom w:val="single" w:sz="12" w:space="0" w:color="000000"/>
              <w:right w:val="nil"/>
            </w:tcBorders>
            <w:hideMark/>
          </w:tcPr>
          <w:p w14:paraId="539CF632"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479DB8ED"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08CC30FF"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50" w:type="pct"/>
            <w:tcBorders>
              <w:top w:val="single" w:sz="12" w:space="0" w:color="000000"/>
              <w:left w:val="nil"/>
              <w:bottom w:val="single" w:sz="12" w:space="0" w:color="000000"/>
              <w:right w:val="nil"/>
            </w:tcBorders>
          </w:tcPr>
          <w:p w14:paraId="1C805266"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01E5C988"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50" w:type="pct"/>
            <w:tcBorders>
              <w:top w:val="single" w:sz="12" w:space="0" w:color="000000"/>
              <w:left w:val="nil"/>
              <w:bottom w:val="single" w:sz="12" w:space="0" w:color="000000"/>
              <w:right w:val="nil"/>
            </w:tcBorders>
            <w:hideMark/>
          </w:tcPr>
          <w:p w14:paraId="67711BE7"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79486148" w14:textId="77777777" w:rsidR="002242F3" w:rsidRPr="005E3B44" w:rsidRDefault="002242F3" w:rsidP="005E3B44">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bookmarkEnd w:id="19"/>
      <w:tr w:rsidR="002242F3" w:rsidRPr="005E3B44" w14:paraId="23BEF3B2" w14:textId="77777777" w:rsidTr="005E3B44">
        <w:trPr>
          <w:trHeight w:val="283"/>
        </w:trPr>
        <w:tc>
          <w:tcPr>
            <w:tcW w:w="2134" w:type="pct"/>
            <w:tcBorders>
              <w:top w:val="nil"/>
              <w:left w:val="nil"/>
              <w:bottom w:val="nil"/>
              <w:right w:val="nil"/>
            </w:tcBorders>
            <w:hideMark/>
          </w:tcPr>
          <w:p w14:paraId="01603ADD"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
                <w:bdr w:val="nil"/>
              </w:rPr>
            </w:pPr>
            <w:r w:rsidRPr="005E3B44">
              <w:rPr>
                <w:rFonts w:asciiTheme="minorHAnsi" w:hAnsiTheme="minorHAnsi" w:cstheme="minorHAnsi"/>
                <w:b/>
                <w:bdr w:val="nil"/>
              </w:rPr>
              <w:t>Human Rights Commission</w:t>
            </w:r>
          </w:p>
        </w:tc>
        <w:tc>
          <w:tcPr>
            <w:tcW w:w="732" w:type="pct"/>
            <w:tcBorders>
              <w:top w:val="nil"/>
              <w:left w:val="nil"/>
              <w:bottom w:val="nil"/>
              <w:right w:val="nil"/>
            </w:tcBorders>
          </w:tcPr>
          <w:p w14:paraId="63BEF179" w14:textId="77777777" w:rsidR="002242F3" w:rsidRPr="005E3B44" w:rsidRDefault="002242F3" w:rsidP="005E3B44">
            <w:pPr>
              <w:pStyle w:val="Normal6"/>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jc w:val="right"/>
              <w:rPr>
                <w:rFonts w:asciiTheme="minorHAnsi" w:hAnsiTheme="minorHAnsi" w:cstheme="minorHAnsi"/>
                <w:sz w:val="20"/>
                <w:bdr w:val="nil"/>
                <w:shd w:val="clear" w:color="auto" w:fill="FFFF00"/>
              </w:rPr>
            </w:pPr>
          </w:p>
        </w:tc>
        <w:tc>
          <w:tcPr>
            <w:tcW w:w="834" w:type="pct"/>
            <w:tcBorders>
              <w:top w:val="nil"/>
              <w:left w:val="nil"/>
              <w:bottom w:val="nil"/>
              <w:right w:val="nil"/>
            </w:tcBorders>
          </w:tcPr>
          <w:p w14:paraId="2F4289D9"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c>
          <w:tcPr>
            <w:tcW w:w="650" w:type="pct"/>
            <w:tcBorders>
              <w:top w:val="nil"/>
              <w:left w:val="nil"/>
              <w:bottom w:val="nil"/>
              <w:right w:val="nil"/>
            </w:tcBorders>
          </w:tcPr>
          <w:p w14:paraId="26AF1570"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c>
          <w:tcPr>
            <w:tcW w:w="650" w:type="pct"/>
            <w:tcBorders>
              <w:top w:val="nil"/>
              <w:left w:val="nil"/>
              <w:bottom w:val="nil"/>
              <w:right w:val="nil"/>
            </w:tcBorders>
          </w:tcPr>
          <w:p w14:paraId="25D627BB"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r>
      <w:tr w:rsidR="002242F3" w:rsidRPr="005E3B44" w14:paraId="316F164A" w14:textId="77777777" w:rsidTr="005E3B44">
        <w:trPr>
          <w:trHeight w:val="283"/>
        </w:trPr>
        <w:tc>
          <w:tcPr>
            <w:tcW w:w="2134" w:type="pct"/>
            <w:tcBorders>
              <w:top w:val="nil"/>
              <w:left w:val="nil"/>
              <w:bottom w:val="nil"/>
              <w:right w:val="nil"/>
            </w:tcBorders>
            <w:hideMark/>
          </w:tcPr>
          <w:p w14:paraId="6F97C76E" w14:textId="77777777" w:rsidR="002242F3" w:rsidRPr="005E3B44" w:rsidRDefault="002242F3" w:rsidP="005E3B44">
            <w:pPr>
              <w:pStyle w:val="BStablelist"/>
              <w:numPr>
                <w:ilvl w:val="0"/>
                <w:numId w:val="37"/>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High level of client satisfaction with Human Rights Commission complaints process:</w:t>
            </w:r>
          </w:p>
        </w:tc>
        <w:tc>
          <w:tcPr>
            <w:tcW w:w="732" w:type="pct"/>
            <w:tcBorders>
              <w:top w:val="nil"/>
              <w:left w:val="nil"/>
              <w:bottom w:val="nil"/>
              <w:right w:val="nil"/>
            </w:tcBorders>
          </w:tcPr>
          <w:p w14:paraId="2CCACA03" w14:textId="77777777" w:rsidR="002242F3" w:rsidRPr="005E3B44" w:rsidRDefault="002242F3" w:rsidP="005E3B44">
            <w:pPr>
              <w:pStyle w:val="Normal6"/>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jc w:val="right"/>
              <w:rPr>
                <w:rFonts w:asciiTheme="minorHAnsi" w:hAnsiTheme="minorHAnsi" w:cstheme="minorHAnsi"/>
                <w:sz w:val="20"/>
                <w:bdr w:val="nil"/>
                <w:shd w:val="clear" w:color="auto" w:fill="FFFF00"/>
              </w:rPr>
            </w:pPr>
          </w:p>
        </w:tc>
        <w:tc>
          <w:tcPr>
            <w:tcW w:w="834" w:type="pct"/>
            <w:tcBorders>
              <w:top w:val="nil"/>
              <w:left w:val="nil"/>
              <w:bottom w:val="nil"/>
              <w:right w:val="nil"/>
            </w:tcBorders>
          </w:tcPr>
          <w:p w14:paraId="7AB4A316"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c>
          <w:tcPr>
            <w:tcW w:w="650" w:type="pct"/>
            <w:tcBorders>
              <w:top w:val="nil"/>
              <w:left w:val="nil"/>
              <w:bottom w:val="nil"/>
              <w:right w:val="nil"/>
            </w:tcBorders>
          </w:tcPr>
          <w:p w14:paraId="7EE18690"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c>
          <w:tcPr>
            <w:tcW w:w="650" w:type="pct"/>
            <w:tcBorders>
              <w:top w:val="nil"/>
              <w:left w:val="nil"/>
              <w:bottom w:val="nil"/>
              <w:right w:val="nil"/>
            </w:tcBorders>
          </w:tcPr>
          <w:p w14:paraId="2CF44105"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r>
      <w:tr w:rsidR="002242F3" w:rsidRPr="005E3B44" w14:paraId="6E5B9C13" w14:textId="77777777" w:rsidTr="005E3B44">
        <w:trPr>
          <w:trHeight w:val="283"/>
        </w:trPr>
        <w:tc>
          <w:tcPr>
            <w:tcW w:w="2134" w:type="pct"/>
            <w:tcBorders>
              <w:top w:val="nil"/>
              <w:left w:val="nil"/>
              <w:bottom w:val="nil"/>
              <w:right w:val="nil"/>
            </w:tcBorders>
            <w:hideMark/>
          </w:tcPr>
          <w:p w14:paraId="0DB6D493"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rPr>
                <w:rFonts w:asciiTheme="minorHAnsi" w:hAnsiTheme="minorHAnsi" w:cstheme="minorHAnsi"/>
                <w:bdr w:val="nil"/>
              </w:rPr>
            </w:pPr>
            <w:r w:rsidRPr="005E3B44">
              <w:rPr>
                <w:rFonts w:asciiTheme="minorHAnsi" w:hAnsiTheme="minorHAnsi" w:cstheme="minorHAnsi"/>
                <w:bdr w:val="nil"/>
              </w:rPr>
              <w:t xml:space="preserve">Percentage of survey respondents who consider the process fair, </w:t>
            </w:r>
            <w:proofErr w:type="gramStart"/>
            <w:r w:rsidRPr="005E3B44">
              <w:rPr>
                <w:rFonts w:asciiTheme="minorHAnsi" w:hAnsiTheme="minorHAnsi" w:cstheme="minorHAnsi"/>
                <w:bdr w:val="nil"/>
              </w:rPr>
              <w:t>accessible</w:t>
            </w:r>
            <w:proofErr w:type="gramEnd"/>
            <w:r w:rsidRPr="005E3B44">
              <w:rPr>
                <w:rFonts w:asciiTheme="minorHAnsi" w:hAnsiTheme="minorHAnsi" w:cstheme="minorHAnsi"/>
                <w:bdr w:val="nil"/>
              </w:rPr>
              <w:t xml:space="preserve"> and understandable </w:t>
            </w:r>
            <w:r w:rsidRPr="005E3B44">
              <w:rPr>
                <w:rFonts w:asciiTheme="minorHAnsi" w:hAnsiTheme="minorHAnsi" w:cstheme="minorHAnsi"/>
                <w:bdr w:val="nil"/>
                <w:vertAlign w:val="superscript"/>
              </w:rPr>
              <w:t>a,1</w:t>
            </w:r>
          </w:p>
        </w:tc>
        <w:tc>
          <w:tcPr>
            <w:tcW w:w="732" w:type="pct"/>
            <w:tcBorders>
              <w:top w:val="nil"/>
              <w:left w:val="nil"/>
              <w:bottom w:val="nil"/>
              <w:right w:val="nil"/>
            </w:tcBorders>
            <w:hideMark/>
          </w:tcPr>
          <w:p w14:paraId="3A05CE04"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75%</w:t>
            </w:r>
          </w:p>
        </w:tc>
        <w:tc>
          <w:tcPr>
            <w:tcW w:w="834" w:type="pct"/>
            <w:tcBorders>
              <w:top w:val="nil"/>
              <w:left w:val="nil"/>
              <w:bottom w:val="nil"/>
              <w:right w:val="nil"/>
            </w:tcBorders>
            <w:hideMark/>
          </w:tcPr>
          <w:p w14:paraId="0BBD354A"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66%</w:t>
            </w:r>
          </w:p>
        </w:tc>
        <w:tc>
          <w:tcPr>
            <w:tcW w:w="650" w:type="pct"/>
            <w:tcBorders>
              <w:top w:val="nil"/>
              <w:left w:val="nil"/>
              <w:bottom w:val="nil"/>
              <w:right w:val="nil"/>
            </w:tcBorders>
          </w:tcPr>
          <w:p w14:paraId="74B21672"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(12)</w:t>
            </w:r>
          </w:p>
        </w:tc>
        <w:tc>
          <w:tcPr>
            <w:tcW w:w="650" w:type="pct"/>
            <w:tcBorders>
              <w:top w:val="nil"/>
              <w:left w:val="nil"/>
              <w:bottom w:val="nil"/>
              <w:right w:val="nil"/>
            </w:tcBorders>
            <w:shd w:val="clear" w:color="auto" w:fill="auto"/>
          </w:tcPr>
          <w:p w14:paraId="6F1406F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n/a</w:t>
            </w:r>
          </w:p>
        </w:tc>
      </w:tr>
      <w:tr w:rsidR="002242F3" w:rsidRPr="005E3B44" w14:paraId="5A07D1BA" w14:textId="77777777" w:rsidTr="005E3B44">
        <w:trPr>
          <w:trHeight w:val="283"/>
        </w:trPr>
        <w:tc>
          <w:tcPr>
            <w:tcW w:w="2134" w:type="pct"/>
            <w:tcBorders>
              <w:top w:val="nil"/>
              <w:left w:val="nil"/>
              <w:bottom w:val="nil"/>
              <w:right w:val="nil"/>
            </w:tcBorders>
          </w:tcPr>
          <w:p w14:paraId="4B7F7239"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rPr>
                <w:rFonts w:asciiTheme="minorHAnsi" w:hAnsiTheme="minorHAnsi" w:cstheme="minorHAnsi"/>
                <w:bdr w:val="nil"/>
              </w:rPr>
            </w:pPr>
            <w:r w:rsidRPr="005E3B44">
              <w:rPr>
                <w:rFonts w:asciiTheme="minorHAnsi" w:hAnsiTheme="minorHAnsi" w:cstheme="minorHAnsi"/>
                <w:bdr w:val="nil"/>
              </w:rPr>
              <w:t xml:space="preserve">Percentage of survey respondents who consider the complaint handling service accessible </w:t>
            </w:r>
            <w:r w:rsidRPr="005E3B44">
              <w:rPr>
                <w:rFonts w:asciiTheme="minorHAnsi" w:hAnsiTheme="minorHAnsi" w:cstheme="minorHAnsi"/>
                <w:bdr w:val="nil"/>
                <w:vertAlign w:val="superscript"/>
              </w:rPr>
              <w:t>b</w:t>
            </w:r>
          </w:p>
        </w:tc>
        <w:tc>
          <w:tcPr>
            <w:tcW w:w="732" w:type="pct"/>
            <w:tcBorders>
              <w:top w:val="nil"/>
              <w:left w:val="nil"/>
              <w:bottom w:val="nil"/>
              <w:right w:val="nil"/>
            </w:tcBorders>
          </w:tcPr>
          <w:p w14:paraId="734DCF25"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n/a</w:t>
            </w:r>
          </w:p>
        </w:tc>
        <w:tc>
          <w:tcPr>
            <w:tcW w:w="834" w:type="pct"/>
            <w:tcBorders>
              <w:top w:val="nil"/>
              <w:left w:val="nil"/>
              <w:bottom w:val="nil"/>
              <w:right w:val="nil"/>
            </w:tcBorders>
          </w:tcPr>
          <w:p w14:paraId="0B10A180"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n/a</w:t>
            </w:r>
          </w:p>
        </w:tc>
        <w:tc>
          <w:tcPr>
            <w:tcW w:w="650" w:type="pct"/>
            <w:tcBorders>
              <w:top w:val="nil"/>
              <w:left w:val="nil"/>
              <w:bottom w:val="nil"/>
              <w:right w:val="nil"/>
            </w:tcBorders>
          </w:tcPr>
          <w:p w14:paraId="1810641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w:t>
            </w:r>
          </w:p>
        </w:tc>
        <w:tc>
          <w:tcPr>
            <w:tcW w:w="650" w:type="pct"/>
            <w:tcBorders>
              <w:top w:val="nil"/>
              <w:left w:val="nil"/>
              <w:bottom w:val="nil"/>
              <w:right w:val="nil"/>
            </w:tcBorders>
            <w:shd w:val="clear" w:color="auto" w:fill="auto"/>
          </w:tcPr>
          <w:p w14:paraId="47DBE5B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75%</w:t>
            </w:r>
          </w:p>
        </w:tc>
      </w:tr>
      <w:tr w:rsidR="002242F3" w:rsidRPr="005E3B44" w14:paraId="15A613DF" w14:textId="77777777" w:rsidTr="005E3B44">
        <w:trPr>
          <w:trHeight w:val="283"/>
        </w:trPr>
        <w:tc>
          <w:tcPr>
            <w:tcW w:w="2134" w:type="pct"/>
            <w:tcBorders>
              <w:top w:val="nil"/>
              <w:left w:val="nil"/>
              <w:bottom w:val="nil"/>
              <w:right w:val="nil"/>
            </w:tcBorders>
          </w:tcPr>
          <w:p w14:paraId="7905B445"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rPr>
                <w:rFonts w:asciiTheme="minorHAnsi" w:hAnsiTheme="minorHAnsi" w:cstheme="minorHAnsi"/>
                <w:bdr w:val="nil"/>
              </w:rPr>
            </w:pPr>
            <w:r w:rsidRPr="005E3B44">
              <w:rPr>
                <w:rFonts w:asciiTheme="minorHAnsi" w:hAnsiTheme="minorHAnsi" w:cstheme="minorHAnsi"/>
                <w:bdr w:val="nil"/>
              </w:rPr>
              <w:t xml:space="preserve">Percentage of survey respondents who consider the complaint handling service to be fair </w:t>
            </w:r>
            <w:r w:rsidRPr="005E3B44">
              <w:rPr>
                <w:rFonts w:asciiTheme="minorHAnsi" w:hAnsiTheme="minorHAnsi" w:cstheme="minorHAnsi"/>
                <w:bdr w:val="nil"/>
                <w:vertAlign w:val="superscript"/>
              </w:rPr>
              <w:t>b</w:t>
            </w:r>
          </w:p>
        </w:tc>
        <w:tc>
          <w:tcPr>
            <w:tcW w:w="732" w:type="pct"/>
            <w:tcBorders>
              <w:top w:val="nil"/>
              <w:left w:val="nil"/>
              <w:bottom w:val="nil"/>
              <w:right w:val="nil"/>
            </w:tcBorders>
          </w:tcPr>
          <w:p w14:paraId="6AE1A3E4"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n/a</w:t>
            </w:r>
          </w:p>
        </w:tc>
        <w:tc>
          <w:tcPr>
            <w:tcW w:w="834" w:type="pct"/>
            <w:tcBorders>
              <w:top w:val="nil"/>
              <w:left w:val="nil"/>
              <w:bottom w:val="nil"/>
              <w:right w:val="nil"/>
            </w:tcBorders>
          </w:tcPr>
          <w:p w14:paraId="6D594029"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n/a</w:t>
            </w:r>
          </w:p>
        </w:tc>
        <w:tc>
          <w:tcPr>
            <w:tcW w:w="650" w:type="pct"/>
            <w:tcBorders>
              <w:top w:val="nil"/>
              <w:left w:val="nil"/>
              <w:bottom w:val="nil"/>
              <w:right w:val="nil"/>
            </w:tcBorders>
          </w:tcPr>
          <w:p w14:paraId="13FF591D"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w:t>
            </w:r>
          </w:p>
        </w:tc>
        <w:tc>
          <w:tcPr>
            <w:tcW w:w="650" w:type="pct"/>
            <w:tcBorders>
              <w:top w:val="nil"/>
              <w:left w:val="nil"/>
              <w:bottom w:val="nil"/>
              <w:right w:val="nil"/>
            </w:tcBorders>
            <w:shd w:val="clear" w:color="auto" w:fill="auto"/>
          </w:tcPr>
          <w:p w14:paraId="460A5685"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r w:rsidRPr="008E46C2">
              <w:rPr>
                <w:rFonts w:asciiTheme="minorHAnsi" w:hAnsiTheme="minorHAnsi" w:cstheme="minorHAnsi"/>
                <w:sz w:val="20"/>
                <w:szCs w:val="20"/>
                <w:bdr w:val="nil"/>
              </w:rPr>
              <w:t>75%</w:t>
            </w:r>
          </w:p>
        </w:tc>
      </w:tr>
      <w:tr w:rsidR="002242F3" w:rsidRPr="005E3B44" w14:paraId="3CA77E7E" w14:textId="77777777" w:rsidTr="005E3B44">
        <w:trPr>
          <w:trHeight w:val="283"/>
        </w:trPr>
        <w:tc>
          <w:tcPr>
            <w:tcW w:w="2134" w:type="pct"/>
            <w:tcBorders>
              <w:top w:val="nil"/>
              <w:left w:val="nil"/>
              <w:bottom w:val="nil"/>
              <w:right w:val="nil"/>
            </w:tcBorders>
            <w:hideMark/>
          </w:tcPr>
          <w:p w14:paraId="1F55068A"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rPr>
                <w:rFonts w:asciiTheme="minorHAnsi" w:hAnsiTheme="minorHAnsi" w:cstheme="minorHAnsi"/>
                <w:bdr w:val="nil"/>
              </w:rPr>
            </w:pPr>
            <w:r w:rsidRPr="005E3B44">
              <w:rPr>
                <w:rFonts w:asciiTheme="minorHAnsi" w:hAnsiTheme="minorHAnsi" w:cstheme="minorHAnsi"/>
                <w:bdr w:val="nil"/>
              </w:rPr>
              <w:t>Percentage of complaints concluded within Commission standards</w:t>
            </w:r>
          </w:p>
        </w:tc>
        <w:tc>
          <w:tcPr>
            <w:tcW w:w="732" w:type="pct"/>
            <w:tcBorders>
              <w:top w:val="nil"/>
              <w:left w:val="nil"/>
              <w:bottom w:val="nil"/>
              <w:right w:val="nil"/>
            </w:tcBorders>
            <w:hideMark/>
          </w:tcPr>
          <w:p w14:paraId="1BE89C46"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75%</w:t>
            </w:r>
          </w:p>
        </w:tc>
        <w:tc>
          <w:tcPr>
            <w:tcW w:w="834" w:type="pct"/>
            <w:tcBorders>
              <w:top w:val="nil"/>
              <w:left w:val="nil"/>
              <w:bottom w:val="nil"/>
              <w:right w:val="nil"/>
            </w:tcBorders>
            <w:hideMark/>
          </w:tcPr>
          <w:p w14:paraId="45BFEF7D"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80%</w:t>
            </w:r>
          </w:p>
        </w:tc>
        <w:tc>
          <w:tcPr>
            <w:tcW w:w="650" w:type="pct"/>
            <w:tcBorders>
              <w:top w:val="nil"/>
              <w:left w:val="nil"/>
              <w:bottom w:val="nil"/>
              <w:right w:val="nil"/>
            </w:tcBorders>
          </w:tcPr>
          <w:p w14:paraId="6F5361E1"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w:t>
            </w:r>
          </w:p>
        </w:tc>
        <w:tc>
          <w:tcPr>
            <w:tcW w:w="650" w:type="pct"/>
            <w:tcBorders>
              <w:top w:val="nil"/>
              <w:left w:val="nil"/>
              <w:bottom w:val="nil"/>
              <w:right w:val="nil"/>
            </w:tcBorders>
            <w:shd w:val="clear" w:color="auto" w:fill="auto"/>
          </w:tcPr>
          <w:p w14:paraId="6CDEDBEA"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r w:rsidRPr="008E46C2">
              <w:rPr>
                <w:rFonts w:asciiTheme="minorHAnsi" w:hAnsiTheme="minorHAnsi" w:cstheme="minorHAnsi"/>
                <w:sz w:val="20"/>
                <w:szCs w:val="20"/>
                <w:bdr w:val="nil"/>
              </w:rPr>
              <w:t>75%</w:t>
            </w:r>
          </w:p>
        </w:tc>
      </w:tr>
      <w:tr w:rsidR="002242F3" w:rsidRPr="005E3B44" w14:paraId="40FA27F9" w14:textId="77777777" w:rsidTr="005E3B44">
        <w:trPr>
          <w:trHeight w:val="283"/>
        </w:trPr>
        <w:tc>
          <w:tcPr>
            <w:tcW w:w="2134" w:type="pct"/>
            <w:tcBorders>
              <w:top w:val="nil"/>
              <w:left w:val="nil"/>
              <w:bottom w:val="nil"/>
              <w:right w:val="nil"/>
            </w:tcBorders>
            <w:hideMark/>
          </w:tcPr>
          <w:p w14:paraId="00AC8391" w14:textId="77777777" w:rsidR="002242F3" w:rsidRPr="005E3B44" w:rsidRDefault="002242F3" w:rsidP="005E3B44">
            <w:pPr>
              <w:pStyle w:val="BStablelist"/>
              <w:numPr>
                <w:ilvl w:val="0"/>
                <w:numId w:val="37"/>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 xml:space="preserve">High level </w:t>
            </w:r>
            <w:r w:rsidRPr="005E3B44">
              <w:rPr>
                <w:rFonts w:asciiTheme="minorHAnsi" w:hAnsiTheme="minorHAnsi" w:cstheme="minorHAnsi"/>
                <w:bdr w:val="nil"/>
                <w:shd w:val="clear" w:color="auto" w:fill="FFFFFF"/>
              </w:rPr>
              <w:t xml:space="preserve">of community education, </w:t>
            </w:r>
            <w:proofErr w:type="gramStart"/>
            <w:r w:rsidRPr="005E3B44">
              <w:rPr>
                <w:rFonts w:asciiTheme="minorHAnsi" w:hAnsiTheme="minorHAnsi" w:cstheme="minorHAnsi"/>
                <w:bdr w:val="nil"/>
                <w:shd w:val="clear" w:color="auto" w:fill="FFFFFF"/>
              </w:rPr>
              <w:t>information</w:t>
            </w:r>
            <w:proofErr w:type="gramEnd"/>
            <w:r w:rsidRPr="005E3B44">
              <w:rPr>
                <w:rFonts w:asciiTheme="minorHAnsi" w:hAnsiTheme="minorHAnsi" w:cstheme="minorHAnsi"/>
                <w:bdr w:val="nil"/>
                <w:shd w:val="clear" w:color="auto" w:fill="FFFFFF"/>
              </w:rPr>
              <w:t xml:space="preserve"> and </w:t>
            </w:r>
            <w:r w:rsidRPr="005E3B44">
              <w:rPr>
                <w:rFonts w:asciiTheme="minorHAnsi" w:hAnsiTheme="minorHAnsi" w:cstheme="minorHAnsi"/>
                <w:bdr w:val="nil"/>
              </w:rPr>
              <w:t>advice</w:t>
            </w:r>
            <w:r w:rsidRPr="005E3B44">
              <w:rPr>
                <w:rFonts w:asciiTheme="minorHAnsi" w:hAnsiTheme="minorHAnsi" w:cstheme="minorHAnsi"/>
                <w:bdr w:val="nil"/>
                <w:shd w:val="clear" w:color="auto" w:fill="FFFFFF"/>
              </w:rPr>
              <w:t xml:space="preserve"> in relation to human rights and (</w:t>
            </w:r>
            <w:proofErr w:type="spellStart"/>
            <w:r w:rsidRPr="005E3B44">
              <w:rPr>
                <w:rFonts w:asciiTheme="minorHAnsi" w:hAnsiTheme="minorHAnsi" w:cstheme="minorHAnsi"/>
                <w:bdr w:val="nil"/>
                <w:shd w:val="clear" w:color="auto" w:fill="FFFFFF"/>
              </w:rPr>
              <w:t>i</w:t>
            </w:r>
            <w:proofErr w:type="spellEnd"/>
            <w:r w:rsidRPr="005E3B44">
              <w:rPr>
                <w:rFonts w:asciiTheme="minorHAnsi" w:hAnsiTheme="minorHAnsi" w:cstheme="minorHAnsi"/>
                <w:bdr w:val="nil"/>
                <w:shd w:val="clear" w:color="auto" w:fill="FFFFFF"/>
              </w:rPr>
              <w:t xml:space="preserve">) </w:t>
            </w:r>
            <w:r w:rsidRPr="005E3B44">
              <w:rPr>
                <w:rFonts w:asciiTheme="minorHAnsi" w:hAnsiTheme="minorHAnsi" w:cstheme="minorHAnsi"/>
                <w:bdr w:val="nil"/>
              </w:rPr>
              <w:t xml:space="preserve">services for children and young people, (ii) disability services, (iii) discrimination, (iv) health services, and (v) services for older people and other complaint jurisdictions: </w:t>
            </w:r>
            <w:r w:rsidRPr="005E3B44">
              <w:rPr>
                <w:rFonts w:asciiTheme="minorHAnsi" w:hAnsiTheme="minorHAnsi" w:cstheme="minorHAnsi"/>
                <w:bdr w:val="nil"/>
                <w:vertAlign w:val="superscript"/>
              </w:rPr>
              <w:t>c</w:t>
            </w:r>
          </w:p>
        </w:tc>
        <w:tc>
          <w:tcPr>
            <w:tcW w:w="732" w:type="pct"/>
            <w:tcBorders>
              <w:top w:val="nil"/>
              <w:left w:val="nil"/>
              <w:bottom w:val="nil"/>
              <w:right w:val="nil"/>
            </w:tcBorders>
          </w:tcPr>
          <w:p w14:paraId="753FF25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834" w:type="pct"/>
            <w:tcBorders>
              <w:top w:val="nil"/>
              <w:left w:val="nil"/>
              <w:bottom w:val="nil"/>
              <w:right w:val="nil"/>
            </w:tcBorders>
          </w:tcPr>
          <w:p w14:paraId="3140FB4E"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tcPr>
          <w:p w14:paraId="24F59C8E"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shd w:val="clear" w:color="auto" w:fill="auto"/>
          </w:tcPr>
          <w:p w14:paraId="7D83B66B"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p>
        </w:tc>
      </w:tr>
      <w:tr w:rsidR="002242F3" w:rsidRPr="005E3B44" w14:paraId="423E8DDC" w14:textId="77777777" w:rsidTr="005E3B44">
        <w:trPr>
          <w:trHeight w:val="283"/>
        </w:trPr>
        <w:tc>
          <w:tcPr>
            <w:tcW w:w="2134" w:type="pct"/>
            <w:tcBorders>
              <w:top w:val="nil"/>
              <w:left w:val="nil"/>
              <w:bottom w:val="nil"/>
              <w:right w:val="nil"/>
            </w:tcBorders>
            <w:hideMark/>
          </w:tcPr>
          <w:p w14:paraId="57DC5419"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 w:val="left" w:pos="709"/>
              </w:tabs>
              <w:spacing w:line="256" w:lineRule="auto"/>
              <w:ind w:left="709" w:hanging="283"/>
              <w:rPr>
                <w:rFonts w:asciiTheme="minorHAnsi" w:hAnsiTheme="minorHAnsi" w:cstheme="minorHAnsi"/>
                <w:bdr w:val="nil"/>
              </w:rPr>
            </w:pPr>
            <w:r w:rsidRPr="005E3B44">
              <w:rPr>
                <w:rFonts w:asciiTheme="minorHAnsi" w:hAnsiTheme="minorHAnsi" w:cstheme="minorHAnsi"/>
                <w:bdr w:val="nil"/>
              </w:rPr>
              <w:t>Number of community engagement activities undertaken by the Commission</w:t>
            </w:r>
          </w:p>
        </w:tc>
        <w:tc>
          <w:tcPr>
            <w:tcW w:w="732" w:type="pct"/>
            <w:tcBorders>
              <w:top w:val="nil"/>
              <w:left w:val="nil"/>
              <w:bottom w:val="nil"/>
              <w:right w:val="nil"/>
            </w:tcBorders>
            <w:hideMark/>
          </w:tcPr>
          <w:p w14:paraId="3A93185A"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70</w:t>
            </w:r>
          </w:p>
        </w:tc>
        <w:tc>
          <w:tcPr>
            <w:tcW w:w="834" w:type="pct"/>
            <w:tcBorders>
              <w:top w:val="nil"/>
              <w:left w:val="nil"/>
              <w:bottom w:val="nil"/>
              <w:right w:val="nil"/>
            </w:tcBorders>
            <w:hideMark/>
          </w:tcPr>
          <w:p w14:paraId="381A034C"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75</w:t>
            </w:r>
          </w:p>
        </w:tc>
        <w:tc>
          <w:tcPr>
            <w:tcW w:w="650" w:type="pct"/>
            <w:tcBorders>
              <w:top w:val="nil"/>
              <w:left w:val="nil"/>
              <w:bottom w:val="nil"/>
              <w:right w:val="nil"/>
            </w:tcBorders>
          </w:tcPr>
          <w:p w14:paraId="58FD42D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w:t>
            </w:r>
          </w:p>
        </w:tc>
        <w:tc>
          <w:tcPr>
            <w:tcW w:w="650" w:type="pct"/>
            <w:tcBorders>
              <w:top w:val="nil"/>
              <w:left w:val="nil"/>
              <w:bottom w:val="nil"/>
              <w:right w:val="nil"/>
            </w:tcBorders>
            <w:shd w:val="clear" w:color="auto" w:fill="auto"/>
          </w:tcPr>
          <w:p w14:paraId="06FA0FD8"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8E46C2">
              <w:rPr>
                <w:rFonts w:asciiTheme="minorHAnsi" w:hAnsiTheme="minorHAnsi" w:cstheme="minorHAnsi"/>
                <w:sz w:val="20"/>
                <w:szCs w:val="20"/>
                <w:bdr w:val="nil"/>
              </w:rPr>
              <w:t>70</w:t>
            </w:r>
          </w:p>
        </w:tc>
      </w:tr>
      <w:tr w:rsidR="002242F3" w:rsidRPr="005E3B44" w14:paraId="1057B601" w14:textId="77777777" w:rsidTr="005E3B44">
        <w:trPr>
          <w:trHeight w:val="283"/>
        </w:trPr>
        <w:tc>
          <w:tcPr>
            <w:tcW w:w="2134" w:type="pct"/>
            <w:tcBorders>
              <w:top w:val="nil"/>
              <w:left w:val="nil"/>
              <w:bottom w:val="nil"/>
              <w:right w:val="nil"/>
            </w:tcBorders>
            <w:hideMark/>
          </w:tcPr>
          <w:p w14:paraId="74D51A31"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
                <w:bdr w:val="nil"/>
              </w:rPr>
            </w:pPr>
            <w:r w:rsidRPr="005E3B44">
              <w:rPr>
                <w:rFonts w:asciiTheme="minorHAnsi" w:hAnsiTheme="minorHAnsi" w:cstheme="minorHAnsi"/>
                <w:b/>
                <w:bdr w:val="nil"/>
              </w:rPr>
              <w:t>Public Advocate</w:t>
            </w:r>
          </w:p>
        </w:tc>
        <w:tc>
          <w:tcPr>
            <w:tcW w:w="732" w:type="pct"/>
            <w:tcBorders>
              <w:top w:val="nil"/>
              <w:left w:val="nil"/>
              <w:bottom w:val="nil"/>
              <w:right w:val="nil"/>
            </w:tcBorders>
          </w:tcPr>
          <w:p w14:paraId="2E5AD1DF"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shd w:val="clear" w:color="auto" w:fill="FFFF00"/>
              </w:rPr>
            </w:pPr>
          </w:p>
        </w:tc>
        <w:tc>
          <w:tcPr>
            <w:tcW w:w="834" w:type="pct"/>
            <w:tcBorders>
              <w:top w:val="nil"/>
              <w:left w:val="nil"/>
              <w:bottom w:val="nil"/>
              <w:right w:val="nil"/>
            </w:tcBorders>
          </w:tcPr>
          <w:p w14:paraId="6D322C74"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tcPr>
          <w:p w14:paraId="38E0532E"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shd w:val="clear" w:color="auto" w:fill="auto"/>
          </w:tcPr>
          <w:p w14:paraId="10E3DB10"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r>
      <w:tr w:rsidR="002242F3" w:rsidRPr="005E3B44" w14:paraId="5F65F3BC" w14:textId="77777777" w:rsidTr="005E3B44">
        <w:trPr>
          <w:trHeight w:val="283"/>
        </w:trPr>
        <w:tc>
          <w:tcPr>
            <w:tcW w:w="2134" w:type="pct"/>
            <w:tcBorders>
              <w:top w:val="nil"/>
              <w:left w:val="nil"/>
              <w:bottom w:val="nil"/>
              <w:right w:val="nil"/>
            </w:tcBorders>
            <w:hideMark/>
          </w:tcPr>
          <w:p w14:paraId="0FEDF8E4" w14:textId="77777777" w:rsidR="002242F3" w:rsidRPr="005E3B44" w:rsidRDefault="002242F3" w:rsidP="005E3B44">
            <w:pPr>
              <w:pStyle w:val="BStablelist"/>
              <w:numPr>
                <w:ilvl w:val="0"/>
                <w:numId w:val="37"/>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The Public Advocate of the ACT’s actions towards achieving a caring community where the rights and interests of vulnerable people are protected:</w:t>
            </w:r>
          </w:p>
        </w:tc>
        <w:tc>
          <w:tcPr>
            <w:tcW w:w="732" w:type="pct"/>
            <w:tcBorders>
              <w:top w:val="nil"/>
              <w:left w:val="nil"/>
              <w:bottom w:val="nil"/>
              <w:right w:val="nil"/>
            </w:tcBorders>
          </w:tcPr>
          <w:p w14:paraId="377202F8"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shd w:val="clear" w:color="auto" w:fill="FFFF00"/>
              </w:rPr>
            </w:pPr>
          </w:p>
        </w:tc>
        <w:tc>
          <w:tcPr>
            <w:tcW w:w="834" w:type="pct"/>
            <w:tcBorders>
              <w:top w:val="nil"/>
              <w:left w:val="nil"/>
              <w:bottom w:val="nil"/>
              <w:right w:val="nil"/>
            </w:tcBorders>
          </w:tcPr>
          <w:p w14:paraId="2BE8AA27"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tcPr>
          <w:p w14:paraId="17D46DA4"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shd w:val="clear" w:color="auto" w:fill="auto"/>
          </w:tcPr>
          <w:p w14:paraId="4B7EED64"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r>
      <w:tr w:rsidR="002242F3" w:rsidRPr="005E3B44" w14:paraId="28631CDE" w14:textId="77777777" w:rsidTr="005E3B44">
        <w:trPr>
          <w:trHeight w:val="283"/>
        </w:trPr>
        <w:tc>
          <w:tcPr>
            <w:tcW w:w="2134" w:type="pct"/>
            <w:tcBorders>
              <w:top w:val="nil"/>
              <w:left w:val="nil"/>
              <w:bottom w:val="nil"/>
              <w:right w:val="nil"/>
            </w:tcBorders>
            <w:hideMark/>
          </w:tcPr>
          <w:p w14:paraId="65446E67"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ind w:hanging="294"/>
              <w:rPr>
                <w:rFonts w:asciiTheme="minorHAnsi" w:hAnsiTheme="minorHAnsi" w:cstheme="minorHAnsi"/>
                <w:bdr w:val="nil"/>
              </w:rPr>
            </w:pPr>
            <w:r w:rsidRPr="005E3B44">
              <w:rPr>
                <w:rFonts w:asciiTheme="minorHAnsi" w:hAnsiTheme="minorHAnsi" w:cstheme="minorHAnsi"/>
                <w:bdr w:val="nil"/>
              </w:rPr>
              <w:t>Proportion of client survey respondents for whom advocacy services are provided by the Public Advocate of the ACT where a high level of satisfaction is reported</w:t>
            </w:r>
            <w:r w:rsidRPr="005E3B44">
              <w:rPr>
                <w:rFonts w:asciiTheme="minorHAnsi" w:hAnsiTheme="minorHAnsi" w:cstheme="minorHAnsi"/>
                <w:bdr w:val="nil"/>
                <w:vertAlign w:val="superscript"/>
              </w:rPr>
              <w:t xml:space="preserve"> 2</w:t>
            </w:r>
          </w:p>
        </w:tc>
        <w:tc>
          <w:tcPr>
            <w:tcW w:w="732" w:type="pct"/>
            <w:tcBorders>
              <w:top w:val="nil"/>
              <w:left w:val="nil"/>
              <w:bottom w:val="nil"/>
              <w:right w:val="nil"/>
            </w:tcBorders>
            <w:hideMark/>
          </w:tcPr>
          <w:p w14:paraId="0D4C4FF8" w14:textId="77777777"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75%</w:t>
            </w:r>
          </w:p>
        </w:tc>
        <w:tc>
          <w:tcPr>
            <w:tcW w:w="834" w:type="pct"/>
            <w:tcBorders>
              <w:top w:val="nil"/>
              <w:left w:val="nil"/>
              <w:bottom w:val="nil"/>
              <w:right w:val="nil"/>
            </w:tcBorders>
            <w:hideMark/>
          </w:tcPr>
          <w:p w14:paraId="43A49BCF" w14:textId="77777777" w:rsidR="002242F3" w:rsidRPr="004A6DD0"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4A6DD0">
              <w:rPr>
                <w:rFonts w:asciiTheme="minorHAnsi" w:hAnsiTheme="minorHAnsi" w:cstheme="minorHAnsi"/>
                <w:szCs w:val="20"/>
                <w:bdr w:val="nil"/>
              </w:rPr>
              <w:t>63%</w:t>
            </w:r>
          </w:p>
        </w:tc>
        <w:tc>
          <w:tcPr>
            <w:tcW w:w="650" w:type="pct"/>
            <w:tcBorders>
              <w:top w:val="nil"/>
              <w:left w:val="nil"/>
              <w:bottom w:val="nil"/>
              <w:right w:val="nil"/>
            </w:tcBorders>
          </w:tcPr>
          <w:p w14:paraId="1CFA2F51" w14:textId="77777777"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(16)</w:t>
            </w:r>
          </w:p>
        </w:tc>
        <w:tc>
          <w:tcPr>
            <w:tcW w:w="650" w:type="pct"/>
            <w:tcBorders>
              <w:top w:val="nil"/>
              <w:left w:val="nil"/>
              <w:bottom w:val="nil"/>
              <w:right w:val="nil"/>
            </w:tcBorders>
            <w:shd w:val="clear" w:color="auto" w:fill="auto"/>
          </w:tcPr>
          <w:p w14:paraId="44F5E51B" w14:textId="77777777"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75%</w:t>
            </w:r>
          </w:p>
        </w:tc>
      </w:tr>
      <w:tr w:rsidR="002242F3" w:rsidRPr="005E3B44" w14:paraId="13DF6B48" w14:textId="77777777" w:rsidTr="005E3B44">
        <w:trPr>
          <w:trHeight w:val="283"/>
        </w:trPr>
        <w:tc>
          <w:tcPr>
            <w:tcW w:w="2134" w:type="pct"/>
            <w:tcBorders>
              <w:top w:val="nil"/>
              <w:left w:val="nil"/>
              <w:bottom w:val="nil"/>
              <w:right w:val="nil"/>
            </w:tcBorders>
            <w:hideMark/>
          </w:tcPr>
          <w:p w14:paraId="7D57453D" w14:textId="77777777" w:rsidR="002242F3" w:rsidRPr="005E3B44" w:rsidRDefault="002242F3" w:rsidP="005E3B44">
            <w:pPr>
              <w:pStyle w:val="BStabletext2"/>
              <w:pBdr>
                <w:top w:val="nil"/>
                <w:left w:val="nil"/>
                <w:bottom w:val="nil"/>
                <w:right w:val="nil"/>
                <w:between w:val="nil"/>
                <w:bar w:val="nil"/>
              </w:pBdr>
              <w:spacing w:line="256" w:lineRule="auto"/>
              <w:ind w:left="426"/>
              <w:rPr>
                <w:rFonts w:asciiTheme="minorHAnsi" w:hAnsiTheme="minorHAnsi" w:cstheme="minorHAnsi"/>
                <w:bdr w:val="nil"/>
              </w:rPr>
            </w:pPr>
            <w:r w:rsidRPr="005E3B44">
              <w:rPr>
                <w:rFonts w:asciiTheme="minorHAnsi" w:hAnsiTheme="minorHAnsi" w:cstheme="minorHAnsi"/>
                <w:bdr w:val="nil"/>
              </w:rPr>
              <w:t>Individuals, excluding guardianship clients, brought to the attention of the Public Advocate:</w:t>
            </w:r>
          </w:p>
        </w:tc>
        <w:tc>
          <w:tcPr>
            <w:tcW w:w="732" w:type="pct"/>
            <w:tcBorders>
              <w:top w:val="nil"/>
              <w:left w:val="nil"/>
              <w:bottom w:val="nil"/>
              <w:right w:val="nil"/>
            </w:tcBorders>
          </w:tcPr>
          <w:p w14:paraId="18083823"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834" w:type="pct"/>
            <w:tcBorders>
              <w:top w:val="nil"/>
              <w:left w:val="nil"/>
              <w:bottom w:val="nil"/>
              <w:right w:val="nil"/>
            </w:tcBorders>
          </w:tcPr>
          <w:p w14:paraId="0E5E5DAD"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tcPr>
          <w:p w14:paraId="553C69D9"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shd w:val="clear" w:color="auto" w:fill="auto"/>
          </w:tcPr>
          <w:p w14:paraId="09B585EC" w14:textId="77777777" w:rsidR="002242F3" w:rsidRPr="008E46C2"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r>
      <w:tr w:rsidR="002242F3" w:rsidRPr="005E3B44" w14:paraId="5DE4F29D" w14:textId="77777777" w:rsidTr="005E3B44">
        <w:trPr>
          <w:trHeight w:val="283"/>
        </w:trPr>
        <w:tc>
          <w:tcPr>
            <w:tcW w:w="2134" w:type="pct"/>
            <w:tcBorders>
              <w:top w:val="nil"/>
              <w:left w:val="nil"/>
              <w:bottom w:val="nil"/>
              <w:right w:val="nil"/>
            </w:tcBorders>
            <w:hideMark/>
          </w:tcPr>
          <w:p w14:paraId="7D2353A3" w14:textId="77777777" w:rsidR="002242F3" w:rsidRPr="005E3B44" w:rsidRDefault="002242F3" w:rsidP="005E3B44">
            <w:pPr>
              <w:pStyle w:val="BStabledotpoint"/>
              <w:numPr>
                <w:ilvl w:val="0"/>
                <w:numId w:val="32"/>
              </w:numPr>
              <w:pBdr>
                <w:top w:val="nil"/>
                <w:left w:val="nil"/>
                <w:bottom w:val="nil"/>
                <w:right w:val="nil"/>
                <w:between w:val="nil"/>
                <w:bar w:val="nil"/>
              </w:pBdr>
              <w:tabs>
                <w:tab w:val="left" w:pos="296"/>
              </w:tabs>
              <w:spacing w:line="256" w:lineRule="auto"/>
              <w:ind w:hanging="294"/>
              <w:rPr>
                <w:rFonts w:asciiTheme="minorHAnsi" w:hAnsiTheme="minorHAnsi" w:cstheme="minorHAnsi"/>
                <w:bdr w:val="nil"/>
              </w:rPr>
            </w:pPr>
            <w:r w:rsidRPr="005E3B44">
              <w:rPr>
                <w:rFonts w:asciiTheme="minorHAnsi" w:hAnsiTheme="minorHAnsi" w:cstheme="minorHAnsi"/>
                <w:bdr w:val="nil"/>
              </w:rPr>
              <w:t xml:space="preserve">Proportion of individuals brought to the attention of the Public Advocate for whom direct advocacy is provided </w:t>
            </w:r>
            <w:r w:rsidRPr="005E3B44">
              <w:rPr>
                <w:rFonts w:asciiTheme="minorHAnsi" w:hAnsiTheme="minorHAnsi" w:cstheme="minorHAnsi"/>
                <w:bdr w:val="nil"/>
                <w:vertAlign w:val="superscript"/>
              </w:rPr>
              <w:t>3</w:t>
            </w:r>
          </w:p>
        </w:tc>
        <w:tc>
          <w:tcPr>
            <w:tcW w:w="732" w:type="pct"/>
            <w:tcBorders>
              <w:top w:val="nil"/>
              <w:left w:val="nil"/>
              <w:bottom w:val="nil"/>
              <w:right w:val="nil"/>
            </w:tcBorders>
            <w:hideMark/>
          </w:tcPr>
          <w:p w14:paraId="4F4C940B" w14:textId="77777777"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25%</w:t>
            </w:r>
          </w:p>
        </w:tc>
        <w:tc>
          <w:tcPr>
            <w:tcW w:w="834" w:type="pct"/>
            <w:tcBorders>
              <w:top w:val="nil"/>
              <w:left w:val="nil"/>
              <w:bottom w:val="nil"/>
              <w:right w:val="nil"/>
            </w:tcBorders>
            <w:hideMark/>
          </w:tcPr>
          <w:p w14:paraId="47D83F57" w14:textId="77777777" w:rsidR="002242F3" w:rsidRPr="004A6DD0"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4A6DD0">
              <w:rPr>
                <w:rFonts w:asciiTheme="minorHAnsi" w:hAnsiTheme="minorHAnsi" w:cstheme="minorHAnsi"/>
                <w:szCs w:val="20"/>
                <w:bdr w:val="nil"/>
              </w:rPr>
              <w:t>37%</w:t>
            </w:r>
          </w:p>
        </w:tc>
        <w:tc>
          <w:tcPr>
            <w:tcW w:w="650" w:type="pct"/>
            <w:tcBorders>
              <w:top w:val="nil"/>
              <w:left w:val="nil"/>
              <w:bottom w:val="nil"/>
              <w:right w:val="nil"/>
            </w:tcBorders>
          </w:tcPr>
          <w:p w14:paraId="4E02C22C" w14:textId="77777777"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48</w:t>
            </w:r>
          </w:p>
        </w:tc>
        <w:tc>
          <w:tcPr>
            <w:tcW w:w="650" w:type="pct"/>
            <w:tcBorders>
              <w:top w:val="nil"/>
              <w:left w:val="nil"/>
              <w:bottom w:val="nil"/>
              <w:right w:val="nil"/>
            </w:tcBorders>
            <w:shd w:val="clear" w:color="auto" w:fill="auto"/>
          </w:tcPr>
          <w:p w14:paraId="5ADFFC75" w14:textId="77777777"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25%</w:t>
            </w:r>
          </w:p>
        </w:tc>
      </w:tr>
      <w:tr w:rsidR="002242F3" w:rsidRPr="005E3B44" w14:paraId="342C97A5" w14:textId="77777777" w:rsidTr="00E06139">
        <w:trPr>
          <w:trHeight w:val="283"/>
        </w:trPr>
        <w:tc>
          <w:tcPr>
            <w:tcW w:w="2134" w:type="pct"/>
            <w:tcBorders>
              <w:top w:val="nil"/>
              <w:left w:val="nil"/>
              <w:bottom w:val="nil"/>
              <w:right w:val="nil"/>
            </w:tcBorders>
          </w:tcPr>
          <w:p w14:paraId="333C5045" w14:textId="7D7BF88F" w:rsidR="002242F3" w:rsidRPr="005E3B44" w:rsidRDefault="002242F3" w:rsidP="00E06139">
            <w:pPr>
              <w:pStyle w:val="BStabledotpoint"/>
              <w:pBdr>
                <w:top w:val="nil"/>
                <w:left w:val="nil"/>
                <w:bottom w:val="nil"/>
                <w:right w:val="nil"/>
                <w:between w:val="nil"/>
                <w:bar w:val="nil"/>
              </w:pBdr>
              <w:tabs>
                <w:tab w:val="clear" w:pos="360"/>
                <w:tab w:val="left" w:pos="296"/>
              </w:tabs>
              <w:spacing w:line="256" w:lineRule="auto"/>
              <w:ind w:left="720"/>
              <w:rPr>
                <w:rFonts w:asciiTheme="minorHAnsi" w:hAnsiTheme="minorHAnsi" w:cstheme="minorHAnsi"/>
                <w:bdr w:val="nil"/>
              </w:rPr>
            </w:pPr>
          </w:p>
        </w:tc>
        <w:tc>
          <w:tcPr>
            <w:tcW w:w="732" w:type="pct"/>
            <w:tcBorders>
              <w:top w:val="nil"/>
              <w:left w:val="nil"/>
              <w:bottom w:val="nil"/>
              <w:right w:val="nil"/>
            </w:tcBorders>
          </w:tcPr>
          <w:p w14:paraId="2BE03BBD" w14:textId="174E9CB4"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p>
        </w:tc>
        <w:tc>
          <w:tcPr>
            <w:tcW w:w="834" w:type="pct"/>
            <w:tcBorders>
              <w:top w:val="nil"/>
              <w:left w:val="nil"/>
              <w:bottom w:val="nil"/>
              <w:right w:val="nil"/>
            </w:tcBorders>
          </w:tcPr>
          <w:p w14:paraId="54607EE0" w14:textId="3DDE768A" w:rsidR="002242F3" w:rsidRPr="004A6DD0"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p>
        </w:tc>
        <w:tc>
          <w:tcPr>
            <w:tcW w:w="650" w:type="pct"/>
            <w:tcBorders>
              <w:top w:val="nil"/>
              <w:left w:val="nil"/>
              <w:bottom w:val="nil"/>
              <w:right w:val="nil"/>
            </w:tcBorders>
          </w:tcPr>
          <w:p w14:paraId="14F04094" w14:textId="1A765B1C"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p>
        </w:tc>
        <w:tc>
          <w:tcPr>
            <w:tcW w:w="650" w:type="pct"/>
            <w:tcBorders>
              <w:top w:val="nil"/>
              <w:left w:val="nil"/>
              <w:bottom w:val="nil"/>
              <w:right w:val="nil"/>
            </w:tcBorders>
            <w:shd w:val="clear" w:color="auto" w:fill="auto"/>
          </w:tcPr>
          <w:p w14:paraId="5FEA2224" w14:textId="499205E2" w:rsidR="002242F3" w:rsidRPr="00D635C7" w:rsidRDefault="002242F3" w:rsidP="005E3B44">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p>
        </w:tc>
      </w:tr>
    </w:tbl>
    <w:p w14:paraId="318876AA" w14:textId="77777777" w:rsidR="00524AA2" w:rsidRDefault="00524AA2" w:rsidP="002242F3">
      <w:pPr>
        <w:pStyle w:val="BSnoteslist2"/>
        <w:widowControl w:val="0"/>
        <w:numPr>
          <w:ilvl w:val="0"/>
          <w:numId w:val="0"/>
        </w:numPr>
        <w:pBdr>
          <w:top w:val="nil"/>
          <w:left w:val="nil"/>
          <w:bottom w:val="nil"/>
          <w:right w:val="nil"/>
          <w:between w:val="nil"/>
          <w:bar w:val="nil"/>
        </w:pBdr>
        <w:spacing w:before="120"/>
        <w:rPr>
          <w:rFonts w:asciiTheme="minorHAnsi" w:hAnsiTheme="minorHAnsi" w:cstheme="minorHAnsi"/>
          <w:bdr w:val="nil"/>
        </w:rPr>
      </w:pPr>
      <w:bookmarkStart w:id="20" w:name="_Hlk57801357"/>
    </w:p>
    <w:p w14:paraId="5509533D" w14:textId="083A1BD7" w:rsidR="00524AA2" w:rsidRDefault="00524AA2" w:rsidP="004C1875">
      <w:pPr>
        <w:pStyle w:val="Heading4"/>
      </w:pPr>
      <w:r w:rsidRPr="00E06139">
        <w:lastRenderedPageBreak/>
        <w:t>Output 1.5: Protection of Rights (Continued)</w:t>
      </w:r>
    </w:p>
    <w:p w14:paraId="384AC3E0" w14:textId="3E479EB4" w:rsidR="00017B4D" w:rsidRPr="00E06139" w:rsidRDefault="00017B4D" w:rsidP="00E06139">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 xml:space="preserve">Table </w:t>
      </w:r>
      <w:r>
        <w:rPr>
          <w:rFonts w:asciiTheme="minorHAnsi" w:hAnsiTheme="minorHAnsi" w:cstheme="minorHAnsi"/>
          <w:bdr w:val="nil"/>
        </w:rPr>
        <w:t>20</w:t>
      </w:r>
      <w:r w:rsidRPr="005E3B44">
        <w:rPr>
          <w:rFonts w:asciiTheme="minorHAnsi" w:hAnsiTheme="minorHAnsi" w:cstheme="minorHAnsi"/>
          <w:bdr w:val="nil"/>
        </w:rPr>
        <w:t>: Accountability Indicators</w:t>
      </w:r>
      <w:r w:rsidRPr="005E3B44">
        <w:rPr>
          <w:rFonts w:asciiTheme="minorHAnsi" w:hAnsiTheme="minorHAnsi" w:cstheme="minorHAnsi"/>
          <w:noProof/>
          <w:bdr w:val="nil"/>
        </w:rPr>
        <w:t xml:space="preserve"> Output 1.5</w:t>
      </w:r>
      <w:r>
        <w:rPr>
          <w:rFonts w:asciiTheme="minorHAnsi" w:hAnsiTheme="minorHAnsi" w:cstheme="minorHAnsi"/>
          <w:noProof/>
          <w:bdr w:val="nil"/>
        </w:rPr>
        <w:t xml:space="preserve"> (Continued)</w:t>
      </w:r>
    </w:p>
    <w:tbl>
      <w:tblPr>
        <w:tblW w:w="9243" w:type="dxa"/>
        <w:tblBorders>
          <w:top w:val="single" w:sz="12" w:space="0" w:color="000000"/>
          <w:bottom w:val="single" w:sz="12" w:space="0" w:color="000000"/>
        </w:tblBorders>
        <w:tblLook w:val="04A0" w:firstRow="1" w:lastRow="0" w:firstColumn="1" w:lastColumn="0" w:noHBand="0" w:noVBand="1"/>
      </w:tblPr>
      <w:tblGrid>
        <w:gridCol w:w="3944"/>
        <w:gridCol w:w="1353"/>
        <w:gridCol w:w="1542"/>
        <w:gridCol w:w="1202"/>
        <w:gridCol w:w="1202"/>
      </w:tblGrid>
      <w:tr w:rsidR="00524AA2" w:rsidRPr="005E3B44" w14:paraId="04E4E7EB" w14:textId="77777777" w:rsidTr="00524AA2">
        <w:trPr>
          <w:trHeight w:val="739"/>
        </w:trPr>
        <w:tc>
          <w:tcPr>
            <w:tcW w:w="2134" w:type="pct"/>
            <w:tcBorders>
              <w:top w:val="single" w:sz="12" w:space="0" w:color="000000"/>
              <w:left w:val="nil"/>
              <w:bottom w:val="single" w:sz="12" w:space="0" w:color="000000"/>
              <w:right w:val="nil"/>
            </w:tcBorders>
          </w:tcPr>
          <w:p w14:paraId="61A123E5" w14:textId="77777777" w:rsidR="00524AA2" w:rsidRPr="005E3B44" w:rsidRDefault="00524AA2" w:rsidP="00524AA2">
            <w:pPr>
              <w:pStyle w:val="BStabletext1"/>
              <w:pBdr>
                <w:top w:val="nil"/>
                <w:left w:val="nil"/>
                <w:bottom w:val="nil"/>
                <w:right w:val="nil"/>
                <w:between w:val="nil"/>
                <w:bar w:val="nil"/>
              </w:pBdr>
              <w:rPr>
                <w:rFonts w:asciiTheme="minorHAnsi" w:hAnsiTheme="minorHAnsi" w:cstheme="minorHAnsi"/>
                <w:bdr w:val="nil"/>
                <w:lang w:eastAsia="zh-CN"/>
              </w:rPr>
            </w:pPr>
          </w:p>
        </w:tc>
        <w:tc>
          <w:tcPr>
            <w:tcW w:w="732" w:type="pct"/>
            <w:tcBorders>
              <w:top w:val="single" w:sz="12" w:space="0" w:color="000000"/>
              <w:left w:val="nil"/>
              <w:bottom w:val="single" w:sz="12" w:space="0" w:color="000000"/>
              <w:right w:val="nil"/>
            </w:tcBorders>
            <w:hideMark/>
          </w:tcPr>
          <w:p w14:paraId="7DEAFAAE" w14:textId="77777777" w:rsidR="00524AA2" w:rsidRPr="005E3B44" w:rsidRDefault="00524AA2" w:rsidP="00524AA2">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3A9FD408" w14:textId="77777777" w:rsidR="00524AA2" w:rsidRPr="005E3B44" w:rsidRDefault="00524AA2" w:rsidP="00524AA2">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34" w:type="pct"/>
            <w:tcBorders>
              <w:top w:val="single" w:sz="12" w:space="0" w:color="000000"/>
              <w:left w:val="nil"/>
              <w:bottom w:val="single" w:sz="12" w:space="0" w:color="000000"/>
              <w:right w:val="nil"/>
            </w:tcBorders>
            <w:hideMark/>
          </w:tcPr>
          <w:p w14:paraId="20960343" w14:textId="77777777" w:rsidR="00524AA2" w:rsidRPr="005E3B44" w:rsidRDefault="00524AA2" w:rsidP="00524AA2">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3607D857" w14:textId="77777777" w:rsidR="00524AA2" w:rsidRPr="005E3B44" w:rsidRDefault="00524AA2" w:rsidP="00524AA2">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66034184" w14:textId="77777777" w:rsidR="00524AA2" w:rsidRPr="005E3B44" w:rsidRDefault="00524AA2" w:rsidP="00524AA2">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50" w:type="pct"/>
            <w:tcBorders>
              <w:top w:val="single" w:sz="12" w:space="0" w:color="000000"/>
              <w:left w:val="nil"/>
              <w:bottom w:val="single" w:sz="12" w:space="0" w:color="000000"/>
              <w:right w:val="nil"/>
            </w:tcBorders>
          </w:tcPr>
          <w:p w14:paraId="25F562D6" w14:textId="77777777" w:rsidR="00524AA2" w:rsidRPr="005E3B44" w:rsidRDefault="00524AA2" w:rsidP="00524AA2">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51DD6536" w14:textId="77777777" w:rsidR="00524AA2" w:rsidRPr="005E3B44" w:rsidRDefault="00524AA2" w:rsidP="00524AA2">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50" w:type="pct"/>
            <w:tcBorders>
              <w:top w:val="single" w:sz="12" w:space="0" w:color="000000"/>
              <w:left w:val="nil"/>
              <w:bottom w:val="single" w:sz="12" w:space="0" w:color="000000"/>
              <w:right w:val="nil"/>
            </w:tcBorders>
            <w:hideMark/>
          </w:tcPr>
          <w:p w14:paraId="3580AEAC" w14:textId="77777777" w:rsidR="00524AA2" w:rsidRPr="005E3B44" w:rsidRDefault="00524AA2" w:rsidP="00524AA2">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24B9BF19" w14:textId="77777777" w:rsidR="00524AA2" w:rsidRPr="005E3B44" w:rsidRDefault="00524AA2" w:rsidP="00524AA2">
            <w:pPr>
              <w:pStyle w:val="BStableheading11"/>
              <w:framePr w:wrap="auto" w:vAnchor="margin" w:yAlign="inline"/>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tr w:rsidR="00524AA2" w:rsidRPr="00D635C7" w14:paraId="45D6F90D" w14:textId="77777777" w:rsidTr="00524AA2">
        <w:trPr>
          <w:trHeight w:val="283"/>
        </w:trPr>
        <w:tc>
          <w:tcPr>
            <w:tcW w:w="2134" w:type="pct"/>
            <w:tcBorders>
              <w:top w:val="nil"/>
              <w:left w:val="nil"/>
              <w:bottom w:val="nil"/>
              <w:right w:val="nil"/>
            </w:tcBorders>
            <w:hideMark/>
          </w:tcPr>
          <w:p w14:paraId="5CA1E0EF" w14:textId="77777777" w:rsidR="00524AA2" w:rsidRPr="005E3B44" w:rsidRDefault="00524AA2" w:rsidP="00524AA2">
            <w:pPr>
              <w:pStyle w:val="BStabledotpoint"/>
              <w:numPr>
                <w:ilvl w:val="0"/>
                <w:numId w:val="32"/>
              </w:numPr>
              <w:pBdr>
                <w:top w:val="nil"/>
                <w:left w:val="nil"/>
                <w:bottom w:val="nil"/>
                <w:right w:val="nil"/>
                <w:between w:val="nil"/>
                <w:bar w:val="nil"/>
              </w:pBdr>
              <w:tabs>
                <w:tab w:val="left" w:pos="296"/>
              </w:tabs>
              <w:spacing w:line="256" w:lineRule="auto"/>
              <w:ind w:hanging="294"/>
              <w:rPr>
                <w:rFonts w:asciiTheme="minorHAnsi" w:hAnsiTheme="minorHAnsi" w:cstheme="minorHAnsi"/>
                <w:bdr w:val="nil"/>
              </w:rPr>
            </w:pPr>
            <w:r w:rsidRPr="005E3B44">
              <w:rPr>
                <w:rFonts w:asciiTheme="minorHAnsi" w:hAnsiTheme="minorHAnsi" w:cstheme="minorHAnsi"/>
                <w:bdr w:val="nil"/>
              </w:rPr>
              <w:t xml:space="preserve">Percentage of clients referred to the Public Advocate for whom a review of the documentation was undertaken </w:t>
            </w:r>
            <w:r w:rsidRPr="005E3B44">
              <w:rPr>
                <w:rFonts w:asciiTheme="minorHAnsi" w:hAnsiTheme="minorHAnsi" w:cstheme="minorHAnsi"/>
                <w:bdr w:val="nil"/>
                <w:vertAlign w:val="superscript"/>
              </w:rPr>
              <w:t>d, 4</w:t>
            </w:r>
          </w:p>
        </w:tc>
        <w:tc>
          <w:tcPr>
            <w:tcW w:w="732" w:type="pct"/>
            <w:tcBorders>
              <w:top w:val="nil"/>
              <w:left w:val="nil"/>
              <w:bottom w:val="nil"/>
              <w:right w:val="nil"/>
            </w:tcBorders>
            <w:hideMark/>
          </w:tcPr>
          <w:p w14:paraId="493F245D" w14:textId="77777777" w:rsidR="00524AA2" w:rsidRPr="00D635C7"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75%</w:t>
            </w:r>
          </w:p>
        </w:tc>
        <w:tc>
          <w:tcPr>
            <w:tcW w:w="834" w:type="pct"/>
            <w:tcBorders>
              <w:top w:val="nil"/>
              <w:left w:val="nil"/>
              <w:bottom w:val="nil"/>
              <w:right w:val="nil"/>
            </w:tcBorders>
            <w:hideMark/>
          </w:tcPr>
          <w:p w14:paraId="1662E113" w14:textId="77777777" w:rsidR="00524AA2" w:rsidRPr="004A6DD0"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4A6DD0">
              <w:rPr>
                <w:rFonts w:asciiTheme="minorHAnsi" w:hAnsiTheme="minorHAnsi" w:cstheme="minorHAnsi"/>
                <w:szCs w:val="20"/>
                <w:bdr w:val="nil"/>
              </w:rPr>
              <w:t>64%</w:t>
            </w:r>
          </w:p>
        </w:tc>
        <w:tc>
          <w:tcPr>
            <w:tcW w:w="650" w:type="pct"/>
            <w:tcBorders>
              <w:top w:val="nil"/>
              <w:left w:val="nil"/>
              <w:bottom w:val="nil"/>
              <w:right w:val="nil"/>
            </w:tcBorders>
          </w:tcPr>
          <w:p w14:paraId="6A614ED8" w14:textId="77777777" w:rsidR="00524AA2" w:rsidRPr="00D635C7"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(15)</w:t>
            </w:r>
          </w:p>
        </w:tc>
        <w:tc>
          <w:tcPr>
            <w:tcW w:w="650" w:type="pct"/>
            <w:tcBorders>
              <w:top w:val="nil"/>
              <w:left w:val="nil"/>
              <w:bottom w:val="nil"/>
              <w:right w:val="nil"/>
            </w:tcBorders>
            <w:shd w:val="clear" w:color="auto" w:fill="auto"/>
          </w:tcPr>
          <w:p w14:paraId="321AB678" w14:textId="77777777" w:rsidR="00524AA2" w:rsidRPr="00D635C7"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65%</w:t>
            </w:r>
          </w:p>
        </w:tc>
      </w:tr>
      <w:tr w:rsidR="00524AA2" w:rsidRPr="002D202E" w14:paraId="0DA3936F" w14:textId="77777777" w:rsidTr="00524AA2">
        <w:trPr>
          <w:trHeight w:val="68"/>
        </w:trPr>
        <w:tc>
          <w:tcPr>
            <w:tcW w:w="2134" w:type="pct"/>
            <w:tcBorders>
              <w:top w:val="nil"/>
              <w:left w:val="nil"/>
              <w:bottom w:val="nil"/>
              <w:right w:val="nil"/>
            </w:tcBorders>
            <w:hideMark/>
          </w:tcPr>
          <w:p w14:paraId="631D514B" w14:textId="77777777" w:rsidR="00524AA2" w:rsidRPr="005E3B44" w:rsidRDefault="00524AA2" w:rsidP="00524AA2">
            <w:pPr>
              <w:pStyle w:val="BStablelist"/>
              <w:numPr>
                <w:ilvl w:val="0"/>
                <w:numId w:val="0"/>
              </w:numPr>
              <w:pBdr>
                <w:top w:val="nil"/>
                <w:left w:val="nil"/>
                <w:bottom w:val="nil"/>
                <w:right w:val="nil"/>
                <w:between w:val="nil"/>
                <w:bar w:val="nil"/>
              </w:pBdr>
              <w:spacing w:line="256" w:lineRule="auto"/>
              <w:rPr>
                <w:rFonts w:asciiTheme="minorHAnsi" w:hAnsiTheme="minorHAnsi" w:cstheme="minorHAnsi"/>
                <w:b/>
                <w:bdr w:val="nil"/>
              </w:rPr>
            </w:pPr>
            <w:r w:rsidRPr="005E3B44">
              <w:rPr>
                <w:rFonts w:asciiTheme="minorHAnsi" w:hAnsiTheme="minorHAnsi" w:cstheme="minorHAnsi"/>
                <w:b/>
                <w:bdr w:val="nil"/>
              </w:rPr>
              <w:t>Victim Support ACT</w:t>
            </w:r>
          </w:p>
        </w:tc>
        <w:tc>
          <w:tcPr>
            <w:tcW w:w="732" w:type="pct"/>
            <w:tcBorders>
              <w:top w:val="nil"/>
              <w:left w:val="nil"/>
              <w:bottom w:val="nil"/>
              <w:right w:val="nil"/>
            </w:tcBorders>
          </w:tcPr>
          <w:p w14:paraId="76C4A7D3" w14:textId="77777777" w:rsidR="00524AA2" w:rsidRPr="002D202E" w:rsidRDefault="00524AA2" w:rsidP="00524AA2">
            <w:pPr>
              <w:pStyle w:val="BStablefigures1"/>
              <w:pBdr>
                <w:top w:val="nil"/>
                <w:left w:val="nil"/>
                <w:bottom w:val="nil"/>
                <w:right w:val="nil"/>
                <w:between w:val="nil"/>
                <w:bar w:val="nil"/>
              </w:pBdr>
              <w:rPr>
                <w:rFonts w:asciiTheme="minorHAnsi" w:hAnsiTheme="minorHAnsi" w:cstheme="minorHAnsi"/>
                <w:sz w:val="20"/>
                <w:szCs w:val="20"/>
                <w:bdr w:val="nil"/>
                <w:shd w:val="clear" w:color="auto" w:fill="FFFF00"/>
              </w:rPr>
            </w:pPr>
          </w:p>
        </w:tc>
        <w:tc>
          <w:tcPr>
            <w:tcW w:w="834" w:type="pct"/>
            <w:tcBorders>
              <w:top w:val="nil"/>
              <w:left w:val="nil"/>
              <w:bottom w:val="nil"/>
              <w:right w:val="nil"/>
            </w:tcBorders>
          </w:tcPr>
          <w:p w14:paraId="716733F9" w14:textId="77777777" w:rsidR="00524AA2" w:rsidRPr="002D202E" w:rsidRDefault="00524AA2" w:rsidP="00524AA2">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tcPr>
          <w:p w14:paraId="1F41CE12" w14:textId="77777777" w:rsidR="00524AA2" w:rsidRPr="002D202E" w:rsidRDefault="00524AA2" w:rsidP="00524AA2">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50" w:type="pct"/>
            <w:tcBorders>
              <w:top w:val="nil"/>
              <w:left w:val="nil"/>
              <w:bottom w:val="nil"/>
              <w:right w:val="nil"/>
            </w:tcBorders>
            <w:shd w:val="clear" w:color="auto" w:fill="auto"/>
          </w:tcPr>
          <w:p w14:paraId="3A8B50B2" w14:textId="77777777" w:rsidR="00524AA2" w:rsidRPr="002D202E" w:rsidRDefault="00524AA2" w:rsidP="00524AA2">
            <w:pPr>
              <w:pStyle w:val="BStablefigures1"/>
              <w:pBdr>
                <w:top w:val="nil"/>
                <w:left w:val="nil"/>
                <w:bottom w:val="nil"/>
                <w:right w:val="nil"/>
                <w:between w:val="nil"/>
                <w:bar w:val="nil"/>
              </w:pBdr>
              <w:rPr>
                <w:rFonts w:asciiTheme="minorHAnsi" w:hAnsiTheme="minorHAnsi" w:cstheme="minorHAnsi"/>
                <w:sz w:val="20"/>
                <w:szCs w:val="20"/>
                <w:highlight w:val="yellow"/>
                <w:bdr w:val="nil"/>
              </w:rPr>
            </w:pPr>
          </w:p>
        </w:tc>
      </w:tr>
      <w:tr w:rsidR="00524AA2" w:rsidRPr="00D635C7" w14:paraId="495D5D3C" w14:textId="77777777" w:rsidTr="00524AA2">
        <w:trPr>
          <w:trHeight w:val="283"/>
        </w:trPr>
        <w:tc>
          <w:tcPr>
            <w:tcW w:w="2134" w:type="pct"/>
            <w:tcBorders>
              <w:top w:val="nil"/>
              <w:left w:val="nil"/>
              <w:bottom w:val="single" w:sz="4" w:space="0" w:color="auto"/>
              <w:right w:val="nil"/>
            </w:tcBorders>
            <w:hideMark/>
          </w:tcPr>
          <w:p w14:paraId="575BC9D6" w14:textId="77777777" w:rsidR="00524AA2" w:rsidRPr="005E3B44" w:rsidRDefault="00524AA2" w:rsidP="00524AA2">
            <w:pPr>
              <w:pStyle w:val="BStablelist"/>
              <w:numPr>
                <w:ilvl w:val="0"/>
                <w:numId w:val="25"/>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 xml:space="preserve">Percentage of referrals to Victim Support ACT or the Victims of Crime Commissioner </w:t>
            </w:r>
            <w:r w:rsidRPr="005E3B44">
              <w:rPr>
                <w:rFonts w:asciiTheme="minorHAnsi" w:hAnsiTheme="minorHAnsi" w:cstheme="minorHAnsi"/>
                <w:color w:val="000000"/>
                <w:sz w:val="19"/>
                <w:szCs w:val="19"/>
                <w:bdr w:val="nil"/>
                <w:lang w:eastAsia="en-AU"/>
              </w:rPr>
              <w:t xml:space="preserve">- </w:t>
            </w:r>
            <w:r w:rsidRPr="005E3B44">
              <w:rPr>
                <w:rFonts w:asciiTheme="minorHAnsi" w:hAnsiTheme="minorHAnsi" w:cstheme="minorHAnsi"/>
                <w:bdr w:val="nil"/>
              </w:rPr>
              <w:t>actioned within five working days</w:t>
            </w:r>
          </w:p>
          <w:p w14:paraId="775AFFA4" w14:textId="77777777" w:rsidR="00524AA2" w:rsidRPr="005E3B44" w:rsidRDefault="00524AA2" w:rsidP="00524AA2">
            <w:pPr>
              <w:pStyle w:val="BStablelist"/>
              <w:numPr>
                <w:ilvl w:val="0"/>
                <w:numId w:val="0"/>
              </w:numPr>
              <w:pBdr>
                <w:top w:val="nil"/>
                <w:left w:val="nil"/>
                <w:bottom w:val="nil"/>
                <w:right w:val="nil"/>
                <w:between w:val="nil"/>
                <w:bar w:val="nil"/>
              </w:pBdr>
              <w:spacing w:line="256" w:lineRule="auto"/>
              <w:ind w:left="426"/>
              <w:rPr>
                <w:rFonts w:asciiTheme="minorHAnsi" w:hAnsiTheme="minorHAnsi" w:cstheme="minorHAnsi"/>
                <w:bdr w:val="nil"/>
              </w:rPr>
            </w:pPr>
          </w:p>
        </w:tc>
        <w:tc>
          <w:tcPr>
            <w:tcW w:w="732" w:type="pct"/>
            <w:tcBorders>
              <w:top w:val="nil"/>
              <w:left w:val="nil"/>
              <w:bottom w:val="single" w:sz="4" w:space="0" w:color="auto"/>
              <w:right w:val="nil"/>
            </w:tcBorders>
            <w:hideMark/>
          </w:tcPr>
          <w:p w14:paraId="790E1BCE" w14:textId="77777777" w:rsidR="00524AA2" w:rsidRPr="00D635C7"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D635C7">
              <w:rPr>
                <w:rFonts w:asciiTheme="minorHAnsi" w:hAnsiTheme="minorHAnsi" w:cstheme="minorHAnsi"/>
                <w:szCs w:val="20"/>
                <w:bdr w:val="nil"/>
              </w:rPr>
              <w:t>95%</w:t>
            </w:r>
          </w:p>
        </w:tc>
        <w:tc>
          <w:tcPr>
            <w:tcW w:w="834" w:type="pct"/>
            <w:tcBorders>
              <w:top w:val="nil"/>
              <w:left w:val="nil"/>
              <w:bottom w:val="single" w:sz="4" w:space="0" w:color="auto"/>
              <w:right w:val="nil"/>
            </w:tcBorders>
            <w:hideMark/>
          </w:tcPr>
          <w:p w14:paraId="2D4D96F6" w14:textId="77777777" w:rsidR="00524AA2" w:rsidRPr="004A6DD0"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4A6DD0">
              <w:rPr>
                <w:rFonts w:asciiTheme="minorHAnsi" w:hAnsiTheme="minorHAnsi" w:cstheme="minorHAnsi"/>
                <w:szCs w:val="20"/>
                <w:bdr w:val="nil"/>
              </w:rPr>
              <w:t>99%</w:t>
            </w:r>
          </w:p>
        </w:tc>
        <w:tc>
          <w:tcPr>
            <w:tcW w:w="650" w:type="pct"/>
            <w:tcBorders>
              <w:top w:val="nil"/>
              <w:left w:val="nil"/>
              <w:bottom w:val="single" w:sz="4" w:space="0" w:color="auto"/>
              <w:right w:val="nil"/>
            </w:tcBorders>
          </w:tcPr>
          <w:p w14:paraId="14A52F37" w14:textId="77777777" w:rsidR="00524AA2" w:rsidRPr="004A6DD0"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4A6DD0">
              <w:rPr>
                <w:rFonts w:asciiTheme="minorHAnsi" w:hAnsiTheme="minorHAnsi" w:cstheme="minorHAnsi"/>
                <w:szCs w:val="20"/>
                <w:bdr w:val="nil"/>
              </w:rPr>
              <w:t>4</w:t>
            </w:r>
          </w:p>
        </w:tc>
        <w:tc>
          <w:tcPr>
            <w:tcW w:w="650" w:type="pct"/>
            <w:tcBorders>
              <w:top w:val="nil"/>
              <w:left w:val="nil"/>
              <w:bottom w:val="single" w:sz="4" w:space="0" w:color="auto"/>
              <w:right w:val="nil"/>
            </w:tcBorders>
            <w:shd w:val="clear" w:color="auto" w:fill="auto"/>
          </w:tcPr>
          <w:p w14:paraId="20110E46" w14:textId="77777777" w:rsidR="00524AA2" w:rsidRPr="00D635C7"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highlight w:val="yellow"/>
                <w:bdr w:val="nil"/>
              </w:rPr>
            </w:pPr>
            <w:r w:rsidRPr="004A6DD0">
              <w:rPr>
                <w:rFonts w:asciiTheme="minorHAnsi" w:hAnsiTheme="minorHAnsi" w:cstheme="minorHAnsi"/>
                <w:szCs w:val="20"/>
                <w:bdr w:val="nil"/>
              </w:rPr>
              <w:t>95</w:t>
            </w:r>
            <w:r w:rsidRPr="00D635C7">
              <w:rPr>
                <w:rFonts w:asciiTheme="minorHAnsi" w:hAnsiTheme="minorHAnsi" w:cstheme="minorHAnsi"/>
                <w:szCs w:val="20"/>
                <w:bdr w:val="nil"/>
              </w:rPr>
              <w:t>%</w:t>
            </w:r>
          </w:p>
        </w:tc>
      </w:tr>
      <w:tr w:rsidR="00524AA2" w:rsidRPr="005E3B44" w14:paraId="0905F36F" w14:textId="77777777" w:rsidTr="00524AA2">
        <w:trPr>
          <w:trHeight w:val="283"/>
        </w:trPr>
        <w:tc>
          <w:tcPr>
            <w:tcW w:w="2134" w:type="pct"/>
            <w:tcBorders>
              <w:top w:val="single" w:sz="4" w:space="0" w:color="auto"/>
              <w:left w:val="nil"/>
              <w:bottom w:val="single" w:sz="12" w:space="0" w:color="auto"/>
              <w:right w:val="nil"/>
            </w:tcBorders>
          </w:tcPr>
          <w:p w14:paraId="1DCE9D6B" w14:textId="77777777" w:rsidR="00524AA2" w:rsidRPr="005E3B44" w:rsidRDefault="00524AA2" w:rsidP="00524AA2">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 xml:space="preserve">Total Cost ($’000) </w:t>
            </w:r>
            <w:r w:rsidRPr="005E3B44">
              <w:rPr>
                <w:rFonts w:asciiTheme="minorHAnsi" w:hAnsiTheme="minorHAnsi" w:cstheme="minorHAnsi"/>
                <w:bdr w:val="nil"/>
                <w:vertAlign w:val="superscript"/>
              </w:rPr>
              <w:t>5</w:t>
            </w:r>
          </w:p>
          <w:p w14:paraId="1A79C473" w14:textId="77777777" w:rsidR="00524AA2" w:rsidRPr="005E3B44" w:rsidRDefault="00524AA2" w:rsidP="00524AA2">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Controlled Recurrent Payments ($’000)</w:t>
            </w:r>
            <w:r w:rsidRPr="005E3B44">
              <w:rPr>
                <w:rFonts w:asciiTheme="minorHAnsi" w:hAnsiTheme="minorHAnsi" w:cstheme="minorHAnsi"/>
                <w:bdr w:val="nil"/>
                <w:vertAlign w:val="superscript"/>
              </w:rPr>
              <w:t xml:space="preserve"> 6</w:t>
            </w:r>
          </w:p>
        </w:tc>
        <w:tc>
          <w:tcPr>
            <w:tcW w:w="732" w:type="pct"/>
            <w:tcBorders>
              <w:top w:val="single" w:sz="4" w:space="0" w:color="auto"/>
              <w:left w:val="nil"/>
              <w:bottom w:val="single" w:sz="12" w:space="0" w:color="auto"/>
              <w:right w:val="nil"/>
            </w:tcBorders>
          </w:tcPr>
          <w:p w14:paraId="4C723A8E"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5E3B44">
              <w:rPr>
                <w:rFonts w:asciiTheme="minorHAnsi" w:hAnsiTheme="minorHAnsi" w:cstheme="minorHAnsi"/>
                <w:szCs w:val="20"/>
                <w:bdr w:val="nil"/>
              </w:rPr>
              <w:t>14,294</w:t>
            </w:r>
          </w:p>
          <w:p w14:paraId="553D3E10"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5E3B44">
              <w:rPr>
                <w:rFonts w:asciiTheme="minorHAnsi" w:hAnsiTheme="minorHAnsi" w:cstheme="minorHAnsi"/>
                <w:szCs w:val="20"/>
                <w:bdr w:val="nil"/>
              </w:rPr>
              <w:t>12,427</w:t>
            </w:r>
          </w:p>
        </w:tc>
        <w:tc>
          <w:tcPr>
            <w:tcW w:w="834" w:type="pct"/>
            <w:tcBorders>
              <w:top w:val="single" w:sz="4" w:space="0" w:color="auto"/>
              <w:left w:val="nil"/>
              <w:bottom w:val="single" w:sz="12" w:space="0" w:color="auto"/>
              <w:right w:val="nil"/>
            </w:tcBorders>
          </w:tcPr>
          <w:p w14:paraId="2982DBE8"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5E3B44">
              <w:rPr>
                <w:rFonts w:asciiTheme="minorHAnsi" w:hAnsiTheme="minorHAnsi" w:cstheme="minorHAnsi"/>
                <w:szCs w:val="20"/>
                <w:bdr w:val="nil"/>
              </w:rPr>
              <w:t>12,737</w:t>
            </w:r>
          </w:p>
          <w:p w14:paraId="1C3B22EF"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5E3B44">
              <w:rPr>
                <w:rFonts w:asciiTheme="minorHAnsi" w:hAnsiTheme="minorHAnsi" w:cstheme="minorHAnsi"/>
                <w:szCs w:val="20"/>
                <w:bdr w:val="nil"/>
              </w:rPr>
              <w:t>10,631</w:t>
            </w:r>
          </w:p>
        </w:tc>
        <w:tc>
          <w:tcPr>
            <w:tcW w:w="650" w:type="pct"/>
            <w:tcBorders>
              <w:top w:val="single" w:sz="4" w:space="0" w:color="auto"/>
              <w:left w:val="nil"/>
              <w:bottom w:val="single" w:sz="12" w:space="0" w:color="auto"/>
              <w:right w:val="nil"/>
            </w:tcBorders>
          </w:tcPr>
          <w:p w14:paraId="23B7E186"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5E3B44">
              <w:rPr>
                <w:rFonts w:asciiTheme="minorHAnsi" w:hAnsiTheme="minorHAnsi" w:cstheme="minorHAnsi"/>
                <w:szCs w:val="20"/>
                <w:bdr w:val="nil"/>
              </w:rPr>
              <w:t>(11)</w:t>
            </w:r>
          </w:p>
          <w:p w14:paraId="60539C15"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5E3B44">
              <w:rPr>
                <w:rFonts w:asciiTheme="minorHAnsi" w:hAnsiTheme="minorHAnsi" w:cstheme="minorHAnsi"/>
                <w:szCs w:val="20"/>
                <w:bdr w:val="nil"/>
              </w:rPr>
              <w:t>(14)</w:t>
            </w:r>
          </w:p>
        </w:tc>
        <w:tc>
          <w:tcPr>
            <w:tcW w:w="650" w:type="pct"/>
            <w:tcBorders>
              <w:top w:val="single" w:sz="4" w:space="0" w:color="auto"/>
              <w:left w:val="nil"/>
              <w:bottom w:val="single" w:sz="12" w:space="0" w:color="auto"/>
              <w:right w:val="nil"/>
            </w:tcBorders>
          </w:tcPr>
          <w:p w14:paraId="0297B9A2"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bdr w:val="nil"/>
              </w:rPr>
            </w:pPr>
            <w:r w:rsidRPr="005E3B44">
              <w:rPr>
                <w:rFonts w:asciiTheme="minorHAnsi" w:hAnsiTheme="minorHAnsi" w:cstheme="minorHAnsi"/>
                <w:szCs w:val="20"/>
                <w:bdr w:val="nil"/>
              </w:rPr>
              <w:t>15,081</w:t>
            </w:r>
          </w:p>
          <w:p w14:paraId="11B933D3" w14:textId="77777777" w:rsidR="00524AA2" w:rsidRPr="005E3B44" w:rsidRDefault="00524AA2" w:rsidP="00524AA2">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asciiTheme="minorHAnsi" w:hAnsiTheme="minorHAnsi" w:cstheme="minorHAnsi"/>
                <w:szCs w:val="20"/>
                <w:highlight w:val="yellow"/>
                <w:bdr w:val="nil"/>
              </w:rPr>
            </w:pPr>
            <w:r w:rsidRPr="005E3B44">
              <w:rPr>
                <w:rFonts w:asciiTheme="minorHAnsi" w:hAnsiTheme="minorHAnsi" w:cstheme="minorHAnsi"/>
                <w:szCs w:val="20"/>
                <w:bdr w:val="nil"/>
              </w:rPr>
              <w:t>14,144</w:t>
            </w:r>
          </w:p>
        </w:tc>
      </w:tr>
    </w:tbl>
    <w:p w14:paraId="5C06A3F9" w14:textId="61CB1CE8" w:rsidR="002242F3" w:rsidRPr="005E3B44" w:rsidRDefault="002242F3" w:rsidP="002242F3">
      <w:pPr>
        <w:pStyle w:val="BSnoteslist2"/>
        <w:widowControl w:val="0"/>
        <w:numPr>
          <w:ilvl w:val="0"/>
          <w:numId w:val="0"/>
        </w:numPr>
        <w:pBdr>
          <w:top w:val="nil"/>
          <w:left w:val="nil"/>
          <w:bottom w:val="nil"/>
          <w:right w:val="nil"/>
          <w:between w:val="nil"/>
          <w:bar w:val="nil"/>
        </w:pBdr>
        <w:spacing w:before="120"/>
        <w:rPr>
          <w:rFonts w:asciiTheme="minorHAnsi" w:hAnsiTheme="minorHAnsi" w:cstheme="minorHAnsi"/>
          <w:bdr w:val="nil"/>
        </w:rPr>
      </w:pPr>
      <w:r w:rsidRPr="005E3B44">
        <w:rPr>
          <w:rFonts w:asciiTheme="minorHAnsi" w:hAnsiTheme="minorHAnsi" w:cstheme="minorHAnsi"/>
          <w:bdr w:val="nil"/>
        </w:rPr>
        <w:t xml:space="preserve">The above Accountability Indicators should be read in conjunction with the accompanying notes. </w:t>
      </w:r>
    </w:p>
    <w:p w14:paraId="05CD5BE8"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324B7B98" w14:textId="77777777" w:rsidR="002242F3" w:rsidRPr="005E3B44" w:rsidRDefault="002242F3" w:rsidP="002242F3">
      <w:pPr>
        <w:pStyle w:val="BSnoteslist2"/>
        <w:widowControl w:val="0"/>
        <w:numPr>
          <w:ilvl w:val="0"/>
          <w:numId w:val="38"/>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This indicator is discontinued in 2021-22 and now split into two separate indicators (see b below).</w:t>
      </w:r>
    </w:p>
    <w:p w14:paraId="14D1456C" w14:textId="77777777" w:rsidR="002242F3" w:rsidRPr="005E3B44" w:rsidRDefault="002242F3" w:rsidP="002242F3">
      <w:pPr>
        <w:pStyle w:val="BSnoteslist2"/>
        <w:widowControl w:val="0"/>
        <w:numPr>
          <w:ilvl w:val="0"/>
          <w:numId w:val="38"/>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 xml:space="preserve">These are new indicators in 2021-22 year which have replaced the </w:t>
      </w:r>
      <w:r w:rsidRPr="005E3B44">
        <w:rPr>
          <w:rFonts w:asciiTheme="minorHAnsi" w:hAnsiTheme="minorHAnsi" w:cstheme="minorHAnsi"/>
          <w:i/>
          <w:iCs/>
          <w:bdr w:val="nil"/>
        </w:rPr>
        <w:t xml:space="preserve">Percentage of survey respondents who consider the process fair, </w:t>
      </w:r>
      <w:proofErr w:type="gramStart"/>
      <w:r w:rsidRPr="005E3B44">
        <w:rPr>
          <w:rFonts w:asciiTheme="minorHAnsi" w:hAnsiTheme="minorHAnsi" w:cstheme="minorHAnsi"/>
          <w:i/>
          <w:iCs/>
          <w:bdr w:val="nil"/>
        </w:rPr>
        <w:t>accessible</w:t>
      </w:r>
      <w:proofErr w:type="gramEnd"/>
      <w:r w:rsidRPr="005E3B44">
        <w:rPr>
          <w:rFonts w:asciiTheme="minorHAnsi" w:hAnsiTheme="minorHAnsi" w:cstheme="minorHAnsi"/>
          <w:i/>
          <w:iCs/>
          <w:bdr w:val="nil"/>
        </w:rPr>
        <w:t xml:space="preserve"> and understandable</w:t>
      </w:r>
      <w:r w:rsidRPr="005E3B44">
        <w:rPr>
          <w:rFonts w:asciiTheme="minorHAnsi" w:hAnsiTheme="minorHAnsi" w:cstheme="minorHAnsi"/>
          <w:bdr w:val="nil"/>
        </w:rPr>
        <w:t xml:space="preserve"> by splitting fair and accessible into separate indicators to make it clearer and easier to report on.</w:t>
      </w:r>
    </w:p>
    <w:p w14:paraId="3B60F37C" w14:textId="77777777" w:rsidR="002242F3" w:rsidRPr="005E3B44" w:rsidRDefault="002242F3" w:rsidP="002242F3">
      <w:pPr>
        <w:pStyle w:val="BSnoteslist2"/>
        <w:widowControl w:val="0"/>
        <w:numPr>
          <w:ilvl w:val="0"/>
          <w:numId w:val="38"/>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Description has been changed to include ‘and other complaint jurisdictions’ in the name of the indicator as the previous wording did not reflect all jurisdictions the Human Rights Commission administers.</w:t>
      </w:r>
    </w:p>
    <w:p w14:paraId="1169BF2E" w14:textId="77777777" w:rsidR="002242F3" w:rsidRPr="005E3B44" w:rsidRDefault="002242F3" w:rsidP="002242F3">
      <w:pPr>
        <w:pStyle w:val="BSnoteslist2"/>
        <w:widowControl w:val="0"/>
        <w:numPr>
          <w:ilvl w:val="0"/>
          <w:numId w:val="38"/>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szCs w:val="18"/>
          <w:bdr w:val="nil"/>
        </w:rPr>
        <w:t xml:space="preserve">The </w:t>
      </w:r>
      <w:r w:rsidRPr="005E3B44">
        <w:rPr>
          <w:rFonts w:asciiTheme="minorHAnsi" w:hAnsiTheme="minorHAnsi" w:cstheme="minorHAnsi"/>
          <w:bdr w:val="nil"/>
        </w:rPr>
        <w:t>change to the target in 2021-22 reflects the significant increase in the amount of mental health documentation received since 2019.</w:t>
      </w:r>
    </w:p>
    <w:p w14:paraId="20D8071A" w14:textId="77777777" w:rsidR="002242F3" w:rsidRPr="005E3B44" w:rsidRDefault="002242F3" w:rsidP="002242F3">
      <w:pPr>
        <w:pStyle w:val="BSnoteslist2"/>
        <w:widowControl w:val="0"/>
        <w:numPr>
          <w:ilvl w:val="0"/>
          <w:numId w:val="0"/>
        </w:numPr>
        <w:pBdr>
          <w:top w:val="nil"/>
          <w:left w:val="nil"/>
          <w:bottom w:val="nil"/>
          <w:right w:val="nil"/>
          <w:between w:val="nil"/>
          <w:bar w:val="nil"/>
        </w:pBdr>
        <w:spacing w:before="120"/>
        <w:rPr>
          <w:rFonts w:asciiTheme="minorHAnsi" w:hAnsiTheme="minorHAnsi" w:cstheme="minorHAnsi"/>
          <w:b/>
          <w:bCs/>
          <w:bdr w:val="nil"/>
        </w:rPr>
      </w:pPr>
      <w:r w:rsidRPr="005E3B44">
        <w:rPr>
          <w:rFonts w:asciiTheme="minorHAnsi" w:hAnsiTheme="minorHAnsi" w:cstheme="minorHAnsi"/>
          <w:b/>
          <w:bCs/>
          <w:bdr w:val="nil"/>
        </w:rPr>
        <w:t>Notes:</w:t>
      </w:r>
    </w:p>
    <w:bookmarkEnd w:id="20"/>
    <w:p w14:paraId="1A953D8D"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bdr w:val="nil"/>
        </w:rPr>
      </w:pPr>
      <w:r w:rsidRPr="005E3B44">
        <w:rPr>
          <w:rFonts w:asciiTheme="minorHAnsi" w:hAnsiTheme="minorHAnsi" w:cstheme="minorHAnsi"/>
          <w:bdr w:val="nil"/>
        </w:rPr>
        <w:t xml:space="preserve">1. </w:t>
      </w:r>
      <w:r w:rsidRPr="005E3B44">
        <w:rPr>
          <w:rFonts w:asciiTheme="minorHAnsi" w:hAnsiTheme="minorHAnsi" w:cstheme="minorHAnsi"/>
          <w:bdr w:val="nil"/>
        </w:rPr>
        <w:tab/>
        <w:t>The lower than target result is mainly due to increased lead times between receipt and allocation of complaints due to increased number of complaints received during the reporting period which led to lower customer satisfaction.</w:t>
      </w:r>
    </w:p>
    <w:p w14:paraId="6A66FA2D"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bdr w:val="nil"/>
        </w:rPr>
      </w:pPr>
      <w:r w:rsidRPr="005E3B44">
        <w:rPr>
          <w:rFonts w:asciiTheme="minorHAnsi" w:hAnsiTheme="minorHAnsi" w:cstheme="minorHAnsi"/>
          <w:bdr w:val="nil"/>
        </w:rPr>
        <w:t xml:space="preserve">2. </w:t>
      </w:r>
      <w:r w:rsidRPr="005E3B44">
        <w:rPr>
          <w:rFonts w:asciiTheme="minorHAnsi" w:hAnsiTheme="minorHAnsi" w:cstheme="minorHAnsi"/>
          <w:bdr w:val="nil"/>
        </w:rPr>
        <w:tab/>
        <w:t>The lower than target result reflects the complexity of situations in which the Public Advocate becomes involved and the challenge of fully addressing the issues being raised.  It should be noted, that when the 'somewhat satisfied' data is included, the overall rating increases to 92%.</w:t>
      </w:r>
    </w:p>
    <w:p w14:paraId="0B9873C8"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bdr w:val="nil"/>
        </w:rPr>
      </w:pPr>
      <w:r w:rsidRPr="005E3B44">
        <w:rPr>
          <w:rFonts w:asciiTheme="minorHAnsi" w:hAnsiTheme="minorHAnsi" w:cstheme="minorHAnsi"/>
          <w:bdr w:val="nil"/>
        </w:rPr>
        <w:t xml:space="preserve">3. </w:t>
      </w:r>
      <w:r w:rsidRPr="005E3B44">
        <w:rPr>
          <w:rFonts w:asciiTheme="minorHAnsi" w:hAnsiTheme="minorHAnsi" w:cstheme="minorHAnsi"/>
          <w:bdr w:val="nil"/>
        </w:rPr>
        <w:tab/>
        <w:t>The higher than target result is mainly due to an increase in matters requiring Public Advocate intervention, with some relating to an increase in mental health portfolio.</w:t>
      </w:r>
    </w:p>
    <w:p w14:paraId="729E748E"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bdr w:val="nil"/>
        </w:rPr>
      </w:pPr>
      <w:r w:rsidRPr="005E3B44">
        <w:rPr>
          <w:rFonts w:asciiTheme="minorHAnsi" w:hAnsiTheme="minorHAnsi" w:cstheme="minorHAnsi"/>
          <w:bdr w:val="nil"/>
        </w:rPr>
        <w:t xml:space="preserve">4. </w:t>
      </w:r>
      <w:r w:rsidRPr="005E3B44">
        <w:rPr>
          <w:rFonts w:asciiTheme="minorHAnsi" w:hAnsiTheme="minorHAnsi" w:cstheme="minorHAnsi"/>
          <w:bdr w:val="nil"/>
        </w:rPr>
        <w:tab/>
        <w:t>The lower than target result is mainly due to a significant increase in demand and complexity of mental health/forensic mental health matters brought to the attention of the Public Advocate.</w:t>
      </w:r>
    </w:p>
    <w:p w14:paraId="43EA4E91"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bdr w:val="nil"/>
        </w:rPr>
      </w:pPr>
      <w:r w:rsidRPr="005E3B44">
        <w:rPr>
          <w:rFonts w:asciiTheme="minorHAnsi" w:hAnsiTheme="minorHAnsi" w:cstheme="minorHAnsi"/>
          <w:bdr w:val="nil"/>
        </w:rPr>
        <w:t xml:space="preserve">5. </w:t>
      </w:r>
      <w:r w:rsidRPr="005E3B44">
        <w:rPr>
          <w:rFonts w:asciiTheme="minorHAnsi" w:hAnsiTheme="minorHAnsi" w:cstheme="minorHAnsi"/>
          <w:bdr w:val="nil"/>
        </w:rPr>
        <w:tab/>
        <w:t>The lower than target result is due to lower office accommodation expenses and Contractors and Consultants and lower Employee Expenses due to several staff members changing their working arrangement from full time to part time and other unexpected vacant positions.</w:t>
      </w:r>
    </w:p>
    <w:p w14:paraId="0ED4E892"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bdr w:val="nil"/>
        </w:rPr>
      </w:pPr>
      <w:r w:rsidRPr="005E3B44">
        <w:rPr>
          <w:rFonts w:asciiTheme="minorHAnsi" w:hAnsiTheme="minorHAnsi" w:cstheme="minorHAnsi"/>
          <w:bdr w:val="nil"/>
        </w:rPr>
        <w:t xml:space="preserve">6. </w:t>
      </w:r>
      <w:r w:rsidRPr="005E3B44">
        <w:rPr>
          <w:rFonts w:asciiTheme="minorHAnsi" w:hAnsiTheme="minorHAnsi" w:cstheme="minorHAnsi"/>
          <w:bdr w:val="nil"/>
        </w:rPr>
        <w:tab/>
        <w:t>The lower than target result is due to undrawn appropriation driven by lower corresponding costs as explained in Note 5 above.</w:t>
      </w:r>
    </w:p>
    <w:p w14:paraId="18EADEFD"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0579615C"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rPr>
          <w:rFonts w:asciiTheme="minorHAnsi" w:hAnsiTheme="minorHAnsi" w:cstheme="minorHAnsi"/>
          <w:bdr w:val="nil"/>
        </w:rPr>
      </w:pPr>
    </w:p>
    <w:p w14:paraId="1C98CAE9"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sectPr w:rsidR="002242F3" w:rsidRPr="005E3B44" w:rsidSect="005E3B44">
          <w:headerReference w:type="even" r:id="rId35"/>
          <w:headerReference w:type="default" r:id="rId36"/>
          <w:footerReference w:type="even" r:id="rId37"/>
          <w:footerReference w:type="default" r:id="rId38"/>
          <w:headerReference w:type="first" r:id="rId39"/>
          <w:footerReference w:type="first" r:id="rId40"/>
          <w:pgSz w:w="11906" w:h="16838"/>
          <w:pgMar w:top="1151" w:right="1440" w:bottom="1729" w:left="1440" w:header="720" w:footer="720" w:gutter="0"/>
          <w:pgBorders>
            <w:top w:val="nil"/>
            <w:left w:val="nil"/>
            <w:bottom w:val="nil"/>
            <w:right w:val="nil"/>
          </w:pgBorders>
          <w:cols w:space="720"/>
        </w:sectPr>
      </w:pPr>
    </w:p>
    <w:p w14:paraId="2CAD00DF"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Output Class 2: Corrective Services</w:t>
      </w:r>
    </w:p>
    <w:p w14:paraId="040735A5" w14:textId="77777777" w:rsidR="002242F3" w:rsidRPr="005E3B44" w:rsidRDefault="002242F3" w:rsidP="004C1875">
      <w:pPr>
        <w:pStyle w:val="Heading4"/>
      </w:pPr>
      <w:r w:rsidRPr="005E3B44">
        <w:t>Output 2.1: Corrective Services</w:t>
      </w:r>
    </w:p>
    <w:p w14:paraId="23A1AB1F" w14:textId="15E32C79"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2</w:t>
      </w:r>
      <w:r w:rsidR="00D635C7">
        <w:rPr>
          <w:rFonts w:asciiTheme="minorHAnsi" w:hAnsiTheme="minorHAnsi" w:cstheme="minorHAnsi"/>
          <w:bdr w:val="nil"/>
        </w:rPr>
        <w:t>1</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1517"/>
        <w:gridCol w:w="1524"/>
        <w:gridCol w:w="1120"/>
        <w:gridCol w:w="1045"/>
      </w:tblGrid>
      <w:tr w:rsidR="002242F3" w:rsidRPr="005E3B44" w14:paraId="014560CD" w14:textId="77777777" w:rsidTr="005E3B44">
        <w:tc>
          <w:tcPr>
            <w:tcW w:w="3936" w:type="dxa"/>
            <w:tcBorders>
              <w:top w:val="single" w:sz="12" w:space="0" w:color="auto"/>
              <w:bottom w:val="single" w:sz="12" w:space="0" w:color="auto"/>
            </w:tcBorders>
          </w:tcPr>
          <w:p w14:paraId="0C2E963D" w14:textId="77777777" w:rsidR="002242F3" w:rsidRPr="005E3B44" w:rsidRDefault="002242F3" w:rsidP="005E3B44">
            <w:pPr>
              <w:pStyle w:val="BSnote2"/>
              <w:pBdr>
                <w:top w:val="nil"/>
                <w:left w:val="nil"/>
                <w:bottom w:val="nil"/>
                <w:right w:val="nil"/>
                <w:between w:val="nil"/>
                <w:bar w:val="nil"/>
              </w:pBdr>
              <w:rPr>
                <w:rFonts w:asciiTheme="minorHAnsi" w:hAnsiTheme="minorHAnsi" w:cstheme="minorHAnsi"/>
                <w:b w:val="0"/>
                <w:bCs/>
                <w:bdr w:val="nil"/>
              </w:rPr>
            </w:pPr>
          </w:p>
        </w:tc>
        <w:tc>
          <w:tcPr>
            <w:tcW w:w="1559" w:type="dxa"/>
            <w:tcBorders>
              <w:top w:val="single" w:sz="12" w:space="0" w:color="auto"/>
              <w:bottom w:val="single" w:sz="12" w:space="0" w:color="auto"/>
            </w:tcBorders>
          </w:tcPr>
          <w:p w14:paraId="72464AB2"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2020-21</w:t>
            </w:r>
          </w:p>
          <w:p w14:paraId="0DAC72C6" w14:textId="77777777" w:rsidR="002242F3" w:rsidRPr="005E3B44" w:rsidRDefault="002242F3" w:rsidP="005E3B44">
            <w:pPr>
              <w:pStyle w:val="BSnote2"/>
              <w:pBdr>
                <w:top w:val="nil"/>
                <w:left w:val="nil"/>
                <w:bottom w:val="nil"/>
                <w:right w:val="nil"/>
                <w:between w:val="nil"/>
                <w:bar w:val="nil"/>
              </w:pBdr>
              <w:spacing w:before="0" w:line="257" w:lineRule="auto"/>
              <w:jc w:val="right"/>
              <w:rPr>
                <w:rFonts w:asciiTheme="minorHAnsi" w:hAnsiTheme="minorHAnsi" w:cstheme="minorHAnsi"/>
                <w:bdr w:val="nil"/>
              </w:rPr>
            </w:pPr>
            <w:r w:rsidRPr="005E3B44">
              <w:rPr>
                <w:rFonts w:asciiTheme="minorHAnsi" w:hAnsiTheme="minorHAnsi" w:cstheme="minorHAnsi"/>
                <w:bdr w:val="nil"/>
              </w:rPr>
              <w:t>Targets</w:t>
            </w:r>
          </w:p>
          <w:p w14:paraId="2BBBBCD2" w14:textId="77777777" w:rsidR="002242F3" w:rsidRPr="005E3B44" w:rsidRDefault="002242F3" w:rsidP="005E3B44">
            <w:pPr>
              <w:pStyle w:val="BSnote2"/>
              <w:pBdr>
                <w:top w:val="nil"/>
                <w:left w:val="nil"/>
                <w:bottom w:val="nil"/>
                <w:right w:val="nil"/>
                <w:between w:val="nil"/>
                <w:bar w:val="nil"/>
              </w:pBdr>
              <w:spacing w:before="0" w:line="257" w:lineRule="auto"/>
              <w:jc w:val="right"/>
              <w:rPr>
                <w:rFonts w:asciiTheme="minorHAnsi" w:hAnsiTheme="minorHAnsi" w:cstheme="minorHAnsi"/>
                <w:bdr w:val="nil"/>
              </w:rPr>
            </w:pPr>
          </w:p>
        </w:tc>
        <w:tc>
          <w:tcPr>
            <w:tcW w:w="1559" w:type="dxa"/>
            <w:tcBorders>
              <w:top w:val="single" w:sz="12" w:space="0" w:color="auto"/>
              <w:bottom w:val="single" w:sz="12" w:space="0" w:color="auto"/>
            </w:tcBorders>
          </w:tcPr>
          <w:p w14:paraId="5C47822E"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2020-21</w:t>
            </w:r>
          </w:p>
          <w:p w14:paraId="3E59F9E6"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Interim</w:t>
            </w:r>
          </w:p>
          <w:p w14:paraId="1CD4C892"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Outcome</w:t>
            </w:r>
          </w:p>
        </w:tc>
        <w:tc>
          <w:tcPr>
            <w:tcW w:w="1134" w:type="dxa"/>
            <w:tcBorders>
              <w:top w:val="single" w:sz="12" w:space="0" w:color="auto"/>
              <w:bottom w:val="single" w:sz="12" w:space="0" w:color="auto"/>
            </w:tcBorders>
          </w:tcPr>
          <w:p w14:paraId="2A1F3E9D"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Variance</w:t>
            </w:r>
          </w:p>
          <w:p w14:paraId="0BB1E202"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 xml:space="preserve">            %</w:t>
            </w:r>
          </w:p>
        </w:tc>
        <w:tc>
          <w:tcPr>
            <w:tcW w:w="1055" w:type="dxa"/>
            <w:tcBorders>
              <w:top w:val="single" w:sz="12" w:space="0" w:color="auto"/>
              <w:bottom w:val="single" w:sz="12" w:space="0" w:color="auto"/>
            </w:tcBorders>
          </w:tcPr>
          <w:p w14:paraId="42381974"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2021-22</w:t>
            </w:r>
          </w:p>
          <w:p w14:paraId="7D354FDA" w14:textId="77777777" w:rsidR="002242F3" w:rsidRPr="005E3B44" w:rsidRDefault="002242F3" w:rsidP="005E3B44">
            <w:pPr>
              <w:pStyle w:val="BSnote2"/>
              <w:pBdr>
                <w:top w:val="nil"/>
                <w:left w:val="nil"/>
                <w:bottom w:val="nil"/>
                <w:right w:val="nil"/>
                <w:between w:val="nil"/>
                <w:bar w:val="nil"/>
              </w:pBdr>
              <w:spacing w:before="0"/>
              <w:jc w:val="right"/>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1EE73707" w14:textId="77777777" w:rsidTr="005E3B44">
        <w:tc>
          <w:tcPr>
            <w:tcW w:w="3936" w:type="dxa"/>
            <w:tcBorders>
              <w:top w:val="single" w:sz="12" w:space="0" w:color="auto"/>
            </w:tcBorders>
          </w:tcPr>
          <w:p w14:paraId="5D9F3CA9" w14:textId="77777777" w:rsidR="002242F3" w:rsidRPr="009A6F86" w:rsidRDefault="002242F3" w:rsidP="005E3B44">
            <w:pPr>
              <w:pStyle w:val="BSnote2"/>
              <w:pBdr>
                <w:top w:val="nil"/>
                <w:left w:val="nil"/>
                <w:bottom w:val="nil"/>
                <w:right w:val="nil"/>
                <w:between w:val="nil"/>
                <w:bar w:val="nil"/>
              </w:pBdr>
              <w:spacing w:before="0" w:line="257" w:lineRule="auto"/>
              <w:ind w:left="426" w:hanging="426"/>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a.      Completion rates of Community Corrections Orders:</w:t>
            </w:r>
          </w:p>
        </w:tc>
        <w:tc>
          <w:tcPr>
            <w:tcW w:w="1559" w:type="dxa"/>
            <w:tcBorders>
              <w:top w:val="single" w:sz="12" w:space="0" w:color="auto"/>
            </w:tcBorders>
          </w:tcPr>
          <w:p w14:paraId="40E71555" w14:textId="77777777" w:rsidR="002242F3" w:rsidRPr="005E3B44" w:rsidRDefault="002242F3" w:rsidP="005E3B44">
            <w:pPr>
              <w:pStyle w:val="BSnote2"/>
              <w:pBdr>
                <w:top w:val="nil"/>
                <w:left w:val="nil"/>
                <w:bottom w:val="nil"/>
                <w:right w:val="nil"/>
                <w:between w:val="nil"/>
                <w:bar w:val="nil"/>
              </w:pBdr>
              <w:rPr>
                <w:rFonts w:asciiTheme="minorHAnsi" w:hAnsiTheme="minorHAnsi" w:cstheme="minorHAnsi"/>
                <w:b w:val="0"/>
                <w:bCs/>
                <w:bdr w:val="nil"/>
              </w:rPr>
            </w:pPr>
          </w:p>
        </w:tc>
        <w:tc>
          <w:tcPr>
            <w:tcW w:w="1559" w:type="dxa"/>
            <w:tcBorders>
              <w:top w:val="single" w:sz="12" w:space="0" w:color="auto"/>
            </w:tcBorders>
          </w:tcPr>
          <w:p w14:paraId="7C2A3F6F" w14:textId="77777777" w:rsidR="002242F3" w:rsidRPr="005E3B44" w:rsidRDefault="002242F3" w:rsidP="005E3B44">
            <w:pPr>
              <w:pStyle w:val="BSnote2"/>
              <w:pBdr>
                <w:top w:val="nil"/>
                <w:left w:val="nil"/>
                <w:bottom w:val="nil"/>
                <w:right w:val="nil"/>
                <w:between w:val="nil"/>
                <w:bar w:val="nil"/>
              </w:pBdr>
              <w:rPr>
                <w:rFonts w:asciiTheme="minorHAnsi" w:hAnsiTheme="minorHAnsi" w:cstheme="minorHAnsi"/>
                <w:b w:val="0"/>
                <w:bCs/>
                <w:bdr w:val="nil"/>
              </w:rPr>
            </w:pPr>
          </w:p>
        </w:tc>
        <w:tc>
          <w:tcPr>
            <w:tcW w:w="1134" w:type="dxa"/>
            <w:tcBorders>
              <w:top w:val="single" w:sz="12" w:space="0" w:color="auto"/>
            </w:tcBorders>
          </w:tcPr>
          <w:p w14:paraId="7BD07231" w14:textId="77777777" w:rsidR="002242F3" w:rsidRPr="005E3B44" w:rsidRDefault="002242F3" w:rsidP="005E3B44">
            <w:pPr>
              <w:pStyle w:val="BSnote2"/>
              <w:pBdr>
                <w:top w:val="nil"/>
                <w:left w:val="nil"/>
                <w:bottom w:val="nil"/>
                <w:right w:val="nil"/>
                <w:between w:val="nil"/>
                <w:bar w:val="nil"/>
              </w:pBdr>
              <w:rPr>
                <w:rFonts w:asciiTheme="minorHAnsi" w:hAnsiTheme="minorHAnsi" w:cstheme="minorHAnsi"/>
                <w:b w:val="0"/>
                <w:bCs/>
                <w:bdr w:val="nil"/>
              </w:rPr>
            </w:pPr>
          </w:p>
        </w:tc>
        <w:tc>
          <w:tcPr>
            <w:tcW w:w="1055" w:type="dxa"/>
            <w:tcBorders>
              <w:top w:val="single" w:sz="12" w:space="0" w:color="auto"/>
            </w:tcBorders>
          </w:tcPr>
          <w:p w14:paraId="06B9BF29" w14:textId="77777777" w:rsidR="002242F3" w:rsidRPr="005E3B44" w:rsidRDefault="002242F3" w:rsidP="005E3B44">
            <w:pPr>
              <w:pStyle w:val="BSnote2"/>
              <w:pBdr>
                <w:top w:val="nil"/>
                <w:left w:val="nil"/>
                <w:bottom w:val="nil"/>
                <w:right w:val="nil"/>
                <w:between w:val="nil"/>
                <w:bar w:val="nil"/>
              </w:pBdr>
              <w:rPr>
                <w:rFonts w:asciiTheme="minorHAnsi" w:hAnsiTheme="minorHAnsi" w:cstheme="minorHAnsi"/>
                <w:b w:val="0"/>
                <w:bCs/>
                <w:bdr w:val="nil"/>
              </w:rPr>
            </w:pPr>
          </w:p>
        </w:tc>
      </w:tr>
      <w:tr w:rsidR="002242F3" w:rsidRPr="005E3B44" w14:paraId="16D94F59" w14:textId="77777777" w:rsidTr="005E3B44">
        <w:tc>
          <w:tcPr>
            <w:tcW w:w="3936" w:type="dxa"/>
          </w:tcPr>
          <w:p w14:paraId="2736C4B0" w14:textId="77777777" w:rsidR="002242F3" w:rsidRPr="009A6F86" w:rsidRDefault="002242F3" w:rsidP="005E3B44">
            <w:pPr>
              <w:pStyle w:val="BSnote2"/>
              <w:pBdr>
                <w:top w:val="nil"/>
                <w:left w:val="nil"/>
                <w:bottom w:val="nil"/>
                <w:right w:val="nil"/>
                <w:between w:val="nil"/>
                <w:bar w:val="nil"/>
              </w:pBdr>
              <w:spacing w:before="0" w:line="257" w:lineRule="auto"/>
              <w:ind w:left="567" w:hanging="141"/>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w:t>
            </w:r>
            <w:r w:rsidRPr="009A6F86">
              <w:rPr>
                <w:rFonts w:asciiTheme="minorHAnsi" w:hAnsiTheme="minorHAnsi" w:cstheme="minorHAnsi"/>
                <w:sz w:val="20"/>
                <w:szCs w:val="20"/>
                <w:bdr w:val="nil"/>
              </w:rPr>
              <w:t xml:space="preserve"> </w:t>
            </w:r>
            <w:r w:rsidRPr="009A6F86">
              <w:rPr>
                <w:rFonts w:asciiTheme="minorHAnsi" w:hAnsiTheme="minorHAnsi" w:cstheme="minorHAnsi"/>
                <w:b w:val="0"/>
                <w:bCs/>
                <w:sz w:val="20"/>
                <w:szCs w:val="20"/>
                <w:bdr w:val="nil"/>
              </w:rPr>
              <w:t xml:space="preserve">The proportion of Community Corrections supervision orders successfully completed within the counting period </w:t>
            </w:r>
            <w:r w:rsidRPr="009A6F86">
              <w:rPr>
                <w:rFonts w:asciiTheme="minorHAnsi" w:hAnsiTheme="minorHAnsi" w:cstheme="minorHAnsi"/>
                <w:b w:val="0"/>
                <w:bCs/>
                <w:sz w:val="20"/>
                <w:szCs w:val="20"/>
                <w:bdr w:val="nil"/>
                <w:vertAlign w:val="superscript"/>
              </w:rPr>
              <w:t>a, 1</w:t>
            </w:r>
          </w:p>
        </w:tc>
        <w:tc>
          <w:tcPr>
            <w:tcW w:w="1559" w:type="dxa"/>
          </w:tcPr>
          <w:p w14:paraId="7B244FCD"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68%</w:t>
            </w:r>
          </w:p>
        </w:tc>
        <w:tc>
          <w:tcPr>
            <w:tcW w:w="1559" w:type="dxa"/>
          </w:tcPr>
          <w:p w14:paraId="3B1670B2"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78%</w:t>
            </w:r>
          </w:p>
        </w:tc>
        <w:tc>
          <w:tcPr>
            <w:tcW w:w="1134" w:type="dxa"/>
          </w:tcPr>
          <w:p w14:paraId="66EE3501"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15</w:t>
            </w:r>
          </w:p>
        </w:tc>
        <w:tc>
          <w:tcPr>
            <w:tcW w:w="1055" w:type="dxa"/>
          </w:tcPr>
          <w:p w14:paraId="5B74471F"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70%</w:t>
            </w:r>
          </w:p>
        </w:tc>
      </w:tr>
      <w:tr w:rsidR="002242F3" w:rsidRPr="005E3B44" w14:paraId="526EEF99" w14:textId="77777777" w:rsidTr="005E3B44">
        <w:tc>
          <w:tcPr>
            <w:tcW w:w="3936" w:type="dxa"/>
          </w:tcPr>
          <w:p w14:paraId="29C5D011" w14:textId="77777777" w:rsidR="002242F3" w:rsidRPr="009A6F86" w:rsidRDefault="002242F3" w:rsidP="005E3B44">
            <w:pPr>
              <w:pStyle w:val="BSnote2"/>
              <w:pBdr>
                <w:top w:val="nil"/>
                <w:left w:val="nil"/>
                <w:bottom w:val="nil"/>
                <w:right w:val="nil"/>
                <w:between w:val="nil"/>
                <w:bar w:val="nil"/>
              </w:pBdr>
              <w:spacing w:before="0" w:line="257" w:lineRule="auto"/>
              <w:ind w:left="567" w:hanging="141"/>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w:t>
            </w:r>
            <w:r w:rsidRPr="009A6F86">
              <w:rPr>
                <w:rFonts w:asciiTheme="minorHAnsi" w:hAnsiTheme="minorHAnsi" w:cstheme="minorHAnsi"/>
                <w:sz w:val="20"/>
                <w:szCs w:val="20"/>
                <w:bdr w:val="nil"/>
              </w:rPr>
              <w:t xml:space="preserve"> </w:t>
            </w:r>
            <w:r w:rsidRPr="009A6F86">
              <w:rPr>
                <w:rFonts w:asciiTheme="minorHAnsi" w:hAnsiTheme="minorHAnsi" w:cstheme="minorHAnsi"/>
                <w:b w:val="0"/>
                <w:bCs/>
                <w:sz w:val="20"/>
                <w:szCs w:val="20"/>
                <w:bdr w:val="nil"/>
              </w:rPr>
              <w:t xml:space="preserve">The proportion of Community Corrections reparation orders successfully completed within the counting period </w:t>
            </w:r>
            <w:r w:rsidRPr="009A6F86">
              <w:rPr>
                <w:rFonts w:asciiTheme="minorHAnsi" w:hAnsiTheme="minorHAnsi" w:cstheme="minorHAnsi"/>
                <w:b w:val="0"/>
                <w:bCs/>
                <w:sz w:val="20"/>
                <w:szCs w:val="20"/>
                <w:bdr w:val="nil"/>
                <w:vertAlign w:val="superscript"/>
              </w:rPr>
              <w:t>2</w:t>
            </w:r>
          </w:p>
        </w:tc>
        <w:tc>
          <w:tcPr>
            <w:tcW w:w="1559" w:type="dxa"/>
          </w:tcPr>
          <w:p w14:paraId="24CBE1A3"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60%</w:t>
            </w:r>
          </w:p>
        </w:tc>
        <w:tc>
          <w:tcPr>
            <w:tcW w:w="1559" w:type="dxa"/>
          </w:tcPr>
          <w:p w14:paraId="3C9BEC4D"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44%</w:t>
            </w:r>
          </w:p>
        </w:tc>
        <w:tc>
          <w:tcPr>
            <w:tcW w:w="1134" w:type="dxa"/>
          </w:tcPr>
          <w:p w14:paraId="44C527C1"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(27)</w:t>
            </w:r>
          </w:p>
        </w:tc>
        <w:tc>
          <w:tcPr>
            <w:tcW w:w="1055" w:type="dxa"/>
          </w:tcPr>
          <w:p w14:paraId="5A92F286"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60%</w:t>
            </w:r>
          </w:p>
        </w:tc>
      </w:tr>
      <w:tr w:rsidR="002242F3" w:rsidRPr="005E3B44" w14:paraId="56A26CCE" w14:textId="77777777" w:rsidTr="005E3B44">
        <w:tc>
          <w:tcPr>
            <w:tcW w:w="3936" w:type="dxa"/>
          </w:tcPr>
          <w:p w14:paraId="04EA9029" w14:textId="77777777" w:rsidR="002242F3" w:rsidRPr="009A6F86" w:rsidRDefault="002242F3" w:rsidP="005E3B44">
            <w:pPr>
              <w:pStyle w:val="BSnote2"/>
              <w:pBdr>
                <w:top w:val="nil"/>
                <w:left w:val="nil"/>
                <w:bottom w:val="nil"/>
                <w:right w:val="nil"/>
                <w:between w:val="nil"/>
                <w:bar w:val="nil"/>
              </w:pBdr>
              <w:spacing w:before="0" w:line="257" w:lineRule="auto"/>
              <w:ind w:left="426" w:hanging="426"/>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 xml:space="preserve">b.      Average cost per detainee per day for all detainees </w:t>
            </w:r>
            <w:r w:rsidRPr="009A6F86">
              <w:rPr>
                <w:rFonts w:asciiTheme="minorHAnsi" w:hAnsiTheme="minorHAnsi" w:cstheme="minorHAnsi"/>
                <w:b w:val="0"/>
                <w:bCs/>
                <w:sz w:val="20"/>
                <w:szCs w:val="20"/>
                <w:bdr w:val="nil"/>
                <w:vertAlign w:val="superscript"/>
              </w:rPr>
              <w:t>b, c, 3</w:t>
            </w:r>
          </w:p>
        </w:tc>
        <w:tc>
          <w:tcPr>
            <w:tcW w:w="1559" w:type="dxa"/>
          </w:tcPr>
          <w:p w14:paraId="35A924A0"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$354</w:t>
            </w:r>
          </w:p>
        </w:tc>
        <w:tc>
          <w:tcPr>
            <w:tcW w:w="1559" w:type="dxa"/>
          </w:tcPr>
          <w:p w14:paraId="34EEDCA7"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$404</w:t>
            </w:r>
          </w:p>
        </w:tc>
        <w:tc>
          <w:tcPr>
            <w:tcW w:w="1134" w:type="dxa"/>
          </w:tcPr>
          <w:p w14:paraId="4A93B3EE"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14</w:t>
            </w:r>
          </w:p>
        </w:tc>
        <w:tc>
          <w:tcPr>
            <w:tcW w:w="1055" w:type="dxa"/>
          </w:tcPr>
          <w:p w14:paraId="1F6A9352"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$398</w:t>
            </w:r>
          </w:p>
        </w:tc>
      </w:tr>
      <w:tr w:rsidR="002242F3" w:rsidRPr="005E3B44" w14:paraId="06447848" w14:textId="77777777" w:rsidTr="005E3B44">
        <w:tc>
          <w:tcPr>
            <w:tcW w:w="3936" w:type="dxa"/>
            <w:tcBorders>
              <w:bottom w:val="single" w:sz="2" w:space="0" w:color="auto"/>
            </w:tcBorders>
          </w:tcPr>
          <w:p w14:paraId="303507A2" w14:textId="77777777" w:rsidR="002242F3" w:rsidRPr="009A6F86" w:rsidRDefault="002242F3" w:rsidP="005E3B44">
            <w:pPr>
              <w:pStyle w:val="BSnote2"/>
              <w:pBdr>
                <w:top w:val="nil"/>
                <w:left w:val="nil"/>
                <w:bottom w:val="nil"/>
                <w:right w:val="nil"/>
                <w:between w:val="nil"/>
                <w:bar w:val="nil"/>
              </w:pBdr>
              <w:spacing w:before="0" w:line="257" w:lineRule="auto"/>
              <w:ind w:left="426" w:hanging="426"/>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 xml:space="preserve">c.      Average cost per day for </w:t>
            </w:r>
            <w:proofErr w:type="gramStart"/>
            <w:r w:rsidRPr="009A6F86">
              <w:rPr>
                <w:rFonts w:asciiTheme="minorHAnsi" w:hAnsiTheme="minorHAnsi" w:cstheme="minorHAnsi"/>
                <w:b w:val="0"/>
                <w:bCs/>
                <w:sz w:val="20"/>
                <w:szCs w:val="20"/>
                <w:bdr w:val="nil"/>
              </w:rPr>
              <w:t>community based</w:t>
            </w:r>
            <w:proofErr w:type="gramEnd"/>
            <w:r w:rsidRPr="009A6F86">
              <w:rPr>
                <w:rFonts w:asciiTheme="minorHAnsi" w:hAnsiTheme="minorHAnsi" w:cstheme="minorHAnsi"/>
                <w:b w:val="0"/>
                <w:bCs/>
                <w:sz w:val="20"/>
                <w:szCs w:val="20"/>
                <w:bdr w:val="nil"/>
              </w:rPr>
              <w:t xml:space="preserve"> offenders </w:t>
            </w:r>
            <w:r w:rsidRPr="009A6F86">
              <w:rPr>
                <w:rFonts w:asciiTheme="minorHAnsi" w:hAnsiTheme="minorHAnsi" w:cstheme="minorHAnsi"/>
                <w:b w:val="0"/>
                <w:bCs/>
                <w:sz w:val="20"/>
                <w:szCs w:val="20"/>
                <w:bdr w:val="nil"/>
                <w:vertAlign w:val="superscript"/>
              </w:rPr>
              <w:t>d, 4</w:t>
            </w:r>
          </w:p>
        </w:tc>
        <w:tc>
          <w:tcPr>
            <w:tcW w:w="1559" w:type="dxa"/>
            <w:tcBorders>
              <w:bottom w:val="single" w:sz="2" w:space="0" w:color="auto"/>
            </w:tcBorders>
          </w:tcPr>
          <w:p w14:paraId="7D72A1CC"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$39</w:t>
            </w:r>
          </w:p>
        </w:tc>
        <w:tc>
          <w:tcPr>
            <w:tcW w:w="1559" w:type="dxa"/>
            <w:tcBorders>
              <w:bottom w:val="single" w:sz="2" w:space="0" w:color="auto"/>
            </w:tcBorders>
          </w:tcPr>
          <w:p w14:paraId="31B6080B"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$46</w:t>
            </w:r>
          </w:p>
        </w:tc>
        <w:tc>
          <w:tcPr>
            <w:tcW w:w="1134" w:type="dxa"/>
            <w:tcBorders>
              <w:bottom w:val="single" w:sz="2" w:space="0" w:color="auto"/>
            </w:tcBorders>
          </w:tcPr>
          <w:p w14:paraId="2F5F6E6E"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18</w:t>
            </w:r>
          </w:p>
        </w:tc>
        <w:tc>
          <w:tcPr>
            <w:tcW w:w="1055" w:type="dxa"/>
            <w:tcBorders>
              <w:bottom w:val="single" w:sz="2" w:space="0" w:color="auto"/>
            </w:tcBorders>
          </w:tcPr>
          <w:p w14:paraId="7B1C4308" w14:textId="77777777" w:rsidR="002242F3" w:rsidRPr="009A6F86" w:rsidRDefault="002242F3" w:rsidP="005E3B44">
            <w:pPr>
              <w:pStyle w:val="BSnote2"/>
              <w:pBdr>
                <w:top w:val="nil"/>
                <w:left w:val="nil"/>
                <w:bottom w:val="nil"/>
                <w:right w:val="nil"/>
                <w:between w:val="nil"/>
                <w:bar w:val="nil"/>
              </w:pBdr>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$44</w:t>
            </w:r>
          </w:p>
        </w:tc>
      </w:tr>
      <w:tr w:rsidR="002242F3" w:rsidRPr="005E3B44" w14:paraId="52A94D04" w14:textId="77777777" w:rsidTr="005E3B44">
        <w:tc>
          <w:tcPr>
            <w:tcW w:w="3936" w:type="dxa"/>
            <w:tcBorders>
              <w:top w:val="single" w:sz="2" w:space="0" w:color="auto"/>
            </w:tcBorders>
          </w:tcPr>
          <w:p w14:paraId="0BC704B4" w14:textId="77777777" w:rsidR="002242F3" w:rsidRPr="00D635C7" w:rsidRDefault="002242F3" w:rsidP="005E3B44">
            <w:pPr>
              <w:pStyle w:val="BStablelist"/>
              <w:numPr>
                <w:ilvl w:val="0"/>
                <w:numId w:val="0"/>
              </w:numPr>
              <w:pBdr>
                <w:top w:val="nil"/>
                <w:left w:val="nil"/>
                <w:bottom w:val="nil"/>
                <w:right w:val="nil"/>
                <w:between w:val="nil"/>
                <w:bar w:val="nil"/>
              </w:pBdr>
              <w:spacing w:line="257" w:lineRule="auto"/>
              <w:ind w:left="357" w:hanging="357"/>
              <w:rPr>
                <w:rFonts w:asciiTheme="minorHAnsi" w:hAnsiTheme="minorHAnsi" w:cstheme="minorHAnsi"/>
                <w:bdr w:val="nil"/>
              </w:rPr>
            </w:pPr>
            <w:r w:rsidRPr="00D635C7">
              <w:rPr>
                <w:rFonts w:asciiTheme="minorHAnsi" w:hAnsiTheme="minorHAnsi" w:cstheme="minorHAnsi"/>
                <w:bdr w:val="nil"/>
              </w:rPr>
              <w:t>Total Cost ($’000)</w:t>
            </w:r>
          </w:p>
        </w:tc>
        <w:tc>
          <w:tcPr>
            <w:tcW w:w="1559" w:type="dxa"/>
            <w:tcBorders>
              <w:top w:val="single" w:sz="2" w:space="0" w:color="auto"/>
            </w:tcBorders>
          </w:tcPr>
          <w:p w14:paraId="6D0C16C0"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92,831</w:t>
            </w:r>
          </w:p>
        </w:tc>
        <w:tc>
          <w:tcPr>
            <w:tcW w:w="1559" w:type="dxa"/>
            <w:tcBorders>
              <w:top w:val="single" w:sz="2" w:space="0" w:color="auto"/>
            </w:tcBorders>
          </w:tcPr>
          <w:p w14:paraId="03D1A7C9"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95,514</w:t>
            </w:r>
          </w:p>
        </w:tc>
        <w:tc>
          <w:tcPr>
            <w:tcW w:w="1134" w:type="dxa"/>
            <w:tcBorders>
              <w:top w:val="single" w:sz="2" w:space="0" w:color="auto"/>
            </w:tcBorders>
          </w:tcPr>
          <w:p w14:paraId="1D1E6A04"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3</w:t>
            </w:r>
          </w:p>
        </w:tc>
        <w:tc>
          <w:tcPr>
            <w:tcW w:w="1055" w:type="dxa"/>
            <w:tcBorders>
              <w:top w:val="single" w:sz="2" w:space="0" w:color="auto"/>
            </w:tcBorders>
          </w:tcPr>
          <w:p w14:paraId="32D5E46F"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110,004</w:t>
            </w:r>
          </w:p>
        </w:tc>
      </w:tr>
      <w:tr w:rsidR="002242F3" w:rsidRPr="005E3B44" w14:paraId="3BE875DC" w14:textId="77777777" w:rsidTr="005E3B44">
        <w:tc>
          <w:tcPr>
            <w:tcW w:w="3936" w:type="dxa"/>
            <w:tcBorders>
              <w:bottom w:val="single" w:sz="12" w:space="0" w:color="auto"/>
            </w:tcBorders>
          </w:tcPr>
          <w:p w14:paraId="43FC725D" w14:textId="77777777" w:rsidR="002242F3" w:rsidRPr="009A6F86" w:rsidRDefault="002242F3" w:rsidP="005E3B44">
            <w:pPr>
              <w:pStyle w:val="BSnote2"/>
              <w:pBdr>
                <w:top w:val="nil"/>
                <w:left w:val="nil"/>
                <w:bottom w:val="nil"/>
                <w:right w:val="nil"/>
                <w:between w:val="nil"/>
                <w:bar w:val="nil"/>
              </w:pBdr>
              <w:spacing w:before="0" w:line="257" w:lineRule="auto"/>
              <w:ind w:left="357" w:hanging="357"/>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Controlled Recurrent Payments ($’000)</w:t>
            </w:r>
          </w:p>
        </w:tc>
        <w:tc>
          <w:tcPr>
            <w:tcW w:w="1559" w:type="dxa"/>
            <w:tcBorders>
              <w:bottom w:val="single" w:sz="12" w:space="0" w:color="auto"/>
            </w:tcBorders>
          </w:tcPr>
          <w:p w14:paraId="46BC2071"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84,377</w:t>
            </w:r>
          </w:p>
        </w:tc>
        <w:tc>
          <w:tcPr>
            <w:tcW w:w="1559" w:type="dxa"/>
            <w:tcBorders>
              <w:bottom w:val="single" w:sz="12" w:space="0" w:color="auto"/>
            </w:tcBorders>
          </w:tcPr>
          <w:p w14:paraId="3A3573E8"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82,123</w:t>
            </w:r>
          </w:p>
        </w:tc>
        <w:tc>
          <w:tcPr>
            <w:tcW w:w="1134" w:type="dxa"/>
            <w:tcBorders>
              <w:bottom w:val="single" w:sz="12" w:space="0" w:color="auto"/>
            </w:tcBorders>
          </w:tcPr>
          <w:p w14:paraId="2FAC517E"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(3)</w:t>
            </w:r>
          </w:p>
        </w:tc>
        <w:tc>
          <w:tcPr>
            <w:tcW w:w="1055" w:type="dxa"/>
            <w:tcBorders>
              <w:bottom w:val="single" w:sz="12" w:space="0" w:color="auto"/>
            </w:tcBorders>
          </w:tcPr>
          <w:p w14:paraId="00BF09D2" w14:textId="77777777" w:rsidR="002242F3" w:rsidRPr="009A6F86" w:rsidRDefault="002242F3" w:rsidP="005E3B44">
            <w:pPr>
              <w:pStyle w:val="BSnote2"/>
              <w:pBdr>
                <w:top w:val="nil"/>
                <w:left w:val="nil"/>
                <w:bottom w:val="nil"/>
                <w:right w:val="nil"/>
                <w:between w:val="nil"/>
                <w:bar w:val="nil"/>
              </w:pBdr>
              <w:spacing w:before="0"/>
              <w:jc w:val="right"/>
              <w:rPr>
                <w:rFonts w:asciiTheme="minorHAnsi" w:hAnsiTheme="minorHAnsi" w:cstheme="minorHAnsi"/>
                <w:b w:val="0"/>
                <w:bCs/>
                <w:sz w:val="20"/>
                <w:szCs w:val="20"/>
                <w:bdr w:val="nil"/>
              </w:rPr>
            </w:pPr>
            <w:r w:rsidRPr="009A6F86">
              <w:rPr>
                <w:rFonts w:asciiTheme="minorHAnsi" w:hAnsiTheme="minorHAnsi" w:cstheme="minorHAnsi"/>
                <w:b w:val="0"/>
                <w:bCs/>
                <w:sz w:val="20"/>
                <w:szCs w:val="20"/>
                <w:bdr w:val="nil"/>
              </w:rPr>
              <w:t>97,750</w:t>
            </w:r>
          </w:p>
        </w:tc>
      </w:tr>
    </w:tbl>
    <w:p w14:paraId="5FFE5815"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 w:val="0"/>
          <w:bCs/>
          <w:bdr w:val="nil"/>
        </w:rPr>
      </w:pPr>
      <w:r w:rsidRPr="005E3B44">
        <w:rPr>
          <w:rFonts w:asciiTheme="minorHAnsi" w:hAnsiTheme="minorHAnsi" w:cstheme="minorHAnsi"/>
          <w:b w:val="0"/>
          <w:bCs/>
          <w:bdr w:val="nil"/>
        </w:rPr>
        <w:t xml:space="preserve">The above Accountability Indicators should be read in conjunction with the accompanying notes. </w:t>
      </w:r>
    </w:p>
    <w:p w14:paraId="3B85F6CB"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1D59A96F"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 xml:space="preserve">a.      Efficiency in completion rates of Community Correction Supervision Orders </w:t>
      </w:r>
      <w:proofErr w:type="gramStart"/>
      <w:r w:rsidRPr="005E3B44">
        <w:rPr>
          <w:rFonts w:asciiTheme="minorHAnsi" w:hAnsiTheme="minorHAnsi" w:cstheme="minorHAnsi"/>
          <w:bdr w:val="nil"/>
        </w:rPr>
        <w:t>are</w:t>
      </w:r>
      <w:proofErr w:type="gramEnd"/>
      <w:r w:rsidRPr="005E3B44">
        <w:rPr>
          <w:rFonts w:asciiTheme="minorHAnsi" w:hAnsiTheme="minorHAnsi" w:cstheme="minorHAnsi"/>
          <w:bdr w:val="nil"/>
        </w:rPr>
        <w:t xml:space="preserve"> expected to be achieved based on progress on actual performance in 2020-21.</w:t>
      </w:r>
    </w:p>
    <w:p w14:paraId="13C5B914"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szCs w:val="18"/>
          <w:bdr w:val="nil"/>
        </w:rPr>
      </w:pPr>
      <w:r w:rsidRPr="005E3B44">
        <w:rPr>
          <w:rFonts w:asciiTheme="minorHAnsi" w:hAnsiTheme="minorHAnsi" w:cstheme="minorHAnsi"/>
          <w:bdr w:val="nil"/>
        </w:rPr>
        <w:t xml:space="preserve">b. </w:t>
      </w:r>
      <w:r w:rsidRPr="005E3B44">
        <w:rPr>
          <w:rFonts w:asciiTheme="minorHAnsi" w:hAnsiTheme="minorHAnsi" w:cstheme="minorHAnsi"/>
          <w:bdr w:val="nil"/>
        </w:rPr>
        <w:tab/>
        <w:t>This indicator closely aligns with the Report of Government Services (ROGS) reporting from net recurrent expenditure per community-based offenders per day. This does not include superannuation and depreciation, in line with the ROGS counting method.</w:t>
      </w:r>
    </w:p>
    <w:p w14:paraId="2359FF1F"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szCs w:val="18"/>
          <w:bdr w:val="nil"/>
        </w:rPr>
      </w:pPr>
      <w:r w:rsidRPr="005E3B44">
        <w:rPr>
          <w:rFonts w:asciiTheme="minorHAnsi" w:hAnsiTheme="minorHAnsi" w:cstheme="minorHAnsi"/>
          <w:bdr w:val="nil"/>
        </w:rPr>
        <w:t xml:space="preserve">c. </w:t>
      </w:r>
      <w:r w:rsidRPr="005E3B44">
        <w:rPr>
          <w:rFonts w:asciiTheme="minorHAnsi" w:hAnsiTheme="minorHAnsi" w:cstheme="minorHAnsi"/>
          <w:bdr w:val="nil"/>
        </w:rPr>
        <w:tab/>
        <w:t>The 2021-22 target for this indicator was revised up from $354 to $398 based on projected population and cost in 2021-22.</w:t>
      </w:r>
    </w:p>
    <w:p w14:paraId="4E9D0D58"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szCs w:val="18"/>
          <w:bdr w:val="nil"/>
        </w:rPr>
      </w:pPr>
      <w:r w:rsidRPr="005E3B44">
        <w:rPr>
          <w:rFonts w:asciiTheme="minorHAnsi" w:hAnsiTheme="minorHAnsi" w:cstheme="minorHAnsi"/>
          <w:bdr w:val="nil"/>
        </w:rPr>
        <w:t xml:space="preserve">d. </w:t>
      </w:r>
      <w:r w:rsidRPr="005E3B44">
        <w:rPr>
          <w:rFonts w:asciiTheme="minorHAnsi" w:hAnsiTheme="minorHAnsi" w:cstheme="minorHAnsi"/>
          <w:bdr w:val="nil"/>
        </w:rPr>
        <w:tab/>
        <w:t>The 2021-22 target for this indicator was revised up from $39 to $44 based on average offender population and projected cost.</w:t>
      </w:r>
    </w:p>
    <w:p w14:paraId="7A15D4F0"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3296F193" w14:textId="77777777" w:rsidR="002242F3" w:rsidRPr="005E3B44" w:rsidRDefault="002242F3" w:rsidP="002242F3">
      <w:pPr>
        <w:pStyle w:val="BSnoteslist2"/>
        <w:widowControl w:val="0"/>
        <w:numPr>
          <w:ilvl w:val="0"/>
          <w:numId w:val="0"/>
        </w:numPr>
        <w:pBdr>
          <w:top w:val="nil"/>
          <w:left w:val="nil"/>
          <w:bottom w:val="nil"/>
          <w:right w:val="nil"/>
          <w:between w:val="nil"/>
          <w:bar w:val="nil"/>
        </w:pBdr>
        <w:rPr>
          <w:rFonts w:asciiTheme="minorHAnsi" w:hAnsiTheme="minorHAnsi" w:cstheme="minorHAnsi"/>
          <w:b/>
          <w:bCs/>
          <w:bdr w:val="nil"/>
        </w:rPr>
      </w:pPr>
      <w:r w:rsidRPr="005E3B44">
        <w:rPr>
          <w:rFonts w:asciiTheme="minorHAnsi" w:hAnsiTheme="minorHAnsi" w:cstheme="minorHAnsi"/>
          <w:b/>
          <w:bCs/>
          <w:bdr w:val="nil"/>
        </w:rPr>
        <w:t>Notes:</w:t>
      </w:r>
    </w:p>
    <w:p w14:paraId="63BE6DF1" w14:textId="77777777" w:rsidR="002242F3" w:rsidRPr="005E3B44" w:rsidRDefault="002242F3" w:rsidP="002242F3">
      <w:pPr>
        <w:pStyle w:val="BSnoteslist2"/>
        <w:widowControl w:val="0"/>
        <w:numPr>
          <w:ilvl w:val="0"/>
          <w:numId w:val="39"/>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 xml:space="preserve">ACT Corrective Services Community Operations has undertaken work on improving completion rates, including discretionary processes to reduce ‘unnecessary’ breaches of </w:t>
      </w:r>
      <w:proofErr w:type="gramStart"/>
      <w:r w:rsidRPr="005E3B44">
        <w:rPr>
          <w:rFonts w:asciiTheme="minorHAnsi" w:hAnsiTheme="minorHAnsi" w:cstheme="minorHAnsi"/>
          <w:bdr w:val="nil"/>
        </w:rPr>
        <w:t>orders</w:t>
      </w:r>
      <w:proofErr w:type="gramEnd"/>
      <w:r w:rsidRPr="005E3B44">
        <w:rPr>
          <w:rFonts w:asciiTheme="minorHAnsi" w:hAnsiTheme="minorHAnsi" w:cstheme="minorHAnsi"/>
          <w:bdr w:val="nil"/>
        </w:rPr>
        <w:t xml:space="preserve"> and ensuring offenders are appropriately linked with programs targeted to reduce criminogenic risk factors.</w:t>
      </w:r>
    </w:p>
    <w:p w14:paraId="1B8C92B7" w14:textId="77777777" w:rsidR="002242F3" w:rsidRPr="005E3B44" w:rsidRDefault="002242F3" w:rsidP="002242F3">
      <w:pPr>
        <w:pStyle w:val="BSnoteslist2"/>
        <w:widowControl w:val="0"/>
        <w:numPr>
          <w:ilvl w:val="0"/>
          <w:numId w:val="39"/>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Variance in completion rates is mostly attributable to individual offender behaviour/characteristics and broader justice system practices.  As a smaller jurisdiction, the ACT also experiences greater fluctuations in performance indicators such as completion rates (relative to larger jurisdictions).</w:t>
      </w:r>
    </w:p>
    <w:p w14:paraId="7AE539FD" w14:textId="77777777" w:rsidR="002242F3" w:rsidRPr="005E3B44" w:rsidRDefault="002242F3" w:rsidP="002242F3">
      <w:pPr>
        <w:pStyle w:val="BSnoteslist2"/>
        <w:widowControl w:val="0"/>
        <w:numPr>
          <w:ilvl w:val="0"/>
          <w:numId w:val="39"/>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The average daily cost per offender has increased due to lower detainee numbers, in large part a consequence of the impact of COVID-19 restrictions on the community.</w:t>
      </w:r>
    </w:p>
    <w:p w14:paraId="46EE9200" w14:textId="77777777" w:rsidR="002242F3" w:rsidRPr="005E3B44" w:rsidRDefault="002242F3" w:rsidP="002242F3">
      <w:pPr>
        <w:pStyle w:val="BSnoteslist2"/>
        <w:widowControl w:val="0"/>
        <w:numPr>
          <w:ilvl w:val="0"/>
          <w:numId w:val="39"/>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The average daily cost per offenders has increased due to lower offender numbers, in large part a consequence of the impact of COVID-19 restrictions on the community.</w:t>
      </w:r>
    </w:p>
    <w:p w14:paraId="4963E3D7"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p>
    <w:p w14:paraId="182880C8"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p>
    <w:p w14:paraId="64E12BAE"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sectPr w:rsidR="002242F3" w:rsidRPr="005E3B44" w:rsidSect="005E3B44">
          <w:headerReference w:type="even" r:id="rId41"/>
          <w:headerReference w:type="default" r:id="rId42"/>
          <w:footerReference w:type="even" r:id="rId43"/>
          <w:footerReference w:type="default" r:id="rId44"/>
          <w:headerReference w:type="first" r:id="rId45"/>
          <w:footerReference w:type="first" r:id="rId46"/>
          <w:pgSz w:w="11906" w:h="16838"/>
          <w:pgMar w:top="1151" w:right="1440" w:bottom="1729" w:left="1440" w:header="720" w:footer="720" w:gutter="0"/>
          <w:pgBorders>
            <w:top w:val="nil"/>
            <w:left w:val="nil"/>
            <w:bottom w:val="nil"/>
            <w:right w:val="nil"/>
          </w:pgBorders>
          <w:cols w:space="720"/>
        </w:sectPr>
      </w:pPr>
    </w:p>
    <w:p w14:paraId="2D55A6CD"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Output Class 3: Courts and Tribunal</w:t>
      </w:r>
    </w:p>
    <w:p w14:paraId="49ECD23A" w14:textId="77777777" w:rsidR="002242F3" w:rsidRPr="005E3B44" w:rsidRDefault="002242F3" w:rsidP="004C1875">
      <w:pPr>
        <w:pStyle w:val="Heading4"/>
      </w:pPr>
      <w:r w:rsidRPr="005E3B44">
        <w:t>Output 3.1: Courts and Tribunal</w:t>
      </w:r>
    </w:p>
    <w:p w14:paraId="1D49C70D" w14:textId="472DD33B"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2</w:t>
      </w:r>
      <w:r w:rsidR="00D635C7">
        <w:rPr>
          <w:rFonts w:asciiTheme="minorHAnsi" w:hAnsiTheme="minorHAnsi" w:cstheme="minorHAnsi"/>
          <w:bdr w:val="nil"/>
        </w:rPr>
        <w:t>2</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3.1</w:t>
      </w:r>
    </w:p>
    <w:tbl>
      <w:tblPr>
        <w:tblW w:w="9243" w:type="dxa"/>
        <w:tblBorders>
          <w:top w:val="single" w:sz="12" w:space="0" w:color="000000"/>
          <w:bottom w:val="single" w:sz="12" w:space="0" w:color="000000"/>
        </w:tblBorders>
        <w:tblLook w:val="04A0" w:firstRow="1" w:lastRow="0" w:firstColumn="1" w:lastColumn="0" w:noHBand="0" w:noVBand="1"/>
      </w:tblPr>
      <w:tblGrid>
        <w:gridCol w:w="1252"/>
        <w:gridCol w:w="2442"/>
        <w:gridCol w:w="54"/>
        <w:gridCol w:w="1477"/>
        <w:gridCol w:w="1532"/>
        <w:gridCol w:w="1246"/>
        <w:gridCol w:w="1240"/>
      </w:tblGrid>
      <w:tr w:rsidR="002242F3" w:rsidRPr="005E3B44" w14:paraId="5C895055" w14:textId="77777777" w:rsidTr="005E3B44">
        <w:trPr>
          <w:trHeight w:val="705"/>
          <w:tblHeader/>
        </w:trPr>
        <w:tc>
          <w:tcPr>
            <w:tcW w:w="1998" w:type="pct"/>
            <w:gridSpan w:val="2"/>
            <w:tcBorders>
              <w:top w:val="single" w:sz="12" w:space="0" w:color="000000"/>
              <w:left w:val="nil"/>
              <w:bottom w:val="single" w:sz="12" w:space="0" w:color="000000"/>
              <w:right w:val="nil"/>
            </w:tcBorders>
          </w:tcPr>
          <w:p w14:paraId="3265F83E"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p>
        </w:tc>
        <w:tc>
          <w:tcPr>
            <w:tcW w:w="828" w:type="pct"/>
            <w:gridSpan w:val="2"/>
            <w:tcBorders>
              <w:top w:val="single" w:sz="12" w:space="0" w:color="000000"/>
              <w:left w:val="nil"/>
              <w:bottom w:val="single" w:sz="12" w:space="0" w:color="000000"/>
              <w:right w:val="nil"/>
            </w:tcBorders>
            <w:hideMark/>
          </w:tcPr>
          <w:p w14:paraId="0CF1370C"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1CD976A4"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29" w:type="pct"/>
            <w:tcBorders>
              <w:top w:val="single" w:sz="12" w:space="0" w:color="000000"/>
              <w:left w:val="nil"/>
              <w:bottom w:val="single" w:sz="12" w:space="0" w:color="000000"/>
              <w:right w:val="nil"/>
            </w:tcBorders>
            <w:hideMark/>
          </w:tcPr>
          <w:p w14:paraId="5DA93CA8"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4088D305"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5C14466C"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74" w:type="pct"/>
            <w:tcBorders>
              <w:top w:val="single" w:sz="12" w:space="0" w:color="000000"/>
              <w:left w:val="nil"/>
              <w:bottom w:val="single" w:sz="12" w:space="0" w:color="000000"/>
              <w:right w:val="nil"/>
            </w:tcBorders>
          </w:tcPr>
          <w:p w14:paraId="10DE94C0"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45FD325C"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71" w:type="pct"/>
            <w:tcBorders>
              <w:top w:val="single" w:sz="12" w:space="0" w:color="000000"/>
              <w:left w:val="nil"/>
              <w:bottom w:val="single" w:sz="12" w:space="0" w:color="000000"/>
              <w:right w:val="nil"/>
            </w:tcBorders>
            <w:hideMark/>
          </w:tcPr>
          <w:p w14:paraId="1D81DE7F"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1A417745"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13AE4C84" w14:textId="77777777" w:rsidTr="005E3B44">
        <w:trPr>
          <w:trHeight w:val="230"/>
        </w:trPr>
        <w:tc>
          <w:tcPr>
            <w:tcW w:w="677" w:type="pct"/>
            <w:tcBorders>
              <w:top w:val="nil"/>
              <w:left w:val="nil"/>
              <w:bottom w:val="nil"/>
              <w:right w:val="nil"/>
            </w:tcBorders>
          </w:tcPr>
          <w:p w14:paraId="1ADBA48C" w14:textId="77777777" w:rsidR="002242F3" w:rsidRPr="005E3B44" w:rsidRDefault="002242F3" w:rsidP="005E3B44">
            <w:pPr>
              <w:pStyle w:val="BStabletext1"/>
              <w:pBdr>
                <w:top w:val="nil"/>
                <w:left w:val="nil"/>
                <w:bottom w:val="nil"/>
                <w:right w:val="nil"/>
                <w:between w:val="nil"/>
                <w:bar w:val="nil"/>
              </w:pBdr>
              <w:jc w:val="left"/>
              <w:rPr>
                <w:rStyle w:val="Strong0"/>
                <w:rFonts w:asciiTheme="minorHAnsi" w:hAnsiTheme="minorHAnsi" w:cstheme="minorHAnsi"/>
                <w:bCs/>
                <w:bdr w:val="nil"/>
              </w:rPr>
            </w:pPr>
            <w:r w:rsidRPr="005E3B44">
              <w:rPr>
                <w:rStyle w:val="Strong0"/>
                <w:rFonts w:asciiTheme="minorHAnsi" w:hAnsiTheme="minorHAnsi" w:cstheme="minorHAnsi"/>
                <w:bdr w:val="nil"/>
              </w:rPr>
              <w:t>Courts</w:t>
            </w:r>
          </w:p>
        </w:tc>
        <w:tc>
          <w:tcPr>
            <w:tcW w:w="4323" w:type="pct"/>
            <w:gridSpan w:val="6"/>
            <w:tcBorders>
              <w:top w:val="nil"/>
              <w:left w:val="nil"/>
              <w:bottom w:val="nil"/>
              <w:right w:val="nil"/>
            </w:tcBorders>
          </w:tcPr>
          <w:p w14:paraId="77445643" w14:textId="77777777" w:rsidR="002242F3" w:rsidRPr="005E3B44" w:rsidRDefault="002242F3" w:rsidP="005E3B44">
            <w:pPr>
              <w:pStyle w:val="BStabletext1"/>
              <w:pBdr>
                <w:top w:val="nil"/>
                <w:left w:val="nil"/>
                <w:bottom w:val="nil"/>
                <w:right w:val="nil"/>
                <w:between w:val="nil"/>
                <w:bar w:val="nil"/>
              </w:pBdr>
              <w:jc w:val="left"/>
              <w:rPr>
                <w:rStyle w:val="Strong0"/>
                <w:rFonts w:asciiTheme="minorHAnsi" w:hAnsiTheme="minorHAnsi" w:cstheme="minorHAnsi"/>
                <w:bCs/>
                <w:bdr w:val="nil"/>
              </w:rPr>
            </w:pPr>
          </w:p>
        </w:tc>
      </w:tr>
      <w:tr w:rsidR="002242F3" w:rsidRPr="005E3B44" w14:paraId="224BD602" w14:textId="77777777" w:rsidTr="005E3B44">
        <w:trPr>
          <w:trHeight w:val="269"/>
        </w:trPr>
        <w:tc>
          <w:tcPr>
            <w:tcW w:w="1998" w:type="pct"/>
            <w:gridSpan w:val="2"/>
            <w:tcBorders>
              <w:top w:val="nil"/>
              <w:left w:val="nil"/>
              <w:bottom w:val="nil"/>
              <w:right w:val="nil"/>
            </w:tcBorders>
            <w:hideMark/>
          </w:tcPr>
          <w:p w14:paraId="20BA2751"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a.    Cost per finalised criminal case</w:t>
            </w:r>
            <w:r w:rsidRPr="005E3B44">
              <w:rPr>
                <w:rFonts w:asciiTheme="minorHAnsi" w:hAnsiTheme="minorHAnsi" w:cstheme="minorHAnsi"/>
                <w:bdr w:val="nil"/>
                <w:vertAlign w:val="superscript"/>
              </w:rPr>
              <w:t xml:space="preserve"> a, b</w:t>
            </w:r>
          </w:p>
        </w:tc>
        <w:tc>
          <w:tcPr>
            <w:tcW w:w="828" w:type="pct"/>
            <w:gridSpan w:val="2"/>
            <w:tcBorders>
              <w:top w:val="nil"/>
              <w:left w:val="nil"/>
              <w:bottom w:val="nil"/>
              <w:right w:val="nil"/>
            </w:tcBorders>
          </w:tcPr>
          <w:p w14:paraId="20830D38"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c>
          <w:tcPr>
            <w:tcW w:w="829" w:type="pct"/>
            <w:tcBorders>
              <w:top w:val="nil"/>
              <w:left w:val="nil"/>
              <w:bottom w:val="nil"/>
              <w:right w:val="nil"/>
            </w:tcBorders>
          </w:tcPr>
          <w:p w14:paraId="5E9ED90F"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c>
          <w:tcPr>
            <w:tcW w:w="674" w:type="pct"/>
            <w:tcBorders>
              <w:top w:val="nil"/>
              <w:left w:val="nil"/>
              <w:bottom w:val="nil"/>
              <w:right w:val="nil"/>
            </w:tcBorders>
          </w:tcPr>
          <w:p w14:paraId="0EFA0BBD"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c>
          <w:tcPr>
            <w:tcW w:w="671" w:type="pct"/>
            <w:tcBorders>
              <w:top w:val="nil"/>
              <w:left w:val="nil"/>
              <w:bottom w:val="nil"/>
              <w:right w:val="nil"/>
            </w:tcBorders>
          </w:tcPr>
          <w:p w14:paraId="29A10BBB" w14:textId="77777777" w:rsidR="002242F3" w:rsidRPr="005E3B44" w:rsidRDefault="002242F3" w:rsidP="005E3B44">
            <w:pPr>
              <w:pStyle w:val="BStablefigures1"/>
              <w:pBdr>
                <w:top w:val="nil"/>
                <w:left w:val="nil"/>
                <w:bottom w:val="nil"/>
                <w:right w:val="nil"/>
                <w:between w:val="nil"/>
                <w:bar w:val="nil"/>
              </w:pBdr>
              <w:rPr>
                <w:rFonts w:asciiTheme="minorHAnsi" w:hAnsiTheme="minorHAnsi" w:cstheme="minorHAnsi"/>
                <w:bdr w:val="nil"/>
              </w:rPr>
            </w:pPr>
          </w:p>
        </w:tc>
      </w:tr>
      <w:tr w:rsidR="002242F3" w:rsidRPr="005E3B44" w14:paraId="5CE5418D" w14:textId="77777777" w:rsidTr="005E3B44">
        <w:trPr>
          <w:trHeight w:val="269"/>
        </w:trPr>
        <w:tc>
          <w:tcPr>
            <w:tcW w:w="1998" w:type="pct"/>
            <w:gridSpan w:val="2"/>
            <w:tcBorders>
              <w:top w:val="nil"/>
              <w:left w:val="nil"/>
              <w:bottom w:val="nil"/>
              <w:right w:val="nil"/>
            </w:tcBorders>
            <w:hideMark/>
          </w:tcPr>
          <w:p w14:paraId="525DD2BB" w14:textId="77777777" w:rsidR="002242F3" w:rsidRPr="005E3B44" w:rsidRDefault="002242F3" w:rsidP="005E3B44">
            <w:pPr>
              <w:pStyle w:val="BStabledotpoint0"/>
              <w:pBdr>
                <w:top w:val="nil"/>
                <w:left w:val="nil"/>
                <w:bottom w:val="nil"/>
                <w:right w:val="nil"/>
                <w:between w:val="nil"/>
                <w:bar w:val="nil"/>
              </w:pBdr>
              <w:tabs>
                <w:tab w:val="clear" w:pos="360"/>
                <w:tab w:val="left" w:pos="720"/>
              </w:tabs>
              <w:spacing w:line="256" w:lineRule="auto"/>
              <w:ind w:left="360" w:firstLine="66"/>
              <w:rPr>
                <w:rFonts w:asciiTheme="minorHAnsi" w:hAnsiTheme="minorHAnsi" w:cstheme="minorHAnsi"/>
                <w:bdr w:val="nil"/>
              </w:rPr>
            </w:pPr>
            <w:r w:rsidRPr="005E3B44">
              <w:rPr>
                <w:rFonts w:asciiTheme="minorHAnsi" w:hAnsiTheme="minorHAnsi" w:cstheme="minorHAnsi"/>
                <w:bdr w:val="nil"/>
              </w:rPr>
              <w:t>–  Supreme Court</w:t>
            </w:r>
          </w:p>
        </w:tc>
        <w:tc>
          <w:tcPr>
            <w:tcW w:w="828" w:type="pct"/>
            <w:gridSpan w:val="2"/>
            <w:tcBorders>
              <w:top w:val="nil"/>
              <w:left w:val="nil"/>
              <w:bottom w:val="nil"/>
              <w:right w:val="nil"/>
            </w:tcBorders>
            <w:hideMark/>
          </w:tcPr>
          <w:p w14:paraId="746A3F2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$44,600</w:t>
            </w:r>
          </w:p>
        </w:tc>
        <w:tc>
          <w:tcPr>
            <w:tcW w:w="829" w:type="pct"/>
            <w:tcBorders>
              <w:top w:val="nil"/>
              <w:left w:val="nil"/>
              <w:bottom w:val="nil"/>
              <w:right w:val="nil"/>
            </w:tcBorders>
            <w:hideMark/>
          </w:tcPr>
          <w:p w14:paraId="2B049DB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$48,470</w:t>
            </w:r>
          </w:p>
        </w:tc>
        <w:tc>
          <w:tcPr>
            <w:tcW w:w="674" w:type="pct"/>
            <w:tcBorders>
              <w:top w:val="nil"/>
              <w:left w:val="nil"/>
              <w:bottom w:val="nil"/>
              <w:right w:val="nil"/>
            </w:tcBorders>
          </w:tcPr>
          <w:p w14:paraId="6B246A3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w:t>
            </w:r>
          </w:p>
        </w:tc>
        <w:tc>
          <w:tcPr>
            <w:tcW w:w="671" w:type="pct"/>
            <w:tcBorders>
              <w:top w:val="nil"/>
              <w:left w:val="nil"/>
              <w:bottom w:val="nil"/>
              <w:right w:val="nil"/>
            </w:tcBorders>
          </w:tcPr>
          <w:p w14:paraId="6F0CE62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 xml:space="preserve">$48,117 </w:t>
            </w:r>
          </w:p>
        </w:tc>
      </w:tr>
      <w:tr w:rsidR="002242F3" w:rsidRPr="005E3B44" w14:paraId="347C1ED0" w14:textId="77777777" w:rsidTr="005E3B44">
        <w:trPr>
          <w:trHeight w:val="269"/>
        </w:trPr>
        <w:tc>
          <w:tcPr>
            <w:tcW w:w="1998" w:type="pct"/>
            <w:gridSpan w:val="2"/>
            <w:tcBorders>
              <w:top w:val="nil"/>
              <w:left w:val="nil"/>
              <w:bottom w:val="nil"/>
              <w:right w:val="nil"/>
            </w:tcBorders>
            <w:hideMark/>
          </w:tcPr>
          <w:p w14:paraId="621095AA" w14:textId="77777777" w:rsidR="002242F3" w:rsidRPr="005E3B44" w:rsidRDefault="002242F3" w:rsidP="005E3B44">
            <w:pPr>
              <w:pStyle w:val="BStabledotpoint0"/>
              <w:pBdr>
                <w:top w:val="nil"/>
                <w:left w:val="nil"/>
                <w:bottom w:val="nil"/>
                <w:right w:val="nil"/>
                <w:between w:val="nil"/>
                <w:bar w:val="nil"/>
              </w:pBdr>
              <w:tabs>
                <w:tab w:val="clear" w:pos="360"/>
                <w:tab w:val="left" w:pos="720"/>
              </w:tabs>
              <w:spacing w:line="256" w:lineRule="auto"/>
              <w:ind w:left="360" w:firstLine="66"/>
              <w:rPr>
                <w:rFonts w:asciiTheme="minorHAnsi" w:hAnsiTheme="minorHAnsi" w:cstheme="minorHAnsi"/>
                <w:bdr w:val="nil"/>
              </w:rPr>
            </w:pPr>
            <w:r w:rsidRPr="005E3B44">
              <w:rPr>
                <w:rFonts w:asciiTheme="minorHAnsi" w:hAnsiTheme="minorHAnsi" w:cstheme="minorHAnsi"/>
                <w:bdr w:val="nil"/>
              </w:rPr>
              <w:t>–  Magistrates Court</w:t>
            </w:r>
          </w:p>
        </w:tc>
        <w:tc>
          <w:tcPr>
            <w:tcW w:w="828" w:type="pct"/>
            <w:gridSpan w:val="2"/>
            <w:tcBorders>
              <w:top w:val="nil"/>
              <w:left w:val="nil"/>
              <w:bottom w:val="nil"/>
              <w:right w:val="nil"/>
            </w:tcBorders>
            <w:hideMark/>
          </w:tcPr>
          <w:p w14:paraId="314A73A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$2,250</w:t>
            </w:r>
          </w:p>
        </w:tc>
        <w:tc>
          <w:tcPr>
            <w:tcW w:w="829" w:type="pct"/>
            <w:tcBorders>
              <w:top w:val="nil"/>
              <w:left w:val="nil"/>
              <w:bottom w:val="nil"/>
              <w:right w:val="nil"/>
            </w:tcBorders>
            <w:hideMark/>
          </w:tcPr>
          <w:p w14:paraId="104284F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$2,211</w:t>
            </w:r>
          </w:p>
        </w:tc>
        <w:tc>
          <w:tcPr>
            <w:tcW w:w="674" w:type="pct"/>
            <w:tcBorders>
              <w:top w:val="nil"/>
              <w:left w:val="nil"/>
              <w:bottom w:val="nil"/>
              <w:right w:val="nil"/>
            </w:tcBorders>
          </w:tcPr>
          <w:p w14:paraId="62F2AD6C"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(2)</w:t>
            </w:r>
          </w:p>
        </w:tc>
        <w:tc>
          <w:tcPr>
            <w:tcW w:w="671" w:type="pct"/>
            <w:tcBorders>
              <w:top w:val="nil"/>
              <w:left w:val="nil"/>
              <w:bottom w:val="nil"/>
              <w:right w:val="nil"/>
            </w:tcBorders>
          </w:tcPr>
          <w:p w14:paraId="12F3F7F5"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 xml:space="preserve">$2,419 </w:t>
            </w:r>
          </w:p>
        </w:tc>
      </w:tr>
      <w:tr w:rsidR="002242F3" w:rsidRPr="005E3B44" w14:paraId="5D16D382" w14:textId="77777777" w:rsidTr="005E3B44">
        <w:trPr>
          <w:trHeight w:val="269"/>
        </w:trPr>
        <w:tc>
          <w:tcPr>
            <w:tcW w:w="1998" w:type="pct"/>
            <w:gridSpan w:val="2"/>
            <w:tcBorders>
              <w:top w:val="nil"/>
              <w:left w:val="nil"/>
              <w:bottom w:val="nil"/>
              <w:right w:val="nil"/>
            </w:tcBorders>
            <w:hideMark/>
          </w:tcPr>
          <w:p w14:paraId="18B6DCDE"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b.    Cost per finalised civil case</w:t>
            </w:r>
            <w:r w:rsidRPr="005E3B44">
              <w:rPr>
                <w:rFonts w:asciiTheme="minorHAnsi" w:hAnsiTheme="minorHAnsi" w:cstheme="minorHAnsi"/>
                <w:bdr w:val="nil"/>
                <w:vertAlign w:val="superscript"/>
              </w:rPr>
              <w:t xml:space="preserve"> a, b</w:t>
            </w:r>
          </w:p>
        </w:tc>
        <w:tc>
          <w:tcPr>
            <w:tcW w:w="828" w:type="pct"/>
            <w:gridSpan w:val="2"/>
            <w:tcBorders>
              <w:top w:val="nil"/>
              <w:left w:val="nil"/>
              <w:bottom w:val="nil"/>
              <w:right w:val="nil"/>
            </w:tcBorders>
          </w:tcPr>
          <w:p w14:paraId="3A43F92E"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829" w:type="pct"/>
            <w:tcBorders>
              <w:top w:val="nil"/>
              <w:left w:val="nil"/>
              <w:bottom w:val="nil"/>
              <w:right w:val="nil"/>
            </w:tcBorders>
          </w:tcPr>
          <w:p w14:paraId="5CBB2CF4"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74" w:type="pct"/>
            <w:tcBorders>
              <w:top w:val="nil"/>
              <w:left w:val="nil"/>
              <w:bottom w:val="nil"/>
              <w:right w:val="nil"/>
            </w:tcBorders>
          </w:tcPr>
          <w:p w14:paraId="13B88547"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c>
          <w:tcPr>
            <w:tcW w:w="671" w:type="pct"/>
            <w:tcBorders>
              <w:top w:val="nil"/>
              <w:left w:val="nil"/>
              <w:bottom w:val="nil"/>
              <w:right w:val="nil"/>
            </w:tcBorders>
          </w:tcPr>
          <w:p w14:paraId="28DDB934"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p>
        </w:tc>
      </w:tr>
      <w:tr w:rsidR="002242F3" w:rsidRPr="005E3B44" w14:paraId="0E62EEB1" w14:textId="77777777" w:rsidTr="005E3B44">
        <w:trPr>
          <w:trHeight w:val="269"/>
        </w:trPr>
        <w:tc>
          <w:tcPr>
            <w:tcW w:w="1998" w:type="pct"/>
            <w:gridSpan w:val="2"/>
            <w:tcBorders>
              <w:top w:val="nil"/>
              <w:left w:val="nil"/>
              <w:bottom w:val="nil"/>
              <w:right w:val="nil"/>
            </w:tcBorders>
            <w:hideMark/>
          </w:tcPr>
          <w:p w14:paraId="4FBD1757" w14:textId="77777777" w:rsidR="002242F3" w:rsidRPr="005E3B44" w:rsidRDefault="002242F3" w:rsidP="005E3B44">
            <w:pPr>
              <w:pStyle w:val="BStabledotpoint0"/>
              <w:pBdr>
                <w:top w:val="nil"/>
                <w:left w:val="nil"/>
                <w:bottom w:val="nil"/>
                <w:right w:val="nil"/>
                <w:between w:val="nil"/>
                <w:bar w:val="nil"/>
              </w:pBdr>
              <w:tabs>
                <w:tab w:val="clear" w:pos="360"/>
                <w:tab w:val="left" w:pos="720"/>
              </w:tabs>
              <w:spacing w:line="256" w:lineRule="auto"/>
              <w:ind w:left="360" w:firstLine="66"/>
              <w:rPr>
                <w:rFonts w:asciiTheme="minorHAnsi" w:hAnsiTheme="minorHAnsi" w:cstheme="minorHAnsi"/>
                <w:bdr w:val="nil"/>
              </w:rPr>
            </w:pPr>
            <w:r w:rsidRPr="005E3B44">
              <w:rPr>
                <w:rFonts w:asciiTheme="minorHAnsi" w:hAnsiTheme="minorHAnsi" w:cstheme="minorHAnsi"/>
                <w:bdr w:val="nil"/>
              </w:rPr>
              <w:t xml:space="preserve">– Supreme Court </w:t>
            </w:r>
            <w:r w:rsidRPr="005E3B44">
              <w:rPr>
                <w:rFonts w:asciiTheme="minorHAnsi" w:hAnsiTheme="minorHAnsi" w:cstheme="minorHAnsi"/>
                <w:bdr w:val="nil"/>
                <w:vertAlign w:val="superscript"/>
              </w:rPr>
              <w:t>1</w:t>
            </w:r>
          </w:p>
        </w:tc>
        <w:tc>
          <w:tcPr>
            <w:tcW w:w="828" w:type="pct"/>
            <w:gridSpan w:val="2"/>
            <w:tcBorders>
              <w:top w:val="nil"/>
              <w:left w:val="nil"/>
              <w:bottom w:val="nil"/>
              <w:right w:val="nil"/>
            </w:tcBorders>
            <w:hideMark/>
          </w:tcPr>
          <w:p w14:paraId="24353AC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$21,800</w:t>
            </w:r>
          </w:p>
        </w:tc>
        <w:tc>
          <w:tcPr>
            <w:tcW w:w="829" w:type="pct"/>
            <w:tcBorders>
              <w:top w:val="nil"/>
              <w:left w:val="nil"/>
              <w:bottom w:val="nil"/>
              <w:right w:val="nil"/>
            </w:tcBorders>
            <w:hideMark/>
          </w:tcPr>
          <w:p w14:paraId="291C936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$18,484</w:t>
            </w:r>
          </w:p>
        </w:tc>
        <w:tc>
          <w:tcPr>
            <w:tcW w:w="674" w:type="pct"/>
            <w:tcBorders>
              <w:top w:val="nil"/>
              <w:left w:val="nil"/>
              <w:bottom w:val="nil"/>
              <w:right w:val="nil"/>
            </w:tcBorders>
          </w:tcPr>
          <w:p w14:paraId="485079B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(15)</w:t>
            </w:r>
          </w:p>
        </w:tc>
        <w:tc>
          <w:tcPr>
            <w:tcW w:w="671" w:type="pct"/>
            <w:tcBorders>
              <w:top w:val="nil"/>
              <w:left w:val="nil"/>
              <w:bottom w:val="nil"/>
              <w:right w:val="nil"/>
            </w:tcBorders>
          </w:tcPr>
          <w:p w14:paraId="525B29E4"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 xml:space="preserve">$22,027 </w:t>
            </w:r>
          </w:p>
        </w:tc>
      </w:tr>
      <w:tr w:rsidR="002242F3" w:rsidRPr="005E3B44" w14:paraId="519C145E" w14:textId="77777777" w:rsidTr="005E3B44">
        <w:trPr>
          <w:trHeight w:val="269"/>
        </w:trPr>
        <w:tc>
          <w:tcPr>
            <w:tcW w:w="1998" w:type="pct"/>
            <w:gridSpan w:val="2"/>
            <w:tcBorders>
              <w:top w:val="nil"/>
              <w:left w:val="nil"/>
              <w:bottom w:val="nil"/>
              <w:right w:val="nil"/>
            </w:tcBorders>
            <w:hideMark/>
          </w:tcPr>
          <w:p w14:paraId="046BAE22" w14:textId="77777777" w:rsidR="002242F3" w:rsidRPr="005E3B44" w:rsidRDefault="002242F3" w:rsidP="005E3B44">
            <w:pPr>
              <w:pStyle w:val="BStabledotpoint0"/>
              <w:pBdr>
                <w:top w:val="nil"/>
                <w:left w:val="nil"/>
                <w:bottom w:val="nil"/>
                <w:right w:val="nil"/>
                <w:between w:val="nil"/>
                <w:bar w:val="nil"/>
              </w:pBdr>
              <w:tabs>
                <w:tab w:val="clear" w:pos="360"/>
                <w:tab w:val="left" w:pos="720"/>
              </w:tabs>
              <w:spacing w:line="256" w:lineRule="auto"/>
              <w:ind w:left="360" w:firstLine="66"/>
              <w:rPr>
                <w:rFonts w:asciiTheme="minorHAnsi" w:hAnsiTheme="minorHAnsi" w:cstheme="minorHAnsi"/>
                <w:bdr w:val="nil"/>
              </w:rPr>
            </w:pPr>
            <w:r w:rsidRPr="005E3B44">
              <w:rPr>
                <w:rFonts w:asciiTheme="minorHAnsi" w:hAnsiTheme="minorHAnsi" w:cstheme="minorHAnsi"/>
                <w:bdr w:val="nil"/>
              </w:rPr>
              <w:t>– Magistrates Court</w:t>
            </w:r>
          </w:p>
        </w:tc>
        <w:tc>
          <w:tcPr>
            <w:tcW w:w="828" w:type="pct"/>
            <w:gridSpan w:val="2"/>
            <w:tcBorders>
              <w:top w:val="nil"/>
              <w:left w:val="nil"/>
              <w:bottom w:val="nil"/>
              <w:right w:val="nil"/>
            </w:tcBorders>
            <w:hideMark/>
          </w:tcPr>
          <w:p w14:paraId="3203F9D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$3,600</w:t>
            </w:r>
          </w:p>
        </w:tc>
        <w:tc>
          <w:tcPr>
            <w:tcW w:w="829" w:type="pct"/>
            <w:tcBorders>
              <w:top w:val="nil"/>
              <w:left w:val="nil"/>
              <w:bottom w:val="nil"/>
              <w:right w:val="nil"/>
            </w:tcBorders>
            <w:hideMark/>
          </w:tcPr>
          <w:p w14:paraId="5D93618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$3,838</w:t>
            </w:r>
          </w:p>
        </w:tc>
        <w:tc>
          <w:tcPr>
            <w:tcW w:w="674" w:type="pct"/>
            <w:tcBorders>
              <w:top w:val="nil"/>
              <w:left w:val="nil"/>
              <w:bottom w:val="nil"/>
              <w:right w:val="nil"/>
            </w:tcBorders>
          </w:tcPr>
          <w:p w14:paraId="7A113E0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7</w:t>
            </w:r>
          </w:p>
        </w:tc>
        <w:tc>
          <w:tcPr>
            <w:tcW w:w="671" w:type="pct"/>
            <w:tcBorders>
              <w:top w:val="nil"/>
              <w:left w:val="nil"/>
              <w:bottom w:val="nil"/>
              <w:right w:val="nil"/>
            </w:tcBorders>
          </w:tcPr>
          <w:p w14:paraId="02855F0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 xml:space="preserve">$3,909 </w:t>
            </w:r>
          </w:p>
        </w:tc>
      </w:tr>
      <w:tr w:rsidR="002242F3" w:rsidRPr="005E3B44" w14:paraId="61FDB9F9" w14:textId="77777777" w:rsidTr="005E3B44">
        <w:trPr>
          <w:trHeight w:val="269"/>
        </w:trPr>
        <w:tc>
          <w:tcPr>
            <w:tcW w:w="1998" w:type="pct"/>
            <w:gridSpan w:val="2"/>
            <w:tcBorders>
              <w:top w:val="nil"/>
              <w:left w:val="nil"/>
              <w:bottom w:val="nil"/>
              <w:right w:val="nil"/>
            </w:tcBorders>
            <w:hideMark/>
          </w:tcPr>
          <w:p w14:paraId="6BC63F27"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c.    Criminal Case Clearance Indicator</w:t>
            </w:r>
            <w:r w:rsidRPr="005E3B44">
              <w:rPr>
                <w:rFonts w:asciiTheme="minorHAnsi" w:hAnsiTheme="minorHAnsi" w:cstheme="minorHAnsi"/>
                <w:bdr w:val="nil"/>
                <w:vertAlign w:val="superscript"/>
              </w:rPr>
              <w:t xml:space="preserve"> </w:t>
            </w:r>
            <w:r w:rsidRPr="005E3B44">
              <w:rPr>
                <w:rFonts w:asciiTheme="minorHAnsi" w:hAnsiTheme="minorHAnsi" w:cstheme="minorHAnsi"/>
                <w:bdr w:val="nil"/>
              </w:rPr>
              <w:t xml:space="preserve"> </w:t>
            </w:r>
            <w:r w:rsidRPr="005E3B44">
              <w:rPr>
                <w:rFonts w:asciiTheme="minorHAnsi" w:hAnsiTheme="minorHAnsi" w:cstheme="minorHAnsi"/>
                <w:bdr w:val="nil"/>
              </w:rPr>
              <w:br/>
              <w:t xml:space="preserve">– Number of Supreme </w:t>
            </w:r>
            <w:proofErr w:type="gramStart"/>
            <w:r w:rsidRPr="005E3B44">
              <w:rPr>
                <w:rFonts w:asciiTheme="minorHAnsi" w:hAnsiTheme="minorHAnsi" w:cstheme="minorHAnsi"/>
                <w:bdr w:val="nil"/>
              </w:rPr>
              <w:t>Court  finalisations</w:t>
            </w:r>
            <w:proofErr w:type="gramEnd"/>
            <w:r w:rsidRPr="005E3B44">
              <w:rPr>
                <w:rFonts w:asciiTheme="minorHAnsi" w:hAnsiTheme="minorHAnsi" w:cstheme="minorHAnsi"/>
                <w:bdr w:val="nil"/>
              </w:rPr>
              <w:t>, divided by the number of lodgements</w:t>
            </w:r>
          </w:p>
        </w:tc>
        <w:tc>
          <w:tcPr>
            <w:tcW w:w="828" w:type="pct"/>
            <w:gridSpan w:val="2"/>
            <w:tcBorders>
              <w:top w:val="nil"/>
              <w:left w:val="nil"/>
              <w:bottom w:val="nil"/>
              <w:right w:val="nil"/>
            </w:tcBorders>
            <w:hideMark/>
          </w:tcPr>
          <w:p w14:paraId="2F71A651"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c>
          <w:tcPr>
            <w:tcW w:w="829" w:type="pct"/>
            <w:tcBorders>
              <w:top w:val="nil"/>
              <w:left w:val="nil"/>
              <w:bottom w:val="nil"/>
              <w:right w:val="nil"/>
            </w:tcBorders>
            <w:hideMark/>
          </w:tcPr>
          <w:p w14:paraId="360641A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97%</w:t>
            </w:r>
          </w:p>
        </w:tc>
        <w:tc>
          <w:tcPr>
            <w:tcW w:w="674" w:type="pct"/>
            <w:tcBorders>
              <w:top w:val="nil"/>
              <w:left w:val="nil"/>
              <w:bottom w:val="nil"/>
              <w:right w:val="nil"/>
            </w:tcBorders>
          </w:tcPr>
          <w:p w14:paraId="291251EE"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(3)</w:t>
            </w:r>
          </w:p>
        </w:tc>
        <w:tc>
          <w:tcPr>
            <w:tcW w:w="671" w:type="pct"/>
            <w:tcBorders>
              <w:top w:val="nil"/>
              <w:left w:val="nil"/>
              <w:bottom w:val="nil"/>
              <w:right w:val="nil"/>
            </w:tcBorders>
          </w:tcPr>
          <w:p w14:paraId="3EDDE743"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r>
      <w:tr w:rsidR="002242F3" w:rsidRPr="005E3B44" w14:paraId="30E73807" w14:textId="77777777" w:rsidTr="005E3B44">
        <w:trPr>
          <w:trHeight w:val="269"/>
        </w:trPr>
        <w:tc>
          <w:tcPr>
            <w:tcW w:w="1998" w:type="pct"/>
            <w:gridSpan w:val="2"/>
            <w:tcBorders>
              <w:top w:val="nil"/>
              <w:left w:val="nil"/>
              <w:bottom w:val="nil"/>
              <w:right w:val="nil"/>
            </w:tcBorders>
            <w:hideMark/>
          </w:tcPr>
          <w:p w14:paraId="5DD46DFB"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 xml:space="preserve">d.    Criminal Case Clearance Indicator </w:t>
            </w:r>
            <w:r w:rsidRPr="005E3B44">
              <w:rPr>
                <w:rFonts w:asciiTheme="minorHAnsi" w:hAnsiTheme="minorHAnsi" w:cstheme="minorHAnsi"/>
                <w:bdr w:val="nil"/>
              </w:rPr>
              <w:br/>
              <w:t xml:space="preserve"> – Number of Magistrates Court finalisations, divided by the number of lodgements</w:t>
            </w:r>
          </w:p>
        </w:tc>
        <w:tc>
          <w:tcPr>
            <w:tcW w:w="828" w:type="pct"/>
            <w:gridSpan w:val="2"/>
            <w:tcBorders>
              <w:top w:val="nil"/>
              <w:left w:val="nil"/>
              <w:bottom w:val="nil"/>
              <w:right w:val="nil"/>
            </w:tcBorders>
            <w:hideMark/>
          </w:tcPr>
          <w:p w14:paraId="398C1EE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c>
          <w:tcPr>
            <w:tcW w:w="829" w:type="pct"/>
            <w:tcBorders>
              <w:top w:val="nil"/>
              <w:left w:val="nil"/>
              <w:bottom w:val="nil"/>
              <w:right w:val="nil"/>
            </w:tcBorders>
            <w:hideMark/>
          </w:tcPr>
          <w:p w14:paraId="4F8B8E1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105%</w:t>
            </w:r>
          </w:p>
        </w:tc>
        <w:tc>
          <w:tcPr>
            <w:tcW w:w="674" w:type="pct"/>
            <w:tcBorders>
              <w:top w:val="nil"/>
              <w:left w:val="nil"/>
              <w:bottom w:val="nil"/>
              <w:right w:val="nil"/>
            </w:tcBorders>
          </w:tcPr>
          <w:p w14:paraId="37D7DFD4"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5</w:t>
            </w:r>
          </w:p>
        </w:tc>
        <w:tc>
          <w:tcPr>
            <w:tcW w:w="671" w:type="pct"/>
            <w:tcBorders>
              <w:top w:val="nil"/>
              <w:left w:val="nil"/>
              <w:bottom w:val="nil"/>
              <w:right w:val="nil"/>
            </w:tcBorders>
          </w:tcPr>
          <w:p w14:paraId="6FB29411"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r>
      <w:tr w:rsidR="002242F3" w:rsidRPr="005E3B44" w14:paraId="41924555" w14:textId="77777777" w:rsidTr="005E3B44">
        <w:trPr>
          <w:trHeight w:val="269"/>
        </w:trPr>
        <w:tc>
          <w:tcPr>
            <w:tcW w:w="1998" w:type="pct"/>
            <w:gridSpan w:val="2"/>
            <w:tcBorders>
              <w:top w:val="nil"/>
              <w:left w:val="nil"/>
              <w:bottom w:val="nil"/>
              <w:right w:val="nil"/>
            </w:tcBorders>
            <w:hideMark/>
          </w:tcPr>
          <w:p w14:paraId="315D3518"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426" w:hanging="426"/>
              <w:rPr>
                <w:rFonts w:asciiTheme="minorHAnsi" w:hAnsiTheme="minorHAnsi" w:cstheme="minorHAnsi"/>
                <w:bdr w:val="nil"/>
              </w:rPr>
            </w:pPr>
            <w:r w:rsidRPr="005E3B44">
              <w:rPr>
                <w:rFonts w:asciiTheme="minorHAnsi" w:hAnsiTheme="minorHAnsi" w:cstheme="minorHAnsi"/>
                <w:bdr w:val="nil"/>
              </w:rPr>
              <w:t xml:space="preserve">e.    Civil Case Clearance Indicator </w:t>
            </w:r>
            <w:r w:rsidRPr="005E3B44">
              <w:rPr>
                <w:rFonts w:asciiTheme="minorHAnsi" w:hAnsiTheme="minorHAnsi" w:cstheme="minorHAnsi"/>
                <w:bdr w:val="nil"/>
              </w:rPr>
              <w:br/>
              <w:t xml:space="preserve">– Number of Supreme Court finalisations, divided by the number of lodgements </w:t>
            </w:r>
            <w:r w:rsidRPr="005E3B44">
              <w:rPr>
                <w:rFonts w:asciiTheme="minorHAnsi" w:hAnsiTheme="minorHAnsi" w:cstheme="minorHAnsi"/>
                <w:bdr w:val="nil"/>
                <w:vertAlign w:val="superscript"/>
              </w:rPr>
              <w:t>2</w:t>
            </w:r>
          </w:p>
        </w:tc>
        <w:tc>
          <w:tcPr>
            <w:tcW w:w="828" w:type="pct"/>
            <w:gridSpan w:val="2"/>
            <w:tcBorders>
              <w:top w:val="nil"/>
              <w:left w:val="nil"/>
              <w:bottom w:val="nil"/>
              <w:right w:val="nil"/>
            </w:tcBorders>
            <w:hideMark/>
          </w:tcPr>
          <w:p w14:paraId="5FCA974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c>
          <w:tcPr>
            <w:tcW w:w="829" w:type="pct"/>
            <w:tcBorders>
              <w:top w:val="nil"/>
              <w:left w:val="nil"/>
              <w:bottom w:val="nil"/>
              <w:right w:val="nil"/>
            </w:tcBorders>
            <w:hideMark/>
          </w:tcPr>
          <w:p w14:paraId="7A1B976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111%</w:t>
            </w:r>
          </w:p>
        </w:tc>
        <w:tc>
          <w:tcPr>
            <w:tcW w:w="674" w:type="pct"/>
            <w:tcBorders>
              <w:top w:val="nil"/>
              <w:left w:val="nil"/>
              <w:bottom w:val="nil"/>
              <w:right w:val="nil"/>
            </w:tcBorders>
          </w:tcPr>
          <w:p w14:paraId="0F8B2A6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11</w:t>
            </w:r>
          </w:p>
        </w:tc>
        <w:tc>
          <w:tcPr>
            <w:tcW w:w="671" w:type="pct"/>
            <w:tcBorders>
              <w:top w:val="nil"/>
              <w:left w:val="nil"/>
              <w:bottom w:val="nil"/>
              <w:right w:val="nil"/>
            </w:tcBorders>
          </w:tcPr>
          <w:p w14:paraId="68E558F3"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r>
      <w:tr w:rsidR="002242F3" w:rsidRPr="005E3B44" w14:paraId="2A819A2D" w14:textId="77777777" w:rsidTr="005E3B44">
        <w:trPr>
          <w:trHeight w:val="269"/>
        </w:trPr>
        <w:tc>
          <w:tcPr>
            <w:tcW w:w="1998" w:type="pct"/>
            <w:gridSpan w:val="2"/>
            <w:tcBorders>
              <w:top w:val="nil"/>
              <w:left w:val="nil"/>
              <w:bottom w:val="nil"/>
              <w:right w:val="nil"/>
            </w:tcBorders>
            <w:hideMark/>
          </w:tcPr>
          <w:p w14:paraId="237AACAA"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f.    Civil Case Clearance Indicator</w:t>
            </w:r>
            <w:r w:rsidRPr="005E3B44">
              <w:rPr>
                <w:rFonts w:asciiTheme="minorHAnsi" w:hAnsiTheme="minorHAnsi" w:cstheme="minorHAnsi"/>
                <w:bdr w:val="nil"/>
              </w:rPr>
              <w:br/>
              <w:t xml:space="preserve"> – Number of Magistrates Court finalisations, divided by the number of lodgements </w:t>
            </w:r>
            <w:r w:rsidRPr="005E3B44">
              <w:rPr>
                <w:rFonts w:asciiTheme="minorHAnsi" w:hAnsiTheme="minorHAnsi" w:cstheme="minorHAnsi"/>
                <w:bdr w:val="nil"/>
                <w:vertAlign w:val="superscript"/>
              </w:rPr>
              <w:t>c</w:t>
            </w:r>
          </w:p>
        </w:tc>
        <w:tc>
          <w:tcPr>
            <w:tcW w:w="828" w:type="pct"/>
            <w:gridSpan w:val="2"/>
            <w:tcBorders>
              <w:top w:val="nil"/>
              <w:left w:val="nil"/>
              <w:bottom w:val="nil"/>
              <w:right w:val="nil"/>
            </w:tcBorders>
            <w:hideMark/>
          </w:tcPr>
          <w:p w14:paraId="343EC6FB"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c>
          <w:tcPr>
            <w:tcW w:w="829" w:type="pct"/>
            <w:tcBorders>
              <w:top w:val="nil"/>
              <w:left w:val="nil"/>
              <w:bottom w:val="nil"/>
              <w:right w:val="nil"/>
            </w:tcBorders>
            <w:hideMark/>
          </w:tcPr>
          <w:p w14:paraId="6764612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102%</w:t>
            </w:r>
          </w:p>
        </w:tc>
        <w:tc>
          <w:tcPr>
            <w:tcW w:w="674" w:type="pct"/>
            <w:tcBorders>
              <w:top w:val="nil"/>
              <w:left w:val="nil"/>
              <w:bottom w:val="nil"/>
              <w:right w:val="nil"/>
            </w:tcBorders>
          </w:tcPr>
          <w:p w14:paraId="10EEEF94"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2</w:t>
            </w:r>
          </w:p>
        </w:tc>
        <w:tc>
          <w:tcPr>
            <w:tcW w:w="671" w:type="pct"/>
            <w:tcBorders>
              <w:top w:val="nil"/>
              <w:left w:val="nil"/>
              <w:bottom w:val="nil"/>
              <w:right w:val="nil"/>
            </w:tcBorders>
          </w:tcPr>
          <w:p w14:paraId="3969CA45"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r>
      <w:tr w:rsidR="002242F3" w:rsidRPr="005E3B44" w14:paraId="1A9CBDCD" w14:textId="77777777" w:rsidTr="005E3B44">
        <w:trPr>
          <w:trHeight w:val="230"/>
        </w:trPr>
        <w:tc>
          <w:tcPr>
            <w:tcW w:w="677" w:type="pct"/>
            <w:tcBorders>
              <w:top w:val="nil"/>
              <w:left w:val="nil"/>
              <w:bottom w:val="nil"/>
              <w:right w:val="nil"/>
            </w:tcBorders>
          </w:tcPr>
          <w:p w14:paraId="49047369" w14:textId="77777777" w:rsidR="002242F3" w:rsidRPr="005E3B44" w:rsidRDefault="002242F3" w:rsidP="005E3B44">
            <w:pPr>
              <w:pStyle w:val="BStabletext1"/>
              <w:pBdr>
                <w:top w:val="nil"/>
                <w:left w:val="nil"/>
                <w:bottom w:val="nil"/>
                <w:right w:val="nil"/>
                <w:between w:val="nil"/>
                <w:bar w:val="nil"/>
              </w:pBdr>
              <w:jc w:val="left"/>
              <w:rPr>
                <w:rStyle w:val="Strong0"/>
                <w:rFonts w:asciiTheme="minorHAnsi" w:hAnsiTheme="minorHAnsi" w:cstheme="minorHAnsi"/>
                <w:bCs/>
                <w:bdr w:val="nil"/>
              </w:rPr>
            </w:pPr>
            <w:r w:rsidRPr="005E3B44">
              <w:rPr>
                <w:rStyle w:val="Strong0"/>
                <w:rFonts w:asciiTheme="minorHAnsi" w:hAnsiTheme="minorHAnsi" w:cstheme="minorHAnsi"/>
                <w:bdr w:val="nil"/>
              </w:rPr>
              <w:t>Tribunal</w:t>
            </w:r>
          </w:p>
        </w:tc>
        <w:tc>
          <w:tcPr>
            <w:tcW w:w="4323" w:type="pct"/>
            <w:gridSpan w:val="6"/>
            <w:tcBorders>
              <w:top w:val="nil"/>
              <w:left w:val="nil"/>
              <w:bottom w:val="nil"/>
              <w:right w:val="nil"/>
            </w:tcBorders>
          </w:tcPr>
          <w:p w14:paraId="4ACC4C6D" w14:textId="77777777" w:rsidR="002242F3" w:rsidRPr="005E3B44" w:rsidRDefault="002242F3" w:rsidP="005E3B44">
            <w:pPr>
              <w:pStyle w:val="BStabletext1"/>
              <w:pBdr>
                <w:top w:val="nil"/>
                <w:left w:val="nil"/>
                <w:bottom w:val="nil"/>
                <w:right w:val="nil"/>
                <w:between w:val="nil"/>
                <w:bar w:val="nil"/>
              </w:pBdr>
              <w:jc w:val="left"/>
              <w:rPr>
                <w:rStyle w:val="Strong0"/>
                <w:rFonts w:asciiTheme="minorHAnsi" w:hAnsiTheme="minorHAnsi" w:cstheme="minorHAnsi"/>
                <w:bCs/>
                <w:bdr w:val="nil"/>
              </w:rPr>
            </w:pPr>
          </w:p>
        </w:tc>
      </w:tr>
      <w:tr w:rsidR="002242F3" w:rsidRPr="005E3B44" w14:paraId="1AE029F2" w14:textId="77777777" w:rsidTr="005E3B44">
        <w:trPr>
          <w:trHeight w:val="269"/>
        </w:trPr>
        <w:tc>
          <w:tcPr>
            <w:tcW w:w="2027" w:type="pct"/>
            <w:gridSpan w:val="3"/>
            <w:tcBorders>
              <w:top w:val="nil"/>
              <w:left w:val="nil"/>
              <w:bottom w:val="single" w:sz="4" w:space="0" w:color="auto"/>
              <w:right w:val="nil"/>
            </w:tcBorders>
            <w:hideMark/>
          </w:tcPr>
          <w:p w14:paraId="0A2A30E6"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 xml:space="preserve">g.    Clearance Indicator – Percentage of ACAT finalisations, divided by the number of lodgements </w:t>
            </w:r>
            <w:r w:rsidRPr="005E3B44">
              <w:rPr>
                <w:rFonts w:asciiTheme="minorHAnsi" w:hAnsiTheme="minorHAnsi" w:cstheme="minorHAnsi"/>
                <w:bdr w:val="nil"/>
                <w:vertAlign w:val="superscript"/>
              </w:rPr>
              <w:t>d, 3</w:t>
            </w:r>
          </w:p>
        </w:tc>
        <w:tc>
          <w:tcPr>
            <w:tcW w:w="799" w:type="pct"/>
            <w:tcBorders>
              <w:top w:val="nil"/>
              <w:left w:val="nil"/>
              <w:bottom w:val="single" w:sz="4" w:space="0" w:color="auto"/>
              <w:right w:val="nil"/>
            </w:tcBorders>
            <w:hideMark/>
          </w:tcPr>
          <w:p w14:paraId="0FA2AFB7"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c>
          <w:tcPr>
            <w:tcW w:w="829" w:type="pct"/>
            <w:tcBorders>
              <w:top w:val="nil"/>
              <w:left w:val="nil"/>
              <w:bottom w:val="single" w:sz="4" w:space="0" w:color="auto"/>
              <w:right w:val="nil"/>
            </w:tcBorders>
            <w:hideMark/>
          </w:tcPr>
          <w:p w14:paraId="6F3BAFE2"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112%</w:t>
            </w:r>
          </w:p>
        </w:tc>
        <w:tc>
          <w:tcPr>
            <w:tcW w:w="674" w:type="pct"/>
            <w:tcBorders>
              <w:top w:val="nil"/>
              <w:left w:val="nil"/>
              <w:bottom w:val="single" w:sz="4" w:space="0" w:color="auto"/>
              <w:right w:val="nil"/>
            </w:tcBorders>
          </w:tcPr>
          <w:p w14:paraId="5FD757F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12</w:t>
            </w:r>
          </w:p>
        </w:tc>
        <w:tc>
          <w:tcPr>
            <w:tcW w:w="671" w:type="pct"/>
            <w:tcBorders>
              <w:top w:val="nil"/>
              <w:left w:val="nil"/>
              <w:bottom w:val="single" w:sz="4" w:space="0" w:color="auto"/>
              <w:right w:val="nil"/>
            </w:tcBorders>
            <w:hideMark/>
          </w:tcPr>
          <w:p w14:paraId="6356FACB"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r>
      <w:tr w:rsidR="002242F3" w:rsidRPr="005E3B44" w14:paraId="578CBDAF" w14:textId="77777777" w:rsidTr="005E3B44">
        <w:trPr>
          <w:trHeight w:val="269"/>
        </w:trPr>
        <w:tc>
          <w:tcPr>
            <w:tcW w:w="2027" w:type="pct"/>
            <w:gridSpan w:val="3"/>
            <w:tcBorders>
              <w:top w:val="single" w:sz="4" w:space="0" w:color="auto"/>
              <w:left w:val="nil"/>
              <w:bottom w:val="single" w:sz="12" w:space="0" w:color="auto"/>
              <w:right w:val="nil"/>
            </w:tcBorders>
          </w:tcPr>
          <w:p w14:paraId="24B5E77B"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Total Cost ($’000)</w:t>
            </w:r>
          </w:p>
          <w:p w14:paraId="717E26DB"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 xml:space="preserve">Controlled Recurrent Payments ($’000) </w:t>
            </w:r>
            <w:r w:rsidRPr="005E3B44">
              <w:rPr>
                <w:rFonts w:asciiTheme="minorHAnsi" w:hAnsiTheme="minorHAnsi" w:cstheme="minorHAnsi"/>
                <w:bdr w:val="nil"/>
                <w:vertAlign w:val="superscript"/>
              </w:rPr>
              <w:t>4</w:t>
            </w:r>
          </w:p>
        </w:tc>
        <w:tc>
          <w:tcPr>
            <w:tcW w:w="799" w:type="pct"/>
            <w:tcBorders>
              <w:top w:val="single" w:sz="4" w:space="0" w:color="auto"/>
              <w:left w:val="nil"/>
              <w:bottom w:val="single" w:sz="12" w:space="0" w:color="auto"/>
              <w:right w:val="nil"/>
            </w:tcBorders>
          </w:tcPr>
          <w:p w14:paraId="0FA5A33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79,272</w:t>
            </w:r>
          </w:p>
          <w:p w14:paraId="607307A3"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58,221</w:t>
            </w:r>
          </w:p>
        </w:tc>
        <w:tc>
          <w:tcPr>
            <w:tcW w:w="829" w:type="pct"/>
            <w:tcBorders>
              <w:top w:val="single" w:sz="4" w:space="0" w:color="auto"/>
              <w:left w:val="nil"/>
              <w:bottom w:val="single" w:sz="12" w:space="0" w:color="auto"/>
              <w:right w:val="nil"/>
            </w:tcBorders>
          </w:tcPr>
          <w:p w14:paraId="37F8DAD2"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72,220</w:t>
            </w:r>
          </w:p>
          <w:p w14:paraId="60EF85A0"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49,923</w:t>
            </w:r>
          </w:p>
        </w:tc>
        <w:tc>
          <w:tcPr>
            <w:tcW w:w="674" w:type="pct"/>
            <w:tcBorders>
              <w:top w:val="single" w:sz="4" w:space="0" w:color="auto"/>
              <w:left w:val="nil"/>
              <w:bottom w:val="single" w:sz="12" w:space="0" w:color="auto"/>
              <w:right w:val="nil"/>
            </w:tcBorders>
          </w:tcPr>
          <w:p w14:paraId="5FE63512"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w:t>
            </w:r>
          </w:p>
          <w:p w14:paraId="1D8EED9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(14)</w:t>
            </w:r>
          </w:p>
        </w:tc>
        <w:tc>
          <w:tcPr>
            <w:tcW w:w="671" w:type="pct"/>
            <w:tcBorders>
              <w:top w:val="single" w:sz="4" w:space="0" w:color="auto"/>
              <w:left w:val="nil"/>
              <w:bottom w:val="single" w:sz="12" w:space="0" w:color="auto"/>
              <w:right w:val="nil"/>
            </w:tcBorders>
          </w:tcPr>
          <w:p w14:paraId="0F3DDC4E"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80,831</w:t>
            </w:r>
          </w:p>
          <w:p w14:paraId="53394805"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59,425</w:t>
            </w:r>
          </w:p>
        </w:tc>
      </w:tr>
    </w:tbl>
    <w:p w14:paraId="4D55C28F"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 w:val="0"/>
          <w:bCs/>
          <w:bdr w:val="nil"/>
        </w:rPr>
      </w:pPr>
      <w:bookmarkStart w:id="21" w:name="_Hlk57801549"/>
      <w:r w:rsidRPr="005E3B44">
        <w:rPr>
          <w:rFonts w:asciiTheme="minorHAnsi" w:hAnsiTheme="minorHAnsi" w:cstheme="minorHAnsi"/>
          <w:b w:val="0"/>
          <w:bCs/>
          <w:bdr w:val="nil"/>
        </w:rPr>
        <w:t xml:space="preserve">The above Accountability Indicators should be read in conjunction with the accompanying notes. </w:t>
      </w:r>
    </w:p>
    <w:p w14:paraId="6E15B593"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51E3A922"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szCs w:val="18"/>
          <w:bdr w:val="nil"/>
        </w:rPr>
      </w:pPr>
      <w:r w:rsidRPr="005E3B44">
        <w:rPr>
          <w:rFonts w:asciiTheme="minorHAnsi" w:hAnsiTheme="minorHAnsi" w:cstheme="minorHAnsi"/>
          <w:bdr w:val="nil"/>
        </w:rPr>
        <w:t>a.</w:t>
      </w:r>
      <w:r w:rsidRPr="005E3B44">
        <w:rPr>
          <w:rFonts w:asciiTheme="minorHAnsi" w:hAnsiTheme="minorHAnsi" w:cstheme="minorHAnsi"/>
          <w:bdr w:val="nil"/>
        </w:rPr>
        <w:tab/>
      </w:r>
      <w:proofErr w:type="gramStart"/>
      <w:r w:rsidRPr="005E3B44">
        <w:rPr>
          <w:rFonts w:asciiTheme="minorHAnsi" w:hAnsiTheme="minorHAnsi" w:cstheme="minorHAnsi"/>
          <w:bdr w:val="nil"/>
        </w:rPr>
        <w:t>For the purpose of</w:t>
      </w:r>
      <w:proofErr w:type="gramEnd"/>
      <w:r w:rsidRPr="005E3B44">
        <w:rPr>
          <w:rFonts w:asciiTheme="minorHAnsi" w:hAnsiTheme="minorHAnsi" w:cstheme="minorHAnsi"/>
          <w:bdr w:val="nil"/>
        </w:rPr>
        <w:t xml:space="preserve"> this report a 'case' is defined as per the counting rules detailed in the Report on Government Services (ROGS) Data Collection Manual Courts, Chapters 6, 7 and 8.</w:t>
      </w:r>
    </w:p>
    <w:p w14:paraId="25DC6A60"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szCs w:val="18"/>
          <w:bdr w:val="nil"/>
        </w:rPr>
      </w:pPr>
      <w:r w:rsidRPr="005E3B44">
        <w:rPr>
          <w:rFonts w:asciiTheme="minorHAnsi" w:hAnsiTheme="minorHAnsi" w:cstheme="minorHAnsi"/>
          <w:szCs w:val="18"/>
          <w:bdr w:val="nil"/>
        </w:rPr>
        <w:t>b.</w:t>
      </w:r>
      <w:r w:rsidRPr="005E3B44">
        <w:rPr>
          <w:rFonts w:asciiTheme="minorHAnsi" w:hAnsiTheme="minorHAnsi" w:cstheme="minorHAnsi"/>
          <w:szCs w:val="18"/>
          <w:bdr w:val="nil"/>
        </w:rPr>
        <w:tab/>
        <w:t xml:space="preserve">An </w:t>
      </w:r>
      <w:r w:rsidRPr="005E3B44">
        <w:rPr>
          <w:rFonts w:asciiTheme="minorHAnsi" w:hAnsiTheme="minorHAnsi" w:cstheme="minorHAnsi"/>
          <w:bdr w:val="nil"/>
        </w:rPr>
        <w:t>increase in the proposed targets for cost per finalisation reflects the current allocation of costs associated with types of cases and the number of cases anticipated to be finalised in 2021-22 year.</w:t>
      </w:r>
    </w:p>
    <w:p w14:paraId="13E9A35E" w14:textId="77777777" w:rsidR="002242F3" w:rsidRPr="005E3B44" w:rsidRDefault="002242F3" w:rsidP="002242F3">
      <w:pPr>
        <w:pStyle w:val="BSnoteslist2"/>
        <w:widowControl w:val="0"/>
        <w:numPr>
          <w:ilvl w:val="0"/>
          <w:numId w:val="0"/>
        </w:numPr>
        <w:pBdr>
          <w:top w:val="nil"/>
          <w:left w:val="nil"/>
          <w:bottom w:val="nil"/>
          <w:right w:val="nil"/>
          <w:between w:val="nil"/>
          <w:bar w:val="nil"/>
        </w:pBdr>
        <w:rPr>
          <w:rFonts w:asciiTheme="minorHAnsi" w:hAnsiTheme="minorHAnsi" w:cstheme="minorHAnsi"/>
          <w:szCs w:val="18"/>
          <w:bdr w:val="nil"/>
        </w:rPr>
      </w:pPr>
      <w:r w:rsidRPr="005E3B44">
        <w:rPr>
          <w:rFonts w:asciiTheme="minorHAnsi" w:hAnsiTheme="minorHAnsi" w:cstheme="minorHAnsi"/>
          <w:bdr w:val="nil"/>
        </w:rPr>
        <w:t>c.     The civil case clearance indicator for the Magistrates Court includes the Coroners Court and Children’s Court.</w:t>
      </w:r>
    </w:p>
    <w:p w14:paraId="052D135C" w14:textId="77777777" w:rsidR="002242F3" w:rsidRPr="005E3B44" w:rsidRDefault="002242F3" w:rsidP="002242F3">
      <w:pPr>
        <w:pStyle w:val="BSnoteslist2"/>
        <w:widowControl w:val="0"/>
        <w:numPr>
          <w:ilvl w:val="0"/>
          <w:numId w:val="0"/>
        </w:numPr>
        <w:pBdr>
          <w:top w:val="nil"/>
          <w:left w:val="nil"/>
          <w:bottom w:val="nil"/>
          <w:right w:val="nil"/>
          <w:between w:val="nil"/>
          <w:bar w:val="nil"/>
        </w:pBdr>
        <w:rPr>
          <w:rFonts w:asciiTheme="minorHAnsi" w:hAnsiTheme="minorHAnsi" w:cstheme="minorHAnsi"/>
          <w:szCs w:val="18"/>
          <w:bdr w:val="nil"/>
        </w:rPr>
      </w:pPr>
      <w:r w:rsidRPr="005E3B44">
        <w:rPr>
          <w:rFonts w:asciiTheme="minorHAnsi" w:hAnsiTheme="minorHAnsi" w:cstheme="minorHAnsi"/>
          <w:szCs w:val="18"/>
          <w:bdr w:val="nil"/>
        </w:rPr>
        <w:t>d.     ACAT - ACT Civil and Administrative Tribunal.</w:t>
      </w:r>
    </w:p>
    <w:p w14:paraId="2D4C6B78"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67C3932A"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54F1916A"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52648392"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75185FBD"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431DBE7C"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67217961"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0A3A7261"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7F42BB8A" w14:textId="2F6F72A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Output Class 3: Courts and Tribunal</w:t>
      </w:r>
      <w:r w:rsidR="00EC15BC">
        <w:rPr>
          <w:rFonts w:asciiTheme="minorHAnsi" w:hAnsiTheme="minorHAnsi" w:cstheme="minorHAnsi"/>
          <w:bdr w:val="nil"/>
        </w:rPr>
        <w:t xml:space="preserve"> (Continued)</w:t>
      </w:r>
    </w:p>
    <w:p w14:paraId="3E21A833" w14:textId="4C7D1D2D" w:rsidR="002242F3" w:rsidRPr="005E3B44" w:rsidRDefault="002242F3" w:rsidP="004C1875">
      <w:pPr>
        <w:pStyle w:val="Heading4"/>
      </w:pPr>
      <w:r w:rsidRPr="005E3B44">
        <w:t>Output 3.1: Courts and Tribunal</w:t>
      </w:r>
      <w:r w:rsidR="00D811FD">
        <w:t xml:space="preserve"> (Continued)</w:t>
      </w:r>
    </w:p>
    <w:p w14:paraId="2C3E8B2A" w14:textId="41F96F5E"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2</w:t>
      </w:r>
      <w:r w:rsidR="00D635C7">
        <w:rPr>
          <w:rFonts w:asciiTheme="minorHAnsi" w:hAnsiTheme="minorHAnsi" w:cstheme="minorHAnsi"/>
          <w:bdr w:val="nil"/>
        </w:rPr>
        <w:t>2</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3.1</w:t>
      </w:r>
      <w:r w:rsidR="00E06139">
        <w:rPr>
          <w:rFonts w:asciiTheme="minorHAnsi" w:hAnsiTheme="minorHAnsi" w:cstheme="minorHAnsi"/>
          <w:noProof/>
          <w:bdr w:val="nil"/>
        </w:rPr>
        <w:t xml:space="preserve"> (Continued)</w:t>
      </w:r>
    </w:p>
    <w:p w14:paraId="766D8D8A" w14:textId="77777777" w:rsidR="002242F3" w:rsidRPr="005E3B44" w:rsidRDefault="002242F3" w:rsidP="002242F3">
      <w:pPr>
        <w:pStyle w:val="BSnoteslist2"/>
        <w:widowControl w:val="0"/>
        <w:numPr>
          <w:ilvl w:val="0"/>
          <w:numId w:val="0"/>
        </w:numPr>
        <w:pBdr>
          <w:top w:val="nil"/>
          <w:left w:val="nil"/>
          <w:bottom w:val="nil"/>
          <w:right w:val="nil"/>
          <w:between w:val="nil"/>
          <w:bar w:val="nil"/>
        </w:pBdr>
        <w:rPr>
          <w:rFonts w:asciiTheme="minorHAnsi" w:hAnsiTheme="minorHAnsi" w:cstheme="minorHAnsi"/>
          <w:b/>
          <w:bCs/>
          <w:bdr w:val="nil"/>
        </w:rPr>
      </w:pPr>
    </w:p>
    <w:p w14:paraId="63DBEBAE" w14:textId="77777777" w:rsidR="002242F3" w:rsidRPr="005E3B44" w:rsidRDefault="002242F3" w:rsidP="002242F3">
      <w:pPr>
        <w:pStyle w:val="BSnoteslist2"/>
        <w:widowControl w:val="0"/>
        <w:numPr>
          <w:ilvl w:val="0"/>
          <w:numId w:val="0"/>
        </w:numPr>
        <w:pBdr>
          <w:top w:val="nil"/>
          <w:left w:val="nil"/>
          <w:bottom w:val="nil"/>
          <w:right w:val="nil"/>
          <w:between w:val="nil"/>
          <w:bar w:val="nil"/>
        </w:pBdr>
        <w:rPr>
          <w:rFonts w:asciiTheme="minorHAnsi" w:hAnsiTheme="minorHAnsi" w:cstheme="minorHAnsi"/>
          <w:b/>
          <w:bCs/>
          <w:bdr w:val="nil"/>
        </w:rPr>
      </w:pPr>
      <w:r w:rsidRPr="005E3B44">
        <w:rPr>
          <w:rFonts w:asciiTheme="minorHAnsi" w:hAnsiTheme="minorHAnsi" w:cstheme="minorHAnsi"/>
          <w:b/>
          <w:bCs/>
          <w:bdr w:val="nil"/>
        </w:rPr>
        <w:t>Notes:</w:t>
      </w:r>
    </w:p>
    <w:p w14:paraId="06ED587E" w14:textId="77777777" w:rsidR="002242F3" w:rsidRPr="005E3B44" w:rsidRDefault="002242F3" w:rsidP="002242F3">
      <w:pPr>
        <w:pStyle w:val="BSnoteslist2"/>
        <w:widowControl w:val="0"/>
        <w:numPr>
          <w:ilvl w:val="0"/>
          <w:numId w:val="40"/>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The cost is below the target due to the continuation of the concerted effort to maintain finalisation rates, while the costs have remained relatively constant.</w:t>
      </w:r>
    </w:p>
    <w:p w14:paraId="5A688AED" w14:textId="77777777" w:rsidR="002242F3" w:rsidRPr="005E3B44" w:rsidRDefault="002242F3" w:rsidP="002242F3">
      <w:pPr>
        <w:pStyle w:val="BSnoteslist2"/>
        <w:widowControl w:val="0"/>
        <w:numPr>
          <w:ilvl w:val="0"/>
          <w:numId w:val="40"/>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Supreme Court civil clearance rate is above the target due to lower-than-expected lodgements, while maintaining the same level of finalisations.</w:t>
      </w:r>
    </w:p>
    <w:p w14:paraId="77A685EE" w14:textId="77777777" w:rsidR="002242F3" w:rsidRPr="005E3B44" w:rsidRDefault="002242F3" w:rsidP="002242F3">
      <w:pPr>
        <w:pStyle w:val="BSnoteslist2"/>
        <w:widowControl w:val="0"/>
        <w:numPr>
          <w:ilvl w:val="0"/>
          <w:numId w:val="40"/>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Additional hearings were held to catch up on matters that were suspended during the COVID-19 pandemic lockdown, such as residential tenancy and civil matters. These hearings have increased the number of matters finalised.</w:t>
      </w:r>
    </w:p>
    <w:bookmarkEnd w:id="21"/>
    <w:p w14:paraId="4A6CE183" w14:textId="77777777" w:rsidR="002242F3" w:rsidRPr="005E3B44" w:rsidRDefault="002242F3" w:rsidP="002242F3">
      <w:pPr>
        <w:pStyle w:val="BSnoteslist2"/>
        <w:widowControl w:val="0"/>
        <w:numPr>
          <w:ilvl w:val="0"/>
          <w:numId w:val="40"/>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 xml:space="preserve">The lower than target result is mainly due to Magistrates Court rent savings ($4.6m) following the later completion of the new ACT Public Private Partnership (PPP) Courts Facilities, transfer of appropriation from 2020-21 to 2021-22 and the impact of undrawn appropriation due to use of available cash reserves. </w:t>
      </w:r>
    </w:p>
    <w:p w14:paraId="4E1447B7"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sectPr w:rsidR="002242F3" w:rsidRPr="005E3B44" w:rsidSect="005E3B44">
          <w:headerReference w:type="even" r:id="rId47"/>
          <w:headerReference w:type="default" r:id="rId48"/>
          <w:footerReference w:type="even" r:id="rId49"/>
          <w:footerReference w:type="default" r:id="rId50"/>
          <w:headerReference w:type="first" r:id="rId51"/>
          <w:footerReference w:type="first" r:id="rId52"/>
          <w:pgSz w:w="11906" w:h="16838"/>
          <w:pgMar w:top="1151" w:right="1440" w:bottom="1729" w:left="1440" w:header="720" w:footer="720" w:gutter="0"/>
          <w:pgBorders>
            <w:top w:val="nil"/>
            <w:left w:val="nil"/>
            <w:bottom w:val="nil"/>
            <w:right w:val="nil"/>
          </w:pgBorders>
          <w:cols w:space="720"/>
        </w:sectPr>
      </w:pPr>
    </w:p>
    <w:p w14:paraId="7B100B3F" w14:textId="77777777"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Output Class 4: Emergency Services</w:t>
      </w:r>
    </w:p>
    <w:p w14:paraId="318C72F0" w14:textId="77777777" w:rsidR="002242F3" w:rsidRPr="005E3B44" w:rsidRDefault="002242F3" w:rsidP="004C1875">
      <w:pPr>
        <w:pStyle w:val="Heading4"/>
      </w:pPr>
      <w:r w:rsidRPr="005E3B44">
        <w:t>Output 4.1: Emergency Services</w:t>
      </w:r>
    </w:p>
    <w:p w14:paraId="74222F2F" w14:textId="76D52E85"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2</w:t>
      </w:r>
      <w:r w:rsidR="00D635C7">
        <w:rPr>
          <w:rFonts w:asciiTheme="minorHAnsi" w:hAnsiTheme="minorHAnsi" w:cstheme="minorHAnsi"/>
          <w:bdr w:val="nil"/>
        </w:rPr>
        <w:t>3</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4.1</w:t>
      </w:r>
    </w:p>
    <w:tbl>
      <w:tblPr>
        <w:tblW w:w="9243" w:type="dxa"/>
        <w:tblBorders>
          <w:top w:val="single" w:sz="12" w:space="0" w:color="000000"/>
          <w:bottom w:val="single" w:sz="12" w:space="0" w:color="000000"/>
        </w:tblBorders>
        <w:tblLook w:val="04A0" w:firstRow="1" w:lastRow="0" w:firstColumn="1" w:lastColumn="0" w:noHBand="0" w:noVBand="1"/>
      </w:tblPr>
      <w:tblGrid>
        <w:gridCol w:w="2830"/>
        <w:gridCol w:w="1054"/>
        <w:gridCol w:w="222"/>
        <w:gridCol w:w="1063"/>
        <w:gridCol w:w="220"/>
        <w:gridCol w:w="1288"/>
        <w:gridCol w:w="1283"/>
        <w:gridCol w:w="1283"/>
      </w:tblGrid>
      <w:tr w:rsidR="002242F3" w:rsidRPr="005E3B44" w14:paraId="333CC04F" w14:textId="77777777" w:rsidTr="005E3B44">
        <w:trPr>
          <w:trHeight w:val="740"/>
          <w:tblHeader/>
        </w:trPr>
        <w:tc>
          <w:tcPr>
            <w:tcW w:w="2101" w:type="pct"/>
            <w:gridSpan w:val="2"/>
            <w:tcBorders>
              <w:top w:val="single" w:sz="12" w:space="0" w:color="000000"/>
              <w:left w:val="nil"/>
              <w:bottom w:val="single" w:sz="12" w:space="0" w:color="000000"/>
              <w:right w:val="nil"/>
            </w:tcBorders>
          </w:tcPr>
          <w:p w14:paraId="5E7921A6" w14:textId="77777777" w:rsidR="002242F3" w:rsidRPr="005E3B44" w:rsidRDefault="002242F3" w:rsidP="005E3B44">
            <w:pPr>
              <w:pStyle w:val="BStabletext1"/>
              <w:pBdr>
                <w:top w:val="nil"/>
                <w:left w:val="nil"/>
                <w:bottom w:val="nil"/>
                <w:right w:val="nil"/>
                <w:between w:val="nil"/>
                <w:bar w:val="nil"/>
              </w:pBdr>
              <w:rPr>
                <w:rFonts w:asciiTheme="minorHAnsi" w:hAnsiTheme="minorHAnsi" w:cstheme="minorHAnsi"/>
                <w:bdr w:val="nil"/>
                <w:lang w:eastAsia="zh-CN"/>
              </w:rPr>
            </w:pPr>
            <w:r w:rsidRPr="005E3B44">
              <w:rPr>
                <w:rFonts w:asciiTheme="minorHAnsi" w:hAnsiTheme="minorHAnsi" w:cstheme="minorHAnsi"/>
                <w:bdr w:val="nil"/>
              </w:rPr>
              <w:t>.</w:t>
            </w:r>
          </w:p>
        </w:tc>
        <w:tc>
          <w:tcPr>
            <w:tcW w:w="695" w:type="pct"/>
            <w:gridSpan w:val="2"/>
            <w:tcBorders>
              <w:top w:val="single" w:sz="12" w:space="0" w:color="000000"/>
              <w:left w:val="nil"/>
              <w:bottom w:val="single" w:sz="12" w:space="0" w:color="000000"/>
              <w:right w:val="nil"/>
            </w:tcBorders>
            <w:hideMark/>
          </w:tcPr>
          <w:p w14:paraId="680CB5A5"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4AA15AB3"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c>
          <w:tcPr>
            <w:tcW w:w="816" w:type="pct"/>
            <w:gridSpan w:val="2"/>
            <w:tcBorders>
              <w:top w:val="single" w:sz="12" w:space="0" w:color="000000"/>
              <w:left w:val="nil"/>
              <w:bottom w:val="single" w:sz="12" w:space="0" w:color="000000"/>
              <w:right w:val="nil"/>
            </w:tcBorders>
            <w:hideMark/>
          </w:tcPr>
          <w:p w14:paraId="2B21641D"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2020-21</w:t>
            </w:r>
          </w:p>
          <w:p w14:paraId="3B0A7345"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Interim</w:t>
            </w:r>
          </w:p>
          <w:p w14:paraId="1AF4E387"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Outcome</w:t>
            </w:r>
          </w:p>
        </w:tc>
        <w:tc>
          <w:tcPr>
            <w:tcW w:w="694" w:type="pct"/>
            <w:tcBorders>
              <w:top w:val="single" w:sz="12" w:space="0" w:color="000000"/>
              <w:left w:val="nil"/>
              <w:bottom w:val="single" w:sz="12" w:space="0" w:color="000000"/>
              <w:right w:val="nil"/>
            </w:tcBorders>
          </w:tcPr>
          <w:p w14:paraId="3FC97421"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Variance</w:t>
            </w:r>
          </w:p>
          <w:p w14:paraId="2E78F7C5"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w:t>
            </w:r>
          </w:p>
        </w:tc>
        <w:tc>
          <w:tcPr>
            <w:tcW w:w="694" w:type="pct"/>
            <w:tcBorders>
              <w:top w:val="single" w:sz="12" w:space="0" w:color="000000"/>
              <w:left w:val="nil"/>
              <w:bottom w:val="single" w:sz="12" w:space="0" w:color="000000"/>
              <w:right w:val="nil"/>
            </w:tcBorders>
            <w:hideMark/>
          </w:tcPr>
          <w:p w14:paraId="71C61BFA" w14:textId="77777777" w:rsidR="002242F3" w:rsidRPr="005E3B44" w:rsidRDefault="002242F3" w:rsidP="005E3B44">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2021-22</w:t>
            </w:r>
          </w:p>
          <w:p w14:paraId="582C36BC" w14:textId="77777777" w:rsidR="002242F3" w:rsidRPr="005E3B44" w:rsidRDefault="002242F3" w:rsidP="005E3B44">
            <w:pPr>
              <w:pStyle w:val="BStableheading11"/>
              <w:framePr w:wrap="around"/>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Targets</w:t>
            </w:r>
          </w:p>
        </w:tc>
      </w:tr>
      <w:tr w:rsidR="002242F3" w:rsidRPr="005E3B44" w14:paraId="74FCB703" w14:textId="77777777" w:rsidTr="005E3B44">
        <w:trPr>
          <w:gridAfter w:val="3"/>
          <w:wAfter w:w="2085" w:type="dxa"/>
          <w:trHeight w:val="254"/>
        </w:trPr>
        <w:tc>
          <w:tcPr>
            <w:tcW w:w="1531" w:type="pct"/>
            <w:tcBorders>
              <w:top w:val="single" w:sz="12" w:space="0" w:color="000000"/>
              <w:left w:val="nil"/>
              <w:bottom w:val="nil"/>
              <w:right w:val="nil"/>
            </w:tcBorders>
            <w:hideMark/>
          </w:tcPr>
          <w:p w14:paraId="3CAA73C3" w14:textId="77777777" w:rsidR="002242F3" w:rsidRPr="005E3B44" w:rsidRDefault="002242F3" w:rsidP="005E3B44">
            <w:pPr>
              <w:pStyle w:val="BStabletext1"/>
              <w:pBdr>
                <w:top w:val="nil"/>
                <w:left w:val="nil"/>
                <w:bottom w:val="nil"/>
                <w:right w:val="nil"/>
                <w:between w:val="nil"/>
                <w:bar w:val="nil"/>
              </w:pBdr>
              <w:jc w:val="left"/>
              <w:rPr>
                <w:rStyle w:val="Strong0"/>
                <w:rFonts w:asciiTheme="minorHAnsi" w:hAnsiTheme="minorHAnsi" w:cstheme="minorHAnsi"/>
                <w:bCs/>
                <w:bdr w:val="nil"/>
              </w:rPr>
            </w:pPr>
            <w:r w:rsidRPr="005E3B44">
              <w:rPr>
                <w:rStyle w:val="Strong0"/>
                <w:rFonts w:asciiTheme="minorHAnsi" w:hAnsiTheme="minorHAnsi" w:cstheme="minorHAnsi"/>
                <w:bdr w:val="nil"/>
              </w:rPr>
              <w:t>Prevention and Preparedness</w:t>
            </w:r>
          </w:p>
        </w:tc>
        <w:tc>
          <w:tcPr>
            <w:tcW w:w="690" w:type="pct"/>
            <w:gridSpan w:val="2"/>
            <w:tcBorders>
              <w:top w:val="single" w:sz="12" w:space="0" w:color="000000"/>
              <w:left w:val="nil"/>
              <w:bottom w:val="nil"/>
              <w:right w:val="nil"/>
            </w:tcBorders>
          </w:tcPr>
          <w:p w14:paraId="7227CA3E" w14:textId="77777777" w:rsidR="002242F3" w:rsidRPr="005E3B44" w:rsidRDefault="002242F3" w:rsidP="005E3B44">
            <w:pPr>
              <w:pStyle w:val="BStabletext1"/>
              <w:pBdr>
                <w:top w:val="nil"/>
                <w:left w:val="nil"/>
                <w:bottom w:val="nil"/>
                <w:right w:val="nil"/>
                <w:between w:val="nil"/>
                <w:bar w:val="nil"/>
              </w:pBdr>
              <w:rPr>
                <w:rStyle w:val="Strong0"/>
                <w:rFonts w:asciiTheme="minorHAnsi" w:hAnsiTheme="minorHAnsi" w:cstheme="minorHAnsi"/>
                <w:bCs/>
                <w:bdr w:val="nil"/>
              </w:rPr>
            </w:pPr>
          </w:p>
        </w:tc>
        <w:tc>
          <w:tcPr>
            <w:tcW w:w="694" w:type="pct"/>
            <w:gridSpan w:val="2"/>
            <w:tcBorders>
              <w:top w:val="single" w:sz="12" w:space="0" w:color="000000"/>
              <w:left w:val="nil"/>
              <w:bottom w:val="nil"/>
              <w:right w:val="nil"/>
            </w:tcBorders>
          </w:tcPr>
          <w:p w14:paraId="7B869485" w14:textId="77777777" w:rsidR="002242F3" w:rsidRPr="005E3B44" w:rsidRDefault="002242F3" w:rsidP="005E3B44">
            <w:pPr>
              <w:pStyle w:val="BStabletext1"/>
              <w:pBdr>
                <w:top w:val="nil"/>
                <w:left w:val="nil"/>
                <w:bottom w:val="nil"/>
                <w:right w:val="nil"/>
                <w:between w:val="nil"/>
                <w:bar w:val="nil"/>
              </w:pBdr>
              <w:rPr>
                <w:rStyle w:val="Strong0"/>
                <w:rFonts w:asciiTheme="minorHAnsi" w:hAnsiTheme="minorHAnsi" w:cstheme="minorHAnsi"/>
                <w:bCs/>
                <w:bdr w:val="nil"/>
              </w:rPr>
            </w:pPr>
          </w:p>
        </w:tc>
      </w:tr>
      <w:tr w:rsidR="002242F3" w:rsidRPr="005E3B44" w14:paraId="4C89AAC7" w14:textId="77777777" w:rsidTr="005E3B44">
        <w:trPr>
          <w:trHeight w:val="283"/>
        </w:trPr>
        <w:tc>
          <w:tcPr>
            <w:tcW w:w="2101" w:type="pct"/>
            <w:gridSpan w:val="2"/>
            <w:tcBorders>
              <w:top w:val="nil"/>
              <w:left w:val="nil"/>
              <w:bottom w:val="nil"/>
              <w:right w:val="nil"/>
            </w:tcBorders>
          </w:tcPr>
          <w:p w14:paraId="1E05E24E"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 xml:space="preserve">a.   Field Audit of Slashing/Grazing/Physical Removal activities, as per approved Bushfire Operational Plans (BOPs) </w:t>
            </w:r>
            <w:r w:rsidRPr="005E3B44">
              <w:rPr>
                <w:rFonts w:asciiTheme="minorHAnsi" w:hAnsiTheme="minorHAnsi" w:cstheme="minorHAnsi"/>
                <w:bdr w:val="nil"/>
                <w:vertAlign w:val="superscript"/>
              </w:rPr>
              <w:t>a</w:t>
            </w:r>
          </w:p>
        </w:tc>
        <w:tc>
          <w:tcPr>
            <w:tcW w:w="695" w:type="pct"/>
            <w:gridSpan w:val="2"/>
            <w:tcBorders>
              <w:top w:val="nil"/>
              <w:left w:val="nil"/>
              <w:bottom w:val="nil"/>
              <w:right w:val="nil"/>
            </w:tcBorders>
          </w:tcPr>
          <w:p w14:paraId="62C799A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n/a</w:t>
            </w:r>
          </w:p>
        </w:tc>
        <w:tc>
          <w:tcPr>
            <w:tcW w:w="816" w:type="pct"/>
            <w:gridSpan w:val="2"/>
            <w:tcBorders>
              <w:top w:val="nil"/>
              <w:left w:val="nil"/>
              <w:bottom w:val="nil"/>
              <w:right w:val="nil"/>
            </w:tcBorders>
          </w:tcPr>
          <w:p w14:paraId="1E5FB621"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n/a</w:t>
            </w:r>
          </w:p>
        </w:tc>
        <w:tc>
          <w:tcPr>
            <w:tcW w:w="694" w:type="pct"/>
            <w:tcBorders>
              <w:top w:val="nil"/>
              <w:left w:val="nil"/>
              <w:bottom w:val="nil"/>
              <w:right w:val="nil"/>
            </w:tcBorders>
          </w:tcPr>
          <w:p w14:paraId="58DAC483"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w:t>
            </w:r>
          </w:p>
        </w:tc>
        <w:tc>
          <w:tcPr>
            <w:tcW w:w="694" w:type="pct"/>
            <w:tcBorders>
              <w:top w:val="nil"/>
              <w:left w:val="nil"/>
              <w:bottom w:val="nil"/>
              <w:right w:val="nil"/>
            </w:tcBorders>
          </w:tcPr>
          <w:p w14:paraId="5BB1BC17"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r>
      <w:tr w:rsidR="002242F3" w:rsidRPr="005E3B44" w14:paraId="16FFAB70" w14:textId="77777777" w:rsidTr="005E3B44">
        <w:trPr>
          <w:trHeight w:val="283"/>
        </w:trPr>
        <w:tc>
          <w:tcPr>
            <w:tcW w:w="2101" w:type="pct"/>
            <w:gridSpan w:val="2"/>
            <w:tcBorders>
              <w:top w:val="nil"/>
              <w:left w:val="nil"/>
              <w:bottom w:val="nil"/>
              <w:right w:val="nil"/>
            </w:tcBorders>
            <w:hideMark/>
          </w:tcPr>
          <w:p w14:paraId="586967C3"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 xml:space="preserve">b.   Field assessment of Access Management Upgrades and Hazard Reduction burns conducted in accordance with Bushfire Operational Plans of ACT Government Directorates </w:t>
            </w:r>
          </w:p>
        </w:tc>
        <w:tc>
          <w:tcPr>
            <w:tcW w:w="695" w:type="pct"/>
            <w:gridSpan w:val="2"/>
            <w:tcBorders>
              <w:top w:val="nil"/>
              <w:left w:val="nil"/>
              <w:bottom w:val="nil"/>
              <w:right w:val="nil"/>
            </w:tcBorders>
            <w:hideMark/>
          </w:tcPr>
          <w:p w14:paraId="5EBE8B04"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c>
          <w:tcPr>
            <w:tcW w:w="816" w:type="pct"/>
            <w:gridSpan w:val="2"/>
            <w:tcBorders>
              <w:top w:val="nil"/>
              <w:left w:val="nil"/>
              <w:bottom w:val="nil"/>
              <w:right w:val="nil"/>
            </w:tcBorders>
            <w:hideMark/>
          </w:tcPr>
          <w:p w14:paraId="4EE7F6D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c>
          <w:tcPr>
            <w:tcW w:w="694" w:type="pct"/>
            <w:tcBorders>
              <w:top w:val="nil"/>
              <w:left w:val="nil"/>
              <w:bottom w:val="nil"/>
              <w:right w:val="nil"/>
            </w:tcBorders>
          </w:tcPr>
          <w:p w14:paraId="33F65108"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w:t>
            </w:r>
          </w:p>
        </w:tc>
        <w:tc>
          <w:tcPr>
            <w:tcW w:w="694" w:type="pct"/>
            <w:tcBorders>
              <w:top w:val="nil"/>
              <w:left w:val="nil"/>
              <w:bottom w:val="nil"/>
              <w:right w:val="nil"/>
            </w:tcBorders>
          </w:tcPr>
          <w:p w14:paraId="0B8F6418"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100%</w:t>
            </w:r>
          </w:p>
        </w:tc>
      </w:tr>
      <w:tr w:rsidR="002242F3" w:rsidRPr="005E3B44" w14:paraId="4D14E44C" w14:textId="77777777" w:rsidTr="005E3B44">
        <w:trPr>
          <w:trHeight w:val="283"/>
        </w:trPr>
        <w:tc>
          <w:tcPr>
            <w:tcW w:w="2101" w:type="pct"/>
            <w:gridSpan w:val="2"/>
            <w:tcBorders>
              <w:top w:val="nil"/>
              <w:left w:val="nil"/>
              <w:bottom w:val="nil"/>
              <w:right w:val="nil"/>
            </w:tcBorders>
          </w:tcPr>
          <w:p w14:paraId="69609C6F"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 xml:space="preserve">c.   Percentage of ESA staff who have completed accredited training in AIIMS </w:t>
            </w:r>
            <w:r w:rsidRPr="005E3B44">
              <w:rPr>
                <w:rFonts w:asciiTheme="minorHAnsi" w:hAnsiTheme="minorHAnsi" w:cstheme="minorHAnsi"/>
                <w:bdr w:val="nil"/>
                <w:vertAlign w:val="superscript"/>
              </w:rPr>
              <w:t>b, 1</w:t>
            </w:r>
          </w:p>
        </w:tc>
        <w:tc>
          <w:tcPr>
            <w:tcW w:w="695" w:type="pct"/>
            <w:gridSpan w:val="2"/>
            <w:tcBorders>
              <w:top w:val="nil"/>
              <w:left w:val="nil"/>
              <w:bottom w:val="nil"/>
              <w:right w:val="nil"/>
            </w:tcBorders>
          </w:tcPr>
          <w:p w14:paraId="3A5E49BB"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70%</w:t>
            </w:r>
          </w:p>
        </w:tc>
        <w:tc>
          <w:tcPr>
            <w:tcW w:w="816" w:type="pct"/>
            <w:gridSpan w:val="2"/>
            <w:tcBorders>
              <w:top w:val="nil"/>
              <w:left w:val="nil"/>
              <w:bottom w:val="nil"/>
              <w:right w:val="nil"/>
            </w:tcBorders>
          </w:tcPr>
          <w:p w14:paraId="4E3F6AFE"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77%</w:t>
            </w:r>
          </w:p>
        </w:tc>
        <w:tc>
          <w:tcPr>
            <w:tcW w:w="694" w:type="pct"/>
            <w:tcBorders>
              <w:top w:val="nil"/>
              <w:left w:val="nil"/>
              <w:bottom w:val="nil"/>
              <w:right w:val="nil"/>
            </w:tcBorders>
          </w:tcPr>
          <w:p w14:paraId="71F866D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10</w:t>
            </w:r>
          </w:p>
        </w:tc>
        <w:tc>
          <w:tcPr>
            <w:tcW w:w="694" w:type="pct"/>
            <w:tcBorders>
              <w:top w:val="nil"/>
              <w:left w:val="nil"/>
              <w:bottom w:val="nil"/>
              <w:right w:val="nil"/>
            </w:tcBorders>
          </w:tcPr>
          <w:p w14:paraId="618F2F42"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n/a</w:t>
            </w:r>
          </w:p>
        </w:tc>
      </w:tr>
      <w:tr w:rsidR="002242F3" w:rsidRPr="005E3B44" w14:paraId="262D64D1" w14:textId="77777777" w:rsidTr="005E3B44">
        <w:trPr>
          <w:trHeight w:val="283"/>
        </w:trPr>
        <w:tc>
          <w:tcPr>
            <w:tcW w:w="2101" w:type="pct"/>
            <w:gridSpan w:val="2"/>
            <w:tcBorders>
              <w:top w:val="nil"/>
              <w:left w:val="nil"/>
              <w:bottom w:val="nil"/>
              <w:right w:val="nil"/>
            </w:tcBorders>
          </w:tcPr>
          <w:p w14:paraId="358711F9"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 xml:space="preserve">d.   Percentage of capability to activate and maintain an Incident Management Team for 4 consecutive 12-hour shifts </w:t>
            </w:r>
            <w:r w:rsidRPr="005E3B44">
              <w:rPr>
                <w:rFonts w:asciiTheme="minorHAnsi" w:hAnsiTheme="minorHAnsi" w:cstheme="minorHAnsi"/>
                <w:bdr w:val="nil"/>
                <w:vertAlign w:val="superscript"/>
              </w:rPr>
              <w:t>c</w:t>
            </w:r>
          </w:p>
        </w:tc>
        <w:tc>
          <w:tcPr>
            <w:tcW w:w="695" w:type="pct"/>
            <w:gridSpan w:val="2"/>
            <w:tcBorders>
              <w:top w:val="nil"/>
              <w:left w:val="nil"/>
              <w:bottom w:val="nil"/>
              <w:right w:val="nil"/>
            </w:tcBorders>
          </w:tcPr>
          <w:p w14:paraId="19C9598C"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n/a</w:t>
            </w:r>
          </w:p>
        </w:tc>
        <w:tc>
          <w:tcPr>
            <w:tcW w:w="816" w:type="pct"/>
            <w:gridSpan w:val="2"/>
            <w:tcBorders>
              <w:top w:val="nil"/>
              <w:left w:val="nil"/>
              <w:bottom w:val="nil"/>
              <w:right w:val="nil"/>
            </w:tcBorders>
          </w:tcPr>
          <w:p w14:paraId="5C7D0C6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n/a</w:t>
            </w:r>
          </w:p>
        </w:tc>
        <w:tc>
          <w:tcPr>
            <w:tcW w:w="694" w:type="pct"/>
            <w:tcBorders>
              <w:top w:val="nil"/>
              <w:left w:val="nil"/>
              <w:bottom w:val="nil"/>
              <w:right w:val="nil"/>
            </w:tcBorders>
          </w:tcPr>
          <w:p w14:paraId="44519C44"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w:t>
            </w:r>
          </w:p>
        </w:tc>
        <w:tc>
          <w:tcPr>
            <w:tcW w:w="694" w:type="pct"/>
            <w:tcBorders>
              <w:top w:val="nil"/>
              <w:left w:val="nil"/>
              <w:bottom w:val="nil"/>
              <w:right w:val="nil"/>
            </w:tcBorders>
          </w:tcPr>
          <w:p w14:paraId="09E4B62C"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80%</w:t>
            </w:r>
          </w:p>
        </w:tc>
      </w:tr>
      <w:tr w:rsidR="002242F3" w:rsidRPr="00D635C7" w14:paraId="6FA1B927" w14:textId="77777777" w:rsidTr="005E3B44">
        <w:trPr>
          <w:gridAfter w:val="3"/>
          <w:wAfter w:w="2085" w:type="dxa"/>
          <w:trHeight w:val="242"/>
        </w:trPr>
        <w:tc>
          <w:tcPr>
            <w:tcW w:w="1531" w:type="pct"/>
            <w:tcBorders>
              <w:top w:val="nil"/>
              <w:left w:val="nil"/>
              <w:bottom w:val="nil"/>
              <w:right w:val="nil"/>
            </w:tcBorders>
            <w:hideMark/>
          </w:tcPr>
          <w:p w14:paraId="36816D8F" w14:textId="77777777" w:rsidR="002242F3" w:rsidRPr="005E3B44" w:rsidRDefault="002242F3" w:rsidP="005E3B44">
            <w:pPr>
              <w:pStyle w:val="BStabletext1"/>
              <w:pBdr>
                <w:top w:val="nil"/>
                <w:left w:val="nil"/>
                <w:bottom w:val="nil"/>
                <w:right w:val="nil"/>
                <w:between w:val="nil"/>
                <w:bar w:val="nil"/>
              </w:pBdr>
              <w:jc w:val="left"/>
              <w:rPr>
                <w:rStyle w:val="Strong0"/>
                <w:rFonts w:asciiTheme="minorHAnsi" w:hAnsiTheme="minorHAnsi" w:cstheme="minorHAnsi"/>
                <w:bCs/>
                <w:bdr w:val="nil"/>
              </w:rPr>
            </w:pPr>
            <w:r w:rsidRPr="005E3B44">
              <w:rPr>
                <w:rStyle w:val="Strong0"/>
                <w:rFonts w:asciiTheme="minorHAnsi" w:hAnsiTheme="minorHAnsi" w:cstheme="minorHAnsi"/>
                <w:bdr w:val="nil"/>
              </w:rPr>
              <w:t>Response and Recovery</w:t>
            </w:r>
          </w:p>
        </w:tc>
        <w:tc>
          <w:tcPr>
            <w:tcW w:w="690" w:type="pct"/>
            <w:gridSpan w:val="2"/>
            <w:tcBorders>
              <w:top w:val="nil"/>
              <w:left w:val="nil"/>
              <w:bottom w:val="nil"/>
              <w:right w:val="nil"/>
            </w:tcBorders>
          </w:tcPr>
          <w:p w14:paraId="1E54D34E" w14:textId="77777777" w:rsidR="002242F3" w:rsidRPr="00D635C7" w:rsidRDefault="002242F3" w:rsidP="005E3B44">
            <w:pPr>
              <w:pStyle w:val="BStabletext1"/>
              <w:pBdr>
                <w:top w:val="nil"/>
                <w:left w:val="nil"/>
                <w:bottom w:val="nil"/>
                <w:right w:val="nil"/>
                <w:between w:val="nil"/>
                <w:bar w:val="nil"/>
              </w:pBdr>
              <w:rPr>
                <w:rStyle w:val="Strong0"/>
                <w:rFonts w:asciiTheme="minorHAnsi" w:hAnsiTheme="minorHAnsi" w:cstheme="minorHAnsi"/>
                <w:bCs/>
                <w:bdr w:val="nil"/>
              </w:rPr>
            </w:pPr>
          </w:p>
        </w:tc>
        <w:tc>
          <w:tcPr>
            <w:tcW w:w="694" w:type="pct"/>
            <w:gridSpan w:val="2"/>
            <w:tcBorders>
              <w:top w:val="nil"/>
              <w:left w:val="nil"/>
              <w:bottom w:val="nil"/>
              <w:right w:val="nil"/>
            </w:tcBorders>
          </w:tcPr>
          <w:p w14:paraId="373B0E56" w14:textId="77777777" w:rsidR="002242F3" w:rsidRPr="004A6DD0" w:rsidRDefault="002242F3" w:rsidP="005E3B44">
            <w:pPr>
              <w:pStyle w:val="BStabletext1"/>
              <w:pBdr>
                <w:top w:val="nil"/>
                <w:left w:val="nil"/>
                <w:bottom w:val="nil"/>
                <w:right w:val="nil"/>
                <w:between w:val="nil"/>
                <w:bar w:val="nil"/>
              </w:pBdr>
              <w:rPr>
                <w:rStyle w:val="Strong0"/>
                <w:rFonts w:asciiTheme="minorHAnsi" w:hAnsiTheme="minorHAnsi" w:cstheme="minorHAnsi"/>
                <w:bCs/>
                <w:bdr w:val="nil"/>
              </w:rPr>
            </w:pPr>
          </w:p>
        </w:tc>
      </w:tr>
      <w:tr w:rsidR="002242F3" w:rsidRPr="005E3B44" w14:paraId="1A01DFBA" w14:textId="77777777" w:rsidTr="005E3B44">
        <w:trPr>
          <w:trHeight w:val="283"/>
        </w:trPr>
        <w:tc>
          <w:tcPr>
            <w:tcW w:w="2101" w:type="pct"/>
            <w:gridSpan w:val="2"/>
            <w:tcBorders>
              <w:top w:val="nil"/>
              <w:left w:val="nil"/>
              <w:bottom w:val="nil"/>
              <w:right w:val="nil"/>
            </w:tcBorders>
            <w:hideMark/>
          </w:tcPr>
          <w:p w14:paraId="2A490B0D"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e.   Structure Fire incidents responded to within target</w:t>
            </w:r>
            <w:r w:rsidRPr="005E3B44">
              <w:rPr>
                <w:rFonts w:asciiTheme="minorHAnsi" w:hAnsiTheme="minorHAnsi" w:cstheme="minorHAnsi"/>
                <w:bdr w:val="nil"/>
                <w:vertAlign w:val="superscript"/>
              </w:rPr>
              <w:t xml:space="preserve"> d</w:t>
            </w:r>
          </w:p>
        </w:tc>
        <w:tc>
          <w:tcPr>
            <w:tcW w:w="695" w:type="pct"/>
            <w:gridSpan w:val="2"/>
            <w:tcBorders>
              <w:top w:val="nil"/>
              <w:left w:val="nil"/>
              <w:bottom w:val="nil"/>
              <w:right w:val="nil"/>
            </w:tcBorders>
            <w:hideMark/>
          </w:tcPr>
          <w:p w14:paraId="4F39AB31"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90%</w:t>
            </w:r>
          </w:p>
        </w:tc>
        <w:tc>
          <w:tcPr>
            <w:tcW w:w="816" w:type="pct"/>
            <w:gridSpan w:val="2"/>
            <w:tcBorders>
              <w:top w:val="nil"/>
              <w:left w:val="nil"/>
              <w:bottom w:val="nil"/>
              <w:right w:val="nil"/>
            </w:tcBorders>
            <w:hideMark/>
          </w:tcPr>
          <w:p w14:paraId="72695CD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93%</w:t>
            </w:r>
          </w:p>
        </w:tc>
        <w:tc>
          <w:tcPr>
            <w:tcW w:w="694" w:type="pct"/>
            <w:tcBorders>
              <w:top w:val="nil"/>
              <w:left w:val="nil"/>
              <w:bottom w:val="nil"/>
              <w:right w:val="nil"/>
            </w:tcBorders>
          </w:tcPr>
          <w:p w14:paraId="4F1C002B"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3</w:t>
            </w:r>
          </w:p>
        </w:tc>
        <w:tc>
          <w:tcPr>
            <w:tcW w:w="694" w:type="pct"/>
            <w:tcBorders>
              <w:top w:val="nil"/>
              <w:left w:val="nil"/>
              <w:bottom w:val="nil"/>
              <w:right w:val="nil"/>
            </w:tcBorders>
          </w:tcPr>
          <w:p w14:paraId="003F5DE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90%</w:t>
            </w:r>
          </w:p>
        </w:tc>
      </w:tr>
      <w:tr w:rsidR="002242F3" w:rsidRPr="005E3B44" w14:paraId="0147583B" w14:textId="77777777" w:rsidTr="005E3B44">
        <w:trPr>
          <w:trHeight w:val="283"/>
        </w:trPr>
        <w:tc>
          <w:tcPr>
            <w:tcW w:w="2101" w:type="pct"/>
            <w:gridSpan w:val="2"/>
            <w:tcBorders>
              <w:top w:val="nil"/>
              <w:left w:val="nil"/>
              <w:bottom w:val="nil"/>
              <w:right w:val="nil"/>
            </w:tcBorders>
            <w:hideMark/>
          </w:tcPr>
          <w:p w14:paraId="54F0ABA0"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f.    Road Rescue incidents responded to within target</w:t>
            </w:r>
            <w:r w:rsidRPr="005E3B44">
              <w:rPr>
                <w:rFonts w:asciiTheme="minorHAnsi" w:hAnsiTheme="minorHAnsi" w:cstheme="minorHAnsi"/>
                <w:bdr w:val="nil"/>
                <w:vertAlign w:val="superscript"/>
              </w:rPr>
              <w:t xml:space="preserve"> e</w:t>
            </w:r>
          </w:p>
        </w:tc>
        <w:tc>
          <w:tcPr>
            <w:tcW w:w="695" w:type="pct"/>
            <w:gridSpan w:val="2"/>
            <w:tcBorders>
              <w:top w:val="nil"/>
              <w:left w:val="nil"/>
              <w:bottom w:val="nil"/>
              <w:right w:val="nil"/>
            </w:tcBorders>
            <w:hideMark/>
          </w:tcPr>
          <w:p w14:paraId="2FF50527"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90%</w:t>
            </w:r>
          </w:p>
        </w:tc>
        <w:tc>
          <w:tcPr>
            <w:tcW w:w="816" w:type="pct"/>
            <w:gridSpan w:val="2"/>
            <w:tcBorders>
              <w:top w:val="nil"/>
              <w:left w:val="nil"/>
              <w:bottom w:val="nil"/>
              <w:right w:val="nil"/>
            </w:tcBorders>
            <w:hideMark/>
          </w:tcPr>
          <w:p w14:paraId="65D3880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93%</w:t>
            </w:r>
          </w:p>
        </w:tc>
        <w:tc>
          <w:tcPr>
            <w:tcW w:w="694" w:type="pct"/>
            <w:tcBorders>
              <w:top w:val="nil"/>
              <w:left w:val="nil"/>
              <w:bottom w:val="nil"/>
              <w:right w:val="nil"/>
            </w:tcBorders>
          </w:tcPr>
          <w:p w14:paraId="7F164CBB"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3</w:t>
            </w:r>
          </w:p>
        </w:tc>
        <w:tc>
          <w:tcPr>
            <w:tcW w:w="694" w:type="pct"/>
            <w:tcBorders>
              <w:top w:val="nil"/>
              <w:left w:val="nil"/>
              <w:bottom w:val="nil"/>
              <w:right w:val="nil"/>
            </w:tcBorders>
          </w:tcPr>
          <w:p w14:paraId="158A9A1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90%</w:t>
            </w:r>
          </w:p>
        </w:tc>
      </w:tr>
      <w:tr w:rsidR="002242F3" w:rsidRPr="005E3B44" w14:paraId="24B04CBA" w14:textId="77777777" w:rsidTr="005E3B44">
        <w:trPr>
          <w:trHeight w:val="283"/>
        </w:trPr>
        <w:tc>
          <w:tcPr>
            <w:tcW w:w="2101" w:type="pct"/>
            <w:gridSpan w:val="2"/>
            <w:tcBorders>
              <w:top w:val="nil"/>
              <w:left w:val="nil"/>
              <w:bottom w:val="nil"/>
              <w:right w:val="nil"/>
            </w:tcBorders>
            <w:hideMark/>
          </w:tcPr>
          <w:p w14:paraId="29106F0E"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g.   Ambulance priority 1 - Incident Response Time 50</w:t>
            </w:r>
            <w:r w:rsidRPr="005E3B44">
              <w:rPr>
                <w:rFonts w:asciiTheme="minorHAnsi" w:hAnsiTheme="minorHAnsi" w:cstheme="minorHAnsi"/>
                <w:bdr w:val="nil"/>
                <w:vertAlign w:val="superscript"/>
              </w:rPr>
              <w:t>th</w:t>
            </w:r>
            <w:r w:rsidRPr="005E3B44">
              <w:rPr>
                <w:rFonts w:asciiTheme="minorHAnsi" w:hAnsiTheme="minorHAnsi" w:cstheme="minorHAnsi"/>
                <w:bdr w:val="nil"/>
              </w:rPr>
              <w:t> percentile (minutes)</w:t>
            </w:r>
            <w:r w:rsidRPr="005E3B44">
              <w:rPr>
                <w:rFonts w:asciiTheme="minorHAnsi" w:hAnsiTheme="minorHAnsi" w:cstheme="minorHAnsi"/>
                <w:bdr w:val="nil"/>
                <w:vertAlign w:val="superscript"/>
              </w:rPr>
              <w:t> f, 2</w:t>
            </w:r>
          </w:p>
        </w:tc>
        <w:tc>
          <w:tcPr>
            <w:tcW w:w="695" w:type="pct"/>
            <w:gridSpan w:val="2"/>
            <w:tcBorders>
              <w:top w:val="nil"/>
              <w:left w:val="nil"/>
              <w:bottom w:val="nil"/>
              <w:right w:val="nil"/>
            </w:tcBorders>
            <w:hideMark/>
          </w:tcPr>
          <w:p w14:paraId="76813896"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8</w:t>
            </w:r>
          </w:p>
        </w:tc>
        <w:tc>
          <w:tcPr>
            <w:tcW w:w="816" w:type="pct"/>
            <w:gridSpan w:val="2"/>
            <w:tcBorders>
              <w:top w:val="nil"/>
              <w:left w:val="nil"/>
              <w:bottom w:val="nil"/>
              <w:right w:val="nil"/>
            </w:tcBorders>
            <w:hideMark/>
          </w:tcPr>
          <w:p w14:paraId="5664C94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8.95</w:t>
            </w:r>
          </w:p>
        </w:tc>
        <w:tc>
          <w:tcPr>
            <w:tcW w:w="694" w:type="pct"/>
            <w:tcBorders>
              <w:top w:val="nil"/>
              <w:left w:val="nil"/>
              <w:bottom w:val="nil"/>
              <w:right w:val="nil"/>
            </w:tcBorders>
          </w:tcPr>
          <w:p w14:paraId="738B089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12</w:t>
            </w:r>
          </w:p>
        </w:tc>
        <w:tc>
          <w:tcPr>
            <w:tcW w:w="694" w:type="pct"/>
            <w:tcBorders>
              <w:top w:val="nil"/>
              <w:left w:val="nil"/>
              <w:bottom w:val="nil"/>
              <w:right w:val="nil"/>
            </w:tcBorders>
          </w:tcPr>
          <w:p w14:paraId="37D5EB4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8</w:t>
            </w:r>
          </w:p>
        </w:tc>
      </w:tr>
      <w:tr w:rsidR="002242F3" w:rsidRPr="005E3B44" w14:paraId="1DB01B23" w14:textId="77777777" w:rsidTr="005E3B44">
        <w:trPr>
          <w:trHeight w:val="283"/>
        </w:trPr>
        <w:tc>
          <w:tcPr>
            <w:tcW w:w="2101" w:type="pct"/>
            <w:gridSpan w:val="2"/>
            <w:tcBorders>
              <w:top w:val="nil"/>
              <w:left w:val="nil"/>
              <w:bottom w:val="nil"/>
              <w:right w:val="nil"/>
            </w:tcBorders>
            <w:hideMark/>
          </w:tcPr>
          <w:p w14:paraId="1A7C430E"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r w:rsidRPr="005E3B44">
              <w:rPr>
                <w:rFonts w:asciiTheme="minorHAnsi" w:hAnsiTheme="minorHAnsi" w:cstheme="minorHAnsi"/>
                <w:bdr w:val="nil"/>
              </w:rPr>
              <w:t>h.   Ambulance priority 1 - Incident Response Time 90</w:t>
            </w:r>
            <w:r w:rsidRPr="005E3B44">
              <w:rPr>
                <w:rFonts w:asciiTheme="minorHAnsi" w:hAnsiTheme="minorHAnsi" w:cstheme="minorHAnsi"/>
                <w:bdr w:val="nil"/>
                <w:vertAlign w:val="superscript"/>
              </w:rPr>
              <w:t>th</w:t>
            </w:r>
            <w:r w:rsidRPr="005E3B44">
              <w:rPr>
                <w:rFonts w:asciiTheme="minorHAnsi" w:hAnsiTheme="minorHAnsi" w:cstheme="minorHAnsi"/>
                <w:bdr w:val="nil"/>
              </w:rPr>
              <w:t> percentile (minutes)</w:t>
            </w:r>
            <w:r w:rsidRPr="005E3B44">
              <w:rPr>
                <w:rFonts w:asciiTheme="minorHAnsi" w:hAnsiTheme="minorHAnsi" w:cstheme="minorHAnsi"/>
                <w:bdr w:val="nil"/>
                <w:vertAlign w:val="superscript"/>
              </w:rPr>
              <w:t> f</w:t>
            </w:r>
          </w:p>
        </w:tc>
        <w:tc>
          <w:tcPr>
            <w:tcW w:w="695" w:type="pct"/>
            <w:gridSpan w:val="2"/>
            <w:tcBorders>
              <w:top w:val="nil"/>
              <w:left w:val="nil"/>
              <w:bottom w:val="nil"/>
              <w:right w:val="nil"/>
            </w:tcBorders>
            <w:hideMark/>
          </w:tcPr>
          <w:p w14:paraId="2C252E81"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15</w:t>
            </w:r>
          </w:p>
        </w:tc>
        <w:tc>
          <w:tcPr>
            <w:tcW w:w="816" w:type="pct"/>
            <w:gridSpan w:val="2"/>
            <w:tcBorders>
              <w:top w:val="nil"/>
              <w:left w:val="nil"/>
              <w:bottom w:val="nil"/>
              <w:right w:val="nil"/>
            </w:tcBorders>
            <w:hideMark/>
          </w:tcPr>
          <w:p w14:paraId="2975CA1B"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14.70</w:t>
            </w:r>
          </w:p>
        </w:tc>
        <w:tc>
          <w:tcPr>
            <w:tcW w:w="694" w:type="pct"/>
            <w:tcBorders>
              <w:top w:val="nil"/>
              <w:left w:val="nil"/>
              <w:bottom w:val="nil"/>
              <w:right w:val="nil"/>
            </w:tcBorders>
          </w:tcPr>
          <w:p w14:paraId="26D72CF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(2)</w:t>
            </w:r>
          </w:p>
        </w:tc>
        <w:tc>
          <w:tcPr>
            <w:tcW w:w="694" w:type="pct"/>
            <w:tcBorders>
              <w:top w:val="nil"/>
              <w:left w:val="nil"/>
              <w:bottom w:val="nil"/>
              <w:right w:val="nil"/>
            </w:tcBorders>
          </w:tcPr>
          <w:p w14:paraId="27E52B05"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15</w:t>
            </w:r>
          </w:p>
        </w:tc>
      </w:tr>
      <w:tr w:rsidR="002242F3" w:rsidRPr="005E3B44" w14:paraId="216953CC" w14:textId="77777777" w:rsidTr="005E3B44">
        <w:trPr>
          <w:trHeight w:val="283"/>
        </w:trPr>
        <w:tc>
          <w:tcPr>
            <w:tcW w:w="2101" w:type="pct"/>
            <w:gridSpan w:val="2"/>
            <w:tcBorders>
              <w:top w:val="nil"/>
              <w:left w:val="nil"/>
              <w:bottom w:val="nil"/>
              <w:right w:val="nil"/>
            </w:tcBorders>
            <w:hideMark/>
          </w:tcPr>
          <w:p w14:paraId="080DC9A9"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284" w:hanging="284"/>
              <w:rPr>
                <w:rFonts w:asciiTheme="minorHAnsi" w:hAnsiTheme="minorHAnsi" w:cstheme="minorHAnsi"/>
                <w:bdr w:val="nil"/>
              </w:rPr>
            </w:pPr>
            <w:proofErr w:type="spellStart"/>
            <w:r w:rsidRPr="005E3B44">
              <w:rPr>
                <w:rFonts w:asciiTheme="minorHAnsi" w:hAnsiTheme="minorHAnsi" w:cstheme="minorHAnsi"/>
                <w:bdr w:val="nil"/>
              </w:rPr>
              <w:t>i</w:t>
            </w:r>
            <w:proofErr w:type="spellEnd"/>
            <w:r w:rsidRPr="005E3B44">
              <w:rPr>
                <w:rFonts w:asciiTheme="minorHAnsi" w:hAnsiTheme="minorHAnsi" w:cstheme="minorHAnsi"/>
                <w:bdr w:val="nil"/>
              </w:rPr>
              <w:t>.    Percentage of Patient Transport Service ‘fixed booking’ attended by booked time;</w:t>
            </w:r>
          </w:p>
        </w:tc>
        <w:tc>
          <w:tcPr>
            <w:tcW w:w="695" w:type="pct"/>
            <w:gridSpan w:val="2"/>
            <w:tcBorders>
              <w:top w:val="nil"/>
              <w:left w:val="nil"/>
              <w:bottom w:val="nil"/>
              <w:right w:val="nil"/>
            </w:tcBorders>
            <w:hideMark/>
          </w:tcPr>
          <w:p w14:paraId="13FE17DD"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65%</w:t>
            </w:r>
          </w:p>
        </w:tc>
        <w:tc>
          <w:tcPr>
            <w:tcW w:w="816" w:type="pct"/>
            <w:gridSpan w:val="2"/>
            <w:tcBorders>
              <w:top w:val="nil"/>
              <w:left w:val="nil"/>
              <w:bottom w:val="nil"/>
              <w:right w:val="nil"/>
            </w:tcBorders>
            <w:hideMark/>
          </w:tcPr>
          <w:p w14:paraId="15E626F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69%</w:t>
            </w:r>
          </w:p>
        </w:tc>
        <w:tc>
          <w:tcPr>
            <w:tcW w:w="694" w:type="pct"/>
            <w:tcBorders>
              <w:top w:val="nil"/>
              <w:left w:val="nil"/>
              <w:bottom w:val="nil"/>
              <w:right w:val="nil"/>
            </w:tcBorders>
          </w:tcPr>
          <w:p w14:paraId="3972B078"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6</w:t>
            </w:r>
          </w:p>
        </w:tc>
        <w:tc>
          <w:tcPr>
            <w:tcW w:w="694" w:type="pct"/>
            <w:tcBorders>
              <w:top w:val="nil"/>
              <w:left w:val="nil"/>
              <w:bottom w:val="nil"/>
              <w:right w:val="nil"/>
            </w:tcBorders>
          </w:tcPr>
          <w:p w14:paraId="7FE8CF65"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65%</w:t>
            </w:r>
          </w:p>
        </w:tc>
      </w:tr>
      <w:tr w:rsidR="002242F3" w:rsidRPr="005E3B44" w14:paraId="7300BA30" w14:textId="77777777" w:rsidTr="005E3B44">
        <w:trPr>
          <w:trHeight w:val="283"/>
        </w:trPr>
        <w:tc>
          <w:tcPr>
            <w:tcW w:w="2101" w:type="pct"/>
            <w:gridSpan w:val="2"/>
            <w:tcBorders>
              <w:top w:val="nil"/>
              <w:left w:val="nil"/>
              <w:bottom w:val="single" w:sz="4" w:space="0" w:color="auto"/>
              <w:right w:val="nil"/>
            </w:tcBorders>
            <w:hideMark/>
          </w:tcPr>
          <w:p w14:paraId="60C0878F"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rPr>
                <w:rFonts w:asciiTheme="minorHAnsi" w:hAnsiTheme="minorHAnsi" w:cstheme="minorHAnsi"/>
                <w:bdr w:val="nil"/>
              </w:rPr>
            </w:pPr>
            <w:r w:rsidRPr="005E3B44">
              <w:rPr>
                <w:rFonts w:asciiTheme="minorHAnsi" w:hAnsiTheme="minorHAnsi" w:cstheme="minorHAnsi"/>
                <w:bdr w:val="nil"/>
              </w:rPr>
              <w:t>j.    Total cost per head of population</w:t>
            </w:r>
            <w:r w:rsidRPr="005E3B44">
              <w:rPr>
                <w:rFonts w:asciiTheme="minorHAnsi" w:hAnsiTheme="minorHAnsi" w:cstheme="minorHAnsi"/>
                <w:bdr w:val="nil"/>
                <w:vertAlign w:val="superscript"/>
              </w:rPr>
              <w:t xml:space="preserve"> g</w:t>
            </w:r>
          </w:p>
        </w:tc>
        <w:tc>
          <w:tcPr>
            <w:tcW w:w="695" w:type="pct"/>
            <w:gridSpan w:val="2"/>
            <w:tcBorders>
              <w:top w:val="nil"/>
              <w:left w:val="nil"/>
              <w:bottom w:val="single" w:sz="4" w:space="0" w:color="auto"/>
              <w:right w:val="nil"/>
            </w:tcBorders>
            <w:hideMark/>
          </w:tcPr>
          <w:p w14:paraId="551D599B"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 xml:space="preserve">$394.86 </w:t>
            </w:r>
          </w:p>
        </w:tc>
        <w:tc>
          <w:tcPr>
            <w:tcW w:w="816" w:type="pct"/>
            <w:gridSpan w:val="2"/>
            <w:tcBorders>
              <w:top w:val="nil"/>
              <w:left w:val="nil"/>
              <w:bottom w:val="single" w:sz="4" w:space="0" w:color="auto"/>
              <w:right w:val="nil"/>
            </w:tcBorders>
            <w:hideMark/>
          </w:tcPr>
          <w:p w14:paraId="62037549"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 xml:space="preserve">$426.91 </w:t>
            </w:r>
          </w:p>
        </w:tc>
        <w:tc>
          <w:tcPr>
            <w:tcW w:w="694" w:type="pct"/>
            <w:tcBorders>
              <w:top w:val="nil"/>
              <w:left w:val="nil"/>
              <w:bottom w:val="single" w:sz="4" w:space="0" w:color="auto"/>
              <w:right w:val="nil"/>
            </w:tcBorders>
          </w:tcPr>
          <w:p w14:paraId="39B75387"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8</w:t>
            </w:r>
          </w:p>
        </w:tc>
        <w:tc>
          <w:tcPr>
            <w:tcW w:w="694" w:type="pct"/>
            <w:tcBorders>
              <w:top w:val="nil"/>
              <w:left w:val="nil"/>
              <w:bottom w:val="single" w:sz="4" w:space="0" w:color="auto"/>
              <w:right w:val="nil"/>
            </w:tcBorders>
          </w:tcPr>
          <w:p w14:paraId="490C2BFF"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 xml:space="preserve">$402.19 </w:t>
            </w:r>
          </w:p>
        </w:tc>
      </w:tr>
      <w:tr w:rsidR="002242F3" w:rsidRPr="005E3B44" w14:paraId="6C27A3A9" w14:textId="77777777" w:rsidTr="005E3B44">
        <w:trPr>
          <w:trHeight w:val="283"/>
        </w:trPr>
        <w:tc>
          <w:tcPr>
            <w:tcW w:w="2101" w:type="pct"/>
            <w:gridSpan w:val="2"/>
            <w:tcBorders>
              <w:top w:val="single" w:sz="4" w:space="0" w:color="auto"/>
              <w:left w:val="nil"/>
              <w:bottom w:val="single" w:sz="12" w:space="0" w:color="auto"/>
              <w:right w:val="nil"/>
            </w:tcBorders>
          </w:tcPr>
          <w:p w14:paraId="7DF3BA7F"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Total Cost ($’000)</w:t>
            </w:r>
          </w:p>
          <w:p w14:paraId="0A468C1B" w14:textId="77777777" w:rsidR="002242F3" w:rsidRPr="005E3B44" w:rsidRDefault="002242F3" w:rsidP="005E3B44">
            <w:pPr>
              <w:pStyle w:val="BStablelist"/>
              <w:numPr>
                <w:ilvl w:val="0"/>
                <w:numId w:val="0"/>
              </w:numPr>
              <w:pBdr>
                <w:top w:val="nil"/>
                <w:left w:val="nil"/>
                <w:bottom w:val="nil"/>
                <w:right w:val="nil"/>
                <w:between w:val="nil"/>
                <w:bar w:val="nil"/>
              </w:pBdr>
              <w:spacing w:line="256" w:lineRule="auto"/>
              <w:ind w:left="360" w:hanging="360"/>
              <w:rPr>
                <w:rFonts w:asciiTheme="minorHAnsi" w:hAnsiTheme="minorHAnsi" w:cstheme="minorHAnsi"/>
                <w:bdr w:val="nil"/>
              </w:rPr>
            </w:pPr>
            <w:r w:rsidRPr="005E3B44">
              <w:rPr>
                <w:rFonts w:asciiTheme="minorHAnsi" w:hAnsiTheme="minorHAnsi" w:cstheme="minorHAnsi"/>
                <w:bdr w:val="nil"/>
              </w:rPr>
              <w:t>Controlled Recurrent Payments ($’000)</w:t>
            </w:r>
          </w:p>
        </w:tc>
        <w:tc>
          <w:tcPr>
            <w:tcW w:w="695" w:type="pct"/>
            <w:gridSpan w:val="2"/>
            <w:tcBorders>
              <w:top w:val="single" w:sz="4" w:space="0" w:color="auto"/>
              <w:left w:val="nil"/>
              <w:bottom w:val="single" w:sz="12" w:space="0" w:color="auto"/>
              <w:right w:val="nil"/>
            </w:tcBorders>
          </w:tcPr>
          <w:p w14:paraId="4F79A5EC"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173,994</w:t>
            </w:r>
          </w:p>
          <w:p w14:paraId="08DF3ED5"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146,193</w:t>
            </w:r>
          </w:p>
        </w:tc>
        <w:tc>
          <w:tcPr>
            <w:tcW w:w="816" w:type="pct"/>
            <w:gridSpan w:val="2"/>
            <w:tcBorders>
              <w:top w:val="single" w:sz="4" w:space="0" w:color="auto"/>
              <w:left w:val="nil"/>
              <w:bottom w:val="single" w:sz="12" w:space="0" w:color="auto"/>
              <w:right w:val="nil"/>
            </w:tcBorders>
          </w:tcPr>
          <w:p w14:paraId="777A1AA9"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184,212</w:t>
            </w:r>
          </w:p>
          <w:p w14:paraId="225DC8D2"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142,456</w:t>
            </w:r>
          </w:p>
        </w:tc>
        <w:tc>
          <w:tcPr>
            <w:tcW w:w="694" w:type="pct"/>
            <w:tcBorders>
              <w:top w:val="single" w:sz="4" w:space="0" w:color="auto"/>
              <w:left w:val="nil"/>
              <w:bottom w:val="single" w:sz="12" w:space="0" w:color="auto"/>
              <w:right w:val="nil"/>
            </w:tcBorders>
          </w:tcPr>
          <w:p w14:paraId="02EDEAD9"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6</w:t>
            </w:r>
          </w:p>
          <w:p w14:paraId="7C57300A"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(3)</w:t>
            </w:r>
          </w:p>
        </w:tc>
        <w:tc>
          <w:tcPr>
            <w:tcW w:w="694" w:type="pct"/>
            <w:tcBorders>
              <w:top w:val="single" w:sz="4" w:space="0" w:color="auto"/>
              <w:left w:val="nil"/>
              <w:bottom w:val="single" w:sz="12" w:space="0" w:color="auto"/>
              <w:right w:val="nil"/>
            </w:tcBorders>
          </w:tcPr>
          <w:p w14:paraId="37DAEC18"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182,926</w:t>
            </w:r>
          </w:p>
          <w:p w14:paraId="64A013E2" w14:textId="77777777" w:rsidR="002242F3" w:rsidRPr="00D811FD" w:rsidRDefault="002242F3" w:rsidP="005E3B44">
            <w:pPr>
              <w:pStyle w:val="BStablefigures1"/>
              <w:pBdr>
                <w:top w:val="nil"/>
                <w:left w:val="nil"/>
                <w:bottom w:val="nil"/>
                <w:right w:val="nil"/>
                <w:between w:val="nil"/>
                <w:bar w:val="nil"/>
              </w:pBdr>
              <w:rPr>
                <w:rFonts w:asciiTheme="minorHAnsi" w:hAnsiTheme="minorHAnsi" w:cstheme="minorHAnsi"/>
                <w:sz w:val="20"/>
                <w:szCs w:val="20"/>
                <w:bdr w:val="nil"/>
              </w:rPr>
            </w:pPr>
            <w:r w:rsidRPr="00D811FD">
              <w:rPr>
                <w:rFonts w:asciiTheme="minorHAnsi" w:hAnsiTheme="minorHAnsi" w:cstheme="minorHAnsi"/>
                <w:sz w:val="20"/>
                <w:szCs w:val="20"/>
                <w:bdr w:val="nil"/>
              </w:rPr>
              <w:t>152,382</w:t>
            </w:r>
          </w:p>
        </w:tc>
      </w:tr>
    </w:tbl>
    <w:p w14:paraId="47BE6D13"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 w:val="0"/>
          <w:bCs/>
          <w:bdr w:val="nil"/>
        </w:rPr>
      </w:pPr>
      <w:r w:rsidRPr="005E3B44">
        <w:rPr>
          <w:rFonts w:asciiTheme="minorHAnsi" w:hAnsiTheme="minorHAnsi" w:cstheme="minorHAnsi"/>
          <w:b w:val="0"/>
          <w:bCs/>
          <w:bdr w:val="nil"/>
        </w:rPr>
        <w:t xml:space="preserve">The above Accountability Indicators should be read in conjunction with the accompanying notes. </w:t>
      </w:r>
    </w:p>
    <w:p w14:paraId="6F6B5448" w14:textId="77777777" w:rsidR="002242F3" w:rsidRPr="005E3B44" w:rsidRDefault="002242F3" w:rsidP="002242F3">
      <w:pPr>
        <w:pBdr>
          <w:top w:val="nil"/>
          <w:left w:val="nil"/>
          <w:bottom w:val="nil"/>
          <w:right w:val="nil"/>
          <w:between w:val="nil"/>
          <w:bar w:val="nil"/>
        </w:pBdr>
        <w:spacing w:before="0" w:after="0"/>
        <w:rPr>
          <w:rFonts w:asciiTheme="minorHAnsi" w:hAnsiTheme="minorHAnsi" w:cstheme="minorHAnsi"/>
          <w:b/>
          <w:sz w:val="18"/>
          <w:szCs w:val="16"/>
          <w:bdr w:val="nil"/>
          <w:lang w:eastAsia="en-AU"/>
        </w:rPr>
      </w:pPr>
      <w:r w:rsidRPr="005E3B44">
        <w:rPr>
          <w:rFonts w:asciiTheme="minorHAnsi" w:hAnsiTheme="minorHAnsi" w:cstheme="minorHAnsi"/>
          <w:bdr w:val="nil"/>
        </w:rPr>
        <w:br w:type="page"/>
      </w:r>
    </w:p>
    <w:p w14:paraId="038D3AF5" w14:textId="57336531" w:rsidR="002242F3" w:rsidRPr="005E3B44" w:rsidRDefault="002242F3" w:rsidP="002242F3">
      <w:pPr>
        <w:pStyle w:val="Heading3"/>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Output Class 4: Emergency Services</w:t>
      </w:r>
      <w:r w:rsidR="00EC15BC">
        <w:rPr>
          <w:rFonts w:asciiTheme="minorHAnsi" w:hAnsiTheme="minorHAnsi" w:cstheme="minorHAnsi"/>
          <w:bdr w:val="nil"/>
        </w:rPr>
        <w:t xml:space="preserve"> (Continued)</w:t>
      </w:r>
    </w:p>
    <w:p w14:paraId="5C1B7296" w14:textId="0E645145" w:rsidR="002242F3" w:rsidRPr="005E3B44" w:rsidRDefault="002242F3" w:rsidP="004C1875">
      <w:pPr>
        <w:pStyle w:val="Heading4"/>
      </w:pPr>
      <w:r w:rsidRPr="005E3B44">
        <w:t>Output 4.1: Emergency Services</w:t>
      </w:r>
      <w:r w:rsidR="004E16A9">
        <w:t xml:space="preserve"> (Continued)</w:t>
      </w:r>
    </w:p>
    <w:p w14:paraId="2407DD6E" w14:textId="6417D9EA" w:rsidR="002242F3" w:rsidRPr="005E3B44" w:rsidRDefault="002242F3" w:rsidP="002242F3">
      <w:pPr>
        <w:pStyle w:val="Caption"/>
        <w:pBdr>
          <w:top w:val="nil"/>
          <w:left w:val="nil"/>
          <w:bottom w:val="nil"/>
          <w:right w:val="nil"/>
          <w:between w:val="nil"/>
          <w:bar w:val="nil"/>
        </w:pBdr>
        <w:rPr>
          <w:rFonts w:asciiTheme="minorHAnsi" w:hAnsiTheme="minorHAnsi" w:cstheme="minorHAnsi"/>
          <w:noProof/>
          <w:bdr w:val="nil"/>
        </w:rPr>
      </w:pPr>
      <w:r w:rsidRPr="005E3B44">
        <w:rPr>
          <w:rFonts w:asciiTheme="minorHAnsi" w:hAnsiTheme="minorHAnsi" w:cstheme="minorHAnsi"/>
          <w:bdr w:val="nil"/>
        </w:rPr>
        <w:t>Table 2</w:t>
      </w:r>
      <w:r w:rsidR="00D635C7">
        <w:rPr>
          <w:rFonts w:asciiTheme="minorHAnsi" w:hAnsiTheme="minorHAnsi" w:cstheme="minorHAnsi"/>
          <w:bdr w:val="nil"/>
        </w:rPr>
        <w:t>3</w:t>
      </w:r>
      <w:r w:rsidRPr="005E3B44">
        <w:rPr>
          <w:rFonts w:asciiTheme="minorHAnsi" w:hAnsiTheme="minorHAnsi" w:cstheme="minorHAnsi"/>
          <w:noProof/>
          <w:bdr w:val="nil"/>
        </w:rPr>
        <w:t>:</w:t>
      </w:r>
      <w:r w:rsidRPr="005E3B44">
        <w:rPr>
          <w:rFonts w:asciiTheme="minorHAnsi" w:hAnsiTheme="minorHAnsi" w:cstheme="minorHAnsi"/>
          <w:bdr w:val="nil"/>
        </w:rPr>
        <w:t xml:space="preserve"> Accountability Indicators</w:t>
      </w:r>
      <w:r w:rsidRPr="005E3B44">
        <w:rPr>
          <w:rFonts w:asciiTheme="minorHAnsi" w:hAnsiTheme="minorHAnsi" w:cstheme="minorHAnsi"/>
          <w:noProof/>
          <w:bdr w:val="nil"/>
        </w:rPr>
        <w:t xml:space="preserve"> Output 4.1</w:t>
      </w:r>
      <w:r w:rsidR="00E06139">
        <w:rPr>
          <w:rFonts w:asciiTheme="minorHAnsi" w:hAnsiTheme="minorHAnsi" w:cstheme="minorHAnsi"/>
          <w:noProof/>
          <w:bdr w:val="nil"/>
        </w:rPr>
        <w:t xml:space="preserve"> (Continued)</w:t>
      </w:r>
    </w:p>
    <w:p w14:paraId="5CC67EE1" w14:textId="77777777" w:rsidR="002242F3" w:rsidRPr="005E3B44" w:rsidRDefault="002242F3" w:rsidP="002242F3">
      <w:pPr>
        <w:pStyle w:val="BSnote2"/>
        <w:pBdr>
          <w:top w:val="nil"/>
          <w:left w:val="nil"/>
          <w:bottom w:val="nil"/>
          <w:right w:val="nil"/>
          <w:between w:val="nil"/>
          <w:bar w:val="nil"/>
        </w:pBdr>
        <w:rPr>
          <w:rFonts w:asciiTheme="minorHAnsi" w:hAnsiTheme="minorHAnsi" w:cstheme="minorHAnsi"/>
          <w:bdr w:val="nil"/>
          <w:lang w:eastAsia="en-US"/>
        </w:rPr>
      </w:pPr>
      <w:r w:rsidRPr="005E3B44">
        <w:rPr>
          <w:rFonts w:asciiTheme="minorHAnsi" w:hAnsiTheme="minorHAnsi" w:cstheme="minorHAnsi"/>
          <w:bdr w:val="nil"/>
        </w:rPr>
        <w:t>Explanation of Accountability Indicators:</w:t>
      </w:r>
    </w:p>
    <w:p w14:paraId="45FE673D"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szCs w:val="18"/>
          <w:bdr w:val="nil"/>
        </w:rPr>
        <w:t xml:space="preserve">a. </w:t>
      </w:r>
      <w:r w:rsidRPr="005E3B44">
        <w:rPr>
          <w:rFonts w:asciiTheme="minorHAnsi" w:hAnsiTheme="minorHAnsi" w:cstheme="minorHAnsi"/>
          <w:szCs w:val="18"/>
          <w:bdr w:val="nil"/>
        </w:rPr>
        <w:tab/>
        <w:t>This is a new indicator in 2021-22 year which measures field audits on slashing, grazing and physical removal activities. These activities represent a large portion of activities in approved Bushfire Operational Plans (BOPs). Field audit of 2 slashing, 2 grazing, and 2 physical removal activities, per approved BOPs when reported as completed in Quarterly reports to ACT Rural Fire Service and conducted in accordance with approved BOPs. The indicator measures and monitors Directorates’ reporting compliance in accordance with the approved BOPs and ensures these activities are completed in adherence to all relevant policies and procedures.</w:t>
      </w:r>
    </w:p>
    <w:p w14:paraId="4BCB5F68"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 xml:space="preserve">b. </w:t>
      </w:r>
      <w:r w:rsidRPr="005E3B44">
        <w:rPr>
          <w:rFonts w:asciiTheme="minorHAnsi" w:hAnsiTheme="minorHAnsi" w:cstheme="minorHAnsi"/>
          <w:bdr w:val="nil"/>
        </w:rPr>
        <w:tab/>
        <w:t>AIIMS – Australasian Inter-Service Incident Management System. This accountability indicator in 2020-21 captured training provided to Emergency Services Agency (ESA) staff only on the AIIMS system. This indicator is discontinued in 2021-22 year as it is no longer an accurate measure of ESA's abilities to manage incidents, as the nature and delivery of AIIMS has changed and is no longer suitable for high level Incident Management Teams (IMTs).</w:t>
      </w:r>
    </w:p>
    <w:p w14:paraId="5418073A"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bdr w:val="nil"/>
        </w:rPr>
        <w:t xml:space="preserve">c.       This is a new indicator in 2021-22 year.  This indicator measures if ESA has appropriately trained and endorsed staff to maintain a high level IMT (for 4 consecutives </w:t>
      </w:r>
      <w:proofErr w:type="gramStart"/>
      <w:r w:rsidRPr="005E3B44">
        <w:rPr>
          <w:rFonts w:asciiTheme="minorHAnsi" w:hAnsiTheme="minorHAnsi" w:cstheme="minorHAnsi"/>
          <w:bdr w:val="nil"/>
        </w:rPr>
        <w:t>12 hour</w:t>
      </w:r>
      <w:proofErr w:type="gramEnd"/>
      <w:r w:rsidRPr="005E3B44">
        <w:rPr>
          <w:rFonts w:asciiTheme="minorHAnsi" w:hAnsiTheme="minorHAnsi" w:cstheme="minorHAnsi"/>
          <w:bdr w:val="nil"/>
        </w:rPr>
        <w:t xml:space="preserve"> shifts).</w:t>
      </w:r>
    </w:p>
    <w:p w14:paraId="38DA0BDF"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360" w:hanging="360"/>
        <w:rPr>
          <w:rFonts w:asciiTheme="minorHAnsi" w:hAnsiTheme="minorHAnsi" w:cstheme="minorHAnsi"/>
          <w:szCs w:val="18"/>
          <w:bdr w:val="nil"/>
        </w:rPr>
      </w:pPr>
      <w:r w:rsidRPr="005E3B44">
        <w:rPr>
          <w:rFonts w:asciiTheme="minorHAnsi" w:hAnsiTheme="minorHAnsi" w:cstheme="minorHAnsi"/>
          <w:szCs w:val="18"/>
          <w:bdr w:val="nil"/>
        </w:rPr>
        <w:t xml:space="preserve">d. </w:t>
      </w:r>
      <w:r w:rsidRPr="005E3B44">
        <w:rPr>
          <w:rFonts w:asciiTheme="minorHAnsi" w:hAnsiTheme="minorHAnsi" w:cstheme="minorHAnsi"/>
          <w:szCs w:val="18"/>
          <w:bdr w:val="nil"/>
        </w:rPr>
        <w:tab/>
        <w:t>Target refers to the response to structure fires within 10 minutes.</w:t>
      </w:r>
    </w:p>
    <w:p w14:paraId="20062EA6" w14:textId="77777777" w:rsidR="002242F3" w:rsidRPr="005E3B44" w:rsidRDefault="002242F3" w:rsidP="002242F3">
      <w:pPr>
        <w:pStyle w:val="BSnoteslist2"/>
        <w:widowControl w:val="0"/>
        <w:numPr>
          <w:ilvl w:val="0"/>
          <w:numId w:val="0"/>
        </w:numPr>
        <w:pBdr>
          <w:top w:val="nil"/>
          <w:left w:val="nil"/>
          <w:bottom w:val="nil"/>
          <w:right w:val="nil"/>
          <w:between w:val="nil"/>
          <w:bar w:val="nil"/>
        </w:pBdr>
        <w:rPr>
          <w:rFonts w:asciiTheme="minorHAnsi" w:hAnsiTheme="minorHAnsi" w:cstheme="minorHAnsi"/>
          <w:szCs w:val="18"/>
          <w:bdr w:val="nil"/>
        </w:rPr>
      </w:pPr>
      <w:r w:rsidRPr="005E3B44">
        <w:rPr>
          <w:rFonts w:asciiTheme="minorHAnsi" w:hAnsiTheme="minorHAnsi" w:cstheme="minorHAnsi"/>
          <w:szCs w:val="18"/>
          <w:bdr w:val="nil"/>
        </w:rPr>
        <w:t>e.      Target refers to the response to road rescues within 13 minutes.</w:t>
      </w:r>
    </w:p>
    <w:p w14:paraId="28385878"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szCs w:val="18"/>
          <w:bdr w:val="nil"/>
        </w:rPr>
        <w:t xml:space="preserve">f. </w:t>
      </w:r>
      <w:r w:rsidRPr="005E3B44">
        <w:rPr>
          <w:rFonts w:asciiTheme="minorHAnsi" w:hAnsiTheme="minorHAnsi" w:cstheme="minorHAnsi"/>
          <w:szCs w:val="18"/>
          <w:bdr w:val="nil"/>
        </w:rPr>
        <w:tab/>
        <w:t>Priority 1 records that are incomplete due to operator or system errors, or where incidents are outside the ACT, or where the priority rating has been changed, are excluded.</w:t>
      </w:r>
    </w:p>
    <w:p w14:paraId="14A6B5FC" w14:textId="6FB342D9" w:rsidR="002242F3" w:rsidRPr="005E3B44" w:rsidRDefault="002242F3" w:rsidP="002242F3">
      <w:pPr>
        <w:pStyle w:val="BSnoteslist2"/>
        <w:widowControl w:val="0"/>
        <w:numPr>
          <w:ilvl w:val="0"/>
          <w:numId w:val="0"/>
        </w:numPr>
        <w:pBdr>
          <w:top w:val="nil"/>
          <w:left w:val="nil"/>
          <w:bottom w:val="nil"/>
          <w:right w:val="nil"/>
          <w:between w:val="nil"/>
          <w:bar w:val="nil"/>
        </w:pBdr>
        <w:ind w:left="426" w:hanging="426"/>
        <w:rPr>
          <w:rFonts w:asciiTheme="minorHAnsi" w:hAnsiTheme="minorHAnsi" w:cstheme="minorHAnsi"/>
          <w:szCs w:val="18"/>
          <w:bdr w:val="nil"/>
        </w:rPr>
      </w:pPr>
      <w:r w:rsidRPr="005E3B44">
        <w:rPr>
          <w:rFonts w:asciiTheme="minorHAnsi" w:hAnsiTheme="minorHAnsi" w:cstheme="minorHAnsi"/>
          <w:szCs w:val="18"/>
          <w:bdr w:val="nil"/>
        </w:rPr>
        <w:t>g.       The 2021-22 target is based on an estimated population of 448,621 estimated according to the most recent population projections for the Australian Capital Territory (ACT) by ACT Treasury (ACT Population Projects 2018</w:t>
      </w:r>
      <w:r w:rsidR="008C695C">
        <w:rPr>
          <w:rFonts w:asciiTheme="minorHAnsi" w:hAnsiTheme="minorHAnsi" w:cstheme="minorHAnsi"/>
          <w:szCs w:val="18"/>
          <w:bdr w:val="nil"/>
        </w:rPr>
        <w:noBreakHyphen/>
      </w:r>
      <w:r w:rsidRPr="005E3B44">
        <w:rPr>
          <w:rFonts w:asciiTheme="minorHAnsi" w:hAnsiTheme="minorHAnsi" w:cstheme="minorHAnsi"/>
          <w:bdr w:val="nil"/>
        </w:rPr>
        <w:t xml:space="preserve"> 2058.</w:t>
      </w:r>
    </w:p>
    <w:p w14:paraId="5AA03579" w14:textId="77777777" w:rsidR="002242F3" w:rsidRPr="005E3B44" w:rsidRDefault="002242F3" w:rsidP="002242F3">
      <w:pPr>
        <w:pStyle w:val="BSnoteslist2"/>
        <w:widowControl w:val="0"/>
        <w:numPr>
          <w:ilvl w:val="0"/>
          <w:numId w:val="0"/>
        </w:numPr>
        <w:pBdr>
          <w:top w:val="nil"/>
          <w:left w:val="nil"/>
          <w:bottom w:val="nil"/>
          <w:right w:val="nil"/>
          <w:between w:val="nil"/>
          <w:bar w:val="nil"/>
        </w:pBdr>
        <w:ind w:left="786" w:hanging="360"/>
        <w:rPr>
          <w:rFonts w:asciiTheme="minorHAnsi" w:hAnsiTheme="minorHAnsi" w:cstheme="minorHAnsi"/>
          <w:bdr w:val="nil"/>
        </w:rPr>
      </w:pPr>
    </w:p>
    <w:p w14:paraId="4F30543F" w14:textId="77777777" w:rsidR="002242F3" w:rsidRPr="005E3B44" w:rsidRDefault="002242F3" w:rsidP="002242F3">
      <w:pPr>
        <w:pStyle w:val="BSnoteslist2"/>
        <w:widowControl w:val="0"/>
        <w:numPr>
          <w:ilvl w:val="0"/>
          <w:numId w:val="0"/>
        </w:numPr>
        <w:pBdr>
          <w:top w:val="nil"/>
          <w:left w:val="nil"/>
          <w:bottom w:val="nil"/>
          <w:right w:val="nil"/>
          <w:between w:val="nil"/>
          <w:bar w:val="nil"/>
        </w:pBdr>
        <w:rPr>
          <w:rFonts w:asciiTheme="minorHAnsi" w:hAnsiTheme="minorHAnsi" w:cstheme="minorHAnsi"/>
          <w:b/>
          <w:bCs/>
          <w:bdr w:val="nil"/>
        </w:rPr>
      </w:pPr>
      <w:r w:rsidRPr="005E3B44">
        <w:rPr>
          <w:rFonts w:asciiTheme="minorHAnsi" w:hAnsiTheme="minorHAnsi" w:cstheme="minorHAnsi"/>
          <w:b/>
          <w:bCs/>
          <w:bdr w:val="nil"/>
        </w:rPr>
        <w:t>Notes:</w:t>
      </w:r>
    </w:p>
    <w:p w14:paraId="0C1CE74E" w14:textId="77777777" w:rsidR="002242F3" w:rsidRPr="005E3B44" w:rsidRDefault="002242F3" w:rsidP="002242F3">
      <w:pPr>
        <w:pStyle w:val="BSnoteslist2"/>
        <w:widowControl w:val="0"/>
        <w:numPr>
          <w:ilvl w:val="0"/>
          <w:numId w:val="41"/>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The higher results for percentage of staff with accredited AIIMS training compared to the target is a result of a focused effort ensuring new staff members were trained in AIIMS as part of their induction process when joining the ESA.</w:t>
      </w:r>
    </w:p>
    <w:p w14:paraId="4BE25CD3" w14:textId="77777777" w:rsidR="002242F3" w:rsidRPr="005E3B44" w:rsidRDefault="002242F3" w:rsidP="002242F3">
      <w:pPr>
        <w:pStyle w:val="BSnoteslist2"/>
        <w:widowControl w:val="0"/>
        <w:numPr>
          <w:ilvl w:val="0"/>
          <w:numId w:val="41"/>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bdr w:val="nil"/>
        </w:rPr>
        <w:t>The slower response time compared to the target is due to an overall increase in demand for service.</w:t>
      </w:r>
    </w:p>
    <w:p w14:paraId="460FDB0D" w14:textId="77777777" w:rsidR="002242F3" w:rsidRPr="005E3B44" w:rsidRDefault="002242F3" w:rsidP="002242F3">
      <w:pPr>
        <w:pStyle w:val="Heading2"/>
        <w:pageBreakBefore/>
        <w:pBdr>
          <w:top w:val="nil"/>
          <w:left w:val="nil"/>
          <w:bottom w:val="nil"/>
          <w:right w:val="nil"/>
          <w:between w:val="nil"/>
          <w:bar w:val="nil"/>
        </w:pBdr>
        <w:rPr>
          <w:rFonts w:asciiTheme="minorHAnsi" w:hAnsiTheme="minorHAnsi" w:cstheme="minorHAnsi"/>
          <w:bdr w:val="nil"/>
        </w:rPr>
      </w:pPr>
      <w:bookmarkStart w:id="22" w:name="_Toc452467801"/>
      <w:r w:rsidRPr="005E3B44">
        <w:rPr>
          <w:rFonts w:asciiTheme="minorHAnsi" w:hAnsiTheme="minorHAnsi" w:cstheme="minorHAnsi"/>
          <w:bdr w:val="nil"/>
        </w:rPr>
        <w:lastRenderedPageBreak/>
        <w:t>Changes to Appropriation</w:t>
      </w:r>
      <w:bookmarkEnd w:id="22"/>
    </w:p>
    <w:p w14:paraId="695357BD" w14:textId="2B250ECE" w:rsidR="002242F3" w:rsidRPr="005E3B44" w:rsidRDefault="002242F3" w:rsidP="004E16A9">
      <w:pPr>
        <w:pStyle w:val="Caption"/>
        <w:pBdr>
          <w:top w:val="nil"/>
          <w:left w:val="nil"/>
          <w:bottom w:val="nil"/>
          <w:right w:val="nil"/>
          <w:between w:val="nil"/>
          <w:bar w:val="nil"/>
        </w:pBdr>
        <w:spacing w:before="0" w:after="0"/>
        <w:rPr>
          <w:rFonts w:asciiTheme="minorHAnsi" w:hAnsiTheme="minorHAnsi" w:cstheme="minorHAnsi"/>
          <w:bdr w:val="nil"/>
        </w:rPr>
      </w:pPr>
      <w:r w:rsidRPr="005E3B44">
        <w:rPr>
          <w:rFonts w:asciiTheme="minorHAnsi" w:hAnsiTheme="minorHAnsi" w:cstheme="minorHAnsi"/>
          <w:bdr w:val="nil"/>
        </w:rPr>
        <w:t>Table 2</w:t>
      </w:r>
      <w:r w:rsidR="00D635C7">
        <w:rPr>
          <w:rFonts w:asciiTheme="minorHAnsi" w:hAnsiTheme="minorHAnsi" w:cstheme="minorHAnsi"/>
          <w:bdr w:val="nil"/>
        </w:rPr>
        <w:t>4</w:t>
      </w:r>
      <w:r w:rsidRPr="005E3B44">
        <w:rPr>
          <w:rFonts w:asciiTheme="minorHAnsi" w:hAnsiTheme="minorHAnsi" w:cstheme="minorHAnsi"/>
          <w:bdr w:val="nil"/>
        </w:rPr>
        <w:t>: Changes to appropriation –</w:t>
      </w:r>
      <w:r w:rsidRPr="005E3B44">
        <w:rPr>
          <w:rFonts w:asciiTheme="minorHAnsi" w:hAnsiTheme="minorHAnsi" w:cstheme="minorHAnsi"/>
          <w:szCs w:val="20"/>
          <w:bdr w:val="nil"/>
        </w:rPr>
        <w:t xml:space="preserve"> </w:t>
      </w:r>
      <w:r w:rsidRPr="005E3B44">
        <w:rPr>
          <w:rFonts w:asciiTheme="minorHAnsi" w:hAnsiTheme="minorHAnsi" w:cstheme="minorHAnsi"/>
          <w:bdr w:val="nil"/>
        </w:rPr>
        <w:t>Controlled Recurrent Payments</w:t>
      </w:r>
    </w:p>
    <w:p w14:paraId="3D59DB95" w14:textId="77777777" w:rsidR="002242F3" w:rsidRPr="005E3B44" w:rsidRDefault="002242F3" w:rsidP="002242F3">
      <w:pPr>
        <w:pStyle w:val="Normal1"/>
        <w:rPr>
          <w:rFonts w:asciiTheme="minorHAnsi" w:hAnsiTheme="minorHAnsi" w:cstheme="minorHAnsi"/>
        </w:rPr>
      </w:pPr>
    </w:p>
    <w:tbl>
      <w:tblPr>
        <w:tblStyle w:val="CDMRange1"/>
        <w:tblW w:w="10050" w:type="dxa"/>
        <w:tblLayout w:type="fixed"/>
        <w:tblLook w:val="0600" w:firstRow="0" w:lastRow="0" w:firstColumn="0" w:lastColumn="0" w:noHBand="1" w:noVBand="1"/>
      </w:tblPr>
      <w:tblGrid>
        <w:gridCol w:w="4800"/>
        <w:gridCol w:w="1110"/>
        <w:gridCol w:w="1035"/>
        <w:gridCol w:w="1035"/>
        <w:gridCol w:w="1035"/>
        <w:gridCol w:w="1035"/>
      </w:tblGrid>
      <w:tr w:rsidR="002242F3" w:rsidRPr="005E3B44" w14:paraId="12733B42" w14:textId="77777777" w:rsidTr="005E3B44">
        <w:trPr>
          <w:trHeight w:val="27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3B49A883" w14:textId="77777777" w:rsidR="002242F3" w:rsidRPr="005E3B44" w:rsidRDefault="002242F3" w:rsidP="005E3B44">
            <w:pPr>
              <w:pStyle w:val="Normal1"/>
              <w:rPr>
                <w:rFonts w:asciiTheme="minorHAnsi" w:eastAsia="Calibri" w:hAnsiTheme="minorHAnsi" w:cstheme="minorHAnsi"/>
                <w:color w:val="000000"/>
                <w:sz w:val="18"/>
              </w:rPr>
            </w:pPr>
          </w:p>
        </w:tc>
        <w:tc>
          <w:tcPr>
            <w:tcW w:w="111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3D28B13"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w:t>
            </w:r>
          </w:p>
          <w:p w14:paraId="0F2E1772"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6462516"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p w14:paraId="7C09B16D" w14:textId="77777777" w:rsidR="002242F3" w:rsidRPr="005E3B44" w:rsidRDefault="002242F3" w:rsidP="005E3B44">
            <w:pPr>
              <w:pStyle w:val="Normal1"/>
              <w:jc w:val="right"/>
              <w:rPr>
                <w:rFonts w:asciiTheme="minorHAnsi" w:eastAsia="Calibri" w:hAnsiTheme="minorHAnsi" w:cstheme="minorHAnsi"/>
                <w:b/>
                <w:color w:val="000000"/>
                <w:sz w:val="18"/>
              </w:rPr>
            </w:pPr>
          </w:p>
          <w:p w14:paraId="1AE8AD4B"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B4CD21D"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 Estimate</w:t>
            </w:r>
          </w:p>
          <w:p w14:paraId="7D258164" w14:textId="77777777" w:rsidR="002242F3" w:rsidRPr="005E3B44" w:rsidRDefault="002242F3" w:rsidP="005E3B44">
            <w:pPr>
              <w:pStyle w:val="Normal1"/>
              <w:jc w:val="right"/>
              <w:rPr>
                <w:rFonts w:asciiTheme="minorHAnsi" w:eastAsia="Calibri" w:hAnsiTheme="minorHAnsi" w:cstheme="minorHAnsi"/>
                <w:b/>
                <w:color w:val="000000"/>
                <w:sz w:val="18"/>
              </w:rPr>
            </w:pPr>
          </w:p>
          <w:p w14:paraId="22E1D809"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D298ABD"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 Estimate</w:t>
            </w:r>
          </w:p>
          <w:p w14:paraId="4DBC5AB6" w14:textId="77777777" w:rsidR="002242F3" w:rsidRPr="005E3B44" w:rsidRDefault="002242F3" w:rsidP="005E3B44">
            <w:pPr>
              <w:pStyle w:val="Normal1"/>
              <w:jc w:val="right"/>
              <w:rPr>
                <w:rFonts w:asciiTheme="minorHAnsi" w:eastAsia="Calibri" w:hAnsiTheme="minorHAnsi" w:cstheme="minorHAnsi"/>
                <w:b/>
                <w:color w:val="000000"/>
                <w:sz w:val="18"/>
              </w:rPr>
            </w:pPr>
          </w:p>
          <w:p w14:paraId="4DF0E117"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CF81B8E"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 Estimate</w:t>
            </w:r>
          </w:p>
          <w:p w14:paraId="4545D527" w14:textId="77777777" w:rsidR="002242F3" w:rsidRPr="005E3B44" w:rsidRDefault="002242F3" w:rsidP="005E3B44">
            <w:pPr>
              <w:pStyle w:val="Normal1"/>
              <w:jc w:val="right"/>
              <w:rPr>
                <w:rFonts w:asciiTheme="minorHAnsi" w:eastAsia="Calibri" w:hAnsiTheme="minorHAnsi" w:cstheme="minorHAnsi"/>
                <w:b/>
                <w:color w:val="000000"/>
                <w:sz w:val="18"/>
              </w:rPr>
            </w:pPr>
          </w:p>
          <w:p w14:paraId="230F0659"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78A6C30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9B50BEB" w14:textId="77777777" w:rsidR="002242F3" w:rsidRPr="005E3B44" w:rsidRDefault="002242F3" w:rsidP="005E3B44">
            <w:pPr>
              <w:pStyle w:val="Normal1"/>
              <w:rPr>
                <w:rFonts w:asciiTheme="minorHAnsi" w:eastAsia="Calibri" w:hAnsiTheme="minorHAnsi" w:cstheme="minorHAnsi"/>
                <w:color w:val="000000"/>
                <w:sz w:val="18"/>
              </w:rPr>
            </w:pPr>
          </w:p>
        </w:tc>
        <w:tc>
          <w:tcPr>
            <w:tcW w:w="111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197385F"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15A73F9"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61FDAAC"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F14A958"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6B13E10"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31F98D9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309415EB" w14:textId="77777777" w:rsidR="002242F3" w:rsidRPr="005E3B44" w:rsidRDefault="002242F3" w:rsidP="005E3B44">
            <w:pPr>
              <w:pStyle w:val="Normal1"/>
              <w:rPr>
                <w:rFonts w:asciiTheme="minorHAnsi" w:eastAsia="Calibri" w:hAnsiTheme="minorHAnsi" w:cstheme="minorHAns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3C19AB51"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CE1F30"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18F4954"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0FD1400"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7F520D7"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0AEF28C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40" w:type="dxa"/>
              <w:right w:w="40" w:type="dxa"/>
            </w:tcMar>
            <w:vAlign w:val="bottom"/>
          </w:tcPr>
          <w:p w14:paraId="4DBA414F" w14:textId="77777777" w:rsidR="002242F3" w:rsidRPr="005E3B44" w:rsidRDefault="002242F3" w:rsidP="005E3B44">
            <w:pPr>
              <w:pStyle w:val="Normal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Budget</w:t>
            </w:r>
          </w:p>
        </w:tc>
        <w:tc>
          <w:tcPr>
            <w:tcW w:w="1110" w:type="dxa"/>
            <w:tcBorders>
              <w:top w:val="nil"/>
              <w:left w:val="nil"/>
              <w:bottom w:val="nil"/>
              <w:right w:val="nil"/>
              <w:tl2br w:val="nil"/>
              <w:tr2bl w:val="nil"/>
            </w:tcBorders>
            <w:shd w:val="clear" w:color="auto" w:fill="auto"/>
            <w:noWrap/>
            <w:tcMar>
              <w:left w:w="40" w:type="dxa"/>
              <w:right w:w="100" w:type="dxa"/>
            </w:tcMar>
            <w:vAlign w:val="bottom"/>
          </w:tcPr>
          <w:p w14:paraId="7D6850E8"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359,022</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25F4D2FD"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359,972</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3C4EED61"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366,268</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3AF5884B"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375,645</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787A67DB"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364,808</w:t>
            </w:r>
          </w:p>
        </w:tc>
      </w:tr>
      <w:tr w:rsidR="002242F3" w:rsidRPr="005E3B44" w14:paraId="6676FC1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13FB590B" w14:textId="77777777" w:rsidR="002242F3" w:rsidRPr="005E3B44" w:rsidRDefault="002242F3" w:rsidP="005E3B44">
            <w:pPr>
              <w:pStyle w:val="Normal1"/>
              <w:rPr>
                <w:rFonts w:asciiTheme="minorHAnsi" w:eastAsia="Calibri" w:hAnsiTheme="minorHAnsi" w:cstheme="minorHAns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tcPr>
          <w:p w14:paraId="2C93C82C"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C731D45"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736BF61"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A58A182"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538FE0D"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68B155C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vAlign w:val="bottom"/>
          </w:tcPr>
          <w:p w14:paraId="7DB196C7" w14:textId="77777777" w:rsidR="002242F3" w:rsidRPr="00C36E53" w:rsidRDefault="002242F3" w:rsidP="005E3B44">
            <w:pPr>
              <w:pStyle w:val="Normal1"/>
              <w:rPr>
                <w:rFonts w:asciiTheme="minorHAnsi" w:eastAsia="Calibri" w:hAnsiTheme="minorHAnsi" w:cstheme="minorHAnsi"/>
                <w:b/>
                <w:color w:val="000000"/>
                <w:sz w:val="18"/>
                <w:szCs w:val="18"/>
              </w:rPr>
            </w:pPr>
            <w:r w:rsidRPr="00C36E53">
              <w:rPr>
                <w:rFonts w:asciiTheme="minorHAnsi" w:eastAsia="Calibri" w:hAnsiTheme="minorHAnsi" w:cstheme="minorHAnsi"/>
                <w:b/>
                <w:color w:val="000000"/>
                <w:sz w:val="18"/>
                <w:szCs w:val="18"/>
              </w:rPr>
              <w:t>2021-22 Budget Policy Decisions</w:t>
            </w:r>
          </w:p>
        </w:tc>
        <w:tc>
          <w:tcPr>
            <w:tcW w:w="1110" w:type="dxa"/>
            <w:tcBorders>
              <w:top w:val="nil"/>
              <w:left w:val="nil"/>
              <w:bottom w:val="nil"/>
              <w:right w:val="nil"/>
              <w:tl2br w:val="nil"/>
              <w:tr2bl w:val="nil"/>
            </w:tcBorders>
            <w:shd w:val="clear" w:color="auto" w:fill="auto"/>
            <w:noWrap/>
            <w:tcMar>
              <w:left w:w="0" w:type="dxa"/>
              <w:right w:w="0" w:type="dxa"/>
            </w:tcMar>
          </w:tcPr>
          <w:p w14:paraId="20F258BD"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C431BA9"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588E370"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F89E646"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853FA2D"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3E3BCFC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635A848"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support for vulnerable witnesses</w:t>
            </w:r>
          </w:p>
        </w:tc>
        <w:tc>
          <w:tcPr>
            <w:tcW w:w="1110" w:type="dxa"/>
            <w:tcBorders>
              <w:top w:val="nil"/>
              <w:left w:val="nil"/>
              <w:bottom w:val="nil"/>
              <w:right w:val="nil"/>
              <w:tl2br w:val="nil"/>
              <w:tr2bl w:val="nil"/>
            </w:tcBorders>
            <w:shd w:val="clear" w:color="auto" w:fill="auto"/>
            <w:noWrap/>
            <w:tcMar>
              <w:left w:w="40" w:type="dxa"/>
              <w:right w:w="100" w:type="dxa"/>
            </w:tcMar>
          </w:tcPr>
          <w:p w14:paraId="0385DA4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114977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1,545</w:t>
            </w:r>
          </w:p>
        </w:tc>
        <w:tc>
          <w:tcPr>
            <w:tcW w:w="1035" w:type="dxa"/>
            <w:tcBorders>
              <w:top w:val="nil"/>
              <w:left w:val="nil"/>
              <w:bottom w:val="nil"/>
              <w:right w:val="nil"/>
              <w:tl2br w:val="nil"/>
              <w:tr2bl w:val="nil"/>
            </w:tcBorders>
            <w:shd w:val="clear" w:color="auto" w:fill="auto"/>
            <w:noWrap/>
            <w:tcMar>
              <w:left w:w="40" w:type="dxa"/>
              <w:right w:w="100" w:type="dxa"/>
            </w:tcMar>
          </w:tcPr>
          <w:p w14:paraId="4E035B6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1,930</w:t>
            </w:r>
          </w:p>
        </w:tc>
        <w:tc>
          <w:tcPr>
            <w:tcW w:w="1035" w:type="dxa"/>
            <w:tcBorders>
              <w:top w:val="nil"/>
              <w:left w:val="nil"/>
              <w:bottom w:val="nil"/>
              <w:right w:val="nil"/>
              <w:tl2br w:val="nil"/>
              <w:tr2bl w:val="nil"/>
            </w:tcBorders>
            <w:shd w:val="clear" w:color="auto" w:fill="auto"/>
            <w:noWrap/>
            <w:tcMar>
              <w:left w:w="40" w:type="dxa"/>
              <w:right w:w="100" w:type="dxa"/>
            </w:tcMar>
          </w:tcPr>
          <w:p w14:paraId="71D5D6C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39D8D2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0FFC15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179EE641"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Redress Scheme — continuation</w:t>
            </w:r>
          </w:p>
        </w:tc>
        <w:tc>
          <w:tcPr>
            <w:tcW w:w="1110" w:type="dxa"/>
            <w:tcBorders>
              <w:top w:val="nil"/>
              <w:left w:val="nil"/>
              <w:bottom w:val="nil"/>
              <w:right w:val="nil"/>
              <w:tl2br w:val="nil"/>
              <w:tr2bl w:val="nil"/>
            </w:tcBorders>
            <w:shd w:val="clear" w:color="auto" w:fill="auto"/>
            <w:noWrap/>
            <w:tcMar>
              <w:left w:w="40" w:type="dxa"/>
              <w:right w:w="100" w:type="dxa"/>
            </w:tcMar>
          </w:tcPr>
          <w:p w14:paraId="45F400B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CCD242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447</w:t>
            </w:r>
          </w:p>
        </w:tc>
        <w:tc>
          <w:tcPr>
            <w:tcW w:w="1035" w:type="dxa"/>
            <w:tcBorders>
              <w:top w:val="nil"/>
              <w:left w:val="nil"/>
              <w:bottom w:val="nil"/>
              <w:right w:val="nil"/>
              <w:tl2br w:val="nil"/>
              <w:tr2bl w:val="nil"/>
            </w:tcBorders>
            <w:shd w:val="clear" w:color="auto" w:fill="auto"/>
            <w:noWrap/>
            <w:tcMar>
              <w:left w:w="40" w:type="dxa"/>
              <w:right w:w="100" w:type="dxa"/>
            </w:tcMar>
          </w:tcPr>
          <w:p w14:paraId="24F1EA8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453</w:t>
            </w:r>
          </w:p>
        </w:tc>
        <w:tc>
          <w:tcPr>
            <w:tcW w:w="1035" w:type="dxa"/>
            <w:tcBorders>
              <w:top w:val="nil"/>
              <w:left w:val="nil"/>
              <w:bottom w:val="nil"/>
              <w:right w:val="nil"/>
              <w:tl2br w:val="nil"/>
              <w:tr2bl w:val="nil"/>
            </w:tcBorders>
            <w:shd w:val="clear" w:color="auto" w:fill="auto"/>
            <w:noWrap/>
            <w:tcMar>
              <w:left w:w="40" w:type="dxa"/>
              <w:right w:w="100" w:type="dxa"/>
            </w:tcMar>
          </w:tcPr>
          <w:p w14:paraId="6FBF138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457</w:t>
            </w:r>
          </w:p>
        </w:tc>
        <w:tc>
          <w:tcPr>
            <w:tcW w:w="1035" w:type="dxa"/>
            <w:tcBorders>
              <w:top w:val="nil"/>
              <w:left w:val="nil"/>
              <w:bottom w:val="nil"/>
              <w:right w:val="nil"/>
              <w:tl2br w:val="nil"/>
              <w:tr2bl w:val="nil"/>
            </w:tcBorders>
            <w:shd w:val="clear" w:color="auto" w:fill="auto"/>
            <w:noWrap/>
            <w:tcMar>
              <w:left w:w="40" w:type="dxa"/>
              <w:right w:w="100" w:type="dxa"/>
            </w:tcMar>
          </w:tcPr>
          <w:p w14:paraId="105C539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464</w:t>
            </w:r>
          </w:p>
        </w:tc>
      </w:tr>
      <w:tr w:rsidR="002242F3" w:rsidRPr="005E3B44" w14:paraId="7A8422C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2EA804C3"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Community Sector Partnerships — Community Legal Assistance </w:t>
            </w:r>
          </w:p>
          <w:p w14:paraId="7ECB797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Sector Support</w:t>
            </w:r>
          </w:p>
        </w:tc>
        <w:tc>
          <w:tcPr>
            <w:tcW w:w="1110" w:type="dxa"/>
            <w:tcBorders>
              <w:top w:val="nil"/>
              <w:left w:val="nil"/>
              <w:bottom w:val="nil"/>
              <w:right w:val="nil"/>
              <w:tl2br w:val="nil"/>
              <w:tr2bl w:val="nil"/>
            </w:tcBorders>
            <w:shd w:val="clear" w:color="auto" w:fill="auto"/>
            <w:noWrap/>
            <w:tcMar>
              <w:left w:w="40" w:type="dxa"/>
              <w:right w:w="100" w:type="dxa"/>
            </w:tcMar>
          </w:tcPr>
          <w:p w14:paraId="5F00A9A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778F4E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1,199</w:t>
            </w:r>
          </w:p>
        </w:tc>
        <w:tc>
          <w:tcPr>
            <w:tcW w:w="1035" w:type="dxa"/>
            <w:tcBorders>
              <w:top w:val="nil"/>
              <w:left w:val="nil"/>
              <w:bottom w:val="nil"/>
              <w:right w:val="nil"/>
              <w:tl2br w:val="nil"/>
              <w:tr2bl w:val="nil"/>
            </w:tcBorders>
            <w:shd w:val="clear" w:color="auto" w:fill="auto"/>
            <w:noWrap/>
            <w:tcMar>
              <w:left w:w="40" w:type="dxa"/>
              <w:right w:w="100" w:type="dxa"/>
            </w:tcMar>
          </w:tcPr>
          <w:p w14:paraId="3657690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502</w:t>
            </w:r>
          </w:p>
        </w:tc>
        <w:tc>
          <w:tcPr>
            <w:tcW w:w="1035" w:type="dxa"/>
            <w:tcBorders>
              <w:top w:val="nil"/>
              <w:left w:val="nil"/>
              <w:bottom w:val="nil"/>
              <w:right w:val="nil"/>
              <w:tl2br w:val="nil"/>
              <w:tr2bl w:val="nil"/>
            </w:tcBorders>
            <w:shd w:val="clear" w:color="auto" w:fill="auto"/>
            <w:noWrap/>
            <w:tcMar>
              <w:left w:w="40" w:type="dxa"/>
              <w:right w:w="100" w:type="dxa"/>
            </w:tcMar>
          </w:tcPr>
          <w:p w14:paraId="5266079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157</w:t>
            </w:r>
          </w:p>
        </w:tc>
        <w:tc>
          <w:tcPr>
            <w:tcW w:w="1035" w:type="dxa"/>
            <w:tcBorders>
              <w:top w:val="nil"/>
              <w:left w:val="nil"/>
              <w:bottom w:val="nil"/>
              <w:right w:val="nil"/>
              <w:tl2br w:val="nil"/>
              <w:tr2bl w:val="nil"/>
            </w:tcBorders>
            <w:shd w:val="clear" w:color="auto" w:fill="auto"/>
            <w:noWrap/>
            <w:tcMar>
              <w:left w:w="40" w:type="dxa"/>
              <w:right w:w="100" w:type="dxa"/>
            </w:tcMar>
          </w:tcPr>
          <w:p w14:paraId="2F3E0CF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160</w:t>
            </w:r>
          </w:p>
        </w:tc>
      </w:tr>
      <w:tr w:rsidR="002242F3" w:rsidRPr="005E3B44" w14:paraId="35D181D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A378F07"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Dedicated Coroners Court for the ACT</w:t>
            </w:r>
          </w:p>
        </w:tc>
        <w:tc>
          <w:tcPr>
            <w:tcW w:w="1110" w:type="dxa"/>
            <w:tcBorders>
              <w:top w:val="nil"/>
              <w:left w:val="nil"/>
              <w:bottom w:val="nil"/>
              <w:right w:val="nil"/>
              <w:tl2br w:val="nil"/>
              <w:tr2bl w:val="nil"/>
            </w:tcBorders>
            <w:shd w:val="clear" w:color="auto" w:fill="auto"/>
            <w:noWrap/>
            <w:tcMar>
              <w:left w:w="40" w:type="dxa"/>
              <w:right w:w="100" w:type="dxa"/>
            </w:tcMar>
          </w:tcPr>
          <w:p w14:paraId="0076CBE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878ED8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1,043</w:t>
            </w:r>
          </w:p>
        </w:tc>
        <w:tc>
          <w:tcPr>
            <w:tcW w:w="1035" w:type="dxa"/>
            <w:tcBorders>
              <w:top w:val="nil"/>
              <w:left w:val="nil"/>
              <w:bottom w:val="nil"/>
              <w:right w:val="nil"/>
              <w:tl2br w:val="nil"/>
              <w:tr2bl w:val="nil"/>
            </w:tcBorders>
            <w:shd w:val="clear" w:color="auto" w:fill="auto"/>
            <w:noWrap/>
            <w:tcMar>
              <w:left w:w="40" w:type="dxa"/>
              <w:right w:w="100" w:type="dxa"/>
            </w:tcMar>
          </w:tcPr>
          <w:p w14:paraId="023E208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888</w:t>
            </w:r>
          </w:p>
        </w:tc>
        <w:tc>
          <w:tcPr>
            <w:tcW w:w="1035" w:type="dxa"/>
            <w:tcBorders>
              <w:top w:val="nil"/>
              <w:left w:val="nil"/>
              <w:bottom w:val="nil"/>
              <w:right w:val="nil"/>
              <w:tl2br w:val="nil"/>
              <w:tr2bl w:val="nil"/>
            </w:tcBorders>
            <w:shd w:val="clear" w:color="auto" w:fill="auto"/>
            <w:noWrap/>
            <w:tcMar>
              <w:left w:w="40" w:type="dxa"/>
              <w:right w:w="100" w:type="dxa"/>
            </w:tcMar>
          </w:tcPr>
          <w:p w14:paraId="2471B17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903</w:t>
            </w:r>
          </w:p>
        </w:tc>
        <w:tc>
          <w:tcPr>
            <w:tcW w:w="1035" w:type="dxa"/>
            <w:tcBorders>
              <w:top w:val="nil"/>
              <w:left w:val="nil"/>
              <w:bottom w:val="nil"/>
              <w:right w:val="nil"/>
              <w:tl2br w:val="nil"/>
              <w:tr2bl w:val="nil"/>
            </w:tcBorders>
            <w:shd w:val="clear" w:color="auto" w:fill="auto"/>
            <w:noWrap/>
            <w:tcMar>
              <w:left w:w="40" w:type="dxa"/>
              <w:right w:w="100" w:type="dxa"/>
            </w:tcMar>
          </w:tcPr>
          <w:p w14:paraId="38B2938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918</w:t>
            </w:r>
          </w:p>
        </w:tc>
      </w:tr>
      <w:tr w:rsidR="002242F3" w:rsidRPr="005E3B44" w14:paraId="6C1CE06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416F2E56"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Drug and Alcohol Court — more support</w:t>
            </w:r>
          </w:p>
        </w:tc>
        <w:tc>
          <w:tcPr>
            <w:tcW w:w="1110" w:type="dxa"/>
            <w:tcBorders>
              <w:top w:val="nil"/>
              <w:left w:val="nil"/>
              <w:bottom w:val="nil"/>
              <w:right w:val="nil"/>
              <w:tl2br w:val="nil"/>
              <w:tr2bl w:val="nil"/>
            </w:tcBorders>
            <w:shd w:val="clear" w:color="auto" w:fill="auto"/>
            <w:noWrap/>
            <w:tcMar>
              <w:left w:w="40" w:type="dxa"/>
              <w:right w:w="100" w:type="dxa"/>
            </w:tcMar>
          </w:tcPr>
          <w:p w14:paraId="61515E2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996C26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2,245</w:t>
            </w:r>
          </w:p>
        </w:tc>
        <w:tc>
          <w:tcPr>
            <w:tcW w:w="1035" w:type="dxa"/>
            <w:tcBorders>
              <w:top w:val="nil"/>
              <w:left w:val="nil"/>
              <w:bottom w:val="nil"/>
              <w:right w:val="nil"/>
              <w:tl2br w:val="nil"/>
              <w:tr2bl w:val="nil"/>
            </w:tcBorders>
            <w:shd w:val="clear" w:color="auto" w:fill="auto"/>
            <w:noWrap/>
            <w:tcMar>
              <w:left w:w="40" w:type="dxa"/>
              <w:right w:w="100" w:type="dxa"/>
            </w:tcMar>
          </w:tcPr>
          <w:p w14:paraId="77AC01D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2,205</w:t>
            </w:r>
          </w:p>
        </w:tc>
        <w:tc>
          <w:tcPr>
            <w:tcW w:w="1035" w:type="dxa"/>
            <w:tcBorders>
              <w:top w:val="nil"/>
              <w:left w:val="nil"/>
              <w:bottom w:val="nil"/>
              <w:right w:val="nil"/>
              <w:tl2br w:val="nil"/>
              <w:tr2bl w:val="nil"/>
            </w:tcBorders>
            <w:shd w:val="clear" w:color="auto" w:fill="auto"/>
            <w:noWrap/>
            <w:tcMar>
              <w:left w:w="40" w:type="dxa"/>
              <w:right w:w="100" w:type="dxa"/>
            </w:tcMar>
          </w:tcPr>
          <w:p w14:paraId="1CD07A7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4F5FDF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519D2C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2ADA5418"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Extension of temporary contract positions</w:t>
            </w:r>
          </w:p>
        </w:tc>
        <w:tc>
          <w:tcPr>
            <w:tcW w:w="1110" w:type="dxa"/>
            <w:tcBorders>
              <w:top w:val="nil"/>
              <w:left w:val="nil"/>
              <w:bottom w:val="nil"/>
              <w:right w:val="nil"/>
              <w:tl2br w:val="nil"/>
              <w:tr2bl w:val="nil"/>
            </w:tcBorders>
            <w:shd w:val="clear" w:color="auto" w:fill="auto"/>
            <w:noWrap/>
            <w:tcMar>
              <w:left w:w="40" w:type="dxa"/>
              <w:right w:w="100" w:type="dxa"/>
            </w:tcMar>
          </w:tcPr>
          <w:p w14:paraId="14D8F3D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210224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151</w:t>
            </w:r>
          </w:p>
        </w:tc>
        <w:tc>
          <w:tcPr>
            <w:tcW w:w="1035" w:type="dxa"/>
            <w:tcBorders>
              <w:top w:val="nil"/>
              <w:left w:val="nil"/>
              <w:bottom w:val="nil"/>
              <w:right w:val="nil"/>
              <w:tl2br w:val="nil"/>
              <w:tr2bl w:val="nil"/>
            </w:tcBorders>
            <w:shd w:val="clear" w:color="auto" w:fill="auto"/>
            <w:noWrap/>
            <w:tcMar>
              <w:left w:w="40" w:type="dxa"/>
              <w:right w:w="100" w:type="dxa"/>
            </w:tcMar>
          </w:tcPr>
          <w:p w14:paraId="1FFFD21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42B7D1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36AD92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79CA7C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AB746A7"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Human Rights Commission — increased support</w:t>
            </w:r>
          </w:p>
        </w:tc>
        <w:tc>
          <w:tcPr>
            <w:tcW w:w="1110" w:type="dxa"/>
            <w:tcBorders>
              <w:top w:val="nil"/>
              <w:left w:val="nil"/>
              <w:bottom w:val="nil"/>
              <w:right w:val="nil"/>
              <w:tl2br w:val="nil"/>
              <w:tr2bl w:val="nil"/>
            </w:tcBorders>
            <w:shd w:val="clear" w:color="auto" w:fill="auto"/>
            <w:noWrap/>
            <w:tcMar>
              <w:left w:w="40" w:type="dxa"/>
              <w:right w:w="100" w:type="dxa"/>
            </w:tcMar>
          </w:tcPr>
          <w:p w14:paraId="241E36E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62D2BA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w:t>
            </w:r>
          </w:p>
        </w:tc>
        <w:tc>
          <w:tcPr>
            <w:tcW w:w="1035" w:type="dxa"/>
            <w:tcBorders>
              <w:top w:val="nil"/>
              <w:left w:val="nil"/>
              <w:bottom w:val="nil"/>
              <w:right w:val="nil"/>
              <w:tl2br w:val="nil"/>
              <w:tr2bl w:val="nil"/>
            </w:tcBorders>
            <w:shd w:val="clear" w:color="auto" w:fill="auto"/>
            <w:noWrap/>
            <w:tcMar>
              <w:left w:w="40" w:type="dxa"/>
              <w:right w:w="100" w:type="dxa"/>
            </w:tcMar>
          </w:tcPr>
          <w:p w14:paraId="7DEFDF6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300</w:t>
            </w:r>
          </w:p>
        </w:tc>
        <w:tc>
          <w:tcPr>
            <w:tcW w:w="1035" w:type="dxa"/>
            <w:tcBorders>
              <w:top w:val="nil"/>
              <w:left w:val="nil"/>
              <w:bottom w:val="nil"/>
              <w:right w:val="nil"/>
              <w:tl2br w:val="nil"/>
              <w:tr2bl w:val="nil"/>
            </w:tcBorders>
            <w:shd w:val="clear" w:color="auto" w:fill="auto"/>
            <w:noWrap/>
            <w:tcMar>
              <w:left w:w="40" w:type="dxa"/>
              <w:right w:w="100" w:type="dxa"/>
            </w:tcMar>
          </w:tcPr>
          <w:p w14:paraId="7659A44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304</w:t>
            </w:r>
          </w:p>
        </w:tc>
        <w:tc>
          <w:tcPr>
            <w:tcW w:w="1035" w:type="dxa"/>
            <w:tcBorders>
              <w:top w:val="nil"/>
              <w:left w:val="nil"/>
              <w:bottom w:val="nil"/>
              <w:right w:val="nil"/>
              <w:tl2br w:val="nil"/>
              <w:tr2bl w:val="nil"/>
            </w:tcBorders>
            <w:shd w:val="clear" w:color="auto" w:fill="auto"/>
            <w:noWrap/>
            <w:tcMar>
              <w:left w:w="40" w:type="dxa"/>
              <w:right w:w="100" w:type="dxa"/>
            </w:tcMar>
          </w:tcPr>
          <w:p w14:paraId="67FFB3A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308</w:t>
            </w:r>
          </w:p>
        </w:tc>
      </w:tr>
      <w:tr w:rsidR="002242F3" w:rsidRPr="005E3B44" w14:paraId="184A91C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2FDD2C0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Implementing Legislative Agenda — Reforming the minimum age of criminal responsibility</w:t>
            </w:r>
          </w:p>
        </w:tc>
        <w:tc>
          <w:tcPr>
            <w:tcW w:w="1110" w:type="dxa"/>
            <w:tcBorders>
              <w:top w:val="nil"/>
              <w:left w:val="nil"/>
              <w:bottom w:val="nil"/>
              <w:right w:val="nil"/>
              <w:tl2br w:val="nil"/>
              <w:tr2bl w:val="nil"/>
            </w:tcBorders>
            <w:shd w:val="clear" w:color="auto" w:fill="auto"/>
            <w:noWrap/>
            <w:tcMar>
              <w:left w:w="40" w:type="dxa"/>
              <w:right w:w="100" w:type="dxa"/>
            </w:tcMar>
          </w:tcPr>
          <w:p w14:paraId="52EFAF6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028397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340</w:t>
            </w:r>
          </w:p>
        </w:tc>
        <w:tc>
          <w:tcPr>
            <w:tcW w:w="1035" w:type="dxa"/>
            <w:tcBorders>
              <w:top w:val="nil"/>
              <w:left w:val="nil"/>
              <w:bottom w:val="nil"/>
              <w:right w:val="nil"/>
              <w:tl2br w:val="nil"/>
              <w:tr2bl w:val="nil"/>
            </w:tcBorders>
            <w:shd w:val="clear" w:color="auto" w:fill="auto"/>
            <w:noWrap/>
            <w:tcMar>
              <w:left w:w="40" w:type="dxa"/>
              <w:right w:w="100" w:type="dxa"/>
            </w:tcMar>
          </w:tcPr>
          <w:p w14:paraId="32305AA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176</w:t>
            </w:r>
          </w:p>
        </w:tc>
        <w:tc>
          <w:tcPr>
            <w:tcW w:w="1035" w:type="dxa"/>
            <w:tcBorders>
              <w:top w:val="nil"/>
              <w:left w:val="nil"/>
              <w:bottom w:val="nil"/>
              <w:right w:val="nil"/>
              <w:tl2br w:val="nil"/>
              <w:tr2bl w:val="nil"/>
            </w:tcBorders>
            <w:shd w:val="clear" w:color="auto" w:fill="auto"/>
            <w:noWrap/>
            <w:tcMar>
              <w:left w:w="40" w:type="dxa"/>
              <w:right w:w="100" w:type="dxa"/>
            </w:tcMar>
          </w:tcPr>
          <w:p w14:paraId="0413624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6AE504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21ED9C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7FC66A8F"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Improving infrastructure and wellbeing at the Alexander Maconochie Centre</w:t>
            </w:r>
          </w:p>
        </w:tc>
        <w:tc>
          <w:tcPr>
            <w:tcW w:w="1110" w:type="dxa"/>
            <w:tcBorders>
              <w:top w:val="nil"/>
              <w:left w:val="nil"/>
              <w:bottom w:val="nil"/>
              <w:right w:val="nil"/>
              <w:tl2br w:val="nil"/>
              <w:tr2bl w:val="nil"/>
            </w:tcBorders>
            <w:shd w:val="clear" w:color="auto" w:fill="auto"/>
            <w:noWrap/>
            <w:tcMar>
              <w:left w:w="40" w:type="dxa"/>
              <w:right w:w="100" w:type="dxa"/>
            </w:tcMar>
          </w:tcPr>
          <w:p w14:paraId="79F2DAC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4C09ED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7,509</w:t>
            </w:r>
          </w:p>
        </w:tc>
        <w:tc>
          <w:tcPr>
            <w:tcW w:w="1035" w:type="dxa"/>
            <w:tcBorders>
              <w:top w:val="nil"/>
              <w:left w:val="nil"/>
              <w:bottom w:val="nil"/>
              <w:right w:val="nil"/>
              <w:tl2br w:val="nil"/>
              <w:tr2bl w:val="nil"/>
            </w:tcBorders>
            <w:shd w:val="clear" w:color="auto" w:fill="auto"/>
            <w:noWrap/>
            <w:tcMar>
              <w:left w:w="40" w:type="dxa"/>
              <w:right w:w="100" w:type="dxa"/>
            </w:tcMar>
          </w:tcPr>
          <w:p w14:paraId="1C9AC37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5,564</w:t>
            </w:r>
          </w:p>
        </w:tc>
        <w:tc>
          <w:tcPr>
            <w:tcW w:w="1035" w:type="dxa"/>
            <w:tcBorders>
              <w:top w:val="nil"/>
              <w:left w:val="nil"/>
              <w:bottom w:val="nil"/>
              <w:right w:val="nil"/>
              <w:tl2br w:val="nil"/>
              <w:tr2bl w:val="nil"/>
            </w:tcBorders>
            <w:shd w:val="clear" w:color="auto" w:fill="auto"/>
            <w:noWrap/>
            <w:tcMar>
              <w:left w:w="40" w:type="dxa"/>
              <w:right w:w="100" w:type="dxa"/>
            </w:tcMar>
          </w:tcPr>
          <w:p w14:paraId="7849CE4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3,415</w:t>
            </w:r>
          </w:p>
        </w:tc>
        <w:tc>
          <w:tcPr>
            <w:tcW w:w="1035" w:type="dxa"/>
            <w:tcBorders>
              <w:top w:val="nil"/>
              <w:left w:val="nil"/>
              <w:bottom w:val="nil"/>
              <w:right w:val="nil"/>
              <w:tl2br w:val="nil"/>
              <w:tr2bl w:val="nil"/>
            </w:tcBorders>
            <w:shd w:val="clear" w:color="auto" w:fill="auto"/>
            <w:noWrap/>
            <w:tcMar>
              <w:left w:w="40" w:type="dxa"/>
              <w:right w:w="100" w:type="dxa"/>
            </w:tcMar>
          </w:tcPr>
          <w:p w14:paraId="427C358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1B2CF9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6494AD28"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Improving probate system in the ACT</w:t>
            </w:r>
          </w:p>
        </w:tc>
        <w:tc>
          <w:tcPr>
            <w:tcW w:w="1110" w:type="dxa"/>
            <w:tcBorders>
              <w:top w:val="nil"/>
              <w:left w:val="nil"/>
              <w:bottom w:val="nil"/>
              <w:right w:val="nil"/>
              <w:tl2br w:val="nil"/>
              <w:tr2bl w:val="nil"/>
            </w:tcBorders>
            <w:shd w:val="clear" w:color="auto" w:fill="auto"/>
            <w:noWrap/>
            <w:tcMar>
              <w:left w:w="40" w:type="dxa"/>
              <w:right w:w="100" w:type="dxa"/>
            </w:tcMar>
          </w:tcPr>
          <w:p w14:paraId="36C3D4E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1CADDE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auto" w:fill="auto"/>
            <w:noWrap/>
            <w:tcMar>
              <w:left w:w="40" w:type="dxa"/>
              <w:right w:w="100" w:type="dxa"/>
            </w:tcMar>
          </w:tcPr>
          <w:p w14:paraId="2EAF03A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auto" w:fill="auto"/>
            <w:noWrap/>
            <w:tcMar>
              <w:left w:w="40" w:type="dxa"/>
              <w:right w:w="100" w:type="dxa"/>
            </w:tcMar>
          </w:tcPr>
          <w:p w14:paraId="0B2B6A9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auto" w:fill="auto"/>
            <w:noWrap/>
            <w:tcMar>
              <w:left w:w="40" w:type="dxa"/>
              <w:right w:w="100" w:type="dxa"/>
            </w:tcMar>
          </w:tcPr>
          <w:p w14:paraId="1BA41B2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w:t>
            </w:r>
          </w:p>
        </w:tc>
      </w:tr>
      <w:tr w:rsidR="002242F3" w:rsidRPr="005E3B44" w14:paraId="6C823B2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43D353BC"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Intensive Corrections Orders — Continuation</w:t>
            </w:r>
          </w:p>
        </w:tc>
        <w:tc>
          <w:tcPr>
            <w:tcW w:w="1110" w:type="dxa"/>
            <w:tcBorders>
              <w:top w:val="nil"/>
              <w:left w:val="nil"/>
              <w:bottom w:val="nil"/>
              <w:right w:val="nil"/>
              <w:tl2br w:val="nil"/>
              <w:tr2bl w:val="nil"/>
            </w:tcBorders>
            <w:shd w:val="clear" w:color="auto" w:fill="auto"/>
            <w:noWrap/>
            <w:tcMar>
              <w:left w:w="40" w:type="dxa"/>
              <w:right w:w="100" w:type="dxa"/>
            </w:tcMar>
          </w:tcPr>
          <w:p w14:paraId="1D4038C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3CE0C5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2,006</w:t>
            </w:r>
          </w:p>
        </w:tc>
        <w:tc>
          <w:tcPr>
            <w:tcW w:w="1035" w:type="dxa"/>
            <w:tcBorders>
              <w:top w:val="nil"/>
              <w:left w:val="nil"/>
              <w:bottom w:val="nil"/>
              <w:right w:val="nil"/>
              <w:tl2br w:val="nil"/>
              <w:tr2bl w:val="nil"/>
            </w:tcBorders>
            <w:shd w:val="clear" w:color="auto" w:fill="auto"/>
            <w:noWrap/>
            <w:tcMar>
              <w:left w:w="40" w:type="dxa"/>
              <w:right w:w="100" w:type="dxa"/>
            </w:tcMar>
          </w:tcPr>
          <w:p w14:paraId="52BC69B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2,037</w:t>
            </w:r>
          </w:p>
        </w:tc>
        <w:tc>
          <w:tcPr>
            <w:tcW w:w="1035" w:type="dxa"/>
            <w:tcBorders>
              <w:top w:val="nil"/>
              <w:left w:val="nil"/>
              <w:bottom w:val="nil"/>
              <w:right w:val="nil"/>
              <w:tl2br w:val="nil"/>
              <w:tr2bl w:val="nil"/>
            </w:tcBorders>
            <w:shd w:val="clear" w:color="auto" w:fill="auto"/>
            <w:noWrap/>
            <w:tcMar>
              <w:left w:w="40" w:type="dxa"/>
              <w:right w:w="100" w:type="dxa"/>
            </w:tcMar>
          </w:tcPr>
          <w:p w14:paraId="2130012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2,068</w:t>
            </w:r>
          </w:p>
        </w:tc>
        <w:tc>
          <w:tcPr>
            <w:tcW w:w="1035" w:type="dxa"/>
            <w:tcBorders>
              <w:top w:val="nil"/>
              <w:left w:val="nil"/>
              <w:bottom w:val="nil"/>
              <w:right w:val="nil"/>
              <w:tl2br w:val="nil"/>
              <w:tr2bl w:val="nil"/>
            </w:tcBorders>
            <w:shd w:val="clear" w:color="auto" w:fill="auto"/>
            <w:noWrap/>
            <w:tcMar>
              <w:left w:w="40" w:type="dxa"/>
              <w:right w:w="100" w:type="dxa"/>
            </w:tcMar>
          </w:tcPr>
          <w:p w14:paraId="49A8D1B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2,102</w:t>
            </w:r>
          </w:p>
        </w:tc>
      </w:tr>
      <w:tr w:rsidR="002242F3" w:rsidRPr="005E3B44" w14:paraId="4B48F7F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5B2574E1"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Investing in public health care — </w:t>
            </w:r>
            <w:proofErr w:type="spellStart"/>
            <w:r w:rsidRPr="005E3B44">
              <w:rPr>
                <w:rFonts w:asciiTheme="minorHAnsi" w:eastAsia="Calibri" w:hAnsiTheme="minorHAnsi" w:cstheme="minorHAnsi"/>
                <w:color w:val="000000"/>
                <w:sz w:val="18"/>
              </w:rPr>
              <w:t>Winnunga</w:t>
            </w:r>
            <w:proofErr w:type="spellEnd"/>
            <w:r w:rsidRPr="005E3B44">
              <w:rPr>
                <w:rFonts w:asciiTheme="minorHAnsi" w:eastAsia="Calibri" w:hAnsiTheme="minorHAnsi" w:cstheme="minorHAnsi"/>
                <w:color w:val="000000"/>
                <w:sz w:val="18"/>
              </w:rPr>
              <w:t xml:space="preserve"> Health services </w:t>
            </w:r>
            <w:proofErr w:type="gramStart"/>
            <w:r w:rsidRPr="005E3B44">
              <w:rPr>
                <w:rFonts w:asciiTheme="minorHAnsi" w:eastAsia="Calibri" w:hAnsiTheme="minorHAnsi" w:cstheme="minorHAnsi"/>
                <w:color w:val="000000"/>
                <w:sz w:val="18"/>
              </w:rPr>
              <w:t>for  Aboriginal</w:t>
            </w:r>
            <w:proofErr w:type="gramEnd"/>
            <w:r w:rsidRPr="005E3B44">
              <w:rPr>
                <w:rFonts w:asciiTheme="minorHAnsi" w:eastAsia="Calibri" w:hAnsiTheme="minorHAnsi" w:cstheme="minorHAnsi"/>
                <w:color w:val="000000"/>
                <w:sz w:val="18"/>
              </w:rPr>
              <w:t xml:space="preserve"> and Torres Strait Islander detainees at the AMC</w:t>
            </w:r>
          </w:p>
        </w:tc>
        <w:tc>
          <w:tcPr>
            <w:tcW w:w="1110" w:type="dxa"/>
            <w:tcBorders>
              <w:top w:val="nil"/>
              <w:left w:val="nil"/>
              <w:bottom w:val="nil"/>
              <w:right w:val="nil"/>
              <w:tl2br w:val="nil"/>
              <w:tr2bl w:val="nil"/>
            </w:tcBorders>
            <w:shd w:val="clear" w:color="auto" w:fill="auto"/>
            <w:noWrap/>
            <w:tcMar>
              <w:left w:w="40" w:type="dxa"/>
              <w:right w:w="100" w:type="dxa"/>
            </w:tcMar>
          </w:tcPr>
          <w:p w14:paraId="4701D0D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BB6115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838</w:t>
            </w:r>
          </w:p>
        </w:tc>
        <w:tc>
          <w:tcPr>
            <w:tcW w:w="1035" w:type="dxa"/>
            <w:tcBorders>
              <w:top w:val="nil"/>
              <w:left w:val="nil"/>
              <w:bottom w:val="nil"/>
              <w:right w:val="nil"/>
              <w:tl2br w:val="nil"/>
              <w:tr2bl w:val="nil"/>
            </w:tcBorders>
            <w:shd w:val="clear" w:color="auto" w:fill="auto"/>
            <w:noWrap/>
            <w:tcMar>
              <w:left w:w="40" w:type="dxa"/>
              <w:right w:w="100" w:type="dxa"/>
            </w:tcMar>
          </w:tcPr>
          <w:p w14:paraId="02C4F24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88F714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1FA52D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6B0877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495DB438"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Maintaining accountability and transparency of government</w:t>
            </w:r>
          </w:p>
        </w:tc>
        <w:tc>
          <w:tcPr>
            <w:tcW w:w="1110" w:type="dxa"/>
            <w:tcBorders>
              <w:top w:val="nil"/>
              <w:left w:val="nil"/>
              <w:bottom w:val="nil"/>
              <w:right w:val="nil"/>
              <w:tl2br w:val="nil"/>
              <w:tr2bl w:val="nil"/>
            </w:tcBorders>
            <w:shd w:val="clear" w:color="auto" w:fill="auto"/>
            <w:noWrap/>
            <w:tcMar>
              <w:left w:w="40" w:type="dxa"/>
              <w:right w:w="100" w:type="dxa"/>
            </w:tcMar>
          </w:tcPr>
          <w:p w14:paraId="2AD79AF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C61C32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135</w:t>
            </w:r>
          </w:p>
        </w:tc>
        <w:tc>
          <w:tcPr>
            <w:tcW w:w="1035" w:type="dxa"/>
            <w:tcBorders>
              <w:top w:val="nil"/>
              <w:left w:val="nil"/>
              <w:bottom w:val="nil"/>
              <w:right w:val="nil"/>
              <w:tl2br w:val="nil"/>
              <w:tr2bl w:val="nil"/>
            </w:tcBorders>
            <w:shd w:val="clear" w:color="auto" w:fill="auto"/>
            <w:noWrap/>
            <w:tcMar>
              <w:left w:w="40" w:type="dxa"/>
              <w:right w:w="100" w:type="dxa"/>
            </w:tcMar>
          </w:tcPr>
          <w:p w14:paraId="3D88E14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137</w:t>
            </w:r>
          </w:p>
        </w:tc>
        <w:tc>
          <w:tcPr>
            <w:tcW w:w="1035" w:type="dxa"/>
            <w:tcBorders>
              <w:top w:val="nil"/>
              <w:left w:val="nil"/>
              <w:bottom w:val="nil"/>
              <w:right w:val="nil"/>
              <w:tl2br w:val="nil"/>
              <w:tr2bl w:val="nil"/>
            </w:tcBorders>
            <w:shd w:val="clear" w:color="auto" w:fill="auto"/>
            <w:noWrap/>
            <w:tcMar>
              <w:left w:w="40" w:type="dxa"/>
              <w:right w:w="100" w:type="dxa"/>
            </w:tcMar>
          </w:tcPr>
          <w:p w14:paraId="47370B0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5AFDCA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D27F3E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1D4B0003"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Modernising the ACT Ambulance Service</w:t>
            </w:r>
          </w:p>
        </w:tc>
        <w:tc>
          <w:tcPr>
            <w:tcW w:w="1110" w:type="dxa"/>
            <w:tcBorders>
              <w:top w:val="nil"/>
              <w:left w:val="nil"/>
              <w:bottom w:val="nil"/>
              <w:right w:val="nil"/>
              <w:tl2br w:val="nil"/>
              <w:tr2bl w:val="nil"/>
            </w:tcBorders>
            <w:shd w:val="clear" w:color="auto" w:fill="auto"/>
            <w:noWrap/>
            <w:tcMar>
              <w:left w:w="40" w:type="dxa"/>
              <w:right w:w="100" w:type="dxa"/>
            </w:tcMar>
          </w:tcPr>
          <w:p w14:paraId="614C23A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1003F6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3,301</w:t>
            </w:r>
          </w:p>
        </w:tc>
        <w:tc>
          <w:tcPr>
            <w:tcW w:w="1035" w:type="dxa"/>
            <w:tcBorders>
              <w:top w:val="nil"/>
              <w:left w:val="nil"/>
              <w:bottom w:val="nil"/>
              <w:right w:val="nil"/>
              <w:tl2br w:val="nil"/>
              <w:tr2bl w:val="nil"/>
            </w:tcBorders>
            <w:shd w:val="clear" w:color="auto" w:fill="auto"/>
            <w:noWrap/>
            <w:tcMar>
              <w:left w:w="40" w:type="dxa"/>
              <w:right w:w="100" w:type="dxa"/>
            </w:tcMar>
          </w:tcPr>
          <w:p w14:paraId="418CBFF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3,667</w:t>
            </w:r>
          </w:p>
        </w:tc>
        <w:tc>
          <w:tcPr>
            <w:tcW w:w="1035" w:type="dxa"/>
            <w:tcBorders>
              <w:top w:val="nil"/>
              <w:left w:val="nil"/>
              <w:bottom w:val="nil"/>
              <w:right w:val="nil"/>
              <w:tl2br w:val="nil"/>
              <w:tr2bl w:val="nil"/>
            </w:tcBorders>
            <w:shd w:val="clear" w:color="auto" w:fill="auto"/>
            <w:noWrap/>
            <w:tcMar>
              <w:left w:w="40" w:type="dxa"/>
              <w:right w:w="100" w:type="dxa"/>
            </w:tcMar>
          </w:tcPr>
          <w:p w14:paraId="4FAE0C8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3,743</w:t>
            </w:r>
          </w:p>
        </w:tc>
        <w:tc>
          <w:tcPr>
            <w:tcW w:w="1035" w:type="dxa"/>
            <w:tcBorders>
              <w:top w:val="nil"/>
              <w:left w:val="nil"/>
              <w:bottom w:val="nil"/>
              <w:right w:val="nil"/>
              <w:tl2br w:val="nil"/>
              <w:tr2bl w:val="nil"/>
            </w:tcBorders>
            <w:shd w:val="clear" w:color="auto" w:fill="auto"/>
            <w:noWrap/>
            <w:tcMar>
              <w:left w:w="40" w:type="dxa"/>
              <w:right w:w="100" w:type="dxa"/>
            </w:tcMar>
          </w:tcPr>
          <w:p w14:paraId="632352A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3,842</w:t>
            </w:r>
          </w:p>
        </w:tc>
      </w:tr>
      <w:tr w:rsidR="002242F3" w:rsidRPr="005E3B44" w14:paraId="70E7B20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60C45661"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victims of crime</w:t>
            </w:r>
          </w:p>
        </w:tc>
        <w:tc>
          <w:tcPr>
            <w:tcW w:w="1110" w:type="dxa"/>
            <w:tcBorders>
              <w:top w:val="nil"/>
              <w:left w:val="nil"/>
              <w:bottom w:val="nil"/>
              <w:right w:val="nil"/>
              <w:tl2br w:val="nil"/>
              <w:tr2bl w:val="nil"/>
            </w:tcBorders>
            <w:shd w:val="clear" w:color="auto" w:fill="auto"/>
            <w:noWrap/>
            <w:tcMar>
              <w:left w:w="40" w:type="dxa"/>
              <w:right w:w="100" w:type="dxa"/>
            </w:tcMar>
          </w:tcPr>
          <w:p w14:paraId="6732BE4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0BB5B8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1,739</w:t>
            </w:r>
          </w:p>
        </w:tc>
        <w:tc>
          <w:tcPr>
            <w:tcW w:w="1035" w:type="dxa"/>
            <w:tcBorders>
              <w:top w:val="nil"/>
              <w:left w:val="nil"/>
              <w:bottom w:val="nil"/>
              <w:right w:val="nil"/>
              <w:tl2br w:val="nil"/>
              <w:tr2bl w:val="nil"/>
            </w:tcBorders>
            <w:shd w:val="clear" w:color="auto" w:fill="auto"/>
            <w:noWrap/>
            <w:tcMar>
              <w:left w:w="40" w:type="dxa"/>
              <w:right w:w="100" w:type="dxa"/>
            </w:tcMar>
          </w:tcPr>
          <w:p w14:paraId="4EB21AE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1,790</w:t>
            </w:r>
          </w:p>
        </w:tc>
        <w:tc>
          <w:tcPr>
            <w:tcW w:w="1035" w:type="dxa"/>
            <w:tcBorders>
              <w:top w:val="nil"/>
              <w:left w:val="nil"/>
              <w:bottom w:val="nil"/>
              <w:right w:val="nil"/>
              <w:tl2br w:val="nil"/>
              <w:tr2bl w:val="nil"/>
            </w:tcBorders>
            <w:shd w:val="clear" w:color="auto" w:fill="auto"/>
            <w:noWrap/>
            <w:tcMar>
              <w:left w:w="40" w:type="dxa"/>
              <w:right w:w="100" w:type="dxa"/>
            </w:tcMar>
          </w:tcPr>
          <w:p w14:paraId="21C0301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1,809</w:t>
            </w:r>
          </w:p>
        </w:tc>
        <w:tc>
          <w:tcPr>
            <w:tcW w:w="1035" w:type="dxa"/>
            <w:tcBorders>
              <w:top w:val="nil"/>
              <w:left w:val="nil"/>
              <w:bottom w:val="nil"/>
              <w:right w:val="nil"/>
              <w:tl2br w:val="nil"/>
              <w:tr2bl w:val="nil"/>
            </w:tcBorders>
            <w:shd w:val="clear" w:color="auto" w:fill="auto"/>
            <w:noWrap/>
            <w:tcMar>
              <w:left w:w="40" w:type="dxa"/>
              <w:right w:w="100" w:type="dxa"/>
            </w:tcMar>
          </w:tcPr>
          <w:p w14:paraId="6500F5E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1,827</w:t>
            </w:r>
          </w:p>
        </w:tc>
      </w:tr>
      <w:tr w:rsidR="002242F3" w:rsidRPr="005E3B44" w14:paraId="5E8565B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03A5BF71"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Office of the Aboriginal and Torres Strait Islander Children's Commissioner</w:t>
            </w:r>
          </w:p>
        </w:tc>
        <w:tc>
          <w:tcPr>
            <w:tcW w:w="1110" w:type="dxa"/>
            <w:tcBorders>
              <w:top w:val="nil"/>
              <w:left w:val="nil"/>
              <w:bottom w:val="nil"/>
              <w:right w:val="nil"/>
              <w:tl2br w:val="nil"/>
              <w:tr2bl w:val="nil"/>
            </w:tcBorders>
            <w:shd w:val="clear" w:color="auto" w:fill="auto"/>
            <w:noWrap/>
            <w:tcMar>
              <w:left w:w="40" w:type="dxa"/>
              <w:right w:w="100" w:type="dxa"/>
            </w:tcMar>
          </w:tcPr>
          <w:p w14:paraId="08AE002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647E70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311</w:t>
            </w:r>
          </w:p>
        </w:tc>
        <w:tc>
          <w:tcPr>
            <w:tcW w:w="1035" w:type="dxa"/>
            <w:tcBorders>
              <w:top w:val="nil"/>
              <w:left w:val="nil"/>
              <w:bottom w:val="nil"/>
              <w:right w:val="nil"/>
              <w:tl2br w:val="nil"/>
              <w:tr2bl w:val="nil"/>
            </w:tcBorders>
            <w:shd w:val="clear" w:color="auto" w:fill="auto"/>
            <w:noWrap/>
            <w:tcMar>
              <w:left w:w="40" w:type="dxa"/>
              <w:right w:w="100" w:type="dxa"/>
            </w:tcMar>
          </w:tcPr>
          <w:p w14:paraId="5F76C6B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AB340A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9C3905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4FD539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E9C3775"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Streamlining court proceedings</w:t>
            </w:r>
          </w:p>
        </w:tc>
        <w:tc>
          <w:tcPr>
            <w:tcW w:w="1110" w:type="dxa"/>
            <w:tcBorders>
              <w:top w:val="nil"/>
              <w:left w:val="nil"/>
              <w:bottom w:val="nil"/>
              <w:right w:val="nil"/>
              <w:tl2br w:val="nil"/>
              <w:tr2bl w:val="nil"/>
            </w:tcBorders>
            <w:shd w:val="clear" w:color="auto" w:fill="auto"/>
            <w:noWrap/>
            <w:tcMar>
              <w:left w:w="40" w:type="dxa"/>
              <w:right w:w="100" w:type="dxa"/>
            </w:tcMar>
          </w:tcPr>
          <w:p w14:paraId="0A0867C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F8158A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143</w:t>
            </w:r>
          </w:p>
        </w:tc>
        <w:tc>
          <w:tcPr>
            <w:tcW w:w="1035" w:type="dxa"/>
            <w:tcBorders>
              <w:top w:val="nil"/>
              <w:left w:val="nil"/>
              <w:bottom w:val="nil"/>
              <w:right w:val="nil"/>
              <w:tl2br w:val="nil"/>
              <w:tr2bl w:val="nil"/>
            </w:tcBorders>
            <w:shd w:val="clear" w:color="auto" w:fill="auto"/>
            <w:noWrap/>
            <w:tcMar>
              <w:left w:w="40" w:type="dxa"/>
              <w:right w:w="100" w:type="dxa"/>
            </w:tcMar>
          </w:tcPr>
          <w:p w14:paraId="20334DC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B3B5A8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F0BDBD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B37F69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657DBB0C"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Strengthening legal policy and advisory services</w:t>
            </w:r>
          </w:p>
        </w:tc>
        <w:tc>
          <w:tcPr>
            <w:tcW w:w="1110" w:type="dxa"/>
            <w:tcBorders>
              <w:top w:val="nil"/>
              <w:left w:val="nil"/>
              <w:bottom w:val="nil"/>
              <w:right w:val="nil"/>
              <w:tl2br w:val="nil"/>
              <w:tr2bl w:val="nil"/>
            </w:tcBorders>
            <w:shd w:val="clear" w:color="auto" w:fill="auto"/>
            <w:noWrap/>
            <w:tcMar>
              <w:left w:w="40" w:type="dxa"/>
              <w:right w:w="100" w:type="dxa"/>
            </w:tcMar>
          </w:tcPr>
          <w:p w14:paraId="237DB5B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8B11F1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1,779</w:t>
            </w:r>
          </w:p>
        </w:tc>
        <w:tc>
          <w:tcPr>
            <w:tcW w:w="1035" w:type="dxa"/>
            <w:tcBorders>
              <w:top w:val="nil"/>
              <w:left w:val="nil"/>
              <w:bottom w:val="nil"/>
              <w:right w:val="nil"/>
              <w:tl2br w:val="nil"/>
              <w:tr2bl w:val="nil"/>
            </w:tcBorders>
            <w:shd w:val="clear" w:color="auto" w:fill="auto"/>
            <w:noWrap/>
            <w:tcMar>
              <w:left w:w="40" w:type="dxa"/>
              <w:right w:w="100" w:type="dxa"/>
            </w:tcMar>
          </w:tcPr>
          <w:p w14:paraId="2E01DD7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1,806</w:t>
            </w:r>
          </w:p>
        </w:tc>
        <w:tc>
          <w:tcPr>
            <w:tcW w:w="1035" w:type="dxa"/>
            <w:tcBorders>
              <w:top w:val="nil"/>
              <w:left w:val="nil"/>
              <w:bottom w:val="nil"/>
              <w:right w:val="nil"/>
              <w:tl2br w:val="nil"/>
              <w:tr2bl w:val="nil"/>
            </w:tcBorders>
            <w:shd w:val="clear" w:color="auto" w:fill="auto"/>
            <w:noWrap/>
            <w:tcMar>
              <w:left w:w="40" w:type="dxa"/>
              <w:right w:w="100" w:type="dxa"/>
            </w:tcMar>
          </w:tcPr>
          <w:p w14:paraId="1899F59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1,833</w:t>
            </w:r>
          </w:p>
        </w:tc>
        <w:tc>
          <w:tcPr>
            <w:tcW w:w="1035" w:type="dxa"/>
            <w:tcBorders>
              <w:top w:val="nil"/>
              <w:left w:val="nil"/>
              <w:bottom w:val="nil"/>
              <w:right w:val="nil"/>
              <w:tl2br w:val="nil"/>
              <w:tr2bl w:val="nil"/>
            </w:tcBorders>
            <w:shd w:val="clear" w:color="auto" w:fill="auto"/>
            <w:noWrap/>
            <w:tcMar>
              <w:left w:w="40" w:type="dxa"/>
              <w:right w:w="100" w:type="dxa"/>
            </w:tcMar>
          </w:tcPr>
          <w:p w14:paraId="656FC07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1,861</w:t>
            </w:r>
          </w:p>
        </w:tc>
      </w:tr>
      <w:tr w:rsidR="002242F3" w:rsidRPr="005E3B44" w14:paraId="42C9788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CFCCD42"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Therapeutic Care Court — continuation</w:t>
            </w:r>
          </w:p>
        </w:tc>
        <w:tc>
          <w:tcPr>
            <w:tcW w:w="1110" w:type="dxa"/>
            <w:tcBorders>
              <w:top w:val="nil"/>
              <w:left w:val="nil"/>
              <w:bottom w:val="nil"/>
              <w:right w:val="nil"/>
              <w:tl2br w:val="nil"/>
              <w:tr2bl w:val="nil"/>
            </w:tcBorders>
            <w:shd w:val="clear" w:color="auto" w:fill="auto"/>
            <w:noWrap/>
            <w:tcMar>
              <w:left w:w="40" w:type="dxa"/>
              <w:right w:w="100" w:type="dxa"/>
            </w:tcMar>
          </w:tcPr>
          <w:p w14:paraId="095B503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F2135E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168</w:t>
            </w:r>
          </w:p>
        </w:tc>
        <w:tc>
          <w:tcPr>
            <w:tcW w:w="1035" w:type="dxa"/>
            <w:tcBorders>
              <w:top w:val="nil"/>
              <w:left w:val="nil"/>
              <w:bottom w:val="nil"/>
              <w:right w:val="nil"/>
              <w:tl2br w:val="nil"/>
              <w:tr2bl w:val="nil"/>
            </w:tcBorders>
            <w:shd w:val="clear" w:color="auto" w:fill="auto"/>
            <w:noWrap/>
            <w:tcMar>
              <w:left w:w="40" w:type="dxa"/>
              <w:right w:w="100" w:type="dxa"/>
            </w:tcMar>
          </w:tcPr>
          <w:p w14:paraId="081DDCA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172</w:t>
            </w:r>
          </w:p>
        </w:tc>
        <w:tc>
          <w:tcPr>
            <w:tcW w:w="1035" w:type="dxa"/>
            <w:tcBorders>
              <w:top w:val="nil"/>
              <w:left w:val="nil"/>
              <w:bottom w:val="nil"/>
              <w:right w:val="nil"/>
              <w:tl2br w:val="nil"/>
              <w:tr2bl w:val="nil"/>
            </w:tcBorders>
            <w:shd w:val="clear" w:color="auto" w:fill="auto"/>
            <w:noWrap/>
            <w:tcMar>
              <w:left w:w="40" w:type="dxa"/>
              <w:right w:w="100" w:type="dxa"/>
            </w:tcMar>
          </w:tcPr>
          <w:p w14:paraId="7CA69E3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F0FF8D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FE8BEC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46212CD4"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Well Prepared Emergency Services — Gungahlin Joint Emergency Service Centre</w:t>
            </w:r>
          </w:p>
        </w:tc>
        <w:tc>
          <w:tcPr>
            <w:tcW w:w="1110" w:type="dxa"/>
            <w:tcBorders>
              <w:top w:val="nil"/>
              <w:left w:val="nil"/>
              <w:bottom w:val="nil"/>
              <w:right w:val="nil"/>
              <w:tl2br w:val="nil"/>
              <w:tr2bl w:val="nil"/>
            </w:tcBorders>
            <w:shd w:val="clear" w:color="auto" w:fill="auto"/>
            <w:noWrap/>
            <w:tcMar>
              <w:left w:w="40" w:type="dxa"/>
              <w:right w:w="100" w:type="dxa"/>
            </w:tcMar>
          </w:tcPr>
          <w:p w14:paraId="01C1A8C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D753D2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5B8C17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500</w:t>
            </w:r>
          </w:p>
        </w:tc>
        <w:tc>
          <w:tcPr>
            <w:tcW w:w="1035" w:type="dxa"/>
            <w:tcBorders>
              <w:top w:val="nil"/>
              <w:left w:val="nil"/>
              <w:bottom w:val="nil"/>
              <w:right w:val="nil"/>
              <w:tl2br w:val="nil"/>
              <w:tr2bl w:val="nil"/>
            </w:tcBorders>
            <w:shd w:val="clear" w:color="auto" w:fill="auto"/>
            <w:noWrap/>
            <w:tcMar>
              <w:left w:w="40" w:type="dxa"/>
              <w:right w:w="100" w:type="dxa"/>
            </w:tcMar>
          </w:tcPr>
          <w:p w14:paraId="6BE3B69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515</w:t>
            </w:r>
          </w:p>
        </w:tc>
        <w:tc>
          <w:tcPr>
            <w:tcW w:w="1035" w:type="dxa"/>
            <w:tcBorders>
              <w:top w:val="nil"/>
              <w:left w:val="nil"/>
              <w:bottom w:val="nil"/>
              <w:right w:val="nil"/>
              <w:tl2br w:val="nil"/>
              <w:tr2bl w:val="nil"/>
            </w:tcBorders>
            <w:shd w:val="clear" w:color="auto" w:fill="auto"/>
            <w:noWrap/>
            <w:tcMar>
              <w:left w:w="40" w:type="dxa"/>
              <w:right w:w="100" w:type="dxa"/>
            </w:tcMar>
          </w:tcPr>
          <w:p w14:paraId="19E0CB6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530</w:t>
            </w:r>
          </w:p>
        </w:tc>
      </w:tr>
      <w:tr w:rsidR="002242F3" w:rsidRPr="005E3B44" w14:paraId="4D4F88D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7EEBE29B"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Well Prepared Emergency Services — improving safety at police, emergency services and corrections facilities</w:t>
            </w:r>
          </w:p>
        </w:tc>
        <w:tc>
          <w:tcPr>
            <w:tcW w:w="1110" w:type="dxa"/>
            <w:tcBorders>
              <w:top w:val="nil"/>
              <w:left w:val="nil"/>
              <w:bottom w:val="nil"/>
              <w:right w:val="nil"/>
              <w:tl2br w:val="nil"/>
              <w:tr2bl w:val="nil"/>
            </w:tcBorders>
            <w:shd w:val="clear" w:color="auto" w:fill="auto"/>
            <w:noWrap/>
            <w:tcMar>
              <w:left w:w="40" w:type="dxa"/>
              <w:right w:w="100" w:type="dxa"/>
            </w:tcMar>
          </w:tcPr>
          <w:p w14:paraId="3A61605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4BA22E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1,358</w:t>
            </w:r>
          </w:p>
        </w:tc>
        <w:tc>
          <w:tcPr>
            <w:tcW w:w="1035" w:type="dxa"/>
            <w:tcBorders>
              <w:top w:val="nil"/>
              <w:left w:val="nil"/>
              <w:bottom w:val="nil"/>
              <w:right w:val="nil"/>
              <w:tl2br w:val="nil"/>
              <w:tr2bl w:val="nil"/>
            </w:tcBorders>
            <w:shd w:val="clear" w:color="auto" w:fill="auto"/>
            <w:noWrap/>
            <w:tcMar>
              <w:left w:w="40" w:type="dxa"/>
              <w:right w:w="100" w:type="dxa"/>
            </w:tcMar>
          </w:tcPr>
          <w:p w14:paraId="33D9D95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300</w:t>
            </w:r>
          </w:p>
        </w:tc>
        <w:tc>
          <w:tcPr>
            <w:tcW w:w="1035" w:type="dxa"/>
            <w:tcBorders>
              <w:top w:val="nil"/>
              <w:left w:val="nil"/>
              <w:bottom w:val="nil"/>
              <w:right w:val="nil"/>
              <w:tl2br w:val="nil"/>
              <w:tr2bl w:val="nil"/>
            </w:tcBorders>
            <w:shd w:val="clear" w:color="auto" w:fill="auto"/>
            <w:noWrap/>
            <w:tcMar>
              <w:left w:w="40" w:type="dxa"/>
              <w:right w:w="100" w:type="dxa"/>
            </w:tcMar>
          </w:tcPr>
          <w:p w14:paraId="4773241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73C3F2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A286E6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7F429458"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 Prepared Emergency Services — </w:t>
            </w:r>
            <w:proofErr w:type="gramStart"/>
            <w:r w:rsidRPr="005E3B44">
              <w:rPr>
                <w:rFonts w:asciiTheme="minorHAnsi" w:eastAsia="Calibri" w:hAnsiTheme="minorHAnsi" w:cstheme="minorHAnsi"/>
                <w:color w:val="000000"/>
                <w:sz w:val="18"/>
              </w:rPr>
              <w:t>Strengthening  ICT</w:t>
            </w:r>
            <w:proofErr w:type="gramEnd"/>
            <w:r w:rsidRPr="005E3B44">
              <w:rPr>
                <w:rFonts w:asciiTheme="minorHAnsi" w:eastAsia="Calibri" w:hAnsiTheme="minorHAnsi" w:cstheme="minorHAnsi"/>
                <w:color w:val="000000"/>
                <w:sz w:val="18"/>
              </w:rPr>
              <w:t xml:space="preserve"> infrastructure</w:t>
            </w:r>
          </w:p>
        </w:tc>
        <w:tc>
          <w:tcPr>
            <w:tcW w:w="1110" w:type="dxa"/>
            <w:tcBorders>
              <w:top w:val="nil"/>
              <w:left w:val="nil"/>
              <w:bottom w:val="nil"/>
              <w:right w:val="nil"/>
              <w:tl2br w:val="nil"/>
              <w:tr2bl w:val="nil"/>
            </w:tcBorders>
            <w:shd w:val="clear" w:color="auto" w:fill="auto"/>
            <w:noWrap/>
            <w:tcMar>
              <w:left w:w="40" w:type="dxa"/>
              <w:right w:w="100" w:type="dxa"/>
            </w:tcMar>
          </w:tcPr>
          <w:p w14:paraId="3842032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77FF3D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w:t>
            </w:r>
          </w:p>
        </w:tc>
        <w:tc>
          <w:tcPr>
            <w:tcW w:w="1035" w:type="dxa"/>
            <w:tcBorders>
              <w:top w:val="nil"/>
              <w:left w:val="nil"/>
              <w:bottom w:val="nil"/>
              <w:right w:val="nil"/>
              <w:tl2br w:val="nil"/>
              <w:tr2bl w:val="nil"/>
            </w:tcBorders>
            <w:shd w:val="clear" w:color="auto" w:fill="auto"/>
            <w:noWrap/>
            <w:tcMar>
              <w:left w:w="40" w:type="dxa"/>
              <w:right w:w="100" w:type="dxa"/>
            </w:tcMar>
          </w:tcPr>
          <w:p w14:paraId="62BB596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226</w:t>
            </w:r>
          </w:p>
        </w:tc>
        <w:tc>
          <w:tcPr>
            <w:tcW w:w="1035" w:type="dxa"/>
            <w:tcBorders>
              <w:top w:val="nil"/>
              <w:left w:val="nil"/>
              <w:bottom w:val="nil"/>
              <w:right w:val="nil"/>
              <w:tl2br w:val="nil"/>
              <w:tr2bl w:val="nil"/>
            </w:tcBorders>
            <w:shd w:val="clear" w:color="auto" w:fill="auto"/>
            <w:noWrap/>
            <w:tcMar>
              <w:left w:w="40" w:type="dxa"/>
              <w:right w:w="100" w:type="dxa"/>
            </w:tcMar>
          </w:tcPr>
          <w:p w14:paraId="486272E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256</w:t>
            </w:r>
          </w:p>
        </w:tc>
        <w:tc>
          <w:tcPr>
            <w:tcW w:w="1035" w:type="dxa"/>
            <w:tcBorders>
              <w:top w:val="nil"/>
              <w:left w:val="nil"/>
              <w:bottom w:val="nil"/>
              <w:right w:val="nil"/>
              <w:tl2br w:val="nil"/>
              <w:tr2bl w:val="nil"/>
            </w:tcBorders>
            <w:shd w:val="clear" w:color="auto" w:fill="auto"/>
            <w:noWrap/>
            <w:tcMar>
              <w:left w:w="40" w:type="dxa"/>
              <w:right w:w="100" w:type="dxa"/>
            </w:tcMar>
          </w:tcPr>
          <w:p w14:paraId="03DEECA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w:t>
            </w:r>
          </w:p>
        </w:tc>
      </w:tr>
      <w:tr w:rsidR="002242F3" w:rsidRPr="005E3B44" w14:paraId="347A645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1C200258" w14:textId="77777777" w:rsidR="002242F3" w:rsidRPr="005E3B44" w:rsidRDefault="002242F3" w:rsidP="005E3B44">
            <w:pPr>
              <w:pStyle w:val="Normal1"/>
              <w:rPr>
                <w:rFonts w:asciiTheme="minorHAnsi" w:eastAsia="Calibri" w:hAnsiTheme="minorHAnsi" w:cstheme="minorHAns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tcPr>
          <w:p w14:paraId="1306A1CB"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079A897"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645530A"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C8F8A97"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9C48DA2"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2C1F7CE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5667DA9B" w14:textId="77777777" w:rsidR="002242F3" w:rsidRPr="005E3B44" w:rsidRDefault="002242F3" w:rsidP="005E3B44">
            <w:pPr>
              <w:pStyle w:val="Normal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 Technical Adjustments</w:t>
            </w:r>
          </w:p>
        </w:tc>
        <w:tc>
          <w:tcPr>
            <w:tcW w:w="1110" w:type="dxa"/>
            <w:tcBorders>
              <w:top w:val="nil"/>
              <w:left w:val="nil"/>
              <w:bottom w:val="nil"/>
              <w:right w:val="nil"/>
              <w:tl2br w:val="nil"/>
              <w:tr2bl w:val="nil"/>
            </w:tcBorders>
            <w:shd w:val="clear" w:color="auto" w:fill="auto"/>
            <w:noWrap/>
            <w:tcMar>
              <w:left w:w="0" w:type="dxa"/>
              <w:right w:w="0" w:type="dxa"/>
            </w:tcMar>
          </w:tcPr>
          <w:p w14:paraId="693A6252"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FDAC0D9"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625359A"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C8616A8"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F201056"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475653B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4F074C3C"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Domestic violence units and health justice partnerships</w:t>
            </w:r>
          </w:p>
        </w:tc>
        <w:tc>
          <w:tcPr>
            <w:tcW w:w="1110" w:type="dxa"/>
            <w:tcBorders>
              <w:top w:val="nil"/>
              <w:left w:val="nil"/>
              <w:bottom w:val="nil"/>
              <w:right w:val="nil"/>
              <w:tl2br w:val="nil"/>
              <w:tr2bl w:val="nil"/>
            </w:tcBorders>
            <w:shd w:val="clear" w:color="auto" w:fill="auto"/>
            <w:noWrap/>
            <w:tcMar>
              <w:left w:w="40" w:type="dxa"/>
              <w:right w:w="100" w:type="dxa"/>
            </w:tcMar>
          </w:tcPr>
          <w:p w14:paraId="66047AF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4EEB93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143</w:t>
            </w:r>
          </w:p>
        </w:tc>
        <w:tc>
          <w:tcPr>
            <w:tcW w:w="1035" w:type="dxa"/>
            <w:tcBorders>
              <w:top w:val="nil"/>
              <w:left w:val="nil"/>
              <w:bottom w:val="nil"/>
              <w:right w:val="nil"/>
              <w:tl2br w:val="nil"/>
              <w:tr2bl w:val="nil"/>
            </w:tcBorders>
            <w:shd w:val="clear" w:color="auto" w:fill="auto"/>
            <w:noWrap/>
            <w:tcMar>
              <w:left w:w="40" w:type="dxa"/>
              <w:right w:w="100" w:type="dxa"/>
            </w:tcMar>
          </w:tcPr>
          <w:p w14:paraId="6544382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145</w:t>
            </w:r>
          </w:p>
        </w:tc>
        <w:tc>
          <w:tcPr>
            <w:tcW w:w="1035" w:type="dxa"/>
            <w:tcBorders>
              <w:top w:val="nil"/>
              <w:left w:val="nil"/>
              <w:bottom w:val="nil"/>
              <w:right w:val="nil"/>
              <w:tl2br w:val="nil"/>
              <w:tr2bl w:val="nil"/>
            </w:tcBorders>
            <w:shd w:val="clear" w:color="auto" w:fill="auto"/>
            <w:noWrap/>
            <w:tcMar>
              <w:left w:w="40" w:type="dxa"/>
              <w:right w:w="100" w:type="dxa"/>
            </w:tcMar>
          </w:tcPr>
          <w:p w14:paraId="052A89A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147</w:t>
            </w:r>
          </w:p>
        </w:tc>
        <w:tc>
          <w:tcPr>
            <w:tcW w:w="1035" w:type="dxa"/>
            <w:tcBorders>
              <w:top w:val="nil"/>
              <w:left w:val="nil"/>
              <w:bottom w:val="nil"/>
              <w:right w:val="nil"/>
              <w:tl2br w:val="nil"/>
              <w:tr2bl w:val="nil"/>
            </w:tcBorders>
            <w:shd w:val="clear" w:color="auto" w:fill="auto"/>
            <w:noWrap/>
            <w:tcMar>
              <w:left w:w="40" w:type="dxa"/>
              <w:right w:w="100" w:type="dxa"/>
            </w:tcMar>
          </w:tcPr>
          <w:p w14:paraId="4BEFBDE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149</w:t>
            </w:r>
          </w:p>
        </w:tc>
      </w:tr>
      <w:tr w:rsidR="002242F3" w:rsidRPr="005E3B44" w14:paraId="31E62D4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55D7524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Front-line support to address workplace sexual harassment</w:t>
            </w:r>
          </w:p>
        </w:tc>
        <w:tc>
          <w:tcPr>
            <w:tcW w:w="1110" w:type="dxa"/>
            <w:tcBorders>
              <w:top w:val="nil"/>
              <w:left w:val="nil"/>
              <w:bottom w:val="nil"/>
              <w:right w:val="nil"/>
              <w:tl2br w:val="nil"/>
              <w:tr2bl w:val="nil"/>
            </w:tcBorders>
            <w:shd w:val="clear" w:color="auto" w:fill="auto"/>
            <w:noWrap/>
            <w:tcMar>
              <w:left w:w="40" w:type="dxa"/>
              <w:right w:w="100" w:type="dxa"/>
            </w:tcMar>
          </w:tcPr>
          <w:p w14:paraId="407D293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CA3FE2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w:t>
            </w:r>
          </w:p>
        </w:tc>
        <w:tc>
          <w:tcPr>
            <w:tcW w:w="1035" w:type="dxa"/>
            <w:tcBorders>
              <w:top w:val="nil"/>
              <w:left w:val="nil"/>
              <w:bottom w:val="nil"/>
              <w:right w:val="nil"/>
              <w:tl2br w:val="nil"/>
              <w:tr2bl w:val="nil"/>
            </w:tcBorders>
            <w:shd w:val="clear" w:color="auto" w:fill="auto"/>
            <w:noWrap/>
            <w:tcMar>
              <w:left w:w="40" w:type="dxa"/>
              <w:right w:w="100" w:type="dxa"/>
            </w:tcMar>
          </w:tcPr>
          <w:p w14:paraId="5A58D9D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w:t>
            </w:r>
          </w:p>
        </w:tc>
        <w:tc>
          <w:tcPr>
            <w:tcW w:w="1035" w:type="dxa"/>
            <w:tcBorders>
              <w:top w:val="nil"/>
              <w:left w:val="nil"/>
              <w:bottom w:val="nil"/>
              <w:right w:val="nil"/>
              <w:tl2br w:val="nil"/>
              <w:tr2bl w:val="nil"/>
            </w:tcBorders>
            <w:shd w:val="clear" w:color="auto" w:fill="auto"/>
            <w:noWrap/>
            <w:tcMar>
              <w:left w:w="40" w:type="dxa"/>
              <w:right w:w="100" w:type="dxa"/>
            </w:tcMar>
          </w:tcPr>
          <w:p w14:paraId="1DAA844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212</w:t>
            </w:r>
          </w:p>
        </w:tc>
        <w:tc>
          <w:tcPr>
            <w:tcW w:w="1035" w:type="dxa"/>
            <w:tcBorders>
              <w:top w:val="nil"/>
              <w:left w:val="nil"/>
              <w:bottom w:val="nil"/>
              <w:right w:val="nil"/>
              <w:tl2br w:val="nil"/>
              <w:tr2bl w:val="nil"/>
            </w:tcBorders>
            <w:shd w:val="clear" w:color="auto" w:fill="auto"/>
            <w:noWrap/>
            <w:tcMar>
              <w:left w:w="40" w:type="dxa"/>
              <w:right w:w="100" w:type="dxa"/>
            </w:tcMar>
          </w:tcPr>
          <w:p w14:paraId="31A2140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215</w:t>
            </w:r>
          </w:p>
        </w:tc>
      </w:tr>
      <w:tr w:rsidR="002242F3" w:rsidRPr="005E3B44" w14:paraId="36231F3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6663B822"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Increased legal assistance funding for vulnerable women</w:t>
            </w:r>
          </w:p>
        </w:tc>
        <w:tc>
          <w:tcPr>
            <w:tcW w:w="1110" w:type="dxa"/>
            <w:tcBorders>
              <w:top w:val="nil"/>
              <w:left w:val="nil"/>
              <w:bottom w:val="nil"/>
              <w:right w:val="nil"/>
              <w:tl2br w:val="nil"/>
              <w:tr2bl w:val="nil"/>
            </w:tcBorders>
            <w:shd w:val="clear" w:color="auto" w:fill="auto"/>
            <w:noWrap/>
            <w:tcMar>
              <w:left w:w="40" w:type="dxa"/>
              <w:right w:w="100" w:type="dxa"/>
            </w:tcMar>
          </w:tcPr>
          <w:p w14:paraId="1A9BEB2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A99529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688</w:t>
            </w:r>
          </w:p>
        </w:tc>
        <w:tc>
          <w:tcPr>
            <w:tcW w:w="1035" w:type="dxa"/>
            <w:tcBorders>
              <w:top w:val="nil"/>
              <w:left w:val="nil"/>
              <w:bottom w:val="nil"/>
              <w:right w:val="nil"/>
              <w:tl2br w:val="nil"/>
              <w:tr2bl w:val="nil"/>
            </w:tcBorders>
            <w:shd w:val="clear" w:color="auto" w:fill="auto"/>
            <w:noWrap/>
            <w:tcMar>
              <w:left w:w="40" w:type="dxa"/>
              <w:right w:w="100" w:type="dxa"/>
            </w:tcMar>
          </w:tcPr>
          <w:p w14:paraId="17017A3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696</w:t>
            </w:r>
          </w:p>
        </w:tc>
        <w:tc>
          <w:tcPr>
            <w:tcW w:w="1035" w:type="dxa"/>
            <w:tcBorders>
              <w:top w:val="nil"/>
              <w:left w:val="nil"/>
              <w:bottom w:val="nil"/>
              <w:right w:val="nil"/>
              <w:tl2br w:val="nil"/>
              <w:tr2bl w:val="nil"/>
            </w:tcBorders>
            <w:shd w:val="clear" w:color="auto" w:fill="auto"/>
            <w:noWrap/>
            <w:tcMar>
              <w:left w:w="40" w:type="dxa"/>
              <w:right w:w="100" w:type="dxa"/>
            </w:tcMar>
          </w:tcPr>
          <w:p w14:paraId="2EBB4FC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705</w:t>
            </w:r>
          </w:p>
        </w:tc>
        <w:tc>
          <w:tcPr>
            <w:tcW w:w="1035" w:type="dxa"/>
            <w:tcBorders>
              <w:top w:val="nil"/>
              <w:left w:val="nil"/>
              <w:bottom w:val="nil"/>
              <w:right w:val="nil"/>
              <w:tl2br w:val="nil"/>
              <w:tr2bl w:val="nil"/>
            </w:tcBorders>
            <w:shd w:val="clear" w:color="auto" w:fill="auto"/>
            <w:noWrap/>
            <w:tcMar>
              <w:left w:w="40" w:type="dxa"/>
              <w:right w:w="100" w:type="dxa"/>
            </w:tcMar>
          </w:tcPr>
          <w:p w14:paraId="62F0420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714</w:t>
            </w:r>
          </w:p>
        </w:tc>
      </w:tr>
      <w:tr w:rsidR="002242F3" w:rsidRPr="005E3B44" w14:paraId="3B80FF4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C70DAF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State administration funding</w:t>
            </w:r>
          </w:p>
        </w:tc>
        <w:tc>
          <w:tcPr>
            <w:tcW w:w="1110" w:type="dxa"/>
            <w:tcBorders>
              <w:top w:val="nil"/>
              <w:left w:val="nil"/>
              <w:bottom w:val="nil"/>
              <w:right w:val="nil"/>
              <w:tl2br w:val="nil"/>
              <w:tr2bl w:val="nil"/>
            </w:tcBorders>
            <w:shd w:val="clear" w:color="auto" w:fill="auto"/>
            <w:noWrap/>
            <w:tcMar>
              <w:left w:w="40" w:type="dxa"/>
              <w:right w:w="100" w:type="dxa"/>
            </w:tcMar>
          </w:tcPr>
          <w:p w14:paraId="108E189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6523C4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w:t>
            </w:r>
          </w:p>
        </w:tc>
        <w:tc>
          <w:tcPr>
            <w:tcW w:w="1035" w:type="dxa"/>
            <w:tcBorders>
              <w:top w:val="nil"/>
              <w:left w:val="nil"/>
              <w:bottom w:val="nil"/>
              <w:right w:val="nil"/>
              <w:tl2br w:val="nil"/>
              <w:tr2bl w:val="nil"/>
            </w:tcBorders>
            <w:shd w:val="clear" w:color="auto" w:fill="auto"/>
            <w:noWrap/>
            <w:tcMar>
              <w:left w:w="40" w:type="dxa"/>
              <w:right w:w="100" w:type="dxa"/>
            </w:tcMar>
          </w:tcPr>
          <w:p w14:paraId="0BDF97C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w:t>
            </w:r>
          </w:p>
        </w:tc>
        <w:tc>
          <w:tcPr>
            <w:tcW w:w="1035" w:type="dxa"/>
            <w:tcBorders>
              <w:top w:val="nil"/>
              <w:left w:val="nil"/>
              <w:bottom w:val="nil"/>
              <w:right w:val="nil"/>
              <w:tl2br w:val="nil"/>
              <w:tr2bl w:val="nil"/>
            </w:tcBorders>
            <w:shd w:val="clear" w:color="auto" w:fill="auto"/>
            <w:noWrap/>
            <w:tcMar>
              <w:left w:w="40" w:type="dxa"/>
              <w:right w:w="100" w:type="dxa"/>
            </w:tcMar>
          </w:tcPr>
          <w:p w14:paraId="1BCEB6A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w:t>
            </w:r>
          </w:p>
        </w:tc>
        <w:tc>
          <w:tcPr>
            <w:tcW w:w="1035" w:type="dxa"/>
            <w:tcBorders>
              <w:top w:val="nil"/>
              <w:left w:val="nil"/>
              <w:bottom w:val="nil"/>
              <w:right w:val="nil"/>
              <w:tl2br w:val="nil"/>
              <w:tr2bl w:val="nil"/>
            </w:tcBorders>
            <w:shd w:val="clear" w:color="auto" w:fill="auto"/>
            <w:noWrap/>
            <w:tcMar>
              <w:left w:w="40" w:type="dxa"/>
              <w:right w:w="100" w:type="dxa"/>
            </w:tcMar>
          </w:tcPr>
          <w:p w14:paraId="6441630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w:t>
            </w:r>
          </w:p>
        </w:tc>
      </w:tr>
      <w:tr w:rsidR="002242F3" w:rsidRPr="005E3B44" w14:paraId="6A80E5A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5ECD0FD1"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Supporting increased child sexual abuse prosecutions</w:t>
            </w:r>
          </w:p>
        </w:tc>
        <w:tc>
          <w:tcPr>
            <w:tcW w:w="1110" w:type="dxa"/>
            <w:tcBorders>
              <w:top w:val="nil"/>
              <w:left w:val="nil"/>
              <w:bottom w:val="nil"/>
              <w:right w:val="nil"/>
              <w:tl2br w:val="nil"/>
              <w:tr2bl w:val="nil"/>
            </w:tcBorders>
            <w:shd w:val="clear" w:color="auto" w:fill="auto"/>
            <w:noWrap/>
            <w:tcMar>
              <w:left w:w="40" w:type="dxa"/>
              <w:right w:w="100" w:type="dxa"/>
            </w:tcMar>
          </w:tcPr>
          <w:p w14:paraId="7BE4AF6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F29BA2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4ED7BC7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w:t>
            </w:r>
          </w:p>
        </w:tc>
        <w:tc>
          <w:tcPr>
            <w:tcW w:w="1035" w:type="dxa"/>
            <w:tcBorders>
              <w:top w:val="nil"/>
              <w:left w:val="nil"/>
              <w:bottom w:val="nil"/>
              <w:right w:val="nil"/>
              <w:tl2br w:val="nil"/>
              <w:tr2bl w:val="nil"/>
            </w:tcBorders>
            <w:shd w:val="clear" w:color="auto" w:fill="auto"/>
            <w:noWrap/>
            <w:tcMar>
              <w:left w:w="40" w:type="dxa"/>
              <w:right w:w="100" w:type="dxa"/>
            </w:tcMar>
          </w:tcPr>
          <w:p w14:paraId="4567027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w:t>
            </w:r>
          </w:p>
        </w:tc>
        <w:tc>
          <w:tcPr>
            <w:tcW w:w="1035" w:type="dxa"/>
            <w:tcBorders>
              <w:top w:val="nil"/>
              <w:left w:val="nil"/>
              <w:bottom w:val="nil"/>
              <w:right w:val="nil"/>
              <w:tl2br w:val="nil"/>
              <w:tr2bl w:val="nil"/>
            </w:tcBorders>
            <w:shd w:val="clear" w:color="auto" w:fill="auto"/>
            <w:noWrap/>
            <w:tcMar>
              <w:left w:w="40" w:type="dxa"/>
              <w:right w:w="100" w:type="dxa"/>
            </w:tcMar>
          </w:tcPr>
          <w:p w14:paraId="1BD58CA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w:t>
            </w:r>
          </w:p>
        </w:tc>
      </w:tr>
      <w:tr w:rsidR="002242F3" w:rsidRPr="005E3B44" w14:paraId="22C1268D" w14:textId="77777777" w:rsidTr="009B3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25A4812A" w14:textId="77777777" w:rsidR="002242F3"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Supporting people with mental health conditions access the justice system</w:t>
            </w:r>
          </w:p>
          <w:p w14:paraId="6DF86BAC" w14:textId="021CCB00" w:rsidR="00700C91" w:rsidRPr="005E3B44" w:rsidRDefault="00700C91" w:rsidP="005E3B44">
            <w:pPr>
              <w:pStyle w:val="Normal1"/>
              <w:ind w:left="181" w:hanging="181"/>
              <w:rPr>
                <w:rFonts w:asciiTheme="minorHAnsi" w:eastAsia="Calibri" w:hAnsiTheme="minorHAnsi" w:cstheme="minorHAnsi"/>
                <w:color w:val="000000"/>
                <w:sz w:val="18"/>
              </w:rPr>
            </w:pPr>
          </w:p>
        </w:tc>
        <w:tc>
          <w:tcPr>
            <w:tcW w:w="1110" w:type="dxa"/>
            <w:tcBorders>
              <w:top w:val="nil"/>
              <w:left w:val="nil"/>
              <w:bottom w:val="nil"/>
              <w:right w:val="nil"/>
              <w:tl2br w:val="nil"/>
              <w:tr2bl w:val="nil"/>
            </w:tcBorders>
            <w:shd w:val="clear" w:color="auto" w:fill="auto"/>
            <w:noWrap/>
            <w:tcMar>
              <w:left w:w="40" w:type="dxa"/>
              <w:right w:w="100" w:type="dxa"/>
            </w:tcMar>
          </w:tcPr>
          <w:p w14:paraId="6E47A46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D7B44F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269</w:t>
            </w:r>
          </w:p>
        </w:tc>
        <w:tc>
          <w:tcPr>
            <w:tcW w:w="1035" w:type="dxa"/>
            <w:tcBorders>
              <w:top w:val="nil"/>
              <w:left w:val="nil"/>
              <w:bottom w:val="nil"/>
              <w:right w:val="nil"/>
              <w:tl2br w:val="nil"/>
              <w:tr2bl w:val="nil"/>
            </w:tcBorders>
            <w:shd w:val="clear" w:color="auto" w:fill="auto"/>
            <w:noWrap/>
            <w:tcMar>
              <w:left w:w="40" w:type="dxa"/>
              <w:right w:w="100" w:type="dxa"/>
            </w:tcMar>
          </w:tcPr>
          <w:p w14:paraId="0D114BB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278</w:t>
            </w:r>
          </w:p>
        </w:tc>
        <w:tc>
          <w:tcPr>
            <w:tcW w:w="1035" w:type="dxa"/>
            <w:tcBorders>
              <w:top w:val="nil"/>
              <w:left w:val="nil"/>
              <w:bottom w:val="nil"/>
              <w:right w:val="nil"/>
              <w:tl2br w:val="nil"/>
              <w:tr2bl w:val="nil"/>
            </w:tcBorders>
            <w:shd w:val="clear" w:color="auto" w:fill="auto"/>
            <w:noWrap/>
            <w:tcMar>
              <w:left w:w="40" w:type="dxa"/>
              <w:right w:w="100" w:type="dxa"/>
            </w:tcMar>
          </w:tcPr>
          <w:p w14:paraId="6B93583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278</w:t>
            </w:r>
          </w:p>
        </w:tc>
        <w:tc>
          <w:tcPr>
            <w:tcW w:w="1035" w:type="dxa"/>
            <w:tcBorders>
              <w:top w:val="nil"/>
              <w:left w:val="nil"/>
              <w:bottom w:val="nil"/>
              <w:right w:val="nil"/>
              <w:tl2br w:val="nil"/>
              <w:tr2bl w:val="nil"/>
            </w:tcBorders>
            <w:shd w:val="clear" w:color="auto" w:fill="auto"/>
            <w:noWrap/>
            <w:tcMar>
              <w:left w:w="40" w:type="dxa"/>
              <w:right w:w="100" w:type="dxa"/>
            </w:tcMar>
          </w:tcPr>
          <w:p w14:paraId="0EAD206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278</w:t>
            </w:r>
          </w:p>
        </w:tc>
      </w:tr>
      <w:tr w:rsidR="00700C91" w:rsidRPr="005E3B44" w14:paraId="703D7E22" w14:textId="77777777" w:rsidTr="009B39D6">
        <w:trPr>
          <w:trHeight w:val="270"/>
        </w:trPr>
        <w:tc>
          <w:tcPr>
            <w:tcW w:w="10050" w:type="dxa"/>
            <w:gridSpan w:val="6"/>
            <w:tcBorders>
              <w:left w:val="nil"/>
              <w:bottom w:val="single" w:sz="12" w:space="0" w:color="auto"/>
              <w:right w:val="nil"/>
              <w:tl2br w:val="nil"/>
              <w:tr2bl w:val="nil"/>
            </w:tcBorders>
            <w:shd w:val="clear" w:color="auto" w:fill="auto"/>
            <w:noWrap/>
            <w:tcMar>
              <w:left w:w="0" w:type="dxa"/>
              <w:right w:w="0" w:type="dxa"/>
            </w:tcMar>
            <w:vAlign w:val="bottom"/>
          </w:tcPr>
          <w:p w14:paraId="2666EFDD" w14:textId="56F6603A" w:rsidR="00700C91" w:rsidRPr="005E3B44" w:rsidRDefault="00700C91" w:rsidP="00700C91">
            <w:pPr>
              <w:pStyle w:val="Caption"/>
              <w:pBdr>
                <w:top w:val="nil"/>
                <w:left w:val="nil"/>
                <w:bottom w:val="nil"/>
                <w:right w:val="nil"/>
                <w:between w:val="nil"/>
                <w:bar w:val="nil"/>
              </w:pBdr>
              <w:spacing w:before="0" w:after="0"/>
              <w:rPr>
                <w:rFonts w:asciiTheme="minorHAnsi" w:hAnsiTheme="minorHAnsi" w:cstheme="minorHAnsi"/>
                <w:bdr w:val="nil"/>
              </w:rPr>
            </w:pPr>
            <w:r w:rsidRPr="005E3B44">
              <w:rPr>
                <w:rFonts w:asciiTheme="minorHAnsi" w:hAnsiTheme="minorHAnsi" w:cstheme="minorHAnsi"/>
                <w:bdr w:val="nil"/>
              </w:rPr>
              <w:lastRenderedPageBreak/>
              <w:t>Table 2</w:t>
            </w:r>
            <w:r>
              <w:rPr>
                <w:rFonts w:asciiTheme="minorHAnsi" w:hAnsiTheme="minorHAnsi" w:cstheme="minorHAnsi"/>
                <w:bdr w:val="nil"/>
              </w:rPr>
              <w:t>4</w:t>
            </w:r>
            <w:r w:rsidRPr="005E3B44">
              <w:rPr>
                <w:rFonts w:asciiTheme="minorHAnsi" w:hAnsiTheme="minorHAnsi" w:cstheme="minorHAnsi"/>
                <w:bdr w:val="nil"/>
              </w:rPr>
              <w:t>: Changes to appropriation –</w:t>
            </w:r>
            <w:r w:rsidRPr="005E3B44">
              <w:rPr>
                <w:rFonts w:asciiTheme="minorHAnsi" w:hAnsiTheme="minorHAnsi" w:cstheme="minorHAnsi"/>
                <w:szCs w:val="20"/>
                <w:bdr w:val="nil"/>
              </w:rPr>
              <w:t xml:space="preserve"> </w:t>
            </w:r>
            <w:r w:rsidRPr="005E3B44">
              <w:rPr>
                <w:rFonts w:asciiTheme="minorHAnsi" w:hAnsiTheme="minorHAnsi" w:cstheme="minorHAnsi"/>
                <w:bdr w:val="nil"/>
              </w:rPr>
              <w:t>Controlled Recurrent Payments</w:t>
            </w:r>
            <w:r w:rsidR="009B39D6">
              <w:rPr>
                <w:rFonts w:asciiTheme="minorHAnsi" w:hAnsiTheme="minorHAnsi" w:cstheme="minorHAnsi"/>
                <w:bdr w:val="nil"/>
              </w:rPr>
              <w:t xml:space="preserve"> (Continued)</w:t>
            </w:r>
          </w:p>
          <w:p w14:paraId="2F47CAD8" w14:textId="77777777" w:rsidR="00700C91" w:rsidRPr="005E3B44" w:rsidRDefault="00700C91" w:rsidP="00D811FD">
            <w:pPr>
              <w:pStyle w:val="Normal1"/>
              <w:jc w:val="right"/>
              <w:rPr>
                <w:rFonts w:asciiTheme="minorHAnsi" w:eastAsia="Calibri" w:hAnsiTheme="minorHAnsi" w:cstheme="minorHAnsi"/>
                <w:b/>
                <w:color w:val="000000"/>
                <w:sz w:val="18"/>
              </w:rPr>
            </w:pPr>
          </w:p>
        </w:tc>
      </w:tr>
      <w:tr w:rsidR="005468DD" w:rsidRPr="005E3B44" w14:paraId="780E3EB6" w14:textId="77777777" w:rsidTr="009B39D6">
        <w:trPr>
          <w:trHeight w:val="270"/>
        </w:trPr>
        <w:tc>
          <w:tcPr>
            <w:tcW w:w="4800" w:type="dxa"/>
            <w:tcBorders>
              <w:top w:val="single" w:sz="12" w:space="0" w:color="auto"/>
              <w:left w:val="nil"/>
              <w:bottom w:val="single" w:sz="12" w:space="0" w:color="000000"/>
              <w:right w:val="nil"/>
              <w:tl2br w:val="nil"/>
              <w:tr2bl w:val="nil"/>
            </w:tcBorders>
            <w:shd w:val="clear" w:color="auto" w:fill="auto"/>
            <w:noWrap/>
            <w:tcMar>
              <w:left w:w="0" w:type="dxa"/>
              <w:right w:w="0" w:type="dxa"/>
            </w:tcMar>
            <w:vAlign w:val="bottom"/>
          </w:tcPr>
          <w:p w14:paraId="2008DB91" w14:textId="77777777" w:rsidR="005468DD" w:rsidRPr="005E3B44" w:rsidRDefault="005468DD" w:rsidP="00D811FD">
            <w:pPr>
              <w:pStyle w:val="Normal1"/>
              <w:rPr>
                <w:rFonts w:asciiTheme="minorHAnsi" w:eastAsia="Calibri" w:hAnsiTheme="minorHAnsi" w:cstheme="minorHAnsi"/>
                <w:color w:val="000000"/>
                <w:sz w:val="18"/>
              </w:rPr>
            </w:pPr>
          </w:p>
        </w:tc>
        <w:tc>
          <w:tcPr>
            <w:tcW w:w="1110" w:type="dxa"/>
            <w:tcBorders>
              <w:top w:val="single" w:sz="12" w:space="0" w:color="auto"/>
              <w:left w:val="nil"/>
              <w:bottom w:val="single" w:sz="12" w:space="0" w:color="000000"/>
              <w:right w:val="nil"/>
              <w:tl2br w:val="nil"/>
              <w:tr2bl w:val="nil"/>
            </w:tcBorders>
            <w:shd w:val="clear" w:color="FFFFFF" w:fill="FFFFFF"/>
            <w:tcMar>
              <w:left w:w="40" w:type="dxa"/>
              <w:right w:w="40" w:type="dxa"/>
            </w:tcMar>
          </w:tcPr>
          <w:p w14:paraId="0EDC06BF"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w:t>
            </w:r>
          </w:p>
          <w:p w14:paraId="29FB824A"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000000"/>
              <w:right w:val="nil"/>
              <w:tl2br w:val="nil"/>
              <w:tr2bl w:val="nil"/>
            </w:tcBorders>
            <w:shd w:val="clear" w:color="FFFFFF" w:fill="FFFFFF"/>
            <w:tcMar>
              <w:left w:w="40" w:type="dxa"/>
              <w:right w:w="40" w:type="dxa"/>
            </w:tcMar>
          </w:tcPr>
          <w:p w14:paraId="30C20D80"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p w14:paraId="1F8CBF51" w14:textId="77777777" w:rsidR="005468DD" w:rsidRPr="005E3B44" w:rsidRDefault="005468DD" w:rsidP="00D811FD">
            <w:pPr>
              <w:pStyle w:val="Normal1"/>
              <w:jc w:val="right"/>
              <w:rPr>
                <w:rFonts w:asciiTheme="minorHAnsi" w:eastAsia="Calibri" w:hAnsiTheme="minorHAnsi" w:cstheme="minorHAnsi"/>
                <w:b/>
                <w:color w:val="000000"/>
                <w:sz w:val="18"/>
              </w:rPr>
            </w:pPr>
          </w:p>
          <w:p w14:paraId="75945BC4"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000000"/>
              <w:right w:val="nil"/>
              <w:tl2br w:val="nil"/>
              <w:tr2bl w:val="nil"/>
            </w:tcBorders>
            <w:shd w:val="clear" w:color="FFFFFF" w:fill="FFFFFF"/>
            <w:tcMar>
              <w:left w:w="40" w:type="dxa"/>
              <w:right w:w="40" w:type="dxa"/>
            </w:tcMar>
          </w:tcPr>
          <w:p w14:paraId="57916A22"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 Estimate</w:t>
            </w:r>
          </w:p>
          <w:p w14:paraId="00A184FB" w14:textId="77777777" w:rsidR="005468DD" w:rsidRPr="005E3B44" w:rsidRDefault="005468DD" w:rsidP="00D811FD">
            <w:pPr>
              <w:pStyle w:val="Normal1"/>
              <w:jc w:val="right"/>
              <w:rPr>
                <w:rFonts w:asciiTheme="minorHAnsi" w:eastAsia="Calibri" w:hAnsiTheme="minorHAnsi" w:cstheme="minorHAnsi"/>
                <w:b/>
                <w:color w:val="000000"/>
                <w:sz w:val="18"/>
              </w:rPr>
            </w:pPr>
          </w:p>
          <w:p w14:paraId="4F773081"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000000"/>
              <w:right w:val="nil"/>
              <w:tl2br w:val="nil"/>
              <w:tr2bl w:val="nil"/>
            </w:tcBorders>
            <w:shd w:val="clear" w:color="FFFFFF" w:fill="FFFFFF"/>
            <w:tcMar>
              <w:left w:w="40" w:type="dxa"/>
              <w:right w:w="40" w:type="dxa"/>
            </w:tcMar>
          </w:tcPr>
          <w:p w14:paraId="2A8C9BDC"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 Estimate</w:t>
            </w:r>
          </w:p>
          <w:p w14:paraId="6F440170" w14:textId="77777777" w:rsidR="005468DD" w:rsidRPr="005E3B44" w:rsidRDefault="005468DD" w:rsidP="00D811FD">
            <w:pPr>
              <w:pStyle w:val="Normal1"/>
              <w:jc w:val="right"/>
              <w:rPr>
                <w:rFonts w:asciiTheme="minorHAnsi" w:eastAsia="Calibri" w:hAnsiTheme="minorHAnsi" w:cstheme="minorHAnsi"/>
                <w:b/>
                <w:color w:val="000000"/>
                <w:sz w:val="18"/>
              </w:rPr>
            </w:pPr>
          </w:p>
          <w:p w14:paraId="1EF82092"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000000"/>
              <w:right w:val="nil"/>
              <w:tl2br w:val="nil"/>
              <w:tr2bl w:val="nil"/>
            </w:tcBorders>
            <w:shd w:val="clear" w:color="FFFFFF" w:fill="FFFFFF"/>
            <w:tcMar>
              <w:left w:w="40" w:type="dxa"/>
              <w:right w:w="40" w:type="dxa"/>
            </w:tcMar>
          </w:tcPr>
          <w:p w14:paraId="300656AF"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 Estimate</w:t>
            </w:r>
          </w:p>
          <w:p w14:paraId="7E3842A6" w14:textId="77777777" w:rsidR="005468DD" w:rsidRPr="005E3B44" w:rsidRDefault="005468DD" w:rsidP="00D811FD">
            <w:pPr>
              <w:pStyle w:val="Normal1"/>
              <w:jc w:val="right"/>
              <w:rPr>
                <w:rFonts w:asciiTheme="minorHAnsi" w:eastAsia="Calibri" w:hAnsiTheme="minorHAnsi" w:cstheme="minorHAnsi"/>
                <w:b/>
                <w:color w:val="000000"/>
                <w:sz w:val="18"/>
              </w:rPr>
            </w:pPr>
          </w:p>
          <w:p w14:paraId="4F61DAA8" w14:textId="77777777" w:rsidR="005468DD" w:rsidRPr="005E3B44" w:rsidRDefault="005468DD" w:rsidP="00D811FD">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46D538E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66F0B0DC" w14:textId="5588CA98" w:rsidR="002242F3" w:rsidRPr="005E3B44" w:rsidRDefault="002242F3" w:rsidP="00850126">
            <w:pPr>
              <w:pStyle w:val="Normal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Offset — ACT Law Courts Upgrade</w:t>
            </w:r>
          </w:p>
        </w:tc>
        <w:tc>
          <w:tcPr>
            <w:tcW w:w="1110" w:type="dxa"/>
            <w:tcBorders>
              <w:top w:val="nil"/>
              <w:left w:val="nil"/>
              <w:bottom w:val="nil"/>
              <w:right w:val="nil"/>
              <w:tl2br w:val="nil"/>
              <w:tr2bl w:val="nil"/>
            </w:tcBorders>
            <w:shd w:val="clear" w:color="auto" w:fill="auto"/>
            <w:noWrap/>
            <w:tcMar>
              <w:left w:w="40" w:type="dxa"/>
              <w:right w:w="100" w:type="dxa"/>
            </w:tcMar>
          </w:tcPr>
          <w:p w14:paraId="3ABDC64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D6B9FC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1035" w:type="dxa"/>
            <w:tcBorders>
              <w:top w:val="nil"/>
              <w:left w:val="nil"/>
              <w:bottom w:val="nil"/>
              <w:right w:val="nil"/>
              <w:tl2br w:val="nil"/>
              <w:tr2bl w:val="nil"/>
            </w:tcBorders>
            <w:shd w:val="clear" w:color="auto" w:fill="auto"/>
            <w:noWrap/>
            <w:tcMar>
              <w:left w:w="40" w:type="dxa"/>
              <w:right w:w="100" w:type="dxa"/>
            </w:tcMar>
          </w:tcPr>
          <w:p w14:paraId="44DC776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8DE289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DC76E0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C59C76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CF56D8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Remuneration Tribunal</w:t>
            </w:r>
          </w:p>
        </w:tc>
        <w:tc>
          <w:tcPr>
            <w:tcW w:w="1110" w:type="dxa"/>
            <w:tcBorders>
              <w:top w:val="nil"/>
              <w:left w:val="nil"/>
              <w:bottom w:val="nil"/>
              <w:right w:val="nil"/>
              <w:tl2br w:val="nil"/>
              <w:tr2bl w:val="nil"/>
            </w:tcBorders>
            <w:shd w:val="clear" w:color="auto" w:fill="auto"/>
            <w:noWrap/>
            <w:tcMar>
              <w:left w:w="40" w:type="dxa"/>
              <w:right w:w="100" w:type="dxa"/>
            </w:tcMar>
          </w:tcPr>
          <w:p w14:paraId="6E78C6C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A6F03E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c>
          <w:tcPr>
            <w:tcW w:w="1035" w:type="dxa"/>
            <w:tcBorders>
              <w:top w:val="nil"/>
              <w:left w:val="nil"/>
              <w:bottom w:val="nil"/>
              <w:right w:val="nil"/>
              <w:tl2br w:val="nil"/>
              <w:tr2bl w:val="nil"/>
            </w:tcBorders>
            <w:shd w:val="clear" w:color="auto" w:fill="auto"/>
            <w:noWrap/>
            <w:tcMar>
              <w:left w:w="40" w:type="dxa"/>
              <w:right w:w="100" w:type="dxa"/>
            </w:tcMar>
          </w:tcPr>
          <w:p w14:paraId="7FF6A57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c>
          <w:tcPr>
            <w:tcW w:w="1035" w:type="dxa"/>
            <w:tcBorders>
              <w:top w:val="nil"/>
              <w:left w:val="nil"/>
              <w:bottom w:val="nil"/>
              <w:right w:val="nil"/>
              <w:tl2br w:val="nil"/>
              <w:tr2bl w:val="nil"/>
            </w:tcBorders>
            <w:shd w:val="clear" w:color="auto" w:fill="auto"/>
            <w:noWrap/>
            <w:tcMar>
              <w:left w:w="40" w:type="dxa"/>
              <w:right w:w="100" w:type="dxa"/>
            </w:tcMar>
          </w:tcPr>
          <w:p w14:paraId="3437990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c>
          <w:tcPr>
            <w:tcW w:w="1035" w:type="dxa"/>
            <w:tcBorders>
              <w:top w:val="nil"/>
              <w:left w:val="nil"/>
              <w:bottom w:val="nil"/>
              <w:right w:val="nil"/>
              <w:tl2br w:val="nil"/>
              <w:tr2bl w:val="nil"/>
            </w:tcBorders>
            <w:shd w:val="clear" w:color="auto" w:fill="auto"/>
            <w:noWrap/>
            <w:tcMar>
              <w:left w:w="40" w:type="dxa"/>
              <w:right w:w="100" w:type="dxa"/>
            </w:tcMar>
          </w:tcPr>
          <w:p w14:paraId="53F7969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r>
      <w:tr w:rsidR="002242F3" w:rsidRPr="005E3B44" w14:paraId="32EC28D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B445186" w14:textId="77777777" w:rsidR="002242F3" w:rsidRPr="005E3B44" w:rsidRDefault="002242F3" w:rsidP="005E3B44">
            <w:pPr>
              <w:pStyle w:val="Normal1"/>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Revised Funding Profile</w:t>
            </w:r>
          </w:p>
        </w:tc>
        <w:tc>
          <w:tcPr>
            <w:tcW w:w="1110" w:type="dxa"/>
            <w:tcBorders>
              <w:top w:val="nil"/>
              <w:left w:val="nil"/>
              <w:bottom w:val="nil"/>
              <w:right w:val="nil"/>
              <w:tl2br w:val="nil"/>
              <w:tr2bl w:val="nil"/>
            </w:tcBorders>
            <w:shd w:val="clear" w:color="auto" w:fill="auto"/>
            <w:noWrap/>
            <w:tcMar>
              <w:left w:w="0" w:type="dxa"/>
              <w:right w:w="0" w:type="dxa"/>
            </w:tcMar>
          </w:tcPr>
          <w:p w14:paraId="06F872FA"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45F8683"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FB81113"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373FCAA"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3B0DBC8"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659FB3F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28E7F895"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protective equipment for ACT firefighters</w:t>
            </w:r>
          </w:p>
        </w:tc>
        <w:tc>
          <w:tcPr>
            <w:tcW w:w="1110" w:type="dxa"/>
            <w:tcBorders>
              <w:top w:val="nil"/>
              <w:left w:val="nil"/>
              <w:bottom w:val="nil"/>
              <w:right w:val="nil"/>
              <w:tl2br w:val="nil"/>
              <w:tr2bl w:val="nil"/>
            </w:tcBorders>
            <w:shd w:val="clear" w:color="auto" w:fill="auto"/>
            <w:noWrap/>
            <w:tcMar>
              <w:left w:w="40" w:type="dxa"/>
              <w:right w:w="100" w:type="dxa"/>
            </w:tcMar>
          </w:tcPr>
          <w:p w14:paraId="6638273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-566</w:t>
            </w:r>
          </w:p>
        </w:tc>
        <w:tc>
          <w:tcPr>
            <w:tcW w:w="1035" w:type="dxa"/>
            <w:tcBorders>
              <w:top w:val="nil"/>
              <w:left w:val="nil"/>
              <w:bottom w:val="nil"/>
              <w:right w:val="nil"/>
              <w:tl2br w:val="nil"/>
              <w:tr2bl w:val="nil"/>
            </w:tcBorders>
            <w:shd w:val="clear" w:color="auto" w:fill="auto"/>
            <w:noWrap/>
            <w:tcMar>
              <w:left w:w="40" w:type="dxa"/>
              <w:right w:w="100" w:type="dxa"/>
            </w:tcMar>
          </w:tcPr>
          <w:p w14:paraId="134681C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566</w:t>
            </w:r>
          </w:p>
        </w:tc>
        <w:tc>
          <w:tcPr>
            <w:tcW w:w="1035" w:type="dxa"/>
            <w:tcBorders>
              <w:top w:val="nil"/>
              <w:left w:val="nil"/>
              <w:bottom w:val="nil"/>
              <w:right w:val="nil"/>
              <w:tl2br w:val="nil"/>
              <w:tr2bl w:val="nil"/>
            </w:tcBorders>
            <w:shd w:val="clear" w:color="auto" w:fill="auto"/>
            <w:noWrap/>
            <w:tcMar>
              <w:left w:w="40" w:type="dxa"/>
              <w:right w:w="100" w:type="dxa"/>
            </w:tcMar>
          </w:tcPr>
          <w:p w14:paraId="12EDFD6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F1FE64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5D348E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7AB7694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3AC79E23"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supporting vulnerable witnesses</w:t>
            </w:r>
          </w:p>
        </w:tc>
        <w:tc>
          <w:tcPr>
            <w:tcW w:w="1110" w:type="dxa"/>
            <w:tcBorders>
              <w:top w:val="nil"/>
              <w:left w:val="nil"/>
              <w:bottom w:val="nil"/>
              <w:right w:val="nil"/>
              <w:tl2br w:val="nil"/>
              <w:tr2bl w:val="nil"/>
            </w:tcBorders>
            <w:shd w:val="clear" w:color="auto" w:fill="auto"/>
            <w:noWrap/>
            <w:tcMar>
              <w:left w:w="40" w:type="dxa"/>
              <w:right w:w="100" w:type="dxa"/>
            </w:tcMar>
          </w:tcPr>
          <w:p w14:paraId="170A804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08E7FC4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46C643D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F25D90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A041C1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00B2A2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695007AA"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Building Strong Connected Neighbourhoods</w:t>
            </w:r>
          </w:p>
        </w:tc>
        <w:tc>
          <w:tcPr>
            <w:tcW w:w="1110" w:type="dxa"/>
            <w:tcBorders>
              <w:top w:val="nil"/>
              <w:left w:val="nil"/>
              <w:bottom w:val="nil"/>
              <w:right w:val="nil"/>
              <w:tl2br w:val="nil"/>
              <w:tr2bl w:val="nil"/>
            </w:tcBorders>
            <w:shd w:val="clear" w:color="auto" w:fill="auto"/>
            <w:noWrap/>
            <w:tcMar>
              <w:left w:w="40" w:type="dxa"/>
              <w:right w:w="100" w:type="dxa"/>
            </w:tcMar>
          </w:tcPr>
          <w:p w14:paraId="3E42EA4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w:t>
            </w:r>
          </w:p>
        </w:tc>
        <w:tc>
          <w:tcPr>
            <w:tcW w:w="1035" w:type="dxa"/>
            <w:tcBorders>
              <w:top w:val="nil"/>
              <w:left w:val="nil"/>
              <w:bottom w:val="nil"/>
              <w:right w:val="nil"/>
              <w:tl2br w:val="nil"/>
              <w:tr2bl w:val="nil"/>
            </w:tcBorders>
            <w:shd w:val="clear" w:color="auto" w:fill="auto"/>
            <w:noWrap/>
            <w:tcMar>
              <w:left w:w="40" w:type="dxa"/>
              <w:right w:w="100" w:type="dxa"/>
            </w:tcMar>
          </w:tcPr>
          <w:p w14:paraId="2822D11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w:t>
            </w:r>
          </w:p>
        </w:tc>
        <w:tc>
          <w:tcPr>
            <w:tcW w:w="1035" w:type="dxa"/>
            <w:tcBorders>
              <w:top w:val="nil"/>
              <w:left w:val="nil"/>
              <w:bottom w:val="nil"/>
              <w:right w:val="nil"/>
              <w:tl2br w:val="nil"/>
              <w:tr2bl w:val="nil"/>
            </w:tcBorders>
            <w:shd w:val="clear" w:color="auto" w:fill="auto"/>
            <w:noWrap/>
            <w:tcMar>
              <w:left w:w="40" w:type="dxa"/>
              <w:right w:w="100" w:type="dxa"/>
            </w:tcMar>
          </w:tcPr>
          <w:p w14:paraId="5ABBCEF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1FEFC3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E1ED62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A75E09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275C0D28"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Charter of Victims and additional support for victims of crime</w:t>
            </w:r>
          </w:p>
        </w:tc>
        <w:tc>
          <w:tcPr>
            <w:tcW w:w="1110" w:type="dxa"/>
            <w:tcBorders>
              <w:top w:val="nil"/>
              <w:left w:val="nil"/>
              <w:bottom w:val="nil"/>
              <w:right w:val="nil"/>
              <w:tl2br w:val="nil"/>
              <w:tr2bl w:val="nil"/>
            </w:tcBorders>
            <w:shd w:val="clear" w:color="auto" w:fill="auto"/>
            <w:noWrap/>
            <w:tcMar>
              <w:left w:w="40" w:type="dxa"/>
              <w:right w:w="100" w:type="dxa"/>
            </w:tcMar>
          </w:tcPr>
          <w:p w14:paraId="117170D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w:t>
            </w:r>
          </w:p>
        </w:tc>
        <w:tc>
          <w:tcPr>
            <w:tcW w:w="1035" w:type="dxa"/>
            <w:tcBorders>
              <w:top w:val="nil"/>
              <w:left w:val="nil"/>
              <w:bottom w:val="nil"/>
              <w:right w:val="nil"/>
              <w:tl2br w:val="nil"/>
              <w:tr2bl w:val="nil"/>
            </w:tcBorders>
            <w:shd w:val="clear" w:color="auto" w:fill="auto"/>
            <w:noWrap/>
            <w:tcMar>
              <w:left w:w="40" w:type="dxa"/>
              <w:right w:w="100" w:type="dxa"/>
            </w:tcMar>
          </w:tcPr>
          <w:p w14:paraId="4803335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w:t>
            </w:r>
          </w:p>
        </w:tc>
        <w:tc>
          <w:tcPr>
            <w:tcW w:w="1035" w:type="dxa"/>
            <w:tcBorders>
              <w:top w:val="nil"/>
              <w:left w:val="nil"/>
              <w:bottom w:val="nil"/>
              <w:right w:val="nil"/>
              <w:tl2br w:val="nil"/>
              <w:tr2bl w:val="nil"/>
            </w:tcBorders>
            <w:shd w:val="clear" w:color="auto" w:fill="auto"/>
            <w:noWrap/>
            <w:tcMar>
              <w:left w:w="40" w:type="dxa"/>
              <w:right w:w="100" w:type="dxa"/>
            </w:tcMar>
          </w:tcPr>
          <w:p w14:paraId="3DD44EE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4E4527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63C181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17D447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3734A77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Disaster Risk Reduction</w:t>
            </w:r>
          </w:p>
        </w:tc>
        <w:tc>
          <w:tcPr>
            <w:tcW w:w="1110" w:type="dxa"/>
            <w:tcBorders>
              <w:top w:val="nil"/>
              <w:left w:val="nil"/>
              <w:bottom w:val="nil"/>
              <w:right w:val="nil"/>
              <w:tl2br w:val="nil"/>
              <w:tr2bl w:val="nil"/>
            </w:tcBorders>
            <w:shd w:val="clear" w:color="auto" w:fill="auto"/>
            <w:noWrap/>
            <w:tcMar>
              <w:left w:w="40" w:type="dxa"/>
              <w:right w:w="100" w:type="dxa"/>
            </w:tcMar>
          </w:tcPr>
          <w:p w14:paraId="7A0A429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-1,134</w:t>
            </w:r>
          </w:p>
        </w:tc>
        <w:tc>
          <w:tcPr>
            <w:tcW w:w="1035" w:type="dxa"/>
            <w:tcBorders>
              <w:top w:val="nil"/>
              <w:left w:val="nil"/>
              <w:bottom w:val="nil"/>
              <w:right w:val="nil"/>
              <w:tl2br w:val="nil"/>
              <w:tr2bl w:val="nil"/>
            </w:tcBorders>
            <w:shd w:val="clear" w:color="auto" w:fill="auto"/>
            <w:noWrap/>
            <w:tcMar>
              <w:left w:w="40" w:type="dxa"/>
              <w:right w:w="100" w:type="dxa"/>
            </w:tcMar>
          </w:tcPr>
          <w:p w14:paraId="76A8C4E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1,134</w:t>
            </w:r>
          </w:p>
        </w:tc>
        <w:tc>
          <w:tcPr>
            <w:tcW w:w="1035" w:type="dxa"/>
            <w:tcBorders>
              <w:top w:val="nil"/>
              <w:left w:val="nil"/>
              <w:bottom w:val="nil"/>
              <w:right w:val="nil"/>
              <w:tl2br w:val="nil"/>
              <w:tr2bl w:val="nil"/>
            </w:tcBorders>
            <w:shd w:val="clear" w:color="auto" w:fill="auto"/>
            <w:noWrap/>
            <w:tcMar>
              <w:left w:w="40" w:type="dxa"/>
              <w:right w:w="100" w:type="dxa"/>
            </w:tcMar>
          </w:tcPr>
          <w:p w14:paraId="439711C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593131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64FE12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CD4F1B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3DB7BADB"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Grant — Natural Disaster Resilience Program</w:t>
            </w:r>
          </w:p>
        </w:tc>
        <w:tc>
          <w:tcPr>
            <w:tcW w:w="1110" w:type="dxa"/>
            <w:tcBorders>
              <w:top w:val="nil"/>
              <w:left w:val="nil"/>
              <w:bottom w:val="nil"/>
              <w:right w:val="nil"/>
              <w:tl2br w:val="nil"/>
              <w:tr2bl w:val="nil"/>
            </w:tcBorders>
            <w:shd w:val="clear" w:color="auto" w:fill="auto"/>
            <w:noWrap/>
            <w:tcMar>
              <w:left w:w="40" w:type="dxa"/>
              <w:right w:w="100" w:type="dxa"/>
            </w:tcMar>
          </w:tcPr>
          <w:p w14:paraId="4C883D8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w:t>
            </w:r>
          </w:p>
        </w:tc>
        <w:tc>
          <w:tcPr>
            <w:tcW w:w="1035" w:type="dxa"/>
            <w:tcBorders>
              <w:top w:val="nil"/>
              <w:left w:val="nil"/>
              <w:bottom w:val="nil"/>
              <w:right w:val="nil"/>
              <w:tl2br w:val="nil"/>
              <w:tr2bl w:val="nil"/>
            </w:tcBorders>
            <w:shd w:val="clear" w:color="auto" w:fill="auto"/>
            <w:noWrap/>
            <w:tcMar>
              <w:left w:w="40" w:type="dxa"/>
              <w:right w:w="100" w:type="dxa"/>
            </w:tcMar>
          </w:tcPr>
          <w:p w14:paraId="21AE0EE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w:t>
            </w:r>
          </w:p>
        </w:tc>
        <w:tc>
          <w:tcPr>
            <w:tcW w:w="1035" w:type="dxa"/>
            <w:tcBorders>
              <w:top w:val="nil"/>
              <w:left w:val="nil"/>
              <w:bottom w:val="nil"/>
              <w:right w:val="nil"/>
              <w:tl2br w:val="nil"/>
              <w:tr2bl w:val="nil"/>
            </w:tcBorders>
            <w:shd w:val="clear" w:color="auto" w:fill="auto"/>
            <w:noWrap/>
            <w:tcMar>
              <w:left w:w="40" w:type="dxa"/>
              <w:right w:w="100" w:type="dxa"/>
            </w:tcMar>
          </w:tcPr>
          <w:p w14:paraId="2D7FAFF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68E084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1E016B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F20263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40496433"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Community Clubs Ministerial Advisory Council</w:t>
            </w:r>
          </w:p>
        </w:tc>
        <w:tc>
          <w:tcPr>
            <w:tcW w:w="1110" w:type="dxa"/>
            <w:tcBorders>
              <w:top w:val="nil"/>
              <w:left w:val="nil"/>
              <w:bottom w:val="nil"/>
              <w:right w:val="nil"/>
              <w:tl2br w:val="nil"/>
              <w:tr2bl w:val="nil"/>
            </w:tcBorders>
            <w:shd w:val="clear" w:color="auto" w:fill="auto"/>
            <w:noWrap/>
            <w:tcMar>
              <w:left w:w="40" w:type="dxa"/>
              <w:right w:w="100" w:type="dxa"/>
            </w:tcMar>
          </w:tcPr>
          <w:p w14:paraId="5A95E24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035" w:type="dxa"/>
            <w:tcBorders>
              <w:top w:val="nil"/>
              <w:left w:val="nil"/>
              <w:bottom w:val="nil"/>
              <w:right w:val="nil"/>
              <w:tl2br w:val="nil"/>
              <w:tr2bl w:val="nil"/>
            </w:tcBorders>
            <w:shd w:val="clear" w:color="auto" w:fill="auto"/>
            <w:noWrap/>
            <w:tcMar>
              <w:left w:w="40" w:type="dxa"/>
              <w:right w:w="100" w:type="dxa"/>
            </w:tcMar>
          </w:tcPr>
          <w:p w14:paraId="4315966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035" w:type="dxa"/>
            <w:tcBorders>
              <w:top w:val="nil"/>
              <w:left w:val="nil"/>
              <w:bottom w:val="nil"/>
              <w:right w:val="nil"/>
              <w:tl2br w:val="nil"/>
              <w:tr2bl w:val="nil"/>
            </w:tcBorders>
            <w:shd w:val="clear" w:color="auto" w:fill="auto"/>
            <w:noWrap/>
            <w:tcMar>
              <w:left w:w="40" w:type="dxa"/>
              <w:right w:w="100" w:type="dxa"/>
            </w:tcMar>
          </w:tcPr>
          <w:p w14:paraId="2E37CF8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E20326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43B39A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A9FB5C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nil"/>
              <w:right w:val="nil"/>
              <w:tl2br w:val="nil"/>
              <w:tr2bl w:val="nil"/>
            </w:tcBorders>
            <w:shd w:val="clear" w:color="auto" w:fill="auto"/>
            <w:noWrap/>
            <w:tcMar>
              <w:left w:w="175" w:type="dxa"/>
              <w:right w:w="40" w:type="dxa"/>
            </w:tcMar>
          </w:tcPr>
          <w:p w14:paraId="5F66142B"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Courts Public Private Partnership</w:t>
            </w:r>
          </w:p>
        </w:tc>
        <w:tc>
          <w:tcPr>
            <w:tcW w:w="1110" w:type="dxa"/>
            <w:tcBorders>
              <w:top w:val="nil"/>
              <w:left w:val="nil"/>
              <w:bottom w:val="nil"/>
              <w:right w:val="nil"/>
              <w:tl2br w:val="nil"/>
              <w:tr2bl w:val="nil"/>
            </w:tcBorders>
            <w:shd w:val="clear" w:color="auto" w:fill="auto"/>
            <w:noWrap/>
            <w:tcMar>
              <w:left w:w="40" w:type="dxa"/>
              <w:right w:w="100" w:type="dxa"/>
            </w:tcMar>
          </w:tcPr>
          <w:p w14:paraId="6A20A4D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1035" w:type="dxa"/>
            <w:tcBorders>
              <w:top w:val="nil"/>
              <w:left w:val="nil"/>
              <w:bottom w:val="nil"/>
              <w:right w:val="nil"/>
              <w:tl2br w:val="nil"/>
              <w:tr2bl w:val="nil"/>
            </w:tcBorders>
            <w:shd w:val="clear" w:color="auto" w:fill="auto"/>
            <w:noWrap/>
            <w:tcMar>
              <w:left w:w="40" w:type="dxa"/>
              <w:right w:w="100" w:type="dxa"/>
            </w:tcMar>
          </w:tcPr>
          <w:p w14:paraId="015FAEA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1035" w:type="dxa"/>
            <w:tcBorders>
              <w:top w:val="nil"/>
              <w:left w:val="nil"/>
              <w:bottom w:val="nil"/>
              <w:right w:val="nil"/>
              <w:tl2br w:val="nil"/>
              <w:tr2bl w:val="nil"/>
            </w:tcBorders>
            <w:shd w:val="clear" w:color="auto" w:fill="auto"/>
            <w:noWrap/>
            <w:tcMar>
              <w:left w:w="40" w:type="dxa"/>
              <w:right w:w="100" w:type="dxa"/>
            </w:tcMar>
          </w:tcPr>
          <w:p w14:paraId="4EBD315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B1B82B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971B7A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74A702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7C0E200F"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Disability Justice Strategy</w:t>
            </w:r>
          </w:p>
        </w:tc>
        <w:tc>
          <w:tcPr>
            <w:tcW w:w="1110" w:type="dxa"/>
            <w:tcBorders>
              <w:top w:val="nil"/>
              <w:left w:val="nil"/>
              <w:bottom w:val="nil"/>
              <w:right w:val="nil"/>
              <w:tl2br w:val="nil"/>
              <w:tr2bl w:val="nil"/>
            </w:tcBorders>
            <w:shd w:val="clear" w:color="auto" w:fill="auto"/>
            <w:noWrap/>
            <w:tcMar>
              <w:left w:w="40" w:type="dxa"/>
              <w:right w:w="100" w:type="dxa"/>
            </w:tcMar>
          </w:tcPr>
          <w:p w14:paraId="44F0CE3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-139</w:t>
            </w:r>
          </w:p>
        </w:tc>
        <w:tc>
          <w:tcPr>
            <w:tcW w:w="1035" w:type="dxa"/>
            <w:tcBorders>
              <w:top w:val="nil"/>
              <w:left w:val="nil"/>
              <w:bottom w:val="nil"/>
              <w:right w:val="nil"/>
              <w:tl2br w:val="nil"/>
              <w:tr2bl w:val="nil"/>
            </w:tcBorders>
            <w:shd w:val="clear" w:color="auto" w:fill="auto"/>
            <w:noWrap/>
            <w:tcMar>
              <w:left w:w="40" w:type="dxa"/>
              <w:right w:w="100" w:type="dxa"/>
            </w:tcMar>
          </w:tcPr>
          <w:p w14:paraId="6523199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139</w:t>
            </w:r>
          </w:p>
        </w:tc>
        <w:tc>
          <w:tcPr>
            <w:tcW w:w="1035" w:type="dxa"/>
            <w:tcBorders>
              <w:top w:val="nil"/>
              <w:left w:val="nil"/>
              <w:bottom w:val="nil"/>
              <w:right w:val="nil"/>
              <w:tl2br w:val="nil"/>
              <w:tr2bl w:val="nil"/>
            </w:tcBorders>
            <w:shd w:val="clear" w:color="auto" w:fill="auto"/>
            <w:noWrap/>
            <w:tcMar>
              <w:left w:w="40" w:type="dxa"/>
              <w:right w:w="100" w:type="dxa"/>
            </w:tcMar>
          </w:tcPr>
          <w:p w14:paraId="0E9AD13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458E66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18BB27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505CD8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nil"/>
              <w:right w:val="nil"/>
              <w:tl2br w:val="nil"/>
              <w:tr2bl w:val="nil"/>
            </w:tcBorders>
            <w:shd w:val="clear" w:color="auto" w:fill="auto"/>
            <w:noWrap/>
            <w:tcMar>
              <w:left w:w="175" w:type="dxa"/>
              <w:right w:w="40" w:type="dxa"/>
            </w:tcMar>
          </w:tcPr>
          <w:p w14:paraId="6DBD3160"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Increased Magistrates Court resourcing</w:t>
            </w:r>
          </w:p>
        </w:tc>
        <w:tc>
          <w:tcPr>
            <w:tcW w:w="1110" w:type="dxa"/>
            <w:tcBorders>
              <w:top w:val="nil"/>
              <w:left w:val="nil"/>
              <w:bottom w:val="nil"/>
              <w:right w:val="nil"/>
              <w:tl2br w:val="nil"/>
              <w:tr2bl w:val="nil"/>
            </w:tcBorders>
            <w:shd w:val="clear" w:color="auto" w:fill="auto"/>
            <w:noWrap/>
            <w:tcMar>
              <w:left w:w="40" w:type="dxa"/>
              <w:right w:w="100" w:type="dxa"/>
            </w:tcMar>
          </w:tcPr>
          <w:p w14:paraId="0E1C2C5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-121</w:t>
            </w:r>
          </w:p>
        </w:tc>
        <w:tc>
          <w:tcPr>
            <w:tcW w:w="1035" w:type="dxa"/>
            <w:tcBorders>
              <w:top w:val="nil"/>
              <w:left w:val="nil"/>
              <w:bottom w:val="nil"/>
              <w:right w:val="nil"/>
              <w:tl2br w:val="nil"/>
              <w:tr2bl w:val="nil"/>
            </w:tcBorders>
            <w:shd w:val="clear" w:color="auto" w:fill="auto"/>
            <w:noWrap/>
            <w:tcMar>
              <w:left w:w="40" w:type="dxa"/>
              <w:right w:w="100" w:type="dxa"/>
            </w:tcMar>
          </w:tcPr>
          <w:p w14:paraId="69DD877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121</w:t>
            </w:r>
          </w:p>
        </w:tc>
        <w:tc>
          <w:tcPr>
            <w:tcW w:w="1035" w:type="dxa"/>
            <w:tcBorders>
              <w:top w:val="nil"/>
              <w:left w:val="nil"/>
              <w:bottom w:val="nil"/>
              <w:right w:val="nil"/>
              <w:tl2br w:val="nil"/>
              <w:tr2bl w:val="nil"/>
            </w:tcBorders>
            <w:shd w:val="clear" w:color="auto" w:fill="auto"/>
            <w:noWrap/>
            <w:tcMar>
              <w:left w:w="40" w:type="dxa"/>
              <w:right w:w="100" w:type="dxa"/>
            </w:tcMar>
          </w:tcPr>
          <w:p w14:paraId="72A341E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C248BB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111DAD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2C29D2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0AA9FF26"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Increasing opportunities for Aboriginal and Torres Strait Islander people involved with the justice system </w:t>
            </w:r>
          </w:p>
        </w:tc>
        <w:tc>
          <w:tcPr>
            <w:tcW w:w="1110" w:type="dxa"/>
            <w:tcBorders>
              <w:top w:val="nil"/>
              <w:left w:val="nil"/>
              <w:bottom w:val="nil"/>
              <w:right w:val="nil"/>
              <w:tl2br w:val="nil"/>
              <w:tr2bl w:val="nil"/>
            </w:tcBorders>
            <w:shd w:val="clear" w:color="auto" w:fill="auto"/>
            <w:noWrap/>
            <w:tcMar>
              <w:left w:w="40" w:type="dxa"/>
              <w:right w:w="100" w:type="dxa"/>
            </w:tcMar>
          </w:tcPr>
          <w:p w14:paraId="36ADFF2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-280</w:t>
            </w:r>
          </w:p>
        </w:tc>
        <w:tc>
          <w:tcPr>
            <w:tcW w:w="1035" w:type="dxa"/>
            <w:tcBorders>
              <w:top w:val="nil"/>
              <w:left w:val="nil"/>
              <w:bottom w:val="nil"/>
              <w:right w:val="nil"/>
              <w:tl2br w:val="nil"/>
              <w:tr2bl w:val="nil"/>
            </w:tcBorders>
            <w:shd w:val="clear" w:color="auto" w:fill="auto"/>
            <w:noWrap/>
            <w:tcMar>
              <w:left w:w="40" w:type="dxa"/>
              <w:right w:w="100" w:type="dxa"/>
            </w:tcMar>
          </w:tcPr>
          <w:p w14:paraId="4C21D39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280</w:t>
            </w:r>
          </w:p>
        </w:tc>
        <w:tc>
          <w:tcPr>
            <w:tcW w:w="1035" w:type="dxa"/>
            <w:tcBorders>
              <w:top w:val="nil"/>
              <w:left w:val="nil"/>
              <w:bottom w:val="nil"/>
              <w:right w:val="nil"/>
              <w:tl2br w:val="nil"/>
              <w:tr2bl w:val="nil"/>
            </w:tcBorders>
            <w:shd w:val="clear" w:color="auto" w:fill="auto"/>
            <w:noWrap/>
            <w:tcMar>
              <w:left w:w="40" w:type="dxa"/>
              <w:right w:w="100" w:type="dxa"/>
            </w:tcMar>
          </w:tcPr>
          <w:p w14:paraId="48BFBEB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F056C4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E17667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5CD540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6F13A44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Management and remediation firefighting substances at Fire Stations</w:t>
            </w:r>
          </w:p>
        </w:tc>
        <w:tc>
          <w:tcPr>
            <w:tcW w:w="1110" w:type="dxa"/>
            <w:tcBorders>
              <w:top w:val="nil"/>
              <w:left w:val="nil"/>
              <w:bottom w:val="nil"/>
              <w:right w:val="nil"/>
              <w:tl2br w:val="nil"/>
              <w:tr2bl w:val="nil"/>
            </w:tcBorders>
            <w:shd w:val="clear" w:color="auto" w:fill="auto"/>
            <w:noWrap/>
            <w:tcMar>
              <w:left w:w="40" w:type="dxa"/>
              <w:right w:w="100" w:type="dxa"/>
            </w:tcMar>
          </w:tcPr>
          <w:p w14:paraId="5F93149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-1,292</w:t>
            </w:r>
          </w:p>
        </w:tc>
        <w:tc>
          <w:tcPr>
            <w:tcW w:w="1035" w:type="dxa"/>
            <w:tcBorders>
              <w:top w:val="nil"/>
              <w:left w:val="nil"/>
              <w:bottom w:val="nil"/>
              <w:right w:val="nil"/>
              <w:tl2br w:val="nil"/>
              <w:tr2bl w:val="nil"/>
            </w:tcBorders>
            <w:shd w:val="clear" w:color="auto" w:fill="auto"/>
            <w:noWrap/>
            <w:tcMar>
              <w:left w:w="40" w:type="dxa"/>
              <w:right w:w="100" w:type="dxa"/>
            </w:tcMar>
          </w:tcPr>
          <w:p w14:paraId="288986A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1,292</w:t>
            </w:r>
          </w:p>
        </w:tc>
        <w:tc>
          <w:tcPr>
            <w:tcW w:w="1035" w:type="dxa"/>
            <w:tcBorders>
              <w:top w:val="nil"/>
              <w:left w:val="nil"/>
              <w:bottom w:val="nil"/>
              <w:right w:val="nil"/>
              <w:tl2br w:val="nil"/>
              <w:tr2bl w:val="nil"/>
            </w:tcBorders>
            <w:shd w:val="clear" w:color="auto" w:fill="auto"/>
            <w:noWrap/>
            <w:tcMar>
              <w:left w:w="40" w:type="dxa"/>
              <w:right w:w="100" w:type="dxa"/>
            </w:tcMar>
          </w:tcPr>
          <w:p w14:paraId="3EFF651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6D54A6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F94AD6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4FEDFC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511CB9C6"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Drug and Alcohol Court</w:t>
            </w:r>
          </w:p>
        </w:tc>
        <w:tc>
          <w:tcPr>
            <w:tcW w:w="1110" w:type="dxa"/>
            <w:tcBorders>
              <w:top w:val="nil"/>
              <w:left w:val="nil"/>
              <w:bottom w:val="nil"/>
              <w:right w:val="nil"/>
              <w:tl2br w:val="nil"/>
              <w:tr2bl w:val="nil"/>
            </w:tcBorders>
            <w:shd w:val="clear" w:color="auto" w:fill="auto"/>
            <w:noWrap/>
            <w:tcMar>
              <w:left w:w="40" w:type="dxa"/>
              <w:right w:w="100" w:type="dxa"/>
            </w:tcMar>
          </w:tcPr>
          <w:p w14:paraId="560FD41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w:t>
            </w:r>
          </w:p>
        </w:tc>
        <w:tc>
          <w:tcPr>
            <w:tcW w:w="1035" w:type="dxa"/>
            <w:tcBorders>
              <w:top w:val="nil"/>
              <w:left w:val="nil"/>
              <w:bottom w:val="nil"/>
              <w:right w:val="nil"/>
              <w:tl2br w:val="nil"/>
              <w:tr2bl w:val="nil"/>
            </w:tcBorders>
            <w:shd w:val="clear" w:color="auto" w:fill="auto"/>
            <w:noWrap/>
            <w:tcMar>
              <w:left w:w="40" w:type="dxa"/>
              <w:right w:w="100" w:type="dxa"/>
            </w:tcMar>
          </w:tcPr>
          <w:p w14:paraId="38487D8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w:t>
            </w:r>
          </w:p>
        </w:tc>
        <w:tc>
          <w:tcPr>
            <w:tcW w:w="1035" w:type="dxa"/>
            <w:tcBorders>
              <w:top w:val="nil"/>
              <w:left w:val="nil"/>
              <w:bottom w:val="nil"/>
              <w:right w:val="nil"/>
              <w:tl2br w:val="nil"/>
              <w:tr2bl w:val="nil"/>
            </w:tcBorders>
            <w:shd w:val="clear" w:color="auto" w:fill="auto"/>
            <w:noWrap/>
            <w:tcMar>
              <w:left w:w="40" w:type="dxa"/>
              <w:right w:w="100" w:type="dxa"/>
            </w:tcMar>
          </w:tcPr>
          <w:p w14:paraId="5004719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586ADF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ACD674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1436D8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60DB09B0"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Building Communities Not Prisons</w:t>
            </w:r>
          </w:p>
        </w:tc>
        <w:tc>
          <w:tcPr>
            <w:tcW w:w="1110" w:type="dxa"/>
            <w:tcBorders>
              <w:top w:val="nil"/>
              <w:left w:val="nil"/>
              <w:bottom w:val="nil"/>
              <w:right w:val="nil"/>
              <w:tl2br w:val="nil"/>
              <w:tr2bl w:val="nil"/>
            </w:tcBorders>
            <w:shd w:val="clear" w:color="auto" w:fill="auto"/>
            <w:noWrap/>
            <w:tcMar>
              <w:left w:w="40" w:type="dxa"/>
              <w:right w:w="100" w:type="dxa"/>
            </w:tcMar>
          </w:tcPr>
          <w:p w14:paraId="4E0F9A9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-393</w:t>
            </w:r>
          </w:p>
        </w:tc>
        <w:tc>
          <w:tcPr>
            <w:tcW w:w="1035" w:type="dxa"/>
            <w:tcBorders>
              <w:top w:val="nil"/>
              <w:left w:val="nil"/>
              <w:bottom w:val="nil"/>
              <w:right w:val="nil"/>
              <w:tl2br w:val="nil"/>
              <w:tr2bl w:val="nil"/>
            </w:tcBorders>
            <w:shd w:val="clear" w:color="auto" w:fill="auto"/>
            <w:noWrap/>
            <w:tcMar>
              <w:left w:w="40" w:type="dxa"/>
              <w:right w:w="100" w:type="dxa"/>
            </w:tcMar>
          </w:tcPr>
          <w:p w14:paraId="47A9D9F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189</w:t>
            </w:r>
          </w:p>
        </w:tc>
        <w:tc>
          <w:tcPr>
            <w:tcW w:w="1035" w:type="dxa"/>
            <w:tcBorders>
              <w:top w:val="nil"/>
              <w:left w:val="nil"/>
              <w:bottom w:val="nil"/>
              <w:right w:val="nil"/>
              <w:tl2br w:val="nil"/>
              <w:tr2bl w:val="nil"/>
            </w:tcBorders>
            <w:shd w:val="clear" w:color="auto" w:fill="auto"/>
            <w:noWrap/>
            <w:tcMar>
              <w:left w:w="40" w:type="dxa"/>
              <w:right w:w="100" w:type="dxa"/>
            </w:tcMar>
          </w:tcPr>
          <w:p w14:paraId="5A1C778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auto" w:fill="auto"/>
            <w:noWrap/>
            <w:tcMar>
              <w:left w:w="40" w:type="dxa"/>
              <w:right w:w="100" w:type="dxa"/>
            </w:tcMar>
          </w:tcPr>
          <w:p w14:paraId="112368B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209</w:t>
            </w:r>
          </w:p>
        </w:tc>
        <w:tc>
          <w:tcPr>
            <w:tcW w:w="1035" w:type="dxa"/>
            <w:tcBorders>
              <w:top w:val="nil"/>
              <w:left w:val="nil"/>
              <w:bottom w:val="nil"/>
              <w:right w:val="nil"/>
              <w:tl2br w:val="nil"/>
              <w:tr2bl w:val="nil"/>
            </w:tcBorders>
            <w:shd w:val="clear" w:color="auto" w:fill="auto"/>
            <w:noWrap/>
            <w:tcMar>
              <w:left w:w="40" w:type="dxa"/>
              <w:right w:w="100" w:type="dxa"/>
            </w:tcMar>
          </w:tcPr>
          <w:p w14:paraId="1674FE1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3812BF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32CD92FC"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Revised Indexation Parameters</w:t>
            </w:r>
          </w:p>
        </w:tc>
        <w:tc>
          <w:tcPr>
            <w:tcW w:w="1110" w:type="dxa"/>
            <w:tcBorders>
              <w:top w:val="nil"/>
              <w:left w:val="nil"/>
              <w:bottom w:val="nil"/>
              <w:right w:val="nil"/>
              <w:tl2br w:val="nil"/>
              <w:tr2bl w:val="nil"/>
            </w:tcBorders>
            <w:shd w:val="clear" w:color="auto" w:fill="auto"/>
            <w:noWrap/>
            <w:tcMar>
              <w:left w:w="40" w:type="dxa"/>
              <w:right w:w="100" w:type="dxa"/>
            </w:tcMar>
          </w:tcPr>
          <w:p w14:paraId="138C973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3916E9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269</w:t>
            </w:r>
          </w:p>
        </w:tc>
        <w:tc>
          <w:tcPr>
            <w:tcW w:w="1035" w:type="dxa"/>
            <w:tcBorders>
              <w:top w:val="nil"/>
              <w:left w:val="nil"/>
              <w:bottom w:val="nil"/>
              <w:right w:val="nil"/>
              <w:tl2br w:val="nil"/>
              <w:tr2bl w:val="nil"/>
            </w:tcBorders>
            <w:shd w:val="clear" w:color="auto" w:fill="auto"/>
            <w:noWrap/>
            <w:tcMar>
              <w:left w:w="40" w:type="dxa"/>
              <w:right w:w="100" w:type="dxa"/>
            </w:tcMar>
          </w:tcPr>
          <w:p w14:paraId="4D4BB83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392</w:t>
            </w:r>
          </w:p>
        </w:tc>
        <w:tc>
          <w:tcPr>
            <w:tcW w:w="1035" w:type="dxa"/>
            <w:tcBorders>
              <w:top w:val="nil"/>
              <w:left w:val="nil"/>
              <w:bottom w:val="nil"/>
              <w:right w:val="nil"/>
              <w:tl2br w:val="nil"/>
              <w:tr2bl w:val="nil"/>
            </w:tcBorders>
            <w:shd w:val="clear" w:color="auto" w:fill="auto"/>
            <w:noWrap/>
            <w:tcMar>
              <w:left w:w="40" w:type="dxa"/>
              <w:right w:w="100" w:type="dxa"/>
            </w:tcMar>
          </w:tcPr>
          <w:p w14:paraId="6CE72CB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397</w:t>
            </w:r>
          </w:p>
        </w:tc>
        <w:tc>
          <w:tcPr>
            <w:tcW w:w="1035" w:type="dxa"/>
            <w:tcBorders>
              <w:top w:val="nil"/>
              <w:left w:val="nil"/>
              <w:bottom w:val="nil"/>
              <w:right w:val="nil"/>
              <w:tl2br w:val="nil"/>
              <w:tr2bl w:val="nil"/>
            </w:tcBorders>
            <w:shd w:val="clear" w:color="auto" w:fill="auto"/>
            <w:noWrap/>
            <w:tcMar>
              <w:left w:w="40" w:type="dxa"/>
              <w:right w:w="100" w:type="dxa"/>
            </w:tcMar>
          </w:tcPr>
          <w:p w14:paraId="7BAC13D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14,408</w:t>
            </w:r>
          </w:p>
        </w:tc>
      </w:tr>
      <w:tr w:rsidR="002242F3" w:rsidRPr="005E3B44" w14:paraId="3AB0502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5D7F8F7F"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Revised Superannuation Parameters</w:t>
            </w:r>
          </w:p>
        </w:tc>
        <w:tc>
          <w:tcPr>
            <w:tcW w:w="1110" w:type="dxa"/>
            <w:tcBorders>
              <w:top w:val="nil"/>
              <w:left w:val="nil"/>
              <w:bottom w:val="nil"/>
              <w:right w:val="nil"/>
              <w:tl2br w:val="nil"/>
              <w:tr2bl w:val="nil"/>
            </w:tcBorders>
            <w:shd w:val="clear" w:color="auto" w:fill="auto"/>
            <w:noWrap/>
            <w:tcMar>
              <w:left w:w="40" w:type="dxa"/>
              <w:right w:w="100" w:type="dxa"/>
            </w:tcMar>
          </w:tcPr>
          <w:p w14:paraId="01B0D7E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857677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2,427</w:t>
            </w:r>
          </w:p>
        </w:tc>
        <w:tc>
          <w:tcPr>
            <w:tcW w:w="1035" w:type="dxa"/>
            <w:tcBorders>
              <w:top w:val="nil"/>
              <w:left w:val="nil"/>
              <w:bottom w:val="nil"/>
              <w:right w:val="nil"/>
              <w:tl2br w:val="nil"/>
              <w:tr2bl w:val="nil"/>
            </w:tcBorders>
            <w:shd w:val="clear" w:color="auto" w:fill="auto"/>
            <w:noWrap/>
            <w:tcMar>
              <w:left w:w="40" w:type="dxa"/>
              <w:right w:w="100" w:type="dxa"/>
            </w:tcMar>
          </w:tcPr>
          <w:p w14:paraId="4C2878E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2,026</w:t>
            </w:r>
          </w:p>
        </w:tc>
        <w:tc>
          <w:tcPr>
            <w:tcW w:w="1035" w:type="dxa"/>
            <w:tcBorders>
              <w:top w:val="nil"/>
              <w:left w:val="nil"/>
              <w:bottom w:val="nil"/>
              <w:right w:val="nil"/>
              <w:tl2br w:val="nil"/>
              <w:tr2bl w:val="nil"/>
            </w:tcBorders>
            <w:shd w:val="clear" w:color="auto" w:fill="auto"/>
            <w:noWrap/>
            <w:tcMar>
              <w:left w:w="40" w:type="dxa"/>
              <w:right w:w="100" w:type="dxa"/>
            </w:tcMar>
          </w:tcPr>
          <w:p w14:paraId="47B3037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1,861</w:t>
            </w:r>
          </w:p>
        </w:tc>
        <w:tc>
          <w:tcPr>
            <w:tcW w:w="1035" w:type="dxa"/>
            <w:tcBorders>
              <w:top w:val="nil"/>
              <w:left w:val="nil"/>
              <w:bottom w:val="nil"/>
              <w:right w:val="nil"/>
              <w:tl2br w:val="nil"/>
              <w:tr2bl w:val="nil"/>
            </w:tcBorders>
            <w:shd w:val="clear" w:color="auto" w:fill="auto"/>
            <w:noWrap/>
            <w:tcMar>
              <w:left w:w="40" w:type="dxa"/>
              <w:right w:w="100" w:type="dxa"/>
            </w:tcMar>
          </w:tcPr>
          <w:p w14:paraId="3998EC5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3,087</w:t>
            </w:r>
          </w:p>
        </w:tc>
      </w:tr>
      <w:tr w:rsidR="002242F3" w:rsidRPr="005E3B44" w14:paraId="4087D8D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18FEB923" w14:textId="64E72B06" w:rsidR="002242F3" w:rsidRPr="005E3B44" w:rsidRDefault="002242F3" w:rsidP="005E3B44">
            <w:pPr>
              <w:pStyle w:val="Normal1"/>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Transfer</w:t>
            </w:r>
            <w:r w:rsidR="00805234">
              <w:rPr>
                <w:rFonts w:asciiTheme="minorHAnsi" w:eastAsia="Calibri" w:hAnsiTheme="minorHAnsi" w:cstheme="minorHAnsi"/>
                <w:b/>
                <w:i/>
                <w:color w:val="000000"/>
                <w:sz w:val="18"/>
              </w:rPr>
              <w:t>s</w:t>
            </w:r>
            <w:r w:rsidRPr="005E3B44">
              <w:rPr>
                <w:rFonts w:asciiTheme="minorHAnsi" w:eastAsia="Calibri" w:hAnsiTheme="minorHAnsi" w:cstheme="minorHAnsi"/>
                <w:b/>
                <w:i/>
                <w:color w:val="000000"/>
                <w:sz w:val="18"/>
              </w:rPr>
              <w:t>:</w:t>
            </w:r>
          </w:p>
        </w:tc>
        <w:tc>
          <w:tcPr>
            <w:tcW w:w="1110" w:type="dxa"/>
            <w:tcBorders>
              <w:top w:val="nil"/>
              <w:left w:val="nil"/>
              <w:bottom w:val="nil"/>
              <w:right w:val="nil"/>
              <w:tl2br w:val="nil"/>
              <w:tr2bl w:val="nil"/>
            </w:tcBorders>
            <w:shd w:val="clear" w:color="auto" w:fill="auto"/>
            <w:noWrap/>
            <w:tcMar>
              <w:left w:w="0" w:type="dxa"/>
              <w:right w:w="0" w:type="dxa"/>
            </w:tcMar>
          </w:tcPr>
          <w:p w14:paraId="7F114190"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40D26F3"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79C1903"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A784EAC"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46EFA5E"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7B1D2FB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36969123"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Charter of Rights for Victims of Crime from ACT Policing</w:t>
            </w:r>
          </w:p>
        </w:tc>
        <w:tc>
          <w:tcPr>
            <w:tcW w:w="1110" w:type="dxa"/>
            <w:tcBorders>
              <w:top w:val="nil"/>
              <w:left w:val="nil"/>
              <w:bottom w:val="nil"/>
              <w:right w:val="nil"/>
              <w:tl2br w:val="nil"/>
              <w:tr2bl w:val="nil"/>
            </w:tcBorders>
            <w:shd w:val="clear" w:color="auto" w:fill="auto"/>
            <w:noWrap/>
            <w:tcMar>
              <w:left w:w="40" w:type="dxa"/>
              <w:right w:w="100" w:type="dxa"/>
            </w:tcMar>
          </w:tcPr>
          <w:p w14:paraId="494ACE2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5D43B6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w:t>
            </w:r>
          </w:p>
        </w:tc>
        <w:tc>
          <w:tcPr>
            <w:tcW w:w="1035" w:type="dxa"/>
            <w:tcBorders>
              <w:top w:val="nil"/>
              <w:left w:val="nil"/>
              <w:bottom w:val="nil"/>
              <w:right w:val="nil"/>
              <w:tl2br w:val="nil"/>
              <w:tr2bl w:val="nil"/>
            </w:tcBorders>
            <w:shd w:val="clear" w:color="auto" w:fill="auto"/>
            <w:noWrap/>
            <w:tcMar>
              <w:left w:w="40" w:type="dxa"/>
              <w:right w:w="100" w:type="dxa"/>
            </w:tcMar>
          </w:tcPr>
          <w:p w14:paraId="49F710C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64C0EB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EDC791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D50DD1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29BC04E1"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ICT appropriation from CMTEDD</w:t>
            </w:r>
          </w:p>
        </w:tc>
        <w:tc>
          <w:tcPr>
            <w:tcW w:w="1110" w:type="dxa"/>
            <w:tcBorders>
              <w:top w:val="nil"/>
              <w:left w:val="nil"/>
              <w:bottom w:val="nil"/>
              <w:right w:val="nil"/>
              <w:tl2br w:val="nil"/>
              <w:tr2bl w:val="nil"/>
            </w:tcBorders>
            <w:shd w:val="clear" w:color="auto" w:fill="auto"/>
            <w:noWrap/>
            <w:tcMar>
              <w:left w:w="40" w:type="dxa"/>
              <w:right w:w="100" w:type="dxa"/>
            </w:tcMar>
          </w:tcPr>
          <w:p w14:paraId="2D13E23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EDA0D7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w:t>
            </w:r>
          </w:p>
        </w:tc>
        <w:tc>
          <w:tcPr>
            <w:tcW w:w="1035" w:type="dxa"/>
            <w:tcBorders>
              <w:top w:val="nil"/>
              <w:left w:val="nil"/>
              <w:bottom w:val="nil"/>
              <w:right w:val="nil"/>
              <w:tl2br w:val="nil"/>
              <w:tr2bl w:val="nil"/>
            </w:tcBorders>
            <w:shd w:val="clear" w:color="auto" w:fill="auto"/>
            <w:noWrap/>
            <w:tcMar>
              <w:left w:w="40" w:type="dxa"/>
              <w:right w:w="100" w:type="dxa"/>
            </w:tcMar>
          </w:tcPr>
          <w:p w14:paraId="3E43F5A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w:t>
            </w:r>
          </w:p>
        </w:tc>
        <w:tc>
          <w:tcPr>
            <w:tcW w:w="1035" w:type="dxa"/>
            <w:tcBorders>
              <w:top w:val="nil"/>
              <w:left w:val="nil"/>
              <w:bottom w:val="nil"/>
              <w:right w:val="nil"/>
              <w:tl2br w:val="nil"/>
              <w:tr2bl w:val="nil"/>
            </w:tcBorders>
            <w:shd w:val="clear" w:color="auto" w:fill="auto"/>
            <w:noWrap/>
            <w:tcMar>
              <w:left w:w="40" w:type="dxa"/>
              <w:right w:w="100" w:type="dxa"/>
            </w:tcMar>
          </w:tcPr>
          <w:p w14:paraId="503517D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w:t>
            </w:r>
          </w:p>
        </w:tc>
        <w:tc>
          <w:tcPr>
            <w:tcW w:w="1035" w:type="dxa"/>
            <w:tcBorders>
              <w:top w:val="nil"/>
              <w:left w:val="nil"/>
              <w:bottom w:val="nil"/>
              <w:right w:val="nil"/>
              <w:tl2br w:val="nil"/>
              <w:tr2bl w:val="nil"/>
            </w:tcBorders>
            <w:shd w:val="clear" w:color="auto" w:fill="auto"/>
            <w:noWrap/>
            <w:tcMar>
              <w:left w:w="40" w:type="dxa"/>
              <w:right w:w="100" w:type="dxa"/>
            </w:tcMar>
          </w:tcPr>
          <w:p w14:paraId="1FE1323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r>
      <w:tr w:rsidR="002242F3" w:rsidRPr="005E3B44" w14:paraId="17B4FA6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423DDAFF"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Management and remediation of firefighting substances at the stations — to Capital Injections</w:t>
            </w:r>
          </w:p>
        </w:tc>
        <w:tc>
          <w:tcPr>
            <w:tcW w:w="1110" w:type="dxa"/>
            <w:tcBorders>
              <w:top w:val="nil"/>
              <w:left w:val="nil"/>
              <w:bottom w:val="nil"/>
              <w:right w:val="nil"/>
              <w:tl2br w:val="nil"/>
              <w:tr2bl w:val="nil"/>
            </w:tcBorders>
            <w:shd w:val="clear" w:color="auto" w:fill="auto"/>
            <w:noWrap/>
            <w:tcMar>
              <w:left w:w="40" w:type="dxa"/>
              <w:right w:w="100" w:type="dxa"/>
            </w:tcMar>
          </w:tcPr>
          <w:p w14:paraId="5A07523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5E9B8D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-2,089</w:t>
            </w:r>
          </w:p>
        </w:tc>
        <w:tc>
          <w:tcPr>
            <w:tcW w:w="1035" w:type="dxa"/>
            <w:tcBorders>
              <w:top w:val="nil"/>
              <w:left w:val="nil"/>
              <w:bottom w:val="nil"/>
              <w:right w:val="nil"/>
              <w:tl2br w:val="nil"/>
              <w:tr2bl w:val="nil"/>
            </w:tcBorders>
            <w:shd w:val="clear" w:color="auto" w:fill="auto"/>
            <w:noWrap/>
            <w:tcMar>
              <w:left w:w="40" w:type="dxa"/>
              <w:right w:w="100" w:type="dxa"/>
            </w:tcMar>
          </w:tcPr>
          <w:p w14:paraId="5264ADB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B68A29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83155C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D35AD0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14F6268B"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Official Visitor Scheme transfer from Public Trustee and Guardian</w:t>
            </w:r>
          </w:p>
        </w:tc>
        <w:tc>
          <w:tcPr>
            <w:tcW w:w="1110" w:type="dxa"/>
            <w:tcBorders>
              <w:top w:val="nil"/>
              <w:left w:val="nil"/>
              <w:bottom w:val="nil"/>
              <w:right w:val="nil"/>
              <w:tl2br w:val="nil"/>
              <w:tr2bl w:val="nil"/>
            </w:tcBorders>
            <w:shd w:val="clear" w:color="auto" w:fill="auto"/>
            <w:noWrap/>
            <w:tcMar>
              <w:left w:w="40" w:type="dxa"/>
              <w:right w:w="100" w:type="dxa"/>
            </w:tcMar>
          </w:tcPr>
          <w:p w14:paraId="42316B0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CE3BEC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130</w:t>
            </w:r>
          </w:p>
        </w:tc>
        <w:tc>
          <w:tcPr>
            <w:tcW w:w="1035" w:type="dxa"/>
            <w:tcBorders>
              <w:top w:val="nil"/>
              <w:left w:val="nil"/>
              <w:bottom w:val="nil"/>
              <w:right w:val="nil"/>
              <w:tl2br w:val="nil"/>
              <w:tr2bl w:val="nil"/>
            </w:tcBorders>
            <w:shd w:val="clear" w:color="auto" w:fill="auto"/>
            <w:noWrap/>
            <w:tcMar>
              <w:left w:w="40" w:type="dxa"/>
              <w:right w:w="100" w:type="dxa"/>
            </w:tcMar>
          </w:tcPr>
          <w:p w14:paraId="481B1DA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132</w:t>
            </w:r>
          </w:p>
        </w:tc>
        <w:tc>
          <w:tcPr>
            <w:tcW w:w="1035" w:type="dxa"/>
            <w:tcBorders>
              <w:top w:val="nil"/>
              <w:left w:val="nil"/>
              <w:bottom w:val="nil"/>
              <w:right w:val="nil"/>
              <w:tl2br w:val="nil"/>
              <w:tr2bl w:val="nil"/>
            </w:tcBorders>
            <w:shd w:val="clear" w:color="auto" w:fill="auto"/>
            <w:noWrap/>
            <w:tcMar>
              <w:left w:w="40" w:type="dxa"/>
              <w:right w:w="100" w:type="dxa"/>
            </w:tcMar>
          </w:tcPr>
          <w:p w14:paraId="534D7A9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134</w:t>
            </w:r>
          </w:p>
        </w:tc>
        <w:tc>
          <w:tcPr>
            <w:tcW w:w="1035" w:type="dxa"/>
            <w:tcBorders>
              <w:top w:val="nil"/>
              <w:left w:val="nil"/>
              <w:bottom w:val="nil"/>
              <w:right w:val="nil"/>
              <w:tl2br w:val="nil"/>
              <w:tr2bl w:val="nil"/>
            </w:tcBorders>
            <w:shd w:val="clear" w:color="auto" w:fill="auto"/>
            <w:noWrap/>
            <w:tcMar>
              <w:left w:w="40" w:type="dxa"/>
              <w:right w:w="100" w:type="dxa"/>
            </w:tcMar>
          </w:tcPr>
          <w:p w14:paraId="5E64D46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136</w:t>
            </w:r>
          </w:p>
        </w:tc>
      </w:tr>
      <w:tr w:rsidR="002242F3" w:rsidRPr="005E3B44" w14:paraId="6408FCE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6F3B495E"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Ombudsman function to CMTEDD</w:t>
            </w:r>
          </w:p>
        </w:tc>
        <w:tc>
          <w:tcPr>
            <w:tcW w:w="1110" w:type="dxa"/>
            <w:tcBorders>
              <w:top w:val="nil"/>
              <w:left w:val="nil"/>
              <w:bottom w:val="nil"/>
              <w:right w:val="nil"/>
              <w:tl2br w:val="nil"/>
              <w:tr2bl w:val="nil"/>
            </w:tcBorders>
            <w:shd w:val="clear" w:color="auto" w:fill="auto"/>
            <w:noWrap/>
            <w:tcMar>
              <w:left w:w="40" w:type="dxa"/>
              <w:right w:w="100" w:type="dxa"/>
            </w:tcMar>
          </w:tcPr>
          <w:p w14:paraId="507A8FF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8F1B11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-63</w:t>
            </w:r>
          </w:p>
        </w:tc>
        <w:tc>
          <w:tcPr>
            <w:tcW w:w="1035" w:type="dxa"/>
            <w:tcBorders>
              <w:top w:val="nil"/>
              <w:left w:val="nil"/>
              <w:bottom w:val="nil"/>
              <w:right w:val="nil"/>
              <w:tl2br w:val="nil"/>
              <w:tr2bl w:val="nil"/>
            </w:tcBorders>
            <w:shd w:val="clear" w:color="auto" w:fill="auto"/>
            <w:noWrap/>
            <w:tcMar>
              <w:left w:w="40" w:type="dxa"/>
              <w:right w:w="100" w:type="dxa"/>
            </w:tcMar>
          </w:tcPr>
          <w:p w14:paraId="3B23F90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w:t>
            </w:r>
          </w:p>
        </w:tc>
        <w:tc>
          <w:tcPr>
            <w:tcW w:w="1035" w:type="dxa"/>
            <w:tcBorders>
              <w:top w:val="nil"/>
              <w:left w:val="nil"/>
              <w:bottom w:val="nil"/>
              <w:right w:val="nil"/>
              <w:tl2br w:val="nil"/>
              <w:tr2bl w:val="nil"/>
            </w:tcBorders>
            <w:shd w:val="clear" w:color="auto" w:fill="auto"/>
            <w:noWrap/>
            <w:tcMar>
              <w:left w:w="40" w:type="dxa"/>
              <w:right w:w="100" w:type="dxa"/>
            </w:tcMar>
          </w:tcPr>
          <w:p w14:paraId="6E155F6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-67</w:t>
            </w:r>
          </w:p>
        </w:tc>
        <w:tc>
          <w:tcPr>
            <w:tcW w:w="1035" w:type="dxa"/>
            <w:tcBorders>
              <w:top w:val="nil"/>
              <w:left w:val="nil"/>
              <w:bottom w:val="nil"/>
              <w:right w:val="nil"/>
              <w:tl2br w:val="nil"/>
              <w:tr2bl w:val="nil"/>
            </w:tcBorders>
            <w:shd w:val="clear" w:color="auto" w:fill="auto"/>
            <w:noWrap/>
            <w:tcMar>
              <w:left w:w="40" w:type="dxa"/>
              <w:right w:w="100" w:type="dxa"/>
            </w:tcMar>
          </w:tcPr>
          <w:p w14:paraId="44FAC94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w:t>
            </w:r>
          </w:p>
        </w:tc>
      </w:tr>
      <w:tr w:rsidR="002242F3" w:rsidRPr="005E3B44" w14:paraId="75E1453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47DB7F77"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Strengthening Transparent government (Public Standards Unit) to CMTEDD</w:t>
            </w:r>
          </w:p>
        </w:tc>
        <w:tc>
          <w:tcPr>
            <w:tcW w:w="1110" w:type="dxa"/>
            <w:tcBorders>
              <w:top w:val="nil"/>
              <w:left w:val="nil"/>
              <w:bottom w:val="nil"/>
              <w:right w:val="nil"/>
              <w:tl2br w:val="nil"/>
              <w:tr2bl w:val="nil"/>
            </w:tcBorders>
            <w:shd w:val="clear" w:color="auto" w:fill="auto"/>
            <w:noWrap/>
            <w:tcMar>
              <w:left w:w="40" w:type="dxa"/>
              <w:right w:w="100" w:type="dxa"/>
            </w:tcMar>
          </w:tcPr>
          <w:p w14:paraId="4AB5C5A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A6BA3A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-192</w:t>
            </w:r>
          </w:p>
        </w:tc>
        <w:tc>
          <w:tcPr>
            <w:tcW w:w="1035" w:type="dxa"/>
            <w:tcBorders>
              <w:top w:val="nil"/>
              <w:left w:val="nil"/>
              <w:bottom w:val="nil"/>
              <w:right w:val="nil"/>
              <w:tl2br w:val="nil"/>
              <w:tr2bl w:val="nil"/>
            </w:tcBorders>
            <w:shd w:val="clear" w:color="auto" w:fill="auto"/>
            <w:noWrap/>
            <w:tcMar>
              <w:left w:w="40" w:type="dxa"/>
              <w:right w:w="100" w:type="dxa"/>
            </w:tcMar>
          </w:tcPr>
          <w:p w14:paraId="4E731D2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-195</w:t>
            </w:r>
          </w:p>
        </w:tc>
        <w:tc>
          <w:tcPr>
            <w:tcW w:w="1035" w:type="dxa"/>
            <w:tcBorders>
              <w:top w:val="nil"/>
              <w:left w:val="nil"/>
              <w:bottom w:val="nil"/>
              <w:right w:val="nil"/>
              <w:tl2br w:val="nil"/>
              <w:tr2bl w:val="nil"/>
            </w:tcBorders>
            <w:shd w:val="clear" w:color="auto" w:fill="auto"/>
            <w:noWrap/>
            <w:tcMar>
              <w:left w:w="40" w:type="dxa"/>
              <w:right w:w="100" w:type="dxa"/>
            </w:tcMar>
          </w:tcPr>
          <w:p w14:paraId="3132644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-198</w:t>
            </w:r>
          </w:p>
        </w:tc>
        <w:tc>
          <w:tcPr>
            <w:tcW w:w="1035" w:type="dxa"/>
            <w:tcBorders>
              <w:top w:val="nil"/>
              <w:left w:val="nil"/>
              <w:bottom w:val="nil"/>
              <w:right w:val="nil"/>
              <w:tl2br w:val="nil"/>
              <w:tr2bl w:val="nil"/>
            </w:tcBorders>
            <w:shd w:val="clear" w:color="auto" w:fill="auto"/>
            <w:noWrap/>
            <w:tcMar>
              <w:left w:w="40" w:type="dxa"/>
              <w:right w:w="100" w:type="dxa"/>
            </w:tcMar>
          </w:tcPr>
          <w:p w14:paraId="753E662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w:t>
            </w:r>
          </w:p>
        </w:tc>
      </w:tr>
      <w:tr w:rsidR="002242F3" w:rsidRPr="005E3B44" w14:paraId="39BFB18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800" w:type="dxa"/>
            <w:tcBorders>
              <w:top w:val="nil"/>
              <w:left w:val="nil"/>
              <w:bottom w:val="nil"/>
              <w:right w:val="nil"/>
              <w:tl2br w:val="nil"/>
              <w:tr2bl w:val="nil"/>
            </w:tcBorders>
            <w:shd w:val="clear" w:color="auto" w:fill="auto"/>
            <w:tcMar>
              <w:left w:w="175" w:type="dxa"/>
              <w:right w:w="40" w:type="dxa"/>
            </w:tcMar>
          </w:tcPr>
          <w:p w14:paraId="5E28925D"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Whole of government intellectual property licensing and public archives access services to the Territory Records Office (TRO)</w:t>
            </w:r>
          </w:p>
        </w:tc>
        <w:tc>
          <w:tcPr>
            <w:tcW w:w="1110" w:type="dxa"/>
            <w:tcBorders>
              <w:top w:val="nil"/>
              <w:left w:val="nil"/>
              <w:bottom w:val="nil"/>
              <w:right w:val="nil"/>
              <w:tl2br w:val="nil"/>
              <w:tr2bl w:val="nil"/>
            </w:tcBorders>
            <w:shd w:val="clear" w:color="auto" w:fill="auto"/>
            <w:noWrap/>
            <w:tcMar>
              <w:left w:w="40" w:type="dxa"/>
              <w:right w:w="100" w:type="dxa"/>
            </w:tcMar>
          </w:tcPr>
          <w:p w14:paraId="5583D5B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DAAEF2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w:t>
            </w:r>
          </w:p>
        </w:tc>
        <w:tc>
          <w:tcPr>
            <w:tcW w:w="1035" w:type="dxa"/>
            <w:tcBorders>
              <w:top w:val="nil"/>
              <w:left w:val="nil"/>
              <w:bottom w:val="nil"/>
              <w:right w:val="nil"/>
              <w:tl2br w:val="nil"/>
              <w:tr2bl w:val="nil"/>
            </w:tcBorders>
            <w:shd w:val="clear" w:color="auto" w:fill="auto"/>
            <w:noWrap/>
            <w:tcMar>
              <w:left w:w="40" w:type="dxa"/>
              <w:right w:w="100" w:type="dxa"/>
            </w:tcMar>
          </w:tcPr>
          <w:p w14:paraId="61A66A7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w:t>
            </w:r>
          </w:p>
        </w:tc>
        <w:tc>
          <w:tcPr>
            <w:tcW w:w="1035" w:type="dxa"/>
            <w:tcBorders>
              <w:top w:val="nil"/>
              <w:left w:val="nil"/>
              <w:bottom w:val="nil"/>
              <w:right w:val="nil"/>
              <w:tl2br w:val="nil"/>
              <w:tr2bl w:val="nil"/>
            </w:tcBorders>
            <w:shd w:val="clear" w:color="auto" w:fill="auto"/>
            <w:noWrap/>
            <w:tcMar>
              <w:left w:w="40" w:type="dxa"/>
              <w:right w:w="100" w:type="dxa"/>
            </w:tcMar>
          </w:tcPr>
          <w:p w14:paraId="484E236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035" w:type="dxa"/>
            <w:tcBorders>
              <w:top w:val="nil"/>
              <w:left w:val="nil"/>
              <w:bottom w:val="nil"/>
              <w:right w:val="nil"/>
              <w:tl2br w:val="nil"/>
              <w:tr2bl w:val="nil"/>
            </w:tcBorders>
            <w:shd w:val="clear" w:color="auto" w:fill="auto"/>
            <w:noWrap/>
            <w:tcMar>
              <w:left w:w="40" w:type="dxa"/>
              <w:right w:w="100" w:type="dxa"/>
            </w:tcMar>
          </w:tcPr>
          <w:p w14:paraId="78B102A7"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w:t>
            </w:r>
          </w:p>
        </w:tc>
      </w:tr>
      <w:tr w:rsidR="002242F3" w:rsidRPr="005E3B44" w14:paraId="444BD7E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0A09B759"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Transport regulation and safety policy function to TCCS – correction of transfer amount</w:t>
            </w:r>
          </w:p>
        </w:tc>
        <w:tc>
          <w:tcPr>
            <w:tcW w:w="1110" w:type="dxa"/>
            <w:tcBorders>
              <w:top w:val="nil"/>
              <w:left w:val="nil"/>
              <w:bottom w:val="nil"/>
              <w:right w:val="nil"/>
              <w:tl2br w:val="nil"/>
              <w:tr2bl w:val="nil"/>
            </w:tcBorders>
            <w:shd w:val="clear" w:color="auto" w:fill="auto"/>
            <w:noWrap/>
            <w:tcMar>
              <w:left w:w="40" w:type="dxa"/>
              <w:right w:w="100" w:type="dxa"/>
            </w:tcMar>
          </w:tcPr>
          <w:p w14:paraId="31CB931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9D7D22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17A6A78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6F75625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w:t>
            </w:r>
          </w:p>
        </w:tc>
        <w:tc>
          <w:tcPr>
            <w:tcW w:w="1035" w:type="dxa"/>
            <w:tcBorders>
              <w:top w:val="nil"/>
              <w:left w:val="nil"/>
              <w:bottom w:val="nil"/>
              <w:right w:val="nil"/>
              <w:tl2br w:val="nil"/>
              <w:tr2bl w:val="nil"/>
            </w:tcBorders>
            <w:shd w:val="clear" w:color="auto" w:fill="auto"/>
            <w:noWrap/>
            <w:tcMar>
              <w:left w:w="40" w:type="dxa"/>
              <w:right w:w="100" w:type="dxa"/>
            </w:tcMar>
          </w:tcPr>
          <w:p w14:paraId="054BB42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w:t>
            </w:r>
          </w:p>
        </w:tc>
      </w:tr>
      <w:tr w:rsidR="002242F3" w:rsidRPr="005E3B44" w14:paraId="455BBE9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2CA74DB4"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S14B transfer to Public Trustee for the Official Visitor Scheme</w:t>
            </w:r>
          </w:p>
        </w:tc>
        <w:tc>
          <w:tcPr>
            <w:tcW w:w="1110" w:type="dxa"/>
            <w:tcBorders>
              <w:top w:val="nil"/>
              <w:left w:val="nil"/>
              <w:bottom w:val="nil"/>
              <w:right w:val="nil"/>
              <w:tl2br w:val="nil"/>
              <w:tr2bl w:val="nil"/>
            </w:tcBorders>
            <w:shd w:val="clear" w:color="auto" w:fill="auto"/>
            <w:noWrap/>
            <w:tcMar>
              <w:left w:w="40" w:type="dxa"/>
              <w:right w:w="100" w:type="dxa"/>
            </w:tcMar>
          </w:tcPr>
          <w:p w14:paraId="295CCB7B"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-106</w:t>
            </w:r>
          </w:p>
        </w:tc>
        <w:tc>
          <w:tcPr>
            <w:tcW w:w="1035" w:type="dxa"/>
            <w:tcBorders>
              <w:top w:val="nil"/>
              <w:left w:val="nil"/>
              <w:bottom w:val="nil"/>
              <w:right w:val="nil"/>
              <w:tl2br w:val="nil"/>
              <w:tr2bl w:val="nil"/>
            </w:tcBorders>
            <w:shd w:val="clear" w:color="auto" w:fill="auto"/>
            <w:noWrap/>
            <w:tcMar>
              <w:left w:w="40" w:type="dxa"/>
              <w:right w:w="100" w:type="dxa"/>
            </w:tcMar>
          </w:tcPr>
          <w:p w14:paraId="67F7066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ABD534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C312EBA"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5DA5E2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3447A7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40" w:type="dxa"/>
              <w:right w:w="40" w:type="dxa"/>
            </w:tcMar>
          </w:tcPr>
          <w:p w14:paraId="6BAA6876" w14:textId="77777777" w:rsidR="002242F3" w:rsidRPr="005E3B44" w:rsidRDefault="002242F3" w:rsidP="005E3B44">
            <w:pPr>
              <w:pStyle w:val="Normal1"/>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Savings:</w:t>
            </w:r>
          </w:p>
        </w:tc>
        <w:tc>
          <w:tcPr>
            <w:tcW w:w="1110" w:type="dxa"/>
            <w:tcBorders>
              <w:top w:val="nil"/>
              <w:left w:val="nil"/>
              <w:bottom w:val="nil"/>
              <w:right w:val="nil"/>
              <w:tl2br w:val="nil"/>
              <w:tr2bl w:val="nil"/>
            </w:tcBorders>
            <w:shd w:val="clear" w:color="auto" w:fill="auto"/>
            <w:noWrap/>
            <w:tcMar>
              <w:left w:w="0" w:type="dxa"/>
              <w:right w:w="0" w:type="dxa"/>
            </w:tcMar>
          </w:tcPr>
          <w:p w14:paraId="03766205"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F9B03B3"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8E9D879"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E2269E8"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945BBD9"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3C4821F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751B83E4"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COVID-19 Public Health Response</w:t>
            </w:r>
          </w:p>
        </w:tc>
        <w:tc>
          <w:tcPr>
            <w:tcW w:w="1110" w:type="dxa"/>
            <w:tcBorders>
              <w:top w:val="nil"/>
              <w:left w:val="nil"/>
              <w:bottom w:val="nil"/>
              <w:right w:val="nil"/>
              <w:tl2br w:val="nil"/>
              <w:tr2bl w:val="nil"/>
            </w:tcBorders>
            <w:shd w:val="clear" w:color="auto" w:fill="auto"/>
            <w:noWrap/>
            <w:tcMar>
              <w:left w:w="40" w:type="dxa"/>
              <w:right w:w="100" w:type="dxa"/>
            </w:tcMar>
          </w:tcPr>
          <w:p w14:paraId="3B9FBF6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A7EFA2E"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-645</w:t>
            </w:r>
          </w:p>
        </w:tc>
        <w:tc>
          <w:tcPr>
            <w:tcW w:w="1035" w:type="dxa"/>
            <w:tcBorders>
              <w:top w:val="nil"/>
              <w:left w:val="nil"/>
              <w:bottom w:val="nil"/>
              <w:right w:val="nil"/>
              <w:tl2br w:val="nil"/>
              <w:tr2bl w:val="nil"/>
            </w:tcBorders>
            <w:shd w:val="clear" w:color="auto" w:fill="auto"/>
            <w:noWrap/>
            <w:tcMar>
              <w:left w:w="40" w:type="dxa"/>
              <w:right w:w="100" w:type="dxa"/>
            </w:tcMar>
          </w:tcPr>
          <w:p w14:paraId="7450AB2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5C2B522"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9ABBB9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5E8377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364CBF1A"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Gungahlin Joint Emergency Services Centre — Future Use Study</w:t>
            </w:r>
          </w:p>
        </w:tc>
        <w:tc>
          <w:tcPr>
            <w:tcW w:w="1110" w:type="dxa"/>
            <w:tcBorders>
              <w:top w:val="nil"/>
              <w:left w:val="nil"/>
              <w:bottom w:val="nil"/>
              <w:right w:val="nil"/>
              <w:tl2br w:val="nil"/>
              <w:tr2bl w:val="nil"/>
            </w:tcBorders>
            <w:shd w:val="clear" w:color="auto" w:fill="auto"/>
            <w:noWrap/>
            <w:tcMar>
              <w:left w:w="40" w:type="dxa"/>
              <w:right w:w="100" w:type="dxa"/>
            </w:tcMar>
          </w:tcPr>
          <w:p w14:paraId="394C1A4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37988A0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1F41AE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CB86955"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9ADA6E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0C7875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18A4CABE"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Magistrate Court Rent</w:t>
            </w:r>
          </w:p>
        </w:tc>
        <w:tc>
          <w:tcPr>
            <w:tcW w:w="1110" w:type="dxa"/>
            <w:tcBorders>
              <w:top w:val="nil"/>
              <w:left w:val="nil"/>
              <w:bottom w:val="nil"/>
              <w:right w:val="nil"/>
              <w:tl2br w:val="nil"/>
              <w:tr2bl w:val="nil"/>
            </w:tcBorders>
            <w:shd w:val="clear" w:color="auto" w:fill="auto"/>
            <w:noWrap/>
            <w:tcMar>
              <w:left w:w="40" w:type="dxa"/>
              <w:right w:w="100" w:type="dxa"/>
            </w:tcMar>
          </w:tcPr>
          <w:p w14:paraId="05028DD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-4,566</w:t>
            </w:r>
          </w:p>
        </w:tc>
        <w:tc>
          <w:tcPr>
            <w:tcW w:w="1035" w:type="dxa"/>
            <w:tcBorders>
              <w:top w:val="nil"/>
              <w:left w:val="nil"/>
              <w:bottom w:val="nil"/>
              <w:right w:val="nil"/>
              <w:tl2br w:val="nil"/>
              <w:tr2bl w:val="nil"/>
            </w:tcBorders>
            <w:shd w:val="clear" w:color="auto" w:fill="auto"/>
            <w:noWrap/>
            <w:tcMar>
              <w:left w:w="40" w:type="dxa"/>
              <w:right w:w="100" w:type="dxa"/>
            </w:tcMar>
          </w:tcPr>
          <w:p w14:paraId="4E07B75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-4,566</w:t>
            </w:r>
          </w:p>
        </w:tc>
        <w:tc>
          <w:tcPr>
            <w:tcW w:w="1035" w:type="dxa"/>
            <w:tcBorders>
              <w:top w:val="nil"/>
              <w:left w:val="nil"/>
              <w:bottom w:val="nil"/>
              <w:right w:val="nil"/>
              <w:tl2br w:val="nil"/>
              <w:tr2bl w:val="nil"/>
            </w:tcBorders>
            <w:shd w:val="clear" w:color="auto" w:fill="auto"/>
            <w:noWrap/>
            <w:tcMar>
              <w:left w:w="40" w:type="dxa"/>
              <w:right w:w="100" w:type="dxa"/>
            </w:tcMar>
          </w:tcPr>
          <w:p w14:paraId="1911365C"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-4,566</w:t>
            </w:r>
          </w:p>
        </w:tc>
        <w:tc>
          <w:tcPr>
            <w:tcW w:w="1035" w:type="dxa"/>
            <w:tcBorders>
              <w:top w:val="nil"/>
              <w:left w:val="nil"/>
              <w:bottom w:val="nil"/>
              <w:right w:val="nil"/>
              <w:tl2br w:val="nil"/>
              <w:tr2bl w:val="nil"/>
            </w:tcBorders>
            <w:shd w:val="clear" w:color="auto" w:fill="auto"/>
            <w:noWrap/>
            <w:tcMar>
              <w:left w:w="40" w:type="dxa"/>
              <w:right w:w="100" w:type="dxa"/>
            </w:tcMar>
          </w:tcPr>
          <w:p w14:paraId="445F324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-4,566</w:t>
            </w:r>
          </w:p>
        </w:tc>
        <w:tc>
          <w:tcPr>
            <w:tcW w:w="1035" w:type="dxa"/>
            <w:tcBorders>
              <w:top w:val="nil"/>
              <w:left w:val="nil"/>
              <w:bottom w:val="nil"/>
              <w:right w:val="nil"/>
              <w:tl2br w:val="nil"/>
              <w:tr2bl w:val="nil"/>
            </w:tcBorders>
            <w:shd w:val="clear" w:color="auto" w:fill="auto"/>
            <w:noWrap/>
            <w:tcMar>
              <w:left w:w="40" w:type="dxa"/>
              <w:right w:w="100" w:type="dxa"/>
            </w:tcMar>
          </w:tcPr>
          <w:p w14:paraId="131892E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-4,566</w:t>
            </w:r>
          </w:p>
        </w:tc>
      </w:tr>
      <w:tr w:rsidR="002242F3" w:rsidRPr="005E3B44" w14:paraId="29F7E67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71A0315A"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Workers' Compensation Premium Adjustment</w:t>
            </w:r>
          </w:p>
        </w:tc>
        <w:tc>
          <w:tcPr>
            <w:tcW w:w="1110" w:type="dxa"/>
            <w:tcBorders>
              <w:top w:val="nil"/>
              <w:left w:val="nil"/>
              <w:bottom w:val="nil"/>
              <w:right w:val="nil"/>
              <w:tl2br w:val="nil"/>
              <w:tr2bl w:val="nil"/>
            </w:tcBorders>
            <w:shd w:val="clear" w:color="auto" w:fill="auto"/>
            <w:noWrap/>
            <w:tcMar>
              <w:left w:w="40" w:type="dxa"/>
              <w:right w:w="100" w:type="dxa"/>
            </w:tcMar>
          </w:tcPr>
          <w:p w14:paraId="29924999"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C1E4ED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-2,240</w:t>
            </w:r>
          </w:p>
        </w:tc>
        <w:tc>
          <w:tcPr>
            <w:tcW w:w="1035" w:type="dxa"/>
            <w:tcBorders>
              <w:top w:val="nil"/>
              <w:left w:val="nil"/>
              <w:bottom w:val="nil"/>
              <w:right w:val="nil"/>
              <w:tl2br w:val="nil"/>
              <w:tr2bl w:val="nil"/>
            </w:tcBorders>
            <w:shd w:val="clear" w:color="auto" w:fill="auto"/>
            <w:noWrap/>
            <w:tcMar>
              <w:left w:w="40" w:type="dxa"/>
              <w:right w:w="100" w:type="dxa"/>
            </w:tcMar>
          </w:tcPr>
          <w:p w14:paraId="61C298C4"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16B8653"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50CDFF1"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632ADD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26510DE7" w14:textId="77777777" w:rsidR="002242F3" w:rsidRPr="005E3B44" w:rsidRDefault="002242F3" w:rsidP="005E3B44">
            <w:pPr>
              <w:pStyle w:val="Normal1"/>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Undrawn funding</w:t>
            </w:r>
          </w:p>
        </w:tc>
        <w:tc>
          <w:tcPr>
            <w:tcW w:w="1110" w:type="dxa"/>
            <w:tcBorders>
              <w:top w:val="nil"/>
              <w:left w:val="nil"/>
              <w:bottom w:val="nil"/>
              <w:right w:val="nil"/>
              <w:tl2br w:val="nil"/>
              <w:tr2bl w:val="nil"/>
            </w:tcBorders>
            <w:shd w:val="clear" w:color="auto" w:fill="auto"/>
            <w:noWrap/>
            <w:tcMar>
              <w:left w:w="40" w:type="dxa"/>
              <w:right w:w="100" w:type="dxa"/>
            </w:tcMar>
          </w:tcPr>
          <w:p w14:paraId="0E8F2EA0"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-8,935</w:t>
            </w:r>
          </w:p>
        </w:tc>
        <w:tc>
          <w:tcPr>
            <w:tcW w:w="1035" w:type="dxa"/>
            <w:tcBorders>
              <w:top w:val="nil"/>
              <w:left w:val="nil"/>
              <w:bottom w:val="nil"/>
              <w:right w:val="nil"/>
              <w:tl2br w:val="nil"/>
              <w:tr2bl w:val="nil"/>
            </w:tcBorders>
            <w:shd w:val="clear" w:color="auto" w:fill="auto"/>
            <w:noWrap/>
            <w:tcMar>
              <w:left w:w="40" w:type="dxa"/>
              <w:right w:w="100" w:type="dxa"/>
            </w:tcMar>
          </w:tcPr>
          <w:p w14:paraId="25FC67D6"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F28454F"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6F7D19D"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C313108" w14:textId="77777777" w:rsidR="002242F3" w:rsidRPr="005E3B44" w:rsidRDefault="002242F3" w:rsidP="005E3B44">
            <w:pPr>
              <w:pStyle w:val="Normal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88CFD8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143D1D7" w14:textId="77777777" w:rsidR="002242F3" w:rsidRPr="005E3B44" w:rsidRDefault="002242F3" w:rsidP="005E3B44">
            <w:pPr>
              <w:pStyle w:val="Normal1"/>
              <w:rPr>
                <w:rFonts w:asciiTheme="minorHAnsi" w:eastAsia="Calibri" w:hAnsiTheme="minorHAnsi" w:cstheme="minorHAnsi"/>
                <w:color w:val="000000"/>
                <w:sz w:val="18"/>
              </w:rPr>
            </w:pPr>
          </w:p>
        </w:tc>
        <w:tc>
          <w:tcPr>
            <w:tcW w:w="111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1D622E9"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F061D96"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8A9CE45"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55B118C"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1BCF198" w14:textId="77777777" w:rsidR="002242F3" w:rsidRPr="005E3B44" w:rsidRDefault="002242F3" w:rsidP="005E3B44">
            <w:pPr>
              <w:pStyle w:val="Normal1"/>
              <w:rPr>
                <w:rFonts w:asciiTheme="minorHAnsi" w:eastAsia="Calibri" w:hAnsiTheme="minorHAnsi" w:cstheme="minorHAnsi"/>
                <w:color w:val="000000"/>
                <w:sz w:val="18"/>
              </w:rPr>
            </w:pPr>
          </w:p>
        </w:tc>
      </w:tr>
      <w:tr w:rsidR="002242F3" w:rsidRPr="005E3B44" w14:paraId="20301BB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40" w:type="dxa"/>
              <w:right w:w="40" w:type="dxa"/>
            </w:tcMar>
            <w:vAlign w:val="bottom"/>
          </w:tcPr>
          <w:p w14:paraId="63E61AED" w14:textId="77777777" w:rsidR="002242F3" w:rsidRPr="005E3B44" w:rsidRDefault="002242F3" w:rsidP="005E3B44">
            <w:pPr>
              <w:pStyle w:val="Normal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tc>
        <w:tc>
          <w:tcPr>
            <w:tcW w:w="111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0DA3D782"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340,762</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618F4ECC"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385,009</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51CEC744"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388,130</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04BF6FC5"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390,377</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3F2F99E7" w14:textId="77777777" w:rsidR="002242F3" w:rsidRPr="005E3B44" w:rsidRDefault="002242F3" w:rsidP="005E3B44">
            <w:pPr>
              <w:pStyle w:val="Normal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391,394</w:t>
            </w:r>
          </w:p>
        </w:tc>
      </w:tr>
      <w:tr w:rsidR="002242F3" w:rsidRPr="005E3B44" w14:paraId="6FB1074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70A52648" w14:textId="77777777" w:rsidR="002242F3" w:rsidRPr="005E3B44" w:rsidRDefault="002242F3" w:rsidP="005E3B44">
            <w:pPr>
              <w:pStyle w:val="Normal1"/>
              <w:rPr>
                <w:rFonts w:asciiTheme="minorHAnsi" w:eastAsia="Calibri" w:hAnsiTheme="minorHAnsi" w:cstheme="minorHAns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0ABA8555"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099B405"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9BE8C1"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3CEBC9" w14:textId="77777777" w:rsidR="002242F3" w:rsidRPr="005E3B44" w:rsidRDefault="002242F3" w:rsidP="005E3B44">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2E5649" w14:textId="77777777" w:rsidR="002242F3" w:rsidRPr="005E3B44" w:rsidRDefault="002242F3" w:rsidP="005E3B44">
            <w:pPr>
              <w:pStyle w:val="Normal1"/>
              <w:rPr>
                <w:rFonts w:asciiTheme="minorHAnsi" w:eastAsia="Calibri" w:hAnsiTheme="minorHAnsi" w:cstheme="minorHAnsi"/>
                <w:color w:val="000000"/>
                <w:sz w:val="18"/>
              </w:rPr>
            </w:pPr>
          </w:p>
        </w:tc>
      </w:tr>
    </w:tbl>
    <w:p w14:paraId="757244E7" w14:textId="44D6764C" w:rsidR="002242F3" w:rsidRPr="005E3B44" w:rsidRDefault="002242F3" w:rsidP="009B39D6">
      <w:pPr>
        <w:pStyle w:val="Caption"/>
        <w:pageBreakBefore/>
        <w:pBdr>
          <w:top w:val="nil"/>
          <w:left w:val="nil"/>
          <w:bottom w:val="nil"/>
          <w:right w:val="nil"/>
          <w:between w:val="nil"/>
          <w:bar w:val="nil"/>
        </w:pBdr>
        <w:spacing w:before="0" w:after="0"/>
        <w:outlineLvl w:val="0"/>
        <w:rPr>
          <w:rFonts w:asciiTheme="minorHAnsi" w:hAnsiTheme="minorHAnsi" w:cstheme="minorHAnsi"/>
          <w:bdr w:val="nil"/>
        </w:rPr>
      </w:pPr>
      <w:r w:rsidRPr="005E3B44">
        <w:rPr>
          <w:rFonts w:asciiTheme="minorHAnsi" w:hAnsiTheme="minorHAnsi" w:cstheme="minorHAnsi"/>
          <w:bdr w:val="nil"/>
        </w:rPr>
        <w:lastRenderedPageBreak/>
        <w:t>Table 2</w:t>
      </w:r>
      <w:r w:rsidR="00805234">
        <w:rPr>
          <w:rFonts w:asciiTheme="minorHAnsi" w:hAnsiTheme="minorHAnsi" w:cstheme="minorHAnsi"/>
          <w:bdr w:val="nil"/>
        </w:rPr>
        <w:t>5</w:t>
      </w:r>
      <w:r w:rsidRPr="005E3B44">
        <w:rPr>
          <w:rFonts w:asciiTheme="minorHAnsi" w:hAnsiTheme="minorHAnsi" w:cstheme="minorHAnsi"/>
          <w:bdr w:val="nil"/>
        </w:rPr>
        <w:t>: Changes to appropriation –</w:t>
      </w:r>
      <w:r w:rsidRPr="005E3B44">
        <w:rPr>
          <w:rFonts w:asciiTheme="minorHAnsi" w:hAnsiTheme="minorHAnsi" w:cstheme="minorHAnsi"/>
          <w:szCs w:val="20"/>
          <w:bdr w:val="nil"/>
        </w:rPr>
        <w:t xml:space="preserve"> Expenses on Behalf of the </w:t>
      </w:r>
      <w:r w:rsidRPr="005E3B44">
        <w:rPr>
          <w:rFonts w:asciiTheme="minorHAnsi" w:hAnsiTheme="minorHAnsi" w:cstheme="minorHAnsi"/>
          <w:bdr w:val="nil"/>
        </w:rPr>
        <w:t>Territory</w:t>
      </w:r>
    </w:p>
    <w:p w14:paraId="3BCA3EA4" w14:textId="77777777" w:rsidR="002242F3" w:rsidRPr="005E3B44" w:rsidRDefault="002242F3" w:rsidP="002242F3">
      <w:pPr>
        <w:pStyle w:val="Normal2"/>
        <w:rPr>
          <w:rFonts w:asciiTheme="minorHAnsi" w:hAnsiTheme="minorHAnsi" w:cstheme="minorHAnsi"/>
        </w:rPr>
      </w:pPr>
    </w:p>
    <w:tbl>
      <w:tblPr>
        <w:tblStyle w:val="CDMRange2"/>
        <w:tblW w:w="9990" w:type="dxa"/>
        <w:tblLayout w:type="fixed"/>
        <w:tblLook w:val="0600" w:firstRow="0" w:lastRow="0" w:firstColumn="0" w:lastColumn="0" w:noHBand="1" w:noVBand="1"/>
      </w:tblPr>
      <w:tblGrid>
        <w:gridCol w:w="4815"/>
        <w:gridCol w:w="1035"/>
        <w:gridCol w:w="1035"/>
        <w:gridCol w:w="1035"/>
        <w:gridCol w:w="1035"/>
        <w:gridCol w:w="1035"/>
      </w:tblGrid>
      <w:tr w:rsidR="002242F3" w:rsidRPr="005E3B44" w14:paraId="2A03CA68" w14:textId="77777777" w:rsidTr="009B39D6">
        <w:trPr>
          <w:trHeight w:val="771"/>
        </w:trPr>
        <w:tc>
          <w:tcPr>
            <w:tcW w:w="481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8D1E2A2"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6F03E84"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w:t>
            </w:r>
          </w:p>
          <w:p w14:paraId="499B0360"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DD6745"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p w14:paraId="7ACFA365" w14:textId="77777777" w:rsidR="002242F3" w:rsidRPr="005E3B44" w:rsidRDefault="002242F3" w:rsidP="005E3B44">
            <w:pPr>
              <w:pStyle w:val="Normal2"/>
              <w:jc w:val="right"/>
              <w:rPr>
                <w:rFonts w:asciiTheme="minorHAnsi" w:eastAsia="Calibri" w:hAnsiTheme="minorHAnsi" w:cstheme="minorHAnsi"/>
                <w:b/>
                <w:color w:val="000000"/>
                <w:sz w:val="18"/>
              </w:rPr>
            </w:pPr>
          </w:p>
          <w:p w14:paraId="0ABC5806"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899B3E"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 Estimate</w:t>
            </w:r>
          </w:p>
          <w:p w14:paraId="18159B27" w14:textId="77777777" w:rsidR="002242F3" w:rsidRPr="005E3B44" w:rsidRDefault="002242F3" w:rsidP="005E3B44">
            <w:pPr>
              <w:pStyle w:val="Normal2"/>
              <w:jc w:val="right"/>
              <w:rPr>
                <w:rFonts w:asciiTheme="minorHAnsi" w:eastAsia="Calibri" w:hAnsiTheme="minorHAnsi" w:cstheme="minorHAnsi"/>
                <w:b/>
                <w:color w:val="000000"/>
                <w:sz w:val="18"/>
              </w:rPr>
            </w:pPr>
          </w:p>
          <w:p w14:paraId="0FEDE3F0"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44E2D94"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 Estimate</w:t>
            </w:r>
          </w:p>
          <w:p w14:paraId="363753DE" w14:textId="77777777" w:rsidR="002242F3" w:rsidRPr="005E3B44" w:rsidRDefault="002242F3" w:rsidP="005E3B44">
            <w:pPr>
              <w:pStyle w:val="Normal2"/>
              <w:jc w:val="right"/>
              <w:rPr>
                <w:rFonts w:asciiTheme="minorHAnsi" w:eastAsia="Calibri" w:hAnsiTheme="minorHAnsi" w:cstheme="minorHAnsi"/>
                <w:b/>
                <w:color w:val="000000"/>
                <w:sz w:val="18"/>
              </w:rPr>
            </w:pPr>
          </w:p>
          <w:p w14:paraId="039941F8"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848429"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 Estimate</w:t>
            </w:r>
          </w:p>
          <w:p w14:paraId="5BCEF428" w14:textId="77777777" w:rsidR="002242F3" w:rsidRPr="005E3B44" w:rsidRDefault="002242F3" w:rsidP="005E3B44">
            <w:pPr>
              <w:pStyle w:val="Normal2"/>
              <w:jc w:val="right"/>
              <w:rPr>
                <w:rFonts w:asciiTheme="minorHAnsi" w:eastAsia="Calibri" w:hAnsiTheme="minorHAnsi" w:cstheme="minorHAnsi"/>
                <w:b/>
                <w:color w:val="000000"/>
                <w:sz w:val="18"/>
              </w:rPr>
            </w:pPr>
          </w:p>
          <w:p w14:paraId="2D798583"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4C7D2A0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1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E78CD1F"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B621A32"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D93B46C"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67D7F48"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788C44D"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4DF7AF7"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40FEDD5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0" w:type="dxa"/>
              <w:right w:w="0" w:type="dxa"/>
            </w:tcMar>
            <w:vAlign w:val="bottom"/>
          </w:tcPr>
          <w:p w14:paraId="78C20F47"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7D11499"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B100A86"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1708175"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42349FD"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8DA125A"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7000D41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101" w:type="dxa"/>
              <w:right w:w="101" w:type="dxa"/>
            </w:tcMar>
            <w:vAlign w:val="bottom"/>
          </w:tcPr>
          <w:p w14:paraId="0C7D1F01" w14:textId="77777777" w:rsidR="002242F3" w:rsidRPr="005E3B44" w:rsidRDefault="002242F3" w:rsidP="005E3B44">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371B3425"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204,832</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29AC2D8F"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204,013</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D5C90AE"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204,516</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732732DB"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204,644</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1D6FEFC"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204,644</w:t>
            </w:r>
          </w:p>
        </w:tc>
      </w:tr>
      <w:tr w:rsidR="002242F3" w:rsidRPr="005E3B44" w14:paraId="239DF26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0" w:type="dxa"/>
              <w:right w:w="0" w:type="dxa"/>
            </w:tcMar>
            <w:vAlign w:val="bottom"/>
          </w:tcPr>
          <w:p w14:paraId="6AD5B904"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427CB10"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5A5DAFD"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CEDBE6"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D6E50A"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71D8C58"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57393AF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vAlign w:val="bottom"/>
          </w:tcPr>
          <w:p w14:paraId="7D68F224" w14:textId="77777777" w:rsidR="002242F3" w:rsidRPr="00C36E53" w:rsidRDefault="002242F3" w:rsidP="005E3B44">
            <w:pPr>
              <w:pStyle w:val="Normal2"/>
              <w:ind w:left="181" w:hanging="181"/>
              <w:rPr>
                <w:rFonts w:asciiTheme="minorHAnsi" w:eastAsia="Calibri" w:hAnsiTheme="minorHAnsi" w:cstheme="minorHAnsi"/>
                <w:b/>
                <w:color w:val="000000"/>
                <w:sz w:val="18"/>
                <w:szCs w:val="18"/>
              </w:rPr>
            </w:pPr>
            <w:r w:rsidRPr="00C36E53">
              <w:rPr>
                <w:rFonts w:asciiTheme="minorHAnsi" w:eastAsia="Calibri" w:hAnsiTheme="minorHAnsi" w:cstheme="minorHAnsi"/>
                <w:b/>
                <w:color w:val="000000"/>
                <w:sz w:val="18"/>
                <w:szCs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tcPr>
          <w:p w14:paraId="3E1E4D08"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B7E12C9"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EA36B8F"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E620BD0"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26C139D"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1049040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4998C44A"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Policing Forensic Medical Contract — Extension</w:t>
            </w:r>
          </w:p>
        </w:tc>
        <w:tc>
          <w:tcPr>
            <w:tcW w:w="1035" w:type="dxa"/>
            <w:tcBorders>
              <w:top w:val="nil"/>
              <w:left w:val="nil"/>
              <w:bottom w:val="nil"/>
              <w:right w:val="nil"/>
              <w:tl2br w:val="nil"/>
              <w:tr2bl w:val="nil"/>
            </w:tcBorders>
            <w:shd w:val="clear" w:color="auto" w:fill="auto"/>
            <w:noWrap/>
            <w:tcMar>
              <w:left w:w="101" w:type="dxa"/>
              <w:right w:w="161" w:type="dxa"/>
            </w:tcMar>
          </w:tcPr>
          <w:p w14:paraId="04AF368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0CCC01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975</w:t>
            </w:r>
          </w:p>
        </w:tc>
        <w:tc>
          <w:tcPr>
            <w:tcW w:w="1035" w:type="dxa"/>
            <w:tcBorders>
              <w:top w:val="nil"/>
              <w:left w:val="nil"/>
              <w:bottom w:val="nil"/>
              <w:right w:val="nil"/>
              <w:tl2br w:val="nil"/>
              <w:tr2bl w:val="nil"/>
            </w:tcBorders>
            <w:shd w:val="clear" w:color="auto" w:fill="auto"/>
            <w:noWrap/>
            <w:tcMar>
              <w:left w:w="101" w:type="dxa"/>
              <w:right w:w="161" w:type="dxa"/>
            </w:tcMar>
          </w:tcPr>
          <w:p w14:paraId="59F2691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1,035</w:t>
            </w:r>
          </w:p>
        </w:tc>
        <w:tc>
          <w:tcPr>
            <w:tcW w:w="1035" w:type="dxa"/>
            <w:tcBorders>
              <w:top w:val="nil"/>
              <w:left w:val="nil"/>
              <w:bottom w:val="nil"/>
              <w:right w:val="nil"/>
              <w:tl2br w:val="nil"/>
              <w:tr2bl w:val="nil"/>
            </w:tcBorders>
            <w:shd w:val="clear" w:color="auto" w:fill="auto"/>
            <w:noWrap/>
            <w:tcMar>
              <w:left w:w="101" w:type="dxa"/>
              <w:right w:w="161" w:type="dxa"/>
            </w:tcMar>
          </w:tcPr>
          <w:p w14:paraId="43B70B7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1,096</w:t>
            </w:r>
          </w:p>
        </w:tc>
        <w:tc>
          <w:tcPr>
            <w:tcW w:w="1035" w:type="dxa"/>
            <w:tcBorders>
              <w:top w:val="nil"/>
              <w:left w:val="nil"/>
              <w:bottom w:val="nil"/>
              <w:right w:val="nil"/>
              <w:tl2br w:val="nil"/>
              <w:tr2bl w:val="nil"/>
            </w:tcBorders>
            <w:shd w:val="clear" w:color="auto" w:fill="auto"/>
            <w:noWrap/>
            <w:tcMar>
              <w:left w:w="101" w:type="dxa"/>
              <w:right w:w="161" w:type="dxa"/>
            </w:tcMar>
          </w:tcPr>
          <w:p w14:paraId="603FF28D"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1,158</w:t>
            </w:r>
          </w:p>
        </w:tc>
      </w:tr>
      <w:tr w:rsidR="002242F3" w:rsidRPr="005E3B44" w14:paraId="5EE4E0F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5C2B9312"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Commonwealth Redress Scheme — continuation</w:t>
            </w:r>
          </w:p>
        </w:tc>
        <w:tc>
          <w:tcPr>
            <w:tcW w:w="1035" w:type="dxa"/>
            <w:tcBorders>
              <w:top w:val="nil"/>
              <w:left w:val="nil"/>
              <w:bottom w:val="nil"/>
              <w:right w:val="nil"/>
              <w:tl2br w:val="nil"/>
              <w:tr2bl w:val="nil"/>
            </w:tcBorders>
            <w:shd w:val="clear" w:color="auto" w:fill="auto"/>
            <w:noWrap/>
            <w:tcMar>
              <w:left w:w="101" w:type="dxa"/>
              <w:right w:w="161" w:type="dxa"/>
            </w:tcMar>
          </w:tcPr>
          <w:p w14:paraId="0EB60B4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DB98A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auto" w:fill="auto"/>
            <w:noWrap/>
            <w:tcMar>
              <w:left w:w="101" w:type="dxa"/>
              <w:right w:w="161" w:type="dxa"/>
            </w:tcMar>
          </w:tcPr>
          <w:p w14:paraId="1B7C3428"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w:t>
            </w:r>
          </w:p>
        </w:tc>
        <w:tc>
          <w:tcPr>
            <w:tcW w:w="1035" w:type="dxa"/>
            <w:tcBorders>
              <w:top w:val="nil"/>
              <w:left w:val="nil"/>
              <w:bottom w:val="nil"/>
              <w:right w:val="nil"/>
              <w:tl2br w:val="nil"/>
              <w:tr2bl w:val="nil"/>
            </w:tcBorders>
            <w:shd w:val="clear" w:color="auto" w:fill="auto"/>
            <w:noWrap/>
            <w:tcMar>
              <w:left w:w="101" w:type="dxa"/>
              <w:right w:w="161" w:type="dxa"/>
            </w:tcMar>
          </w:tcPr>
          <w:p w14:paraId="06E9B52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w:t>
            </w:r>
          </w:p>
        </w:tc>
        <w:tc>
          <w:tcPr>
            <w:tcW w:w="1035" w:type="dxa"/>
            <w:tcBorders>
              <w:top w:val="nil"/>
              <w:left w:val="nil"/>
              <w:bottom w:val="nil"/>
              <w:right w:val="nil"/>
              <w:tl2br w:val="nil"/>
              <w:tr2bl w:val="nil"/>
            </w:tcBorders>
            <w:shd w:val="clear" w:color="auto" w:fill="auto"/>
            <w:noWrap/>
            <w:tcMar>
              <w:left w:w="101" w:type="dxa"/>
              <w:right w:w="161" w:type="dxa"/>
            </w:tcMar>
          </w:tcPr>
          <w:p w14:paraId="4ED8669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r>
      <w:tr w:rsidR="002242F3" w:rsidRPr="005E3B44" w14:paraId="5EDF13B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0D970DFE"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Continuing the COVID-19 Public Health Response</w:t>
            </w:r>
          </w:p>
        </w:tc>
        <w:tc>
          <w:tcPr>
            <w:tcW w:w="1035" w:type="dxa"/>
            <w:tcBorders>
              <w:top w:val="nil"/>
              <w:left w:val="nil"/>
              <w:bottom w:val="nil"/>
              <w:right w:val="nil"/>
              <w:tl2br w:val="nil"/>
              <w:tr2bl w:val="nil"/>
            </w:tcBorders>
            <w:shd w:val="clear" w:color="auto" w:fill="auto"/>
            <w:noWrap/>
            <w:tcMar>
              <w:left w:w="101" w:type="dxa"/>
              <w:right w:w="161" w:type="dxa"/>
            </w:tcMar>
          </w:tcPr>
          <w:p w14:paraId="77008DD4"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B4E05E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2,400</w:t>
            </w:r>
          </w:p>
        </w:tc>
        <w:tc>
          <w:tcPr>
            <w:tcW w:w="1035" w:type="dxa"/>
            <w:tcBorders>
              <w:top w:val="nil"/>
              <w:left w:val="nil"/>
              <w:bottom w:val="nil"/>
              <w:right w:val="nil"/>
              <w:tl2br w:val="nil"/>
              <w:tr2bl w:val="nil"/>
            </w:tcBorders>
            <w:shd w:val="clear" w:color="auto" w:fill="auto"/>
            <w:noWrap/>
            <w:tcMar>
              <w:left w:w="101" w:type="dxa"/>
              <w:right w:w="161" w:type="dxa"/>
            </w:tcMar>
          </w:tcPr>
          <w:p w14:paraId="2B468ED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CE2D96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5BAEB3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E132F9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2F045927"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Drug and Alcohol Court — more support</w:t>
            </w:r>
          </w:p>
        </w:tc>
        <w:tc>
          <w:tcPr>
            <w:tcW w:w="1035" w:type="dxa"/>
            <w:tcBorders>
              <w:top w:val="nil"/>
              <w:left w:val="nil"/>
              <w:bottom w:val="nil"/>
              <w:right w:val="nil"/>
              <w:tl2br w:val="nil"/>
              <w:tr2bl w:val="nil"/>
            </w:tcBorders>
            <w:shd w:val="clear" w:color="auto" w:fill="auto"/>
            <w:noWrap/>
            <w:tcMar>
              <w:left w:w="101" w:type="dxa"/>
              <w:right w:w="161" w:type="dxa"/>
            </w:tcMar>
          </w:tcPr>
          <w:p w14:paraId="54DD08C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EA7A64C"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98</w:t>
            </w:r>
          </w:p>
        </w:tc>
        <w:tc>
          <w:tcPr>
            <w:tcW w:w="1035" w:type="dxa"/>
            <w:tcBorders>
              <w:top w:val="nil"/>
              <w:left w:val="nil"/>
              <w:bottom w:val="nil"/>
              <w:right w:val="nil"/>
              <w:tl2br w:val="nil"/>
              <w:tr2bl w:val="nil"/>
            </w:tcBorders>
            <w:shd w:val="clear" w:color="auto" w:fill="auto"/>
            <w:noWrap/>
            <w:tcMar>
              <w:left w:w="101" w:type="dxa"/>
              <w:right w:w="161" w:type="dxa"/>
            </w:tcMar>
          </w:tcPr>
          <w:p w14:paraId="40A374D2"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w:t>
            </w:r>
          </w:p>
        </w:tc>
        <w:tc>
          <w:tcPr>
            <w:tcW w:w="1035" w:type="dxa"/>
            <w:tcBorders>
              <w:top w:val="nil"/>
              <w:left w:val="nil"/>
              <w:bottom w:val="nil"/>
              <w:right w:val="nil"/>
              <w:tl2br w:val="nil"/>
              <w:tr2bl w:val="nil"/>
            </w:tcBorders>
            <w:shd w:val="clear" w:color="auto" w:fill="auto"/>
            <w:noWrap/>
            <w:tcMar>
              <w:left w:w="101" w:type="dxa"/>
              <w:right w:w="161" w:type="dxa"/>
            </w:tcMar>
          </w:tcPr>
          <w:p w14:paraId="59C57381"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6ED0631"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FCAA62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51165B26"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Official Visitor Scheme — more support</w:t>
            </w:r>
          </w:p>
        </w:tc>
        <w:tc>
          <w:tcPr>
            <w:tcW w:w="1035" w:type="dxa"/>
            <w:tcBorders>
              <w:top w:val="nil"/>
              <w:left w:val="nil"/>
              <w:bottom w:val="nil"/>
              <w:right w:val="nil"/>
              <w:tl2br w:val="nil"/>
              <w:tr2bl w:val="nil"/>
            </w:tcBorders>
            <w:shd w:val="clear" w:color="auto" w:fill="auto"/>
            <w:noWrap/>
            <w:tcMar>
              <w:left w:w="101" w:type="dxa"/>
              <w:right w:w="161" w:type="dxa"/>
            </w:tcMar>
          </w:tcPr>
          <w:p w14:paraId="61B394B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15D67D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140</w:t>
            </w:r>
          </w:p>
        </w:tc>
        <w:tc>
          <w:tcPr>
            <w:tcW w:w="1035" w:type="dxa"/>
            <w:tcBorders>
              <w:top w:val="nil"/>
              <w:left w:val="nil"/>
              <w:bottom w:val="nil"/>
              <w:right w:val="nil"/>
              <w:tl2br w:val="nil"/>
              <w:tr2bl w:val="nil"/>
            </w:tcBorders>
            <w:shd w:val="clear" w:color="auto" w:fill="auto"/>
            <w:noWrap/>
            <w:tcMar>
              <w:left w:w="101" w:type="dxa"/>
              <w:right w:w="161" w:type="dxa"/>
            </w:tcMar>
          </w:tcPr>
          <w:p w14:paraId="37651C10"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w:t>
            </w:r>
          </w:p>
        </w:tc>
        <w:tc>
          <w:tcPr>
            <w:tcW w:w="1035" w:type="dxa"/>
            <w:tcBorders>
              <w:top w:val="nil"/>
              <w:left w:val="nil"/>
              <w:bottom w:val="nil"/>
              <w:right w:val="nil"/>
              <w:tl2br w:val="nil"/>
              <w:tr2bl w:val="nil"/>
            </w:tcBorders>
            <w:shd w:val="clear" w:color="auto" w:fill="auto"/>
            <w:noWrap/>
            <w:tcMar>
              <w:left w:w="101" w:type="dxa"/>
              <w:right w:w="161" w:type="dxa"/>
            </w:tcMar>
          </w:tcPr>
          <w:p w14:paraId="3CF268C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145</w:t>
            </w:r>
          </w:p>
        </w:tc>
        <w:tc>
          <w:tcPr>
            <w:tcW w:w="1035" w:type="dxa"/>
            <w:tcBorders>
              <w:top w:val="nil"/>
              <w:left w:val="nil"/>
              <w:bottom w:val="nil"/>
              <w:right w:val="nil"/>
              <w:tl2br w:val="nil"/>
              <w:tr2bl w:val="nil"/>
            </w:tcBorders>
            <w:shd w:val="clear" w:color="auto" w:fill="auto"/>
            <w:noWrap/>
            <w:tcMar>
              <w:left w:w="101" w:type="dxa"/>
              <w:right w:w="161" w:type="dxa"/>
            </w:tcMar>
          </w:tcPr>
          <w:p w14:paraId="3AAB7C41"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149</w:t>
            </w:r>
          </w:p>
        </w:tc>
      </w:tr>
      <w:tr w:rsidR="002242F3" w:rsidRPr="005E3B44" w14:paraId="20D58A8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tcPr>
          <w:p w14:paraId="7C54E627"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Well Prepared Emergency Services — ACT Policing Enabling Adjustment</w:t>
            </w:r>
          </w:p>
        </w:tc>
        <w:tc>
          <w:tcPr>
            <w:tcW w:w="1035" w:type="dxa"/>
            <w:tcBorders>
              <w:top w:val="nil"/>
              <w:left w:val="nil"/>
              <w:bottom w:val="nil"/>
              <w:right w:val="nil"/>
              <w:tl2br w:val="nil"/>
              <w:tr2bl w:val="nil"/>
            </w:tcBorders>
            <w:shd w:val="clear" w:color="auto" w:fill="auto"/>
            <w:noWrap/>
            <w:tcMar>
              <w:left w:w="101" w:type="dxa"/>
              <w:right w:w="161" w:type="dxa"/>
            </w:tcMar>
          </w:tcPr>
          <w:p w14:paraId="600E6B04"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42C543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2,773</w:t>
            </w:r>
          </w:p>
        </w:tc>
        <w:tc>
          <w:tcPr>
            <w:tcW w:w="1035" w:type="dxa"/>
            <w:tcBorders>
              <w:top w:val="nil"/>
              <w:left w:val="nil"/>
              <w:bottom w:val="nil"/>
              <w:right w:val="nil"/>
              <w:tl2br w:val="nil"/>
              <w:tr2bl w:val="nil"/>
            </w:tcBorders>
            <w:shd w:val="clear" w:color="auto" w:fill="auto"/>
            <w:noWrap/>
            <w:tcMar>
              <w:left w:w="101" w:type="dxa"/>
              <w:right w:w="161" w:type="dxa"/>
            </w:tcMar>
          </w:tcPr>
          <w:p w14:paraId="53A8958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2,773</w:t>
            </w:r>
          </w:p>
        </w:tc>
        <w:tc>
          <w:tcPr>
            <w:tcW w:w="1035" w:type="dxa"/>
            <w:tcBorders>
              <w:top w:val="nil"/>
              <w:left w:val="nil"/>
              <w:bottom w:val="nil"/>
              <w:right w:val="nil"/>
              <w:tl2br w:val="nil"/>
              <w:tr2bl w:val="nil"/>
            </w:tcBorders>
            <w:shd w:val="clear" w:color="auto" w:fill="auto"/>
            <w:noWrap/>
            <w:tcMar>
              <w:left w:w="101" w:type="dxa"/>
              <w:right w:w="161" w:type="dxa"/>
            </w:tcMar>
          </w:tcPr>
          <w:p w14:paraId="057E49EC"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2,773</w:t>
            </w:r>
          </w:p>
        </w:tc>
        <w:tc>
          <w:tcPr>
            <w:tcW w:w="1035" w:type="dxa"/>
            <w:tcBorders>
              <w:top w:val="nil"/>
              <w:left w:val="nil"/>
              <w:bottom w:val="nil"/>
              <w:right w:val="nil"/>
              <w:tl2br w:val="nil"/>
              <w:tr2bl w:val="nil"/>
            </w:tcBorders>
            <w:shd w:val="clear" w:color="auto" w:fill="auto"/>
            <w:noWrap/>
            <w:tcMar>
              <w:left w:w="101" w:type="dxa"/>
              <w:right w:w="161" w:type="dxa"/>
            </w:tcMar>
          </w:tcPr>
          <w:p w14:paraId="58E6945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2,773</w:t>
            </w:r>
          </w:p>
        </w:tc>
      </w:tr>
      <w:tr w:rsidR="002242F3" w:rsidRPr="005E3B44" w14:paraId="47805B7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tcPr>
          <w:p w14:paraId="3B300402"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Well Prepared Emergency Services — Maintaining ACT Policing radio communication capability</w:t>
            </w:r>
          </w:p>
        </w:tc>
        <w:tc>
          <w:tcPr>
            <w:tcW w:w="1035" w:type="dxa"/>
            <w:tcBorders>
              <w:top w:val="nil"/>
              <w:left w:val="nil"/>
              <w:bottom w:val="nil"/>
              <w:right w:val="nil"/>
              <w:tl2br w:val="nil"/>
              <w:tr2bl w:val="nil"/>
            </w:tcBorders>
            <w:shd w:val="clear" w:color="auto" w:fill="auto"/>
            <w:noWrap/>
            <w:tcMar>
              <w:left w:w="101" w:type="dxa"/>
              <w:right w:w="161" w:type="dxa"/>
            </w:tcMar>
          </w:tcPr>
          <w:p w14:paraId="3C16859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70FA28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4,738</w:t>
            </w:r>
          </w:p>
        </w:tc>
        <w:tc>
          <w:tcPr>
            <w:tcW w:w="1035" w:type="dxa"/>
            <w:tcBorders>
              <w:top w:val="nil"/>
              <w:left w:val="nil"/>
              <w:bottom w:val="nil"/>
              <w:right w:val="nil"/>
              <w:tl2br w:val="nil"/>
              <w:tr2bl w:val="nil"/>
            </w:tcBorders>
            <w:shd w:val="clear" w:color="auto" w:fill="auto"/>
            <w:noWrap/>
            <w:tcMar>
              <w:left w:w="101" w:type="dxa"/>
              <w:right w:w="161" w:type="dxa"/>
            </w:tcMar>
          </w:tcPr>
          <w:p w14:paraId="3DDC245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789</w:t>
            </w:r>
          </w:p>
        </w:tc>
        <w:tc>
          <w:tcPr>
            <w:tcW w:w="1035" w:type="dxa"/>
            <w:tcBorders>
              <w:top w:val="nil"/>
              <w:left w:val="nil"/>
              <w:bottom w:val="nil"/>
              <w:right w:val="nil"/>
              <w:tl2br w:val="nil"/>
              <w:tr2bl w:val="nil"/>
            </w:tcBorders>
            <w:shd w:val="clear" w:color="auto" w:fill="auto"/>
            <w:noWrap/>
            <w:tcMar>
              <w:left w:w="101" w:type="dxa"/>
              <w:right w:w="161" w:type="dxa"/>
            </w:tcMar>
          </w:tcPr>
          <w:p w14:paraId="416ACFA8"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555</w:t>
            </w:r>
          </w:p>
        </w:tc>
        <w:tc>
          <w:tcPr>
            <w:tcW w:w="1035" w:type="dxa"/>
            <w:tcBorders>
              <w:top w:val="nil"/>
              <w:left w:val="nil"/>
              <w:bottom w:val="nil"/>
              <w:right w:val="nil"/>
              <w:tl2br w:val="nil"/>
              <w:tr2bl w:val="nil"/>
            </w:tcBorders>
            <w:shd w:val="clear" w:color="auto" w:fill="auto"/>
            <w:noWrap/>
            <w:tcMar>
              <w:left w:w="101" w:type="dxa"/>
              <w:right w:w="161" w:type="dxa"/>
            </w:tcMar>
          </w:tcPr>
          <w:p w14:paraId="39AD46C2"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555</w:t>
            </w:r>
          </w:p>
        </w:tc>
      </w:tr>
      <w:tr w:rsidR="002242F3" w:rsidRPr="005E3B44" w14:paraId="374E8AA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0" w:type="dxa"/>
              <w:right w:w="0" w:type="dxa"/>
            </w:tcMar>
            <w:vAlign w:val="bottom"/>
          </w:tcPr>
          <w:p w14:paraId="2240C529" w14:textId="77777777" w:rsidR="002242F3" w:rsidRPr="005E3B44" w:rsidRDefault="002242F3" w:rsidP="005E3B44">
            <w:pPr>
              <w:pStyle w:val="Normal2"/>
              <w:ind w:left="181" w:hanging="18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9D877D5"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079FA39"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281405D"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38EF9BE"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F0FAC37"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6887B30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5B2B00BD" w14:textId="77777777" w:rsidR="002242F3" w:rsidRPr="005E3B44" w:rsidRDefault="002242F3" w:rsidP="005E3B44">
            <w:pPr>
              <w:pStyle w:val="Normal2"/>
              <w:ind w:left="181" w:hanging="18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tcPr>
          <w:p w14:paraId="1BC83019"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9E9F5F6"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F8DD820"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FA923D6"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6D084E8"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0188443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38EB6829"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Policing Enterprise Agreement</w:t>
            </w:r>
          </w:p>
        </w:tc>
        <w:tc>
          <w:tcPr>
            <w:tcW w:w="1035" w:type="dxa"/>
            <w:tcBorders>
              <w:top w:val="nil"/>
              <w:left w:val="nil"/>
              <w:bottom w:val="nil"/>
              <w:right w:val="nil"/>
              <w:tl2br w:val="nil"/>
              <w:tr2bl w:val="nil"/>
            </w:tcBorders>
            <w:shd w:val="clear" w:color="auto" w:fill="auto"/>
            <w:noWrap/>
            <w:tcMar>
              <w:left w:w="101" w:type="dxa"/>
              <w:right w:w="161" w:type="dxa"/>
            </w:tcMar>
          </w:tcPr>
          <w:p w14:paraId="3A07C03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665D738"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1,885</w:t>
            </w:r>
          </w:p>
        </w:tc>
        <w:tc>
          <w:tcPr>
            <w:tcW w:w="1035" w:type="dxa"/>
            <w:tcBorders>
              <w:top w:val="nil"/>
              <w:left w:val="nil"/>
              <w:bottom w:val="nil"/>
              <w:right w:val="nil"/>
              <w:tl2br w:val="nil"/>
              <w:tr2bl w:val="nil"/>
            </w:tcBorders>
            <w:shd w:val="clear" w:color="auto" w:fill="auto"/>
            <w:noWrap/>
            <w:tcMar>
              <w:left w:w="101" w:type="dxa"/>
              <w:right w:w="161" w:type="dxa"/>
            </w:tcMar>
          </w:tcPr>
          <w:p w14:paraId="1BFE65F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6,620</w:t>
            </w:r>
          </w:p>
        </w:tc>
        <w:tc>
          <w:tcPr>
            <w:tcW w:w="1035" w:type="dxa"/>
            <w:tcBorders>
              <w:top w:val="nil"/>
              <w:left w:val="nil"/>
              <w:bottom w:val="nil"/>
              <w:right w:val="nil"/>
              <w:tl2br w:val="nil"/>
              <w:tr2bl w:val="nil"/>
            </w:tcBorders>
            <w:shd w:val="clear" w:color="auto" w:fill="auto"/>
            <w:noWrap/>
            <w:tcMar>
              <w:left w:w="101" w:type="dxa"/>
              <w:right w:w="161" w:type="dxa"/>
            </w:tcMar>
          </w:tcPr>
          <w:p w14:paraId="099BBBA3"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9,532</w:t>
            </w:r>
          </w:p>
        </w:tc>
        <w:tc>
          <w:tcPr>
            <w:tcW w:w="1035" w:type="dxa"/>
            <w:tcBorders>
              <w:top w:val="nil"/>
              <w:left w:val="nil"/>
              <w:bottom w:val="nil"/>
              <w:right w:val="nil"/>
              <w:tl2br w:val="nil"/>
              <w:tr2bl w:val="nil"/>
            </w:tcBorders>
            <w:shd w:val="clear" w:color="auto" w:fill="auto"/>
            <w:noWrap/>
            <w:tcMar>
              <w:left w:w="101" w:type="dxa"/>
              <w:right w:w="161" w:type="dxa"/>
            </w:tcMar>
          </w:tcPr>
          <w:p w14:paraId="367A011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9,532</w:t>
            </w:r>
          </w:p>
        </w:tc>
      </w:tr>
      <w:tr w:rsidR="002242F3" w:rsidRPr="005E3B44" w14:paraId="7C3EF7D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63ACE32A"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Retiring Judge's entitlements</w:t>
            </w:r>
          </w:p>
        </w:tc>
        <w:tc>
          <w:tcPr>
            <w:tcW w:w="1035" w:type="dxa"/>
            <w:tcBorders>
              <w:top w:val="nil"/>
              <w:left w:val="nil"/>
              <w:bottom w:val="nil"/>
              <w:right w:val="nil"/>
              <w:tl2br w:val="nil"/>
              <w:tr2bl w:val="nil"/>
            </w:tcBorders>
            <w:shd w:val="clear" w:color="auto" w:fill="auto"/>
            <w:noWrap/>
            <w:tcMar>
              <w:left w:w="101" w:type="dxa"/>
              <w:right w:w="161" w:type="dxa"/>
            </w:tcMar>
          </w:tcPr>
          <w:p w14:paraId="7A93BA84"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06753B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331</w:t>
            </w:r>
          </w:p>
        </w:tc>
        <w:tc>
          <w:tcPr>
            <w:tcW w:w="1035" w:type="dxa"/>
            <w:tcBorders>
              <w:top w:val="nil"/>
              <w:left w:val="nil"/>
              <w:bottom w:val="nil"/>
              <w:right w:val="nil"/>
              <w:tl2br w:val="nil"/>
              <w:tr2bl w:val="nil"/>
            </w:tcBorders>
            <w:shd w:val="clear" w:color="auto" w:fill="auto"/>
            <w:noWrap/>
            <w:tcMar>
              <w:left w:w="101" w:type="dxa"/>
              <w:right w:w="161" w:type="dxa"/>
            </w:tcMar>
          </w:tcPr>
          <w:p w14:paraId="67034D6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590</w:t>
            </w:r>
          </w:p>
        </w:tc>
        <w:tc>
          <w:tcPr>
            <w:tcW w:w="1035" w:type="dxa"/>
            <w:tcBorders>
              <w:top w:val="nil"/>
              <w:left w:val="nil"/>
              <w:bottom w:val="nil"/>
              <w:right w:val="nil"/>
              <w:tl2br w:val="nil"/>
              <w:tr2bl w:val="nil"/>
            </w:tcBorders>
            <w:shd w:val="clear" w:color="auto" w:fill="auto"/>
            <w:noWrap/>
            <w:tcMar>
              <w:left w:w="101" w:type="dxa"/>
              <w:right w:w="161" w:type="dxa"/>
            </w:tcMar>
          </w:tcPr>
          <w:p w14:paraId="04BD2B8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590</w:t>
            </w:r>
          </w:p>
        </w:tc>
        <w:tc>
          <w:tcPr>
            <w:tcW w:w="1035" w:type="dxa"/>
            <w:tcBorders>
              <w:top w:val="nil"/>
              <w:left w:val="nil"/>
              <w:bottom w:val="nil"/>
              <w:right w:val="nil"/>
              <w:tl2br w:val="nil"/>
              <w:tr2bl w:val="nil"/>
            </w:tcBorders>
            <w:shd w:val="clear" w:color="auto" w:fill="auto"/>
            <w:noWrap/>
            <w:tcMar>
              <w:left w:w="101" w:type="dxa"/>
              <w:right w:w="161" w:type="dxa"/>
            </w:tcMar>
          </w:tcPr>
          <w:p w14:paraId="683CB6D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590</w:t>
            </w:r>
          </w:p>
        </w:tc>
      </w:tr>
      <w:tr w:rsidR="002242F3" w:rsidRPr="005E3B44" w14:paraId="71741DC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16B62974" w14:textId="77777777" w:rsidR="002242F3" w:rsidRPr="005E3B44" w:rsidRDefault="002242F3" w:rsidP="005E3B44">
            <w:pPr>
              <w:pStyle w:val="Normal2"/>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Revised Funding Profile</w:t>
            </w:r>
          </w:p>
        </w:tc>
        <w:tc>
          <w:tcPr>
            <w:tcW w:w="1035" w:type="dxa"/>
            <w:tcBorders>
              <w:top w:val="nil"/>
              <w:left w:val="nil"/>
              <w:bottom w:val="nil"/>
              <w:right w:val="nil"/>
              <w:tl2br w:val="nil"/>
              <w:tr2bl w:val="nil"/>
            </w:tcBorders>
            <w:shd w:val="clear" w:color="auto" w:fill="auto"/>
            <w:noWrap/>
            <w:tcMar>
              <w:left w:w="0" w:type="dxa"/>
              <w:right w:w="0" w:type="dxa"/>
            </w:tcMar>
          </w:tcPr>
          <w:p w14:paraId="65610BD9"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7107353"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D251BC8"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3A79F54"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097FA8F"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0E10B0E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236" w:type="dxa"/>
              <w:right w:w="101" w:type="dxa"/>
            </w:tcMar>
          </w:tcPr>
          <w:p w14:paraId="0EA68534"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Boosting police for a growing city</w:t>
            </w:r>
          </w:p>
        </w:tc>
        <w:tc>
          <w:tcPr>
            <w:tcW w:w="1035" w:type="dxa"/>
            <w:tcBorders>
              <w:top w:val="nil"/>
              <w:left w:val="nil"/>
              <w:bottom w:val="nil"/>
              <w:right w:val="nil"/>
              <w:tl2br w:val="nil"/>
              <w:tr2bl w:val="nil"/>
            </w:tcBorders>
            <w:shd w:val="clear" w:color="auto" w:fill="auto"/>
            <w:noWrap/>
            <w:tcMar>
              <w:left w:w="101" w:type="dxa"/>
              <w:right w:w="161" w:type="dxa"/>
            </w:tcMar>
          </w:tcPr>
          <w:p w14:paraId="2550DAC2"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-483</w:t>
            </w:r>
          </w:p>
        </w:tc>
        <w:tc>
          <w:tcPr>
            <w:tcW w:w="1035" w:type="dxa"/>
            <w:tcBorders>
              <w:top w:val="nil"/>
              <w:left w:val="nil"/>
              <w:bottom w:val="nil"/>
              <w:right w:val="nil"/>
              <w:tl2br w:val="nil"/>
              <w:tr2bl w:val="nil"/>
            </w:tcBorders>
            <w:shd w:val="clear" w:color="auto" w:fill="auto"/>
            <w:noWrap/>
            <w:tcMar>
              <w:left w:w="101" w:type="dxa"/>
              <w:right w:w="161" w:type="dxa"/>
            </w:tcMar>
          </w:tcPr>
          <w:p w14:paraId="29E5072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483</w:t>
            </w:r>
          </w:p>
        </w:tc>
        <w:tc>
          <w:tcPr>
            <w:tcW w:w="1035" w:type="dxa"/>
            <w:tcBorders>
              <w:top w:val="nil"/>
              <w:left w:val="nil"/>
              <w:bottom w:val="nil"/>
              <w:right w:val="nil"/>
              <w:tl2br w:val="nil"/>
              <w:tr2bl w:val="nil"/>
            </w:tcBorders>
            <w:shd w:val="clear" w:color="auto" w:fill="auto"/>
            <w:noWrap/>
            <w:tcMar>
              <w:left w:w="101" w:type="dxa"/>
              <w:right w:w="161" w:type="dxa"/>
            </w:tcMar>
          </w:tcPr>
          <w:p w14:paraId="5250A30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A8C5741"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4FC4C8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5F92E1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236" w:type="dxa"/>
              <w:right w:w="101" w:type="dxa"/>
            </w:tcMar>
          </w:tcPr>
          <w:p w14:paraId="315E9FD9"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Charter of Rights for Victims of Crime</w:t>
            </w:r>
          </w:p>
        </w:tc>
        <w:tc>
          <w:tcPr>
            <w:tcW w:w="1035" w:type="dxa"/>
            <w:tcBorders>
              <w:top w:val="nil"/>
              <w:left w:val="nil"/>
              <w:bottom w:val="nil"/>
              <w:right w:val="nil"/>
              <w:tl2br w:val="nil"/>
              <w:tr2bl w:val="nil"/>
            </w:tcBorders>
            <w:shd w:val="clear" w:color="auto" w:fill="auto"/>
            <w:noWrap/>
            <w:tcMar>
              <w:left w:w="101" w:type="dxa"/>
              <w:right w:w="161" w:type="dxa"/>
            </w:tcMar>
          </w:tcPr>
          <w:p w14:paraId="16272831"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w:t>
            </w:r>
          </w:p>
        </w:tc>
        <w:tc>
          <w:tcPr>
            <w:tcW w:w="1035" w:type="dxa"/>
            <w:tcBorders>
              <w:top w:val="nil"/>
              <w:left w:val="nil"/>
              <w:bottom w:val="nil"/>
              <w:right w:val="nil"/>
              <w:tl2br w:val="nil"/>
              <w:tr2bl w:val="nil"/>
            </w:tcBorders>
            <w:shd w:val="clear" w:color="auto" w:fill="auto"/>
            <w:noWrap/>
            <w:tcMar>
              <w:left w:w="101" w:type="dxa"/>
              <w:right w:w="161" w:type="dxa"/>
            </w:tcMar>
          </w:tcPr>
          <w:p w14:paraId="773DA9E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w:t>
            </w:r>
          </w:p>
        </w:tc>
        <w:tc>
          <w:tcPr>
            <w:tcW w:w="1035" w:type="dxa"/>
            <w:tcBorders>
              <w:top w:val="nil"/>
              <w:left w:val="nil"/>
              <w:bottom w:val="nil"/>
              <w:right w:val="nil"/>
              <w:tl2br w:val="nil"/>
              <w:tr2bl w:val="nil"/>
            </w:tcBorders>
            <w:shd w:val="clear" w:color="auto" w:fill="auto"/>
            <w:noWrap/>
            <w:tcMar>
              <w:left w:w="101" w:type="dxa"/>
              <w:right w:w="161" w:type="dxa"/>
            </w:tcMar>
          </w:tcPr>
          <w:p w14:paraId="13ABF56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6F2859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0FC3138"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2DA5F6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236" w:type="dxa"/>
              <w:right w:w="101" w:type="dxa"/>
            </w:tcMar>
          </w:tcPr>
          <w:p w14:paraId="036A5F7C"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COVID-19 Public Health Response</w:t>
            </w:r>
          </w:p>
        </w:tc>
        <w:tc>
          <w:tcPr>
            <w:tcW w:w="1035" w:type="dxa"/>
            <w:tcBorders>
              <w:top w:val="nil"/>
              <w:left w:val="nil"/>
              <w:bottom w:val="nil"/>
              <w:right w:val="nil"/>
              <w:tl2br w:val="nil"/>
              <w:tr2bl w:val="nil"/>
            </w:tcBorders>
            <w:shd w:val="clear" w:color="auto" w:fill="auto"/>
            <w:noWrap/>
            <w:tcMar>
              <w:left w:w="101" w:type="dxa"/>
              <w:right w:w="161" w:type="dxa"/>
            </w:tcMar>
          </w:tcPr>
          <w:p w14:paraId="22DDC8D4"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-447</w:t>
            </w:r>
          </w:p>
        </w:tc>
        <w:tc>
          <w:tcPr>
            <w:tcW w:w="1035" w:type="dxa"/>
            <w:tcBorders>
              <w:top w:val="nil"/>
              <w:left w:val="nil"/>
              <w:bottom w:val="nil"/>
              <w:right w:val="nil"/>
              <w:tl2br w:val="nil"/>
              <w:tr2bl w:val="nil"/>
            </w:tcBorders>
            <w:shd w:val="clear" w:color="auto" w:fill="auto"/>
            <w:noWrap/>
            <w:tcMar>
              <w:left w:w="101" w:type="dxa"/>
              <w:right w:w="161" w:type="dxa"/>
            </w:tcMar>
          </w:tcPr>
          <w:p w14:paraId="316E2A02"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447</w:t>
            </w:r>
          </w:p>
        </w:tc>
        <w:tc>
          <w:tcPr>
            <w:tcW w:w="1035" w:type="dxa"/>
            <w:tcBorders>
              <w:top w:val="nil"/>
              <w:left w:val="nil"/>
              <w:bottom w:val="nil"/>
              <w:right w:val="nil"/>
              <w:tl2br w:val="nil"/>
              <w:tr2bl w:val="nil"/>
            </w:tcBorders>
            <w:shd w:val="clear" w:color="auto" w:fill="auto"/>
            <w:noWrap/>
            <w:tcMar>
              <w:left w:w="101" w:type="dxa"/>
              <w:right w:w="161" w:type="dxa"/>
            </w:tcMar>
          </w:tcPr>
          <w:p w14:paraId="6A4E630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C399DE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96C17D0"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C4E16D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tcPr>
          <w:p w14:paraId="7E8BC2C4"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Gaming Machine Authorisation Surrender Incentive extension</w:t>
            </w:r>
          </w:p>
        </w:tc>
        <w:tc>
          <w:tcPr>
            <w:tcW w:w="1035" w:type="dxa"/>
            <w:tcBorders>
              <w:top w:val="nil"/>
              <w:left w:val="nil"/>
              <w:bottom w:val="nil"/>
              <w:right w:val="nil"/>
              <w:tl2br w:val="nil"/>
              <w:tr2bl w:val="nil"/>
            </w:tcBorders>
            <w:shd w:val="clear" w:color="auto" w:fill="auto"/>
            <w:noWrap/>
            <w:tcMar>
              <w:left w:w="101" w:type="dxa"/>
              <w:right w:w="161" w:type="dxa"/>
            </w:tcMar>
          </w:tcPr>
          <w:p w14:paraId="52BBE82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1035" w:type="dxa"/>
            <w:tcBorders>
              <w:top w:val="nil"/>
              <w:left w:val="nil"/>
              <w:bottom w:val="nil"/>
              <w:right w:val="nil"/>
              <w:tl2br w:val="nil"/>
              <w:tr2bl w:val="nil"/>
            </w:tcBorders>
            <w:shd w:val="clear" w:color="auto" w:fill="auto"/>
            <w:noWrap/>
            <w:tcMar>
              <w:left w:w="101" w:type="dxa"/>
              <w:right w:w="161" w:type="dxa"/>
            </w:tcMar>
          </w:tcPr>
          <w:p w14:paraId="0DC682F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1035" w:type="dxa"/>
            <w:tcBorders>
              <w:top w:val="nil"/>
              <w:left w:val="nil"/>
              <w:bottom w:val="nil"/>
              <w:right w:val="nil"/>
              <w:tl2br w:val="nil"/>
              <w:tr2bl w:val="nil"/>
            </w:tcBorders>
            <w:shd w:val="clear" w:color="auto" w:fill="auto"/>
            <w:noWrap/>
            <w:tcMar>
              <w:left w:w="101" w:type="dxa"/>
              <w:right w:w="161" w:type="dxa"/>
            </w:tcMar>
          </w:tcPr>
          <w:p w14:paraId="139B83F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0237293"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AEF604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6E2128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4815" w:type="dxa"/>
            <w:tcBorders>
              <w:top w:val="nil"/>
              <w:left w:val="nil"/>
              <w:bottom w:val="nil"/>
              <w:right w:val="nil"/>
              <w:tl2br w:val="nil"/>
              <w:tr2bl w:val="nil"/>
            </w:tcBorders>
            <w:shd w:val="clear" w:color="auto" w:fill="auto"/>
            <w:tcMar>
              <w:left w:w="236" w:type="dxa"/>
              <w:right w:w="101" w:type="dxa"/>
            </w:tcMar>
          </w:tcPr>
          <w:p w14:paraId="6ACFA1E7"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Implementing the Commonwealth Redress Scheme for Institutional Child and Sexual Abuse</w:t>
            </w:r>
          </w:p>
        </w:tc>
        <w:tc>
          <w:tcPr>
            <w:tcW w:w="1035" w:type="dxa"/>
            <w:tcBorders>
              <w:top w:val="nil"/>
              <w:left w:val="nil"/>
              <w:bottom w:val="nil"/>
              <w:right w:val="nil"/>
              <w:tl2br w:val="nil"/>
              <w:tr2bl w:val="nil"/>
            </w:tcBorders>
            <w:shd w:val="clear" w:color="auto" w:fill="auto"/>
            <w:noWrap/>
            <w:tcMar>
              <w:left w:w="101" w:type="dxa"/>
              <w:right w:w="161" w:type="dxa"/>
            </w:tcMar>
          </w:tcPr>
          <w:p w14:paraId="3A830CA9"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-1,600</w:t>
            </w:r>
          </w:p>
        </w:tc>
        <w:tc>
          <w:tcPr>
            <w:tcW w:w="1035" w:type="dxa"/>
            <w:tcBorders>
              <w:top w:val="nil"/>
              <w:left w:val="nil"/>
              <w:bottom w:val="nil"/>
              <w:right w:val="nil"/>
              <w:tl2br w:val="nil"/>
              <w:tr2bl w:val="nil"/>
            </w:tcBorders>
            <w:shd w:val="clear" w:color="auto" w:fill="auto"/>
            <w:noWrap/>
            <w:tcMar>
              <w:left w:w="101" w:type="dxa"/>
              <w:right w:w="161" w:type="dxa"/>
            </w:tcMar>
          </w:tcPr>
          <w:p w14:paraId="50897F0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1,600</w:t>
            </w:r>
          </w:p>
        </w:tc>
        <w:tc>
          <w:tcPr>
            <w:tcW w:w="1035" w:type="dxa"/>
            <w:tcBorders>
              <w:top w:val="nil"/>
              <w:left w:val="nil"/>
              <w:bottom w:val="nil"/>
              <w:right w:val="nil"/>
              <w:tl2br w:val="nil"/>
              <w:tr2bl w:val="nil"/>
            </w:tcBorders>
            <w:shd w:val="clear" w:color="auto" w:fill="auto"/>
            <w:noWrap/>
            <w:tcMar>
              <w:left w:w="101" w:type="dxa"/>
              <w:right w:w="161" w:type="dxa"/>
            </w:tcMar>
          </w:tcPr>
          <w:p w14:paraId="45DBA60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67E57D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FD2E33"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30BFDA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tcPr>
          <w:p w14:paraId="79EC8646"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Reducing the number of gaming machine to 4,000</w:t>
            </w:r>
          </w:p>
        </w:tc>
        <w:tc>
          <w:tcPr>
            <w:tcW w:w="1035" w:type="dxa"/>
            <w:tcBorders>
              <w:top w:val="nil"/>
              <w:left w:val="nil"/>
              <w:bottom w:val="nil"/>
              <w:right w:val="nil"/>
              <w:tl2br w:val="nil"/>
              <w:tr2bl w:val="nil"/>
            </w:tcBorders>
            <w:shd w:val="clear" w:color="auto" w:fill="auto"/>
            <w:noWrap/>
            <w:tcMar>
              <w:left w:w="101" w:type="dxa"/>
              <w:right w:w="161" w:type="dxa"/>
            </w:tcMar>
          </w:tcPr>
          <w:p w14:paraId="01E81A1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1035" w:type="dxa"/>
            <w:tcBorders>
              <w:top w:val="nil"/>
              <w:left w:val="nil"/>
              <w:bottom w:val="nil"/>
              <w:right w:val="nil"/>
              <w:tl2br w:val="nil"/>
              <w:tr2bl w:val="nil"/>
            </w:tcBorders>
            <w:shd w:val="clear" w:color="auto" w:fill="auto"/>
            <w:noWrap/>
            <w:tcMar>
              <w:left w:w="101" w:type="dxa"/>
              <w:right w:w="161" w:type="dxa"/>
            </w:tcMar>
          </w:tcPr>
          <w:p w14:paraId="403E15DC"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1035" w:type="dxa"/>
            <w:tcBorders>
              <w:top w:val="nil"/>
              <w:left w:val="nil"/>
              <w:bottom w:val="nil"/>
              <w:right w:val="nil"/>
              <w:tl2br w:val="nil"/>
              <w:tr2bl w:val="nil"/>
            </w:tcBorders>
            <w:shd w:val="clear" w:color="auto" w:fill="auto"/>
            <w:noWrap/>
            <w:tcMar>
              <w:left w:w="101" w:type="dxa"/>
              <w:right w:w="161" w:type="dxa"/>
            </w:tcMar>
          </w:tcPr>
          <w:p w14:paraId="28D97E8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AD7D73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68081D"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3215F6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236" w:type="dxa"/>
              <w:right w:w="101" w:type="dxa"/>
            </w:tcMar>
          </w:tcPr>
          <w:p w14:paraId="7E0FB813"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Relocating ACT Policing's Traffic Operations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3C15B621"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-375</w:t>
            </w:r>
          </w:p>
        </w:tc>
        <w:tc>
          <w:tcPr>
            <w:tcW w:w="1035" w:type="dxa"/>
            <w:tcBorders>
              <w:top w:val="nil"/>
              <w:left w:val="nil"/>
              <w:bottom w:val="nil"/>
              <w:right w:val="nil"/>
              <w:tl2br w:val="nil"/>
              <w:tr2bl w:val="nil"/>
            </w:tcBorders>
            <w:shd w:val="clear" w:color="auto" w:fill="auto"/>
            <w:noWrap/>
            <w:tcMar>
              <w:left w:w="101" w:type="dxa"/>
              <w:right w:w="161" w:type="dxa"/>
            </w:tcMar>
          </w:tcPr>
          <w:p w14:paraId="27F8D8E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375</w:t>
            </w:r>
          </w:p>
        </w:tc>
        <w:tc>
          <w:tcPr>
            <w:tcW w:w="1035" w:type="dxa"/>
            <w:tcBorders>
              <w:top w:val="nil"/>
              <w:left w:val="nil"/>
              <w:bottom w:val="nil"/>
              <w:right w:val="nil"/>
              <w:tl2br w:val="nil"/>
              <w:tr2bl w:val="nil"/>
            </w:tcBorders>
            <w:shd w:val="clear" w:color="auto" w:fill="auto"/>
            <w:noWrap/>
            <w:tcMar>
              <w:left w:w="101" w:type="dxa"/>
              <w:right w:w="161" w:type="dxa"/>
            </w:tcMar>
          </w:tcPr>
          <w:p w14:paraId="10A598E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BE82D0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5149EE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783FFB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236" w:type="dxa"/>
              <w:right w:w="101" w:type="dxa"/>
            </w:tcMar>
          </w:tcPr>
          <w:p w14:paraId="02550D6B"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Strategic accommodation study for Policing</w:t>
            </w:r>
          </w:p>
        </w:tc>
        <w:tc>
          <w:tcPr>
            <w:tcW w:w="1035" w:type="dxa"/>
            <w:tcBorders>
              <w:top w:val="nil"/>
              <w:left w:val="nil"/>
              <w:bottom w:val="nil"/>
              <w:right w:val="nil"/>
              <w:tl2br w:val="nil"/>
              <w:tr2bl w:val="nil"/>
            </w:tcBorders>
            <w:shd w:val="clear" w:color="auto" w:fill="auto"/>
            <w:noWrap/>
            <w:tcMar>
              <w:left w:w="101" w:type="dxa"/>
              <w:right w:w="161" w:type="dxa"/>
            </w:tcMar>
          </w:tcPr>
          <w:p w14:paraId="13F07B0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-426</w:t>
            </w:r>
          </w:p>
        </w:tc>
        <w:tc>
          <w:tcPr>
            <w:tcW w:w="1035" w:type="dxa"/>
            <w:tcBorders>
              <w:top w:val="nil"/>
              <w:left w:val="nil"/>
              <w:bottom w:val="nil"/>
              <w:right w:val="nil"/>
              <w:tl2br w:val="nil"/>
              <w:tr2bl w:val="nil"/>
            </w:tcBorders>
            <w:shd w:val="clear" w:color="auto" w:fill="auto"/>
            <w:noWrap/>
            <w:tcMar>
              <w:left w:w="101" w:type="dxa"/>
              <w:right w:w="161" w:type="dxa"/>
            </w:tcMar>
          </w:tcPr>
          <w:p w14:paraId="0BAD1F2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426</w:t>
            </w:r>
          </w:p>
        </w:tc>
        <w:tc>
          <w:tcPr>
            <w:tcW w:w="1035" w:type="dxa"/>
            <w:tcBorders>
              <w:top w:val="nil"/>
              <w:left w:val="nil"/>
              <w:bottom w:val="nil"/>
              <w:right w:val="nil"/>
              <w:tl2br w:val="nil"/>
              <w:tr2bl w:val="nil"/>
            </w:tcBorders>
            <w:shd w:val="clear" w:color="auto" w:fill="auto"/>
            <w:noWrap/>
            <w:tcMar>
              <w:left w:w="101" w:type="dxa"/>
              <w:right w:w="161" w:type="dxa"/>
            </w:tcMar>
          </w:tcPr>
          <w:p w14:paraId="0B91EB73"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02560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CABD7D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3AA8DB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5DF4DFB2"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61" w:type="dxa"/>
            </w:tcMar>
          </w:tcPr>
          <w:p w14:paraId="1636AAED"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47F1D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211</w:t>
            </w:r>
          </w:p>
        </w:tc>
        <w:tc>
          <w:tcPr>
            <w:tcW w:w="1035" w:type="dxa"/>
            <w:tcBorders>
              <w:top w:val="nil"/>
              <w:left w:val="nil"/>
              <w:bottom w:val="nil"/>
              <w:right w:val="nil"/>
              <w:tl2br w:val="nil"/>
              <w:tr2bl w:val="nil"/>
            </w:tcBorders>
            <w:shd w:val="clear" w:color="auto" w:fill="auto"/>
            <w:noWrap/>
            <w:tcMar>
              <w:left w:w="101" w:type="dxa"/>
              <w:right w:w="161" w:type="dxa"/>
            </w:tcMar>
          </w:tcPr>
          <w:p w14:paraId="45163B6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297</w:t>
            </w:r>
          </w:p>
        </w:tc>
        <w:tc>
          <w:tcPr>
            <w:tcW w:w="1035" w:type="dxa"/>
            <w:tcBorders>
              <w:top w:val="nil"/>
              <w:left w:val="nil"/>
              <w:bottom w:val="nil"/>
              <w:right w:val="nil"/>
              <w:tl2br w:val="nil"/>
              <w:tr2bl w:val="nil"/>
            </w:tcBorders>
            <w:shd w:val="clear" w:color="auto" w:fill="auto"/>
            <w:noWrap/>
            <w:tcMar>
              <w:left w:w="101" w:type="dxa"/>
              <w:right w:w="161" w:type="dxa"/>
            </w:tcMar>
          </w:tcPr>
          <w:p w14:paraId="00F16D8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379</w:t>
            </w:r>
          </w:p>
        </w:tc>
        <w:tc>
          <w:tcPr>
            <w:tcW w:w="1035" w:type="dxa"/>
            <w:tcBorders>
              <w:top w:val="nil"/>
              <w:left w:val="nil"/>
              <w:bottom w:val="nil"/>
              <w:right w:val="nil"/>
              <w:tl2br w:val="nil"/>
              <w:tr2bl w:val="nil"/>
            </w:tcBorders>
            <w:shd w:val="clear" w:color="auto" w:fill="auto"/>
            <w:noWrap/>
            <w:tcMar>
              <w:left w:w="101" w:type="dxa"/>
              <w:right w:w="161" w:type="dxa"/>
            </w:tcMar>
          </w:tcPr>
          <w:p w14:paraId="4904AE9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561</w:t>
            </w:r>
          </w:p>
        </w:tc>
      </w:tr>
      <w:tr w:rsidR="002242F3" w:rsidRPr="005E3B44" w14:paraId="6045FE8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510B1632" w14:textId="136A6744" w:rsidR="002242F3" w:rsidRPr="005E3B44" w:rsidRDefault="002242F3" w:rsidP="005E3B44">
            <w:pPr>
              <w:pStyle w:val="Normal2"/>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Transfer</w:t>
            </w:r>
            <w:r w:rsidR="00805234">
              <w:rPr>
                <w:rFonts w:asciiTheme="minorHAnsi" w:eastAsia="Calibri" w:hAnsiTheme="minorHAnsi" w:cstheme="minorHAnsi"/>
                <w:b/>
                <w:i/>
                <w:color w:val="000000"/>
                <w:sz w:val="18"/>
              </w:rPr>
              <w:t>s</w:t>
            </w:r>
          </w:p>
        </w:tc>
        <w:tc>
          <w:tcPr>
            <w:tcW w:w="1035" w:type="dxa"/>
            <w:tcBorders>
              <w:top w:val="nil"/>
              <w:left w:val="nil"/>
              <w:bottom w:val="nil"/>
              <w:right w:val="nil"/>
              <w:tl2br w:val="nil"/>
              <w:tr2bl w:val="nil"/>
            </w:tcBorders>
            <w:shd w:val="clear" w:color="auto" w:fill="auto"/>
            <w:noWrap/>
            <w:tcMar>
              <w:left w:w="0" w:type="dxa"/>
              <w:right w:w="0" w:type="dxa"/>
            </w:tcMar>
          </w:tcPr>
          <w:p w14:paraId="315F53E8"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122B9A8"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C393BB9"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AB4EBF1"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9CC5E2E"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6AF2D44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tcPr>
          <w:p w14:paraId="78433A04"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Charter of Rights for Victims of Crime to Human Rights Commission</w:t>
            </w:r>
          </w:p>
        </w:tc>
        <w:tc>
          <w:tcPr>
            <w:tcW w:w="1035" w:type="dxa"/>
            <w:tcBorders>
              <w:top w:val="nil"/>
              <w:left w:val="nil"/>
              <w:bottom w:val="nil"/>
              <w:right w:val="nil"/>
              <w:tl2br w:val="nil"/>
              <w:tr2bl w:val="nil"/>
            </w:tcBorders>
            <w:shd w:val="clear" w:color="auto" w:fill="auto"/>
            <w:noWrap/>
            <w:tcMar>
              <w:left w:w="101" w:type="dxa"/>
              <w:right w:w="161" w:type="dxa"/>
            </w:tcMar>
          </w:tcPr>
          <w:p w14:paraId="4615A0A4"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6C090B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w:t>
            </w:r>
          </w:p>
        </w:tc>
        <w:tc>
          <w:tcPr>
            <w:tcW w:w="1035" w:type="dxa"/>
            <w:tcBorders>
              <w:top w:val="nil"/>
              <w:left w:val="nil"/>
              <w:bottom w:val="nil"/>
              <w:right w:val="nil"/>
              <w:tl2br w:val="nil"/>
              <w:tr2bl w:val="nil"/>
            </w:tcBorders>
            <w:shd w:val="clear" w:color="auto" w:fill="auto"/>
            <w:noWrap/>
            <w:tcMar>
              <w:left w:w="101" w:type="dxa"/>
              <w:right w:w="161" w:type="dxa"/>
            </w:tcMar>
          </w:tcPr>
          <w:p w14:paraId="647C8DD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95AC814"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BA5F9D"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742743D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tcPr>
          <w:p w14:paraId="00C6F4F3"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Official Visitor Scheme transfer from Public Trustee and Guardian</w:t>
            </w:r>
          </w:p>
        </w:tc>
        <w:tc>
          <w:tcPr>
            <w:tcW w:w="1035" w:type="dxa"/>
            <w:tcBorders>
              <w:top w:val="nil"/>
              <w:left w:val="nil"/>
              <w:bottom w:val="nil"/>
              <w:right w:val="nil"/>
              <w:tl2br w:val="nil"/>
              <w:tr2bl w:val="nil"/>
            </w:tcBorders>
            <w:shd w:val="clear" w:color="auto" w:fill="auto"/>
            <w:noWrap/>
            <w:tcMar>
              <w:left w:w="101" w:type="dxa"/>
              <w:right w:w="161" w:type="dxa"/>
            </w:tcMar>
          </w:tcPr>
          <w:p w14:paraId="6BAFCEA3"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97448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476</w:t>
            </w:r>
          </w:p>
        </w:tc>
        <w:tc>
          <w:tcPr>
            <w:tcW w:w="1035" w:type="dxa"/>
            <w:tcBorders>
              <w:top w:val="nil"/>
              <w:left w:val="nil"/>
              <w:bottom w:val="nil"/>
              <w:right w:val="nil"/>
              <w:tl2br w:val="nil"/>
              <w:tr2bl w:val="nil"/>
            </w:tcBorders>
            <w:shd w:val="clear" w:color="auto" w:fill="auto"/>
            <w:noWrap/>
            <w:tcMar>
              <w:left w:w="101" w:type="dxa"/>
              <w:right w:w="161" w:type="dxa"/>
            </w:tcMar>
          </w:tcPr>
          <w:p w14:paraId="102D5B2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483</w:t>
            </w:r>
          </w:p>
        </w:tc>
        <w:tc>
          <w:tcPr>
            <w:tcW w:w="1035" w:type="dxa"/>
            <w:tcBorders>
              <w:top w:val="nil"/>
              <w:left w:val="nil"/>
              <w:bottom w:val="nil"/>
              <w:right w:val="nil"/>
              <w:tl2br w:val="nil"/>
              <w:tr2bl w:val="nil"/>
            </w:tcBorders>
            <w:shd w:val="clear" w:color="auto" w:fill="auto"/>
            <w:noWrap/>
            <w:tcMar>
              <w:left w:w="101" w:type="dxa"/>
              <w:right w:w="161" w:type="dxa"/>
            </w:tcMar>
          </w:tcPr>
          <w:p w14:paraId="370E5B5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490</w:t>
            </w:r>
          </w:p>
        </w:tc>
        <w:tc>
          <w:tcPr>
            <w:tcW w:w="1035" w:type="dxa"/>
            <w:tcBorders>
              <w:top w:val="nil"/>
              <w:left w:val="nil"/>
              <w:bottom w:val="nil"/>
              <w:right w:val="nil"/>
              <w:tl2br w:val="nil"/>
              <w:tr2bl w:val="nil"/>
            </w:tcBorders>
            <w:shd w:val="clear" w:color="auto" w:fill="auto"/>
            <w:noWrap/>
            <w:tcMar>
              <w:left w:w="101" w:type="dxa"/>
              <w:right w:w="161" w:type="dxa"/>
            </w:tcMar>
          </w:tcPr>
          <w:p w14:paraId="3CD28AE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497</w:t>
            </w:r>
          </w:p>
        </w:tc>
      </w:tr>
      <w:tr w:rsidR="002242F3" w:rsidRPr="005E3B44" w14:paraId="05CD246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tcPr>
          <w:p w14:paraId="21616D7D"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Relocating ACT Policing's Traffic Operations Centre — to Territory Capital Injections</w:t>
            </w:r>
          </w:p>
        </w:tc>
        <w:tc>
          <w:tcPr>
            <w:tcW w:w="1035" w:type="dxa"/>
            <w:tcBorders>
              <w:top w:val="nil"/>
              <w:left w:val="nil"/>
              <w:bottom w:val="nil"/>
              <w:right w:val="nil"/>
              <w:tl2br w:val="nil"/>
              <w:tr2bl w:val="nil"/>
            </w:tcBorders>
            <w:shd w:val="clear" w:color="auto" w:fill="auto"/>
            <w:noWrap/>
            <w:tcMar>
              <w:left w:w="101" w:type="dxa"/>
              <w:right w:w="161" w:type="dxa"/>
            </w:tcMar>
          </w:tcPr>
          <w:p w14:paraId="31B20FA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71053B1"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-979</w:t>
            </w:r>
          </w:p>
        </w:tc>
        <w:tc>
          <w:tcPr>
            <w:tcW w:w="1035" w:type="dxa"/>
            <w:tcBorders>
              <w:top w:val="nil"/>
              <w:left w:val="nil"/>
              <w:bottom w:val="nil"/>
              <w:right w:val="nil"/>
              <w:tl2br w:val="nil"/>
              <w:tr2bl w:val="nil"/>
            </w:tcBorders>
            <w:shd w:val="clear" w:color="auto" w:fill="auto"/>
            <w:noWrap/>
            <w:tcMar>
              <w:left w:w="101" w:type="dxa"/>
              <w:right w:w="161" w:type="dxa"/>
            </w:tcMar>
          </w:tcPr>
          <w:p w14:paraId="686759B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-338</w:t>
            </w:r>
          </w:p>
        </w:tc>
        <w:tc>
          <w:tcPr>
            <w:tcW w:w="1035" w:type="dxa"/>
            <w:tcBorders>
              <w:top w:val="nil"/>
              <w:left w:val="nil"/>
              <w:bottom w:val="nil"/>
              <w:right w:val="nil"/>
              <w:tl2br w:val="nil"/>
              <w:tr2bl w:val="nil"/>
            </w:tcBorders>
            <w:shd w:val="clear" w:color="auto" w:fill="auto"/>
            <w:noWrap/>
            <w:tcMar>
              <w:left w:w="101" w:type="dxa"/>
              <w:right w:w="161" w:type="dxa"/>
            </w:tcMar>
          </w:tcPr>
          <w:p w14:paraId="5FEA501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-324</w:t>
            </w:r>
          </w:p>
        </w:tc>
        <w:tc>
          <w:tcPr>
            <w:tcW w:w="1035" w:type="dxa"/>
            <w:tcBorders>
              <w:top w:val="nil"/>
              <w:left w:val="nil"/>
              <w:bottom w:val="nil"/>
              <w:right w:val="nil"/>
              <w:tl2br w:val="nil"/>
              <w:tr2bl w:val="nil"/>
            </w:tcBorders>
            <w:shd w:val="clear" w:color="auto" w:fill="auto"/>
            <w:noWrap/>
            <w:tcMar>
              <w:left w:w="101" w:type="dxa"/>
              <w:right w:w="161" w:type="dxa"/>
            </w:tcMar>
          </w:tcPr>
          <w:p w14:paraId="3B10926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-654</w:t>
            </w:r>
          </w:p>
        </w:tc>
      </w:tr>
      <w:tr w:rsidR="002242F3" w:rsidRPr="005E3B44" w14:paraId="223432E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tcPr>
          <w:p w14:paraId="29FB4D7B" w14:textId="77777777" w:rsidR="002242F3" w:rsidRPr="005E3B44" w:rsidRDefault="002242F3" w:rsidP="005E3B44">
            <w:pPr>
              <w:pStyle w:val="Normal2"/>
              <w:ind w:left="-9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Treasurer's Advance — Victims of Crime Financial Payments</w:t>
            </w:r>
          </w:p>
        </w:tc>
        <w:tc>
          <w:tcPr>
            <w:tcW w:w="1035" w:type="dxa"/>
            <w:tcBorders>
              <w:top w:val="nil"/>
              <w:left w:val="nil"/>
              <w:bottom w:val="nil"/>
              <w:right w:val="nil"/>
              <w:tl2br w:val="nil"/>
              <w:tr2bl w:val="nil"/>
            </w:tcBorders>
            <w:shd w:val="clear" w:color="auto" w:fill="auto"/>
            <w:noWrap/>
            <w:tcMar>
              <w:left w:w="101" w:type="dxa"/>
              <w:right w:w="161" w:type="dxa"/>
            </w:tcMar>
          </w:tcPr>
          <w:p w14:paraId="28D82008"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1,100</w:t>
            </w:r>
          </w:p>
        </w:tc>
        <w:tc>
          <w:tcPr>
            <w:tcW w:w="1035" w:type="dxa"/>
            <w:tcBorders>
              <w:top w:val="nil"/>
              <w:left w:val="nil"/>
              <w:bottom w:val="nil"/>
              <w:right w:val="nil"/>
              <w:tl2br w:val="nil"/>
              <w:tr2bl w:val="nil"/>
            </w:tcBorders>
            <w:shd w:val="clear" w:color="auto" w:fill="auto"/>
            <w:noWrap/>
            <w:tcMar>
              <w:left w:w="101" w:type="dxa"/>
              <w:right w:w="161" w:type="dxa"/>
            </w:tcMar>
          </w:tcPr>
          <w:p w14:paraId="06519D2A"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0707F6"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CC92895"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C26A927"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C2BB61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4790C95D" w14:textId="77777777" w:rsidR="002242F3" w:rsidRPr="005E3B44" w:rsidRDefault="002242F3" w:rsidP="005E3B44">
            <w:pPr>
              <w:pStyle w:val="Normal2"/>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Savings</w:t>
            </w:r>
          </w:p>
        </w:tc>
        <w:tc>
          <w:tcPr>
            <w:tcW w:w="1035" w:type="dxa"/>
            <w:tcBorders>
              <w:top w:val="nil"/>
              <w:left w:val="nil"/>
              <w:bottom w:val="nil"/>
              <w:right w:val="nil"/>
              <w:tl2br w:val="nil"/>
              <w:tr2bl w:val="nil"/>
            </w:tcBorders>
            <w:shd w:val="clear" w:color="auto" w:fill="auto"/>
            <w:noWrap/>
            <w:tcMar>
              <w:left w:w="0" w:type="dxa"/>
              <w:right w:w="0" w:type="dxa"/>
            </w:tcMar>
          </w:tcPr>
          <w:p w14:paraId="1889D6A5"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AFC33F5"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8622ACD"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910CA6C"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43263CF"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678010F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tcPr>
          <w:p w14:paraId="53F68666"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Gaming Machine Authorisation Surrender Incentive - extension</w:t>
            </w:r>
          </w:p>
        </w:tc>
        <w:tc>
          <w:tcPr>
            <w:tcW w:w="1035" w:type="dxa"/>
            <w:tcBorders>
              <w:top w:val="nil"/>
              <w:left w:val="nil"/>
              <w:bottom w:val="nil"/>
              <w:right w:val="nil"/>
              <w:tl2br w:val="nil"/>
              <w:tr2bl w:val="nil"/>
            </w:tcBorders>
            <w:shd w:val="clear" w:color="auto" w:fill="auto"/>
            <w:noWrap/>
            <w:tcMar>
              <w:left w:w="101" w:type="dxa"/>
              <w:right w:w="161" w:type="dxa"/>
            </w:tcMar>
          </w:tcPr>
          <w:p w14:paraId="338EC74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-1,415</w:t>
            </w:r>
          </w:p>
        </w:tc>
        <w:tc>
          <w:tcPr>
            <w:tcW w:w="1035" w:type="dxa"/>
            <w:tcBorders>
              <w:top w:val="nil"/>
              <w:left w:val="nil"/>
              <w:bottom w:val="nil"/>
              <w:right w:val="nil"/>
              <w:tl2br w:val="nil"/>
              <w:tr2bl w:val="nil"/>
            </w:tcBorders>
            <w:shd w:val="clear" w:color="auto" w:fill="auto"/>
            <w:noWrap/>
            <w:tcMar>
              <w:left w:w="101" w:type="dxa"/>
              <w:right w:w="161" w:type="dxa"/>
            </w:tcMar>
          </w:tcPr>
          <w:p w14:paraId="0780C36C"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1D5AFAB"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C11E1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AD4D6C"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5C3A1A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37186AD7" w14:textId="77777777" w:rsidR="002242F3" w:rsidRPr="005E3B44" w:rsidRDefault="002242F3" w:rsidP="005E3B44">
            <w:pPr>
              <w:pStyle w:val="Normal2"/>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Offsets</w:t>
            </w:r>
          </w:p>
        </w:tc>
        <w:tc>
          <w:tcPr>
            <w:tcW w:w="1035" w:type="dxa"/>
            <w:tcBorders>
              <w:top w:val="nil"/>
              <w:left w:val="nil"/>
              <w:bottom w:val="nil"/>
              <w:right w:val="nil"/>
              <w:tl2br w:val="nil"/>
              <w:tr2bl w:val="nil"/>
            </w:tcBorders>
            <w:shd w:val="clear" w:color="auto" w:fill="auto"/>
            <w:noWrap/>
            <w:tcMar>
              <w:left w:w="0" w:type="dxa"/>
              <w:right w:w="0" w:type="dxa"/>
            </w:tcMar>
          </w:tcPr>
          <w:p w14:paraId="3EC78509"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7477653"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B930FA3"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3CBD6FA"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E030AD7"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3181F49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tcPr>
          <w:p w14:paraId="7D1DBC23" w14:textId="77777777" w:rsidR="002242F3" w:rsidRPr="005E3B44" w:rsidRDefault="002242F3" w:rsidP="005E3B44">
            <w:pPr>
              <w:pStyle w:val="Normal2"/>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Strategic accommodation study for Policing</w:t>
            </w:r>
          </w:p>
        </w:tc>
        <w:tc>
          <w:tcPr>
            <w:tcW w:w="1035" w:type="dxa"/>
            <w:tcBorders>
              <w:top w:val="nil"/>
              <w:left w:val="nil"/>
              <w:bottom w:val="nil"/>
              <w:right w:val="nil"/>
              <w:tl2br w:val="nil"/>
              <w:tr2bl w:val="nil"/>
            </w:tcBorders>
            <w:shd w:val="clear" w:color="auto" w:fill="auto"/>
            <w:noWrap/>
            <w:tcMar>
              <w:left w:w="101" w:type="dxa"/>
              <w:right w:w="161" w:type="dxa"/>
            </w:tcMar>
          </w:tcPr>
          <w:p w14:paraId="78C7928F"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B4E5DE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-300</w:t>
            </w:r>
          </w:p>
        </w:tc>
        <w:tc>
          <w:tcPr>
            <w:tcW w:w="1035" w:type="dxa"/>
            <w:tcBorders>
              <w:top w:val="nil"/>
              <w:left w:val="nil"/>
              <w:bottom w:val="nil"/>
              <w:right w:val="nil"/>
              <w:tl2br w:val="nil"/>
              <w:tr2bl w:val="nil"/>
            </w:tcBorders>
            <w:shd w:val="clear" w:color="auto" w:fill="auto"/>
            <w:noWrap/>
            <w:tcMar>
              <w:left w:w="101" w:type="dxa"/>
              <w:right w:w="161" w:type="dxa"/>
            </w:tcMar>
          </w:tcPr>
          <w:p w14:paraId="28762F2E"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8FCC8A2"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4A9CF48" w14:textId="77777777" w:rsidR="002242F3" w:rsidRPr="005E3B44" w:rsidRDefault="002242F3" w:rsidP="005E3B44">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8C8D24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1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191335F"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A6CC0A5"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9273A74"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0FA5D0A"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FD02DDD" w14:textId="77777777" w:rsidR="002242F3" w:rsidRPr="005E3B44" w:rsidRDefault="002242F3" w:rsidP="005E3B44">
            <w:pPr>
              <w:pStyle w:val="Normal2"/>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07C39F8" w14:textId="77777777" w:rsidR="002242F3" w:rsidRPr="005E3B44" w:rsidRDefault="002242F3" w:rsidP="005E3B44">
            <w:pPr>
              <w:pStyle w:val="Normal2"/>
              <w:rPr>
                <w:rFonts w:asciiTheme="minorHAnsi" w:eastAsia="Calibri" w:hAnsiTheme="minorHAnsi" w:cstheme="minorHAnsi"/>
                <w:color w:val="000000"/>
                <w:sz w:val="18"/>
              </w:rPr>
            </w:pPr>
          </w:p>
        </w:tc>
      </w:tr>
      <w:tr w:rsidR="002242F3" w:rsidRPr="005E3B44" w14:paraId="334C416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6B370EC8" w14:textId="77777777" w:rsidR="002242F3" w:rsidRPr="005E3B44" w:rsidRDefault="002242F3" w:rsidP="005E3B44">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3A3F0292"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200,371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1E5274E1"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220,852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5C5AAD69"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217,019</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1DBB6E89"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219,892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3A8C4BFF" w14:textId="77777777" w:rsidR="002242F3" w:rsidRPr="005E3B44" w:rsidRDefault="002242F3" w:rsidP="005E3B44">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219,819</w:t>
            </w:r>
          </w:p>
        </w:tc>
      </w:tr>
    </w:tbl>
    <w:p w14:paraId="0F75654F" w14:textId="72852AA8" w:rsidR="002242F3" w:rsidRPr="005E3B44" w:rsidRDefault="002242F3" w:rsidP="009B39D6">
      <w:pPr>
        <w:pStyle w:val="Caption"/>
        <w:pageBreakBefore/>
        <w:pBdr>
          <w:top w:val="nil"/>
          <w:left w:val="nil"/>
          <w:bottom w:val="nil"/>
          <w:right w:val="nil"/>
          <w:between w:val="nil"/>
          <w:bar w:val="nil"/>
        </w:pBdr>
        <w:spacing w:before="0" w:after="0"/>
        <w:rPr>
          <w:rFonts w:asciiTheme="minorHAnsi" w:hAnsiTheme="minorHAnsi" w:cstheme="minorHAnsi"/>
          <w:bdr w:val="nil"/>
        </w:rPr>
      </w:pPr>
      <w:r w:rsidRPr="005E3B44">
        <w:rPr>
          <w:rFonts w:asciiTheme="minorHAnsi" w:hAnsiTheme="minorHAnsi" w:cstheme="minorHAnsi"/>
          <w:bdr w:val="nil"/>
        </w:rPr>
        <w:lastRenderedPageBreak/>
        <w:t>Table 2</w:t>
      </w:r>
      <w:r w:rsidR="00805234">
        <w:rPr>
          <w:rFonts w:asciiTheme="minorHAnsi" w:hAnsiTheme="minorHAnsi" w:cstheme="minorHAnsi"/>
          <w:bdr w:val="nil"/>
        </w:rPr>
        <w:t>6</w:t>
      </w:r>
      <w:r w:rsidRPr="005E3B44">
        <w:rPr>
          <w:rFonts w:asciiTheme="minorHAnsi" w:hAnsiTheme="minorHAnsi" w:cstheme="minorHAnsi"/>
          <w:bdr w:val="nil"/>
        </w:rPr>
        <w:t>: Changes to appropriation – Capital Injections, Controlled</w:t>
      </w:r>
    </w:p>
    <w:p w14:paraId="25BC4238" w14:textId="77777777" w:rsidR="002242F3" w:rsidRPr="005E3B44" w:rsidRDefault="002242F3" w:rsidP="002242F3">
      <w:pPr>
        <w:pStyle w:val="Normal3"/>
        <w:rPr>
          <w:rFonts w:asciiTheme="minorHAnsi" w:hAnsiTheme="minorHAnsi" w:cstheme="minorHAnsi"/>
        </w:rPr>
      </w:pPr>
    </w:p>
    <w:tbl>
      <w:tblPr>
        <w:tblStyle w:val="CDMRange10"/>
        <w:tblW w:w="9990" w:type="dxa"/>
        <w:tblLayout w:type="fixed"/>
        <w:tblLook w:val="0600" w:firstRow="0" w:lastRow="0" w:firstColumn="0" w:lastColumn="0" w:noHBand="1" w:noVBand="1"/>
      </w:tblPr>
      <w:tblGrid>
        <w:gridCol w:w="4815"/>
        <w:gridCol w:w="1035"/>
        <w:gridCol w:w="1035"/>
        <w:gridCol w:w="1035"/>
        <w:gridCol w:w="1035"/>
        <w:gridCol w:w="1035"/>
      </w:tblGrid>
      <w:tr w:rsidR="002242F3" w:rsidRPr="005E3B44" w14:paraId="564C7E05" w14:textId="77777777" w:rsidTr="009B39D6">
        <w:trPr>
          <w:trHeight w:val="771"/>
        </w:trPr>
        <w:tc>
          <w:tcPr>
            <w:tcW w:w="481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424532DD"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3BD1DED"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w:t>
            </w:r>
          </w:p>
          <w:p w14:paraId="3931FE8A"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DFECE45"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p w14:paraId="433C1A9D" w14:textId="77777777" w:rsidR="002242F3" w:rsidRPr="005E3B44" w:rsidRDefault="002242F3" w:rsidP="005E3B44">
            <w:pPr>
              <w:pStyle w:val="Normal3"/>
              <w:jc w:val="right"/>
              <w:rPr>
                <w:rFonts w:asciiTheme="minorHAnsi" w:eastAsia="Calibri" w:hAnsiTheme="minorHAnsi" w:cstheme="minorHAnsi"/>
                <w:b/>
                <w:color w:val="000000"/>
                <w:sz w:val="18"/>
              </w:rPr>
            </w:pPr>
          </w:p>
          <w:p w14:paraId="73D5C1F0"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A7E0A46"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 Estimate</w:t>
            </w:r>
          </w:p>
          <w:p w14:paraId="005D0377" w14:textId="77777777" w:rsidR="002242F3" w:rsidRPr="005E3B44" w:rsidRDefault="002242F3" w:rsidP="005E3B44">
            <w:pPr>
              <w:pStyle w:val="Normal3"/>
              <w:jc w:val="right"/>
              <w:rPr>
                <w:rFonts w:asciiTheme="minorHAnsi" w:eastAsia="Calibri" w:hAnsiTheme="minorHAnsi" w:cstheme="minorHAnsi"/>
                <w:b/>
                <w:color w:val="000000"/>
                <w:sz w:val="18"/>
              </w:rPr>
            </w:pPr>
          </w:p>
          <w:p w14:paraId="0B5A8C27"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BBF762F"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 Estimate</w:t>
            </w:r>
          </w:p>
          <w:p w14:paraId="6B25ABE6" w14:textId="77777777" w:rsidR="002242F3" w:rsidRPr="005E3B44" w:rsidRDefault="002242F3" w:rsidP="005E3B44">
            <w:pPr>
              <w:pStyle w:val="Normal3"/>
              <w:jc w:val="right"/>
              <w:rPr>
                <w:rFonts w:asciiTheme="minorHAnsi" w:eastAsia="Calibri" w:hAnsiTheme="minorHAnsi" w:cstheme="minorHAnsi"/>
                <w:b/>
                <w:color w:val="000000"/>
                <w:sz w:val="18"/>
              </w:rPr>
            </w:pPr>
          </w:p>
          <w:p w14:paraId="1F408869"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9BDEAF5"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 Estimate</w:t>
            </w:r>
          </w:p>
          <w:p w14:paraId="55EB5F11" w14:textId="77777777" w:rsidR="002242F3" w:rsidRPr="005E3B44" w:rsidRDefault="002242F3" w:rsidP="005E3B44">
            <w:pPr>
              <w:pStyle w:val="Normal3"/>
              <w:jc w:val="right"/>
              <w:rPr>
                <w:rFonts w:asciiTheme="minorHAnsi" w:eastAsia="Calibri" w:hAnsiTheme="minorHAnsi" w:cstheme="minorHAnsi"/>
                <w:b/>
                <w:color w:val="000000"/>
                <w:sz w:val="18"/>
              </w:rPr>
            </w:pPr>
          </w:p>
          <w:p w14:paraId="41AAF381"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40545BA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1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F8B5DB5"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096C511"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312EEA0"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859349C"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1441F44"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D7017F8" w14:textId="77777777" w:rsidR="002242F3" w:rsidRPr="005E3B44" w:rsidRDefault="002242F3" w:rsidP="005E3B44">
            <w:pPr>
              <w:pStyle w:val="Normal3"/>
              <w:rPr>
                <w:rFonts w:asciiTheme="minorHAnsi" w:eastAsia="Calibri" w:hAnsiTheme="minorHAnsi" w:cstheme="minorHAnsi"/>
                <w:color w:val="000000"/>
                <w:sz w:val="18"/>
              </w:rPr>
            </w:pPr>
          </w:p>
        </w:tc>
      </w:tr>
      <w:tr w:rsidR="002242F3" w:rsidRPr="005E3B44" w14:paraId="2E268DF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0" w:type="dxa"/>
              <w:right w:w="0" w:type="dxa"/>
            </w:tcMar>
            <w:vAlign w:val="bottom"/>
          </w:tcPr>
          <w:p w14:paraId="7F4C59AF"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F199273"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31413A2"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41D6C3"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D8D76C"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5CD4040" w14:textId="77777777" w:rsidR="002242F3" w:rsidRPr="005E3B44" w:rsidRDefault="002242F3" w:rsidP="005E3B44">
            <w:pPr>
              <w:pStyle w:val="Normal3"/>
              <w:rPr>
                <w:rFonts w:asciiTheme="minorHAnsi" w:eastAsia="Calibri" w:hAnsiTheme="minorHAnsi" w:cstheme="minorHAnsi"/>
                <w:color w:val="000000"/>
                <w:sz w:val="18"/>
              </w:rPr>
            </w:pPr>
          </w:p>
        </w:tc>
      </w:tr>
      <w:tr w:rsidR="002242F3" w:rsidRPr="005E3B44" w14:paraId="2717D42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101" w:type="dxa"/>
              <w:right w:w="101" w:type="dxa"/>
            </w:tcMar>
            <w:vAlign w:val="bottom"/>
          </w:tcPr>
          <w:p w14:paraId="18206DAF" w14:textId="77777777" w:rsidR="002242F3" w:rsidRPr="005E3B44" w:rsidRDefault="002242F3" w:rsidP="005E3B44">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61" w:type="dxa"/>
            </w:tcMar>
          </w:tcPr>
          <w:p w14:paraId="2F1C9436"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30,979</w:t>
            </w:r>
          </w:p>
        </w:tc>
        <w:tc>
          <w:tcPr>
            <w:tcW w:w="1035" w:type="dxa"/>
            <w:tcBorders>
              <w:top w:val="nil"/>
              <w:left w:val="nil"/>
              <w:bottom w:val="nil"/>
              <w:right w:val="nil"/>
              <w:tl2br w:val="nil"/>
              <w:tr2bl w:val="nil"/>
            </w:tcBorders>
            <w:shd w:val="clear" w:color="auto" w:fill="auto"/>
            <w:noWrap/>
            <w:tcMar>
              <w:left w:w="101" w:type="dxa"/>
              <w:right w:w="161" w:type="dxa"/>
            </w:tcMar>
          </w:tcPr>
          <w:p w14:paraId="766EB9F3"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89,094</w:t>
            </w:r>
          </w:p>
        </w:tc>
        <w:tc>
          <w:tcPr>
            <w:tcW w:w="1035" w:type="dxa"/>
            <w:tcBorders>
              <w:top w:val="nil"/>
              <w:left w:val="nil"/>
              <w:bottom w:val="nil"/>
              <w:right w:val="nil"/>
              <w:tl2br w:val="nil"/>
              <w:tr2bl w:val="nil"/>
            </w:tcBorders>
            <w:shd w:val="clear" w:color="auto" w:fill="auto"/>
            <w:noWrap/>
            <w:tcMar>
              <w:left w:w="101" w:type="dxa"/>
              <w:right w:w="161" w:type="dxa"/>
            </w:tcMar>
          </w:tcPr>
          <w:p w14:paraId="10E0936B"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14,014</w:t>
            </w:r>
          </w:p>
        </w:tc>
        <w:tc>
          <w:tcPr>
            <w:tcW w:w="1035" w:type="dxa"/>
            <w:tcBorders>
              <w:top w:val="nil"/>
              <w:left w:val="nil"/>
              <w:bottom w:val="nil"/>
              <w:right w:val="nil"/>
              <w:tl2br w:val="nil"/>
              <w:tr2bl w:val="nil"/>
            </w:tcBorders>
            <w:shd w:val="clear" w:color="auto" w:fill="auto"/>
            <w:noWrap/>
            <w:tcMar>
              <w:left w:w="101" w:type="dxa"/>
              <w:right w:w="161" w:type="dxa"/>
            </w:tcMar>
          </w:tcPr>
          <w:p w14:paraId="12843854"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7,026</w:t>
            </w:r>
          </w:p>
        </w:tc>
        <w:tc>
          <w:tcPr>
            <w:tcW w:w="1035" w:type="dxa"/>
            <w:tcBorders>
              <w:top w:val="nil"/>
              <w:left w:val="nil"/>
              <w:bottom w:val="nil"/>
              <w:right w:val="nil"/>
              <w:tl2br w:val="nil"/>
              <w:tr2bl w:val="nil"/>
            </w:tcBorders>
            <w:shd w:val="clear" w:color="auto" w:fill="auto"/>
            <w:noWrap/>
            <w:tcMar>
              <w:left w:w="101" w:type="dxa"/>
              <w:right w:w="161" w:type="dxa"/>
            </w:tcMar>
          </w:tcPr>
          <w:p w14:paraId="7571BACA" w14:textId="77777777" w:rsidR="002242F3" w:rsidRPr="005E3B44" w:rsidRDefault="002242F3" w:rsidP="005E3B44">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7,026</w:t>
            </w:r>
          </w:p>
        </w:tc>
      </w:tr>
      <w:tr w:rsidR="002242F3" w:rsidRPr="005E3B44" w14:paraId="39AFD46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0" w:type="dxa"/>
              <w:right w:w="0" w:type="dxa"/>
            </w:tcMar>
            <w:vAlign w:val="bottom"/>
          </w:tcPr>
          <w:p w14:paraId="58322D30"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7FC688D"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943A218"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2AE4763"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2F5848C"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FEAB1B3" w14:textId="77777777" w:rsidR="002242F3" w:rsidRPr="005E3B44" w:rsidRDefault="002242F3" w:rsidP="005E3B44">
            <w:pPr>
              <w:pStyle w:val="Normal3"/>
              <w:rPr>
                <w:rFonts w:asciiTheme="minorHAnsi" w:eastAsia="Calibri" w:hAnsiTheme="minorHAnsi" w:cstheme="minorHAnsi"/>
                <w:color w:val="000000"/>
                <w:sz w:val="18"/>
              </w:rPr>
            </w:pPr>
          </w:p>
        </w:tc>
      </w:tr>
      <w:tr w:rsidR="002242F3" w:rsidRPr="005E3B44" w14:paraId="45DD71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101" w:type="dxa"/>
              <w:right w:w="101" w:type="dxa"/>
            </w:tcMar>
            <w:vAlign w:val="bottom"/>
          </w:tcPr>
          <w:p w14:paraId="29744BFC" w14:textId="77777777" w:rsidR="002242F3" w:rsidRPr="005E3B44" w:rsidRDefault="002242F3" w:rsidP="005E3B44">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tcPr>
          <w:p w14:paraId="6D93D0D8"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ABFE78D"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F22FA72"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BEEA24F"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CD581B3" w14:textId="77777777" w:rsidR="002242F3" w:rsidRPr="005E3B44" w:rsidRDefault="002242F3" w:rsidP="005E3B44">
            <w:pPr>
              <w:pStyle w:val="Normal3"/>
              <w:rPr>
                <w:rFonts w:asciiTheme="minorHAnsi" w:eastAsia="Calibri" w:hAnsiTheme="minorHAnsi" w:cstheme="minorHAnsi"/>
                <w:color w:val="000000"/>
                <w:sz w:val="18"/>
              </w:rPr>
            </w:pPr>
          </w:p>
        </w:tc>
      </w:tr>
      <w:tr w:rsidR="002242F3" w:rsidRPr="005E3B44" w14:paraId="626369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5B476620"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Law Courts upgrades</w:t>
            </w:r>
          </w:p>
        </w:tc>
        <w:tc>
          <w:tcPr>
            <w:tcW w:w="1035" w:type="dxa"/>
            <w:tcBorders>
              <w:top w:val="nil"/>
              <w:left w:val="nil"/>
              <w:bottom w:val="nil"/>
              <w:right w:val="nil"/>
              <w:tl2br w:val="nil"/>
              <w:tr2bl w:val="nil"/>
            </w:tcBorders>
            <w:shd w:val="clear" w:color="auto" w:fill="auto"/>
            <w:noWrap/>
            <w:tcMar>
              <w:left w:w="101" w:type="dxa"/>
              <w:right w:w="161" w:type="dxa"/>
            </w:tcMar>
          </w:tcPr>
          <w:p w14:paraId="5D25C85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D84A9D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1035" w:type="dxa"/>
            <w:tcBorders>
              <w:top w:val="nil"/>
              <w:left w:val="nil"/>
              <w:bottom w:val="nil"/>
              <w:right w:val="nil"/>
              <w:tl2br w:val="nil"/>
              <w:tr2bl w:val="nil"/>
            </w:tcBorders>
            <w:shd w:val="clear" w:color="auto" w:fill="auto"/>
            <w:noWrap/>
            <w:tcMar>
              <w:left w:w="101" w:type="dxa"/>
              <w:right w:w="161" w:type="dxa"/>
            </w:tcMar>
          </w:tcPr>
          <w:p w14:paraId="3573B7C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35F1D7F"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2FB6BC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353DB6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1AC2A9F6" w14:textId="77777777" w:rsidR="002242F3" w:rsidRPr="005E3B44" w:rsidRDefault="002242F3" w:rsidP="005E3B44">
            <w:pPr>
              <w:pStyle w:val="Normal3"/>
              <w:ind w:left="181" w:hanging="181"/>
              <w:rPr>
                <w:rFonts w:asciiTheme="minorHAnsi" w:eastAsia="Calibri" w:hAnsiTheme="minorHAnsi" w:cstheme="minorHAnsi"/>
                <w:color w:val="000000"/>
                <w:sz w:val="18"/>
              </w:rPr>
            </w:pPr>
            <w:proofErr w:type="spellStart"/>
            <w:r w:rsidRPr="005E3B44">
              <w:rPr>
                <w:rFonts w:asciiTheme="minorHAnsi" w:eastAsia="Calibri" w:hAnsiTheme="minorHAnsi" w:cstheme="minorHAnsi"/>
                <w:color w:val="000000"/>
                <w:sz w:val="18"/>
              </w:rPr>
              <w:t>Galambany</w:t>
            </w:r>
            <w:proofErr w:type="spellEnd"/>
            <w:r w:rsidRPr="005E3B44">
              <w:rPr>
                <w:rFonts w:asciiTheme="minorHAnsi" w:eastAsia="Calibri" w:hAnsiTheme="minorHAnsi" w:cstheme="minorHAnsi"/>
                <w:color w:val="000000"/>
                <w:sz w:val="18"/>
              </w:rPr>
              <w:t xml:space="preserve"> Circle Sentencing Court upgrades</w:t>
            </w:r>
          </w:p>
        </w:tc>
        <w:tc>
          <w:tcPr>
            <w:tcW w:w="1035" w:type="dxa"/>
            <w:tcBorders>
              <w:top w:val="nil"/>
              <w:left w:val="nil"/>
              <w:bottom w:val="nil"/>
              <w:right w:val="nil"/>
              <w:tl2br w:val="nil"/>
              <w:tr2bl w:val="nil"/>
            </w:tcBorders>
            <w:shd w:val="clear" w:color="auto" w:fill="auto"/>
            <w:noWrap/>
            <w:tcMar>
              <w:left w:w="101" w:type="dxa"/>
              <w:right w:w="161" w:type="dxa"/>
            </w:tcMar>
          </w:tcPr>
          <w:p w14:paraId="38FF14B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CCA7BD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714</w:t>
            </w:r>
          </w:p>
        </w:tc>
        <w:tc>
          <w:tcPr>
            <w:tcW w:w="1035" w:type="dxa"/>
            <w:tcBorders>
              <w:top w:val="nil"/>
              <w:left w:val="nil"/>
              <w:bottom w:val="nil"/>
              <w:right w:val="nil"/>
              <w:tl2br w:val="nil"/>
              <w:tr2bl w:val="nil"/>
            </w:tcBorders>
            <w:shd w:val="clear" w:color="auto" w:fill="auto"/>
            <w:noWrap/>
            <w:tcMar>
              <w:left w:w="101" w:type="dxa"/>
              <w:right w:w="161" w:type="dxa"/>
            </w:tcMar>
          </w:tcPr>
          <w:p w14:paraId="6EFE766B"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311DC5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3F881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E5938F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vAlign w:val="bottom"/>
          </w:tcPr>
          <w:p w14:paraId="5315C9FA"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Improving infrastructure and wellbeing at the Alexander Maconochie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05F24C7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B6B75F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1,265</w:t>
            </w:r>
          </w:p>
        </w:tc>
        <w:tc>
          <w:tcPr>
            <w:tcW w:w="1035" w:type="dxa"/>
            <w:tcBorders>
              <w:top w:val="nil"/>
              <w:left w:val="nil"/>
              <w:bottom w:val="nil"/>
              <w:right w:val="nil"/>
              <w:tl2br w:val="nil"/>
              <w:tr2bl w:val="nil"/>
            </w:tcBorders>
            <w:shd w:val="clear" w:color="auto" w:fill="auto"/>
            <w:noWrap/>
            <w:tcMar>
              <w:left w:w="101" w:type="dxa"/>
              <w:right w:w="161" w:type="dxa"/>
            </w:tcMar>
          </w:tcPr>
          <w:p w14:paraId="2499B30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4,029</w:t>
            </w:r>
          </w:p>
        </w:tc>
        <w:tc>
          <w:tcPr>
            <w:tcW w:w="1035" w:type="dxa"/>
            <w:tcBorders>
              <w:top w:val="nil"/>
              <w:left w:val="nil"/>
              <w:bottom w:val="nil"/>
              <w:right w:val="nil"/>
              <w:tl2br w:val="nil"/>
              <w:tr2bl w:val="nil"/>
            </w:tcBorders>
            <w:shd w:val="clear" w:color="auto" w:fill="auto"/>
            <w:noWrap/>
            <w:tcMar>
              <w:left w:w="101" w:type="dxa"/>
              <w:right w:w="161" w:type="dxa"/>
            </w:tcMar>
          </w:tcPr>
          <w:p w14:paraId="377566F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FBC24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C0C80A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2FEB62C1"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Improving the probate system in the ACT</w:t>
            </w:r>
          </w:p>
        </w:tc>
        <w:tc>
          <w:tcPr>
            <w:tcW w:w="1035" w:type="dxa"/>
            <w:tcBorders>
              <w:top w:val="nil"/>
              <w:left w:val="nil"/>
              <w:bottom w:val="nil"/>
              <w:right w:val="nil"/>
              <w:tl2br w:val="nil"/>
              <w:tr2bl w:val="nil"/>
            </w:tcBorders>
            <w:shd w:val="clear" w:color="auto" w:fill="auto"/>
            <w:noWrap/>
            <w:tcMar>
              <w:left w:w="101" w:type="dxa"/>
              <w:right w:w="161" w:type="dxa"/>
            </w:tcMar>
          </w:tcPr>
          <w:p w14:paraId="743845B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D7D29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72</w:t>
            </w:r>
          </w:p>
        </w:tc>
        <w:tc>
          <w:tcPr>
            <w:tcW w:w="1035" w:type="dxa"/>
            <w:tcBorders>
              <w:top w:val="nil"/>
              <w:left w:val="nil"/>
              <w:bottom w:val="nil"/>
              <w:right w:val="nil"/>
              <w:tl2br w:val="nil"/>
              <w:tr2bl w:val="nil"/>
            </w:tcBorders>
            <w:shd w:val="clear" w:color="auto" w:fill="auto"/>
            <w:noWrap/>
            <w:tcMar>
              <w:left w:w="101" w:type="dxa"/>
              <w:right w:w="161" w:type="dxa"/>
            </w:tcMar>
          </w:tcPr>
          <w:p w14:paraId="4BB641B8"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A04146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98F5DC0"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4632F1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56AFF103"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Modernising the ACT Ambulance Service</w:t>
            </w:r>
          </w:p>
        </w:tc>
        <w:tc>
          <w:tcPr>
            <w:tcW w:w="1035" w:type="dxa"/>
            <w:tcBorders>
              <w:top w:val="nil"/>
              <w:left w:val="nil"/>
              <w:bottom w:val="nil"/>
              <w:right w:val="nil"/>
              <w:tl2br w:val="nil"/>
              <w:tr2bl w:val="nil"/>
            </w:tcBorders>
            <w:shd w:val="clear" w:color="auto" w:fill="auto"/>
            <w:noWrap/>
            <w:tcMar>
              <w:left w:w="101" w:type="dxa"/>
              <w:right w:w="161" w:type="dxa"/>
            </w:tcMar>
          </w:tcPr>
          <w:p w14:paraId="36BDED5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F46CFA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390</w:t>
            </w:r>
          </w:p>
        </w:tc>
        <w:tc>
          <w:tcPr>
            <w:tcW w:w="1035" w:type="dxa"/>
            <w:tcBorders>
              <w:top w:val="nil"/>
              <w:left w:val="nil"/>
              <w:bottom w:val="nil"/>
              <w:right w:val="nil"/>
              <w:tl2br w:val="nil"/>
              <w:tr2bl w:val="nil"/>
            </w:tcBorders>
            <w:shd w:val="clear" w:color="auto" w:fill="auto"/>
            <w:noWrap/>
            <w:tcMar>
              <w:left w:w="101" w:type="dxa"/>
              <w:right w:w="161" w:type="dxa"/>
            </w:tcMar>
          </w:tcPr>
          <w:p w14:paraId="4A98806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250</w:t>
            </w:r>
          </w:p>
        </w:tc>
        <w:tc>
          <w:tcPr>
            <w:tcW w:w="1035" w:type="dxa"/>
            <w:tcBorders>
              <w:top w:val="nil"/>
              <w:left w:val="nil"/>
              <w:bottom w:val="nil"/>
              <w:right w:val="nil"/>
              <w:tl2br w:val="nil"/>
              <w:tr2bl w:val="nil"/>
            </w:tcBorders>
            <w:shd w:val="clear" w:color="auto" w:fill="auto"/>
            <w:noWrap/>
            <w:tcMar>
              <w:left w:w="101" w:type="dxa"/>
              <w:right w:w="161" w:type="dxa"/>
            </w:tcMar>
          </w:tcPr>
          <w:p w14:paraId="578391C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D7BE09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DC6427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2C131892"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the ACT Civil and Administrative Tribunal</w:t>
            </w:r>
          </w:p>
        </w:tc>
        <w:tc>
          <w:tcPr>
            <w:tcW w:w="1035" w:type="dxa"/>
            <w:tcBorders>
              <w:top w:val="nil"/>
              <w:left w:val="nil"/>
              <w:bottom w:val="nil"/>
              <w:right w:val="nil"/>
              <w:tl2br w:val="nil"/>
              <w:tr2bl w:val="nil"/>
            </w:tcBorders>
            <w:shd w:val="clear" w:color="auto" w:fill="auto"/>
            <w:noWrap/>
            <w:tcMar>
              <w:left w:w="101" w:type="dxa"/>
              <w:right w:w="161" w:type="dxa"/>
            </w:tcMar>
          </w:tcPr>
          <w:p w14:paraId="73A252E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5528AA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6,850</w:t>
            </w:r>
          </w:p>
        </w:tc>
        <w:tc>
          <w:tcPr>
            <w:tcW w:w="1035" w:type="dxa"/>
            <w:tcBorders>
              <w:top w:val="nil"/>
              <w:left w:val="nil"/>
              <w:bottom w:val="nil"/>
              <w:right w:val="nil"/>
              <w:tl2br w:val="nil"/>
              <w:tr2bl w:val="nil"/>
            </w:tcBorders>
            <w:shd w:val="clear" w:color="auto" w:fill="auto"/>
            <w:noWrap/>
            <w:tcMar>
              <w:left w:w="101" w:type="dxa"/>
              <w:right w:w="161" w:type="dxa"/>
            </w:tcMar>
          </w:tcPr>
          <w:p w14:paraId="3A9D3D4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D455B4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8CBCEB8"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7189FF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vAlign w:val="bottom"/>
          </w:tcPr>
          <w:p w14:paraId="29F065A3"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Well-prepared emergency services - Gungahlin Joint Emergency Service Centre </w:t>
            </w:r>
          </w:p>
        </w:tc>
        <w:tc>
          <w:tcPr>
            <w:tcW w:w="1035" w:type="dxa"/>
            <w:tcBorders>
              <w:top w:val="nil"/>
              <w:left w:val="nil"/>
              <w:bottom w:val="nil"/>
              <w:right w:val="nil"/>
              <w:tl2br w:val="nil"/>
              <w:tr2bl w:val="nil"/>
            </w:tcBorders>
            <w:shd w:val="clear" w:color="auto" w:fill="auto"/>
            <w:noWrap/>
            <w:tcMar>
              <w:left w:w="101" w:type="dxa"/>
              <w:right w:w="161" w:type="dxa"/>
            </w:tcMar>
          </w:tcPr>
          <w:p w14:paraId="0677DD9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7D506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285</w:t>
            </w:r>
          </w:p>
        </w:tc>
        <w:tc>
          <w:tcPr>
            <w:tcW w:w="1035" w:type="dxa"/>
            <w:tcBorders>
              <w:top w:val="nil"/>
              <w:left w:val="nil"/>
              <w:bottom w:val="nil"/>
              <w:right w:val="nil"/>
              <w:tl2br w:val="nil"/>
              <w:tr2bl w:val="nil"/>
            </w:tcBorders>
            <w:shd w:val="clear" w:color="auto" w:fill="auto"/>
            <w:noWrap/>
            <w:tcMar>
              <w:left w:w="101" w:type="dxa"/>
              <w:right w:w="161" w:type="dxa"/>
            </w:tcMar>
          </w:tcPr>
          <w:p w14:paraId="4582A27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4,066</w:t>
            </w:r>
          </w:p>
        </w:tc>
        <w:tc>
          <w:tcPr>
            <w:tcW w:w="1035" w:type="dxa"/>
            <w:tcBorders>
              <w:top w:val="nil"/>
              <w:left w:val="nil"/>
              <w:bottom w:val="nil"/>
              <w:right w:val="nil"/>
              <w:tl2br w:val="nil"/>
              <w:tr2bl w:val="nil"/>
            </w:tcBorders>
            <w:shd w:val="clear" w:color="auto" w:fill="auto"/>
            <w:noWrap/>
            <w:tcMar>
              <w:left w:w="101" w:type="dxa"/>
              <w:right w:w="161" w:type="dxa"/>
            </w:tcMar>
          </w:tcPr>
          <w:p w14:paraId="3F9F6C4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983</w:t>
            </w:r>
          </w:p>
        </w:tc>
        <w:tc>
          <w:tcPr>
            <w:tcW w:w="1035" w:type="dxa"/>
            <w:tcBorders>
              <w:top w:val="nil"/>
              <w:left w:val="nil"/>
              <w:bottom w:val="nil"/>
              <w:right w:val="nil"/>
              <w:tl2br w:val="nil"/>
              <w:tr2bl w:val="nil"/>
            </w:tcBorders>
            <w:shd w:val="clear" w:color="auto" w:fill="auto"/>
            <w:noWrap/>
            <w:tcMar>
              <w:left w:w="101" w:type="dxa"/>
              <w:right w:w="161" w:type="dxa"/>
            </w:tcMar>
          </w:tcPr>
          <w:p w14:paraId="620A7ADF" w14:textId="79C26231" w:rsidR="002242F3" w:rsidRPr="005E3B44" w:rsidRDefault="00BA0B27" w:rsidP="005E3B44">
            <w:pPr>
              <w:pStyle w:val="Normal3"/>
              <w:jc w:val="right"/>
              <w:rPr>
                <w:rFonts w:asciiTheme="minorHAnsi" w:eastAsia="Calibri" w:hAnsiTheme="minorHAnsi" w:cstheme="minorHAnsi"/>
                <w:color w:val="000000"/>
                <w:sz w:val="18"/>
              </w:rPr>
            </w:pPr>
            <w:r>
              <w:rPr>
                <w:rFonts w:asciiTheme="minorHAnsi" w:eastAsia="Calibri" w:hAnsiTheme="minorHAnsi" w:cstheme="minorHAnsi"/>
                <w:color w:val="000000"/>
                <w:sz w:val="18"/>
              </w:rPr>
              <w:t>34</w:t>
            </w:r>
          </w:p>
        </w:tc>
      </w:tr>
      <w:tr w:rsidR="002242F3" w:rsidRPr="005E3B44" w14:paraId="61FA3BE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815" w:type="dxa"/>
            <w:tcBorders>
              <w:top w:val="nil"/>
              <w:left w:val="nil"/>
              <w:bottom w:val="nil"/>
              <w:right w:val="nil"/>
              <w:tl2br w:val="nil"/>
              <w:tr2bl w:val="nil"/>
            </w:tcBorders>
            <w:shd w:val="clear" w:color="auto" w:fill="auto"/>
            <w:tcMar>
              <w:left w:w="101" w:type="dxa"/>
              <w:right w:w="101" w:type="dxa"/>
            </w:tcMar>
          </w:tcPr>
          <w:p w14:paraId="16BEAB18"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Well-prepared emergency services - Remediating hazardous materials around the former West Belconnen ACT Fire &amp; Rescue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2BB666B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8EB69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1035" w:type="dxa"/>
            <w:tcBorders>
              <w:top w:val="nil"/>
              <w:left w:val="nil"/>
              <w:bottom w:val="nil"/>
              <w:right w:val="nil"/>
              <w:tl2br w:val="nil"/>
              <w:tr2bl w:val="nil"/>
            </w:tcBorders>
            <w:shd w:val="clear" w:color="auto" w:fill="auto"/>
            <w:noWrap/>
            <w:tcMar>
              <w:left w:w="101" w:type="dxa"/>
              <w:right w:w="161" w:type="dxa"/>
            </w:tcMar>
          </w:tcPr>
          <w:p w14:paraId="70FFCFB0"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516</w:t>
            </w:r>
          </w:p>
        </w:tc>
        <w:tc>
          <w:tcPr>
            <w:tcW w:w="1035" w:type="dxa"/>
            <w:tcBorders>
              <w:top w:val="nil"/>
              <w:left w:val="nil"/>
              <w:bottom w:val="nil"/>
              <w:right w:val="nil"/>
              <w:tl2br w:val="nil"/>
              <w:tr2bl w:val="nil"/>
            </w:tcBorders>
            <w:shd w:val="clear" w:color="auto" w:fill="auto"/>
            <w:noWrap/>
            <w:tcMar>
              <w:left w:w="101" w:type="dxa"/>
              <w:right w:w="161" w:type="dxa"/>
            </w:tcMar>
          </w:tcPr>
          <w:p w14:paraId="20CF976A"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6F0766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7CDFE82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tcPr>
          <w:p w14:paraId="57D916DC"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Well-prepared emergency services - </w:t>
            </w:r>
            <w:proofErr w:type="gramStart"/>
            <w:r w:rsidRPr="005E3B44">
              <w:rPr>
                <w:rFonts w:asciiTheme="minorHAnsi" w:eastAsia="Calibri" w:hAnsiTheme="minorHAnsi" w:cstheme="minorHAnsi"/>
                <w:color w:val="000000"/>
                <w:sz w:val="18"/>
              </w:rPr>
              <w:t>Strengthening  ICT</w:t>
            </w:r>
            <w:proofErr w:type="gramEnd"/>
            <w:r w:rsidRPr="005E3B44">
              <w:rPr>
                <w:rFonts w:asciiTheme="minorHAnsi" w:eastAsia="Calibri" w:hAnsiTheme="minorHAnsi" w:cstheme="minorHAnsi"/>
                <w:color w:val="000000"/>
                <w:sz w:val="18"/>
              </w:rPr>
              <w:t xml:space="preserve"> infrastructure</w:t>
            </w:r>
          </w:p>
        </w:tc>
        <w:tc>
          <w:tcPr>
            <w:tcW w:w="1035" w:type="dxa"/>
            <w:tcBorders>
              <w:top w:val="nil"/>
              <w:left w:val="nil"/>
              <w:bottom w:val="nil"/>
              <w:right w:val="nil"/>
              <w:tl2br w:val="nil"/>
              <w:tr2bl w:val="nil"/>
            </w:tcBorders>
            <w:shd w:val="clear" w:color="auto" w:fill="auto"/>
            <w:noWrap/>
            <w:tcMar>
              <w:left w:w="101" w:type="dxa"/>
              <w:right w:w="161" w:type="dxa"/>
            </w:tcMar>
          </w:tcPr>
          <w:p w14:paraId="3E4EDF1F"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2D282FF"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1,169</w:t>
            </w:r>
          </w:p>
        </w:tc>
        <w:tc>
          <w:tcPr>
            <w:tcW w:w="1035" w:type="dxa"/>
            <w:tcBorders>
              <w:top w:val="nil"/>
              <w:left w:val="nil"/>
              <w:bottom w:val="nil"/>
              <w:right w:val="nil"/>
              <w:tl2br w:val="nil"/>
              <w:tr2bl w:val="nil"/>
            </w:tcBorders>
            <w:shd w:val="clear" w:color="auto" w:fill="auto"/>
            <w:noWrap/>
            <w:tcMar>
              <w:left w:w="101" w:type="dxa"/>
              <w:right w:w="161" w:type="dxa"/>
            </w:tcMar>
          </w:tcPr>
          <w:p w14:paraId="10F86F9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541</w:t>
            </w:r>
          </w:p>
        </w:tc>
        <w:tc>
          <w:tcPr>
            <w:tcW w:w="1035" w:type="dxa"/>
            <w:tcBorders>
              <w:top w:val="nil"/>
              <w:left w:val="nil"/>
              <w:bottom w:val="nil"/>
              <w:right w:val="nil"/>
              <w:tl2br w:val="nil"/>
              <w:tr2bl w:val="nil"/>
            </w:tcBorders>
            <w:shd w:val="clear" w:color="auto" w:fill="auto"/>
            <w:noWrap/>
            <w:tcMar>
              <w:left w:w="101" w:type="dxa"/>
              <w:right w:w="161" w:type="dxa"/>
            </w:tcMar>
          </w:tcPr>
          <w:p w14:paraId="25DCDC2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4F5984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39C57F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tcPr>
          <w:p w14:paraId="34D9425C"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Well-prepared emergency services - Vehicle replacement program </w:t>
            </w:r>
          </w:p>
        </w:tc>
        <w:tc>
          <w:tcPr>
            <w:tcW w:w="1035" w:type="dxa"/>
            <w:tcBorders>
              <w:top w:val="nil"/>
              <w:left w:val="nil"/>
              <w:bottom w:val="nil"/>
              <w:right w:val="nil"/>
              <w:tl2br w:val="nil"/>
              <w:tr2bl w:val="nil"/>
            </w:tcBorders>
            <w:shd w:val="clear" w:color="auto" w:fill="auto"/>
            <w:noWrap/>
            <w:tcMar>
              <w:left w:w="101" w:type="dxa"/>
              <w:right w:w="161" w:type="dxa"/>
            </w:tcMar>
          </w:tcPr>
          <w:p w14:paraId="0DD38D6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E3806F"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152</w:t>
            </w:r>
          </w:p>
        </w:tc>
        <w:tc>
          <w:tcPr>
            <w:tcW w:w="1035" w:type="dxa"/>
            <w:tcBorders>
              <w:top w:val="nil"/>
              <w:left w:val="nil"/>
              <w:bottom w:val="nil"/>
              <w:right w:val="nil"/>
              <w:tl2br w:val="nil"/>
              <w:tr2bl w:val="nil"/>
            </w:tcBorders>
            <w:shd w:val="clear" w:color="auto" w:fill="auto"/>
            <w:noWrap/>
            <w:tcMar>
              <w:left w:w="101" w:type="dxa"/>
              <w:right w:w="161" w:type="dxa"/>
            </w:tcMar>
          </w:tcPr>
          <w:p w14:paraId="3DC2CCA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5,222</w:t>
            </w:r>
          </w:p>
        </w:tc>
        <w:tc>
          <w:tcPr>
            <w:tcW w:w="1035" w:type="dxa"/>
            <w:tcBorders>
              <w:top w:val="nil"/>
              <w:left w:val="nil"/>
              <w:bottom w:val="nil"/>
              <w:right w:val="nil"/>
              <w:tl2br w:val="nil"/>
              <w:tr2bl w:val="nil"/>
            </w:tcBorders>
            <w:shd w:val="clear" w:color="auto" w:fill="auto"/>
            <w:noWrap/>
            <w:tcMar>
              <w:left w:w="101" w:type="dxa"/>
              <w:right w:w="161" w:type="dxa"/>
            </w:tcMar>
          </w:tcPr>
          <w:p w14:paraId="75323AEB"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4,377</w:t>
            </w:r>
          </w:p>
        </w:tc>
        <w:tc>
          <w:tcPr>
            <w:tcW w:w="1035" w:type="dxa"/>
            <w:tcBorders>
              <w:top w:val="nil"/>
              <w:left w:val="nil"/>
              <w:bottom w:val="nil"/>
              <w:right w:val="nil"/>
              <w:tl2br w:val="nil"/>
              <w:tr2bl w:val="nil"/>
            </w:tcBorders>
            <w:shd w:val="clear" w:color="auto" w:fill="auto"/>
            <w:noWrap/>
            <w:tcMar>
              <w:left w:w="101" w:type="dxa"/>
              <w:right w:w="161" w:type="dxa"/>
            </w:tcMar>
          </w:tcPr>
          <w:p w14:paraId="230B4D2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3,029</w:t>
            </w:r>
          </w:p>
        </w:tc>
      </w:tr>
      <w:tr w:rsidR="002242F3" w:rsidRPr="005E3B44" w14:paraId="3BCDD52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0" w:type="dxa"/>
              <w:right w:w="0" w:type="dxa"/>
            </w:tcMar>
            <w:vAlign w:val="bottom"/>
          </w:tcPr>
          <w:p w14:paraId="1FE692EB" w14:textId="77777777" w:rsidR="002242F3" w:rsidRPr="005E3B44" w:rsidRDefault="002242F3" w:rsidP="005E3B44">
            <w:pPr>
              <w:pStyle w:val="Normal3"/>
              <w:ind w:left="181" w:hanging="18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B9EF718"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C7A36A0"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78E68FA"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D5DF1EB"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816BFEE" w14:textId="77777777" w:rsidR="002242F3" w:rsidRPr="005E3B44" w:rsidRDefault="002242F3" w:rsidP="005E3B44">
            <w:pPr>
              <w:pStyle w:val="Normal3"/>
              <w:rPr>
                <w:rFonts w:asciiTheme="minorHAnsi" w:eastAsia="Calibri" w:hAnsiTheme="minorHAnsi" w:cstheme="minorHAnsi"/>
                <w:color w:val="000000"/>
                <w:sz w:val="18"/>
              </w:rPr>
            </w:pPr>
          </w:p>
        </w:tc>
      </w:tr>
      <w:tr w:rsidR="002242F3" w:rsidRPr="005E3B44" w14:paraId="550B598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6277A5F1" w14:textId="77777777" w:rsidR="002242F3" w:rsidRPr="005E3B44" w:rsidRDefault="002242F3" w:rsidP="005E3B44">
            <w:pPr>
              <w:pStyle w:val="Normal3"/>
              <w:ind w:left="181" w:hanging="18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tcPr>
          <w:p w14:paraId="2325E7CB"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03A170A"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F928843"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38263EF"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C4097C5" w14:textId="77777777" w:rsidR="002242F3" w:rsidRPr="005E3B44" w:rsidRDefault="002242F3" w:rsidP="005E3B44">
            <w:pPr>
              <w:pStyle w:val="Normal3"/>
              <w:rPr>
                <w:rFonts w:asciiTheme="minorHAnsi" w:eastAsia="Calibri" w:hAnsiTheme="minorHAnsi" w:cstheme="minorHAnsi"/>
                <w:color w:val="000000"/>
                <w:sz w:val="18"/>
              </w:rPr>
            </w:pPr>
          </w:p>
        </w:tc>
      </w:tr>
      <w:tr w:rsidR="002242F3" w:rsidRPr="005E3B44" w14:paraId="4B74E35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2F7563EF"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61" w:type="dxa"/>
            </w:tcMar>
          </w:tcPr>
          <w:p w14:paraId="458798E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E01778F"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9549825"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D5D8C3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D84250"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w:t>
            </w:r>
          </w:p>
        </w:tc>
      </w:tr>
      <w:tr w:rsidR="002242F3" w:rsidRPr="005E3B44" w14:paraId="2A8CC47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vAlign w:val="bottom"/>
          </w:tcPr>
          <w:p w14:paraId="5E421FC6"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Adjustment to </w:t>
            </w:r>
            <w:proofErr w:type="spellStart"/>
            <w:r w:rsidRPr="005E3B44">
              <w:rPr>
                <w:rFonts w:asciiTheme="minorHAnsi" w:eastAsia="Calibri" w:hAnsiTheme="minorHAnsi" w:cstheme="minorHAnsi"/>
                <w:color w:val="000000"/>
                <w:sz w:val="18"/>
              </w:rPr>
              <w:t>out</w:t>
            </w:r>
            <w:proofErr w:type="spellEnd"/>
            <w:r w:rsidRPr="005E3B44">
              <w:rPr>
                <w:rFonts w:asciiTheme="minorHAnsi" w:eastAsia="Calibri" w:hAnsiTheme="minorHAnsi" w:cstheme="minorHAnsi"/>
                <w:color w:val="000000"/>
                <w:sz w:val="18"/>
              </w:rPr>
              <w:t xml:space="preserve"> year base – ESA Vehicle replacement program</w:t>
            </w:r>
          </w:p>
        </w:tc>
        <w:tc>
          <w:tcPr>
            <w:tcW w:w="1035" w:type="dxa"/>
            <w:tcBorders>
              <w:top w:val="nil"/>
              <w:left w:val="nil"/>
              <w:bottom w:val="nil"/>
              <w:right w:val="nil"/>
              <w:tl2br w:val="nil"/>
              <w:tr2bl w:val="nil"/>
            </w:tcBorders>
            <w:shd w:val="clear" w:color="auto" w:fill="auto"/>
            <w:noWrap/>
            <w:tcMar>
              <w:left w:w="101" w:type="dxa"/>
              <w:right w:w="161" w:type="dxa"/>
            </w:tcMar>
          </w:tcPr>
          <w:p w14:paraId="29C9DE5A"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063D9F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1AEC10F"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83149D8"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5EAC4CD"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1,085</w:t>
            </w:r>
          </w:p>
        </w:tc>
      </w:tr>
      <w:tr w:rsidR="002242F3" w:rsidRPr="005E3B44" w14:paraId="6F738F1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vAlign w:val="bottom"/>
          </w:tcPr>
          <w:p w14:paraId="7558DFF7"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Cessation — More ACT Fire &amp; Rescue Staff and Construction of Acton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6D94FA6B"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57C61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D575DD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B8A44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5830C1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-1,127</w:t>
            </w:r>
          </w:p>
        </w:tc>
      </w:tr>
      <w:tr w:rsidR="002242F3" w:rsidRPr="005E3B44" w14:paraId="5937612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vAlign w:val="bottom"/>
          </w:tcPr>
          <w:p w14:paraId="3F456329"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Rapid rollout of ‘screwdriver ready’ minor capital works projects</w:t>
            </w:r>
          </w:p>
        </w:tc>
        <w:tc>
          <w:tcPr>
            <w:tcW w:w="1035" w:type="dxa"/>
            <w:tcBorders>
              <w:top w:val="nil"/>
              <w:left w:val="nil"/>
              <w:bottom w:val="nil"/>
              <w:right w:val="nil"/>
              <w:tl2br w:val="nil"/>
              <w:tr2bl w:val="nil"/>
            </w:tcBorders>
            <w:shd w:val="clear" w:color="auto" w:fill="auto"/>
            <w:noWrap/>
            <w:tcMar>
              <w:left w:w="101" w:type="dxa"/>
              <w:right w:w="161" w:type="dxa"/>
            </w:tcMar>
          </w:tcPr>
          <w:p w14:paraId="63F9F4D5"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32808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256</w:t>
            </w:r>
          </w:p>
        </w:tc>
        <w:tc>
          <w:tcPr>
            <w:tcW w:w="1035" w:type="dxa"/>
            <w:tcBorders>
              <w:top w:val="nil"/>
              <w:left w:val="nil"/>
              <w:bottom w:val="nil"/>
              <w:right w:val="nil"/>
              <w:tl2br w:val="nil"/>
              <w:tr2bl w:val="nil"/>
            </w:tcBorders>
            <w:shd w:val="clear" w:color="auto" w:fill="auto"/>
            <w:noWrap/>
            <w:tcMar>
              <w:left w:w="101" w:type="dxa"/>
              <w:right w:w="161" w:type="dxa"/>
            </w:tcMar>
          </w:tcPr>
          <w:p w14:paraId="377952C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46A25D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73A78C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B1E19F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3C97C5C1"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Retiring Judge's entitlements</w:t>
            </w:r>
          </w:p>
        </w:tc>
        <w:tc>
          <w:tcPr>
            <w:tcW w:w="1035" w:type="dxa"/>
            <w:tcBorders>
              <w:top w:val="nil"/>
              <w:left w:val="nil"/>
              <w:bottom w:val="nil"/>
              <w:right w:val="nil"/>
              <w:tl2br w:val="nil"/>
              <w:tr2bl w:val="nil"/>
            </w:tcBorders>
            <w:shd w:val="clear" w:color="auto" w:fill="auto"/>
            <w:noWrap/>
            <w:tcMar>
              <w:left w:w="101" w:type="dxa"/>
              <w:right w:w="161" w:type="dxa"/>
            </w:tcMar>
          </w:tcPr>
          <w:p w14:paraId="258A3EC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3962A1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811</w:t>
            </w:r>
          </w:p>
        </w:tc>
        <w:tc>
          <w:tcPr>
            <w:tcW w:w="1035" w:type="dxa"/>
            <w:tcBorders>
              <w:top w:val="nil"/>
              <w:left w:val="nil"/>
              <w:bottom w:val="nil"/>
              <w:right w:val="nil"/>
              <w:tl2br w:val="nil"/>
              <w:tr2bl w:val="nil"/>
            </w:tcBorders>
            <w:shd w:val="clear" w:color="auto" w:fill="auto"/>
            <w:noWrap/>
            <w:tcMar>
              <w:left w:w="101" w:type="dxa"/>
              <w:right w:w="161" w:type="dxa"/>
            </w:tcMar>
          </w:tcPr>
          <w:p w14:paraId="72D95BC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7A25CE0"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D1BBCA"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23B667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101" w:type="dxa"/>
              <w:right w:w="101" w:type="dxa"/>
            </w:tcMar>
            <w:vAlign w:val="bottom"/>
          </w:tcPr>
          <w:p w14:paraId="7CD7BE12" w14:textId="77777777" w:rsidR="002242F3" w:rsidRPr="005E3B44" w:rsidRDefault="002242F3" w:rsidP="005E3B44">
            <w:pPr>
              <w:pStyle w:val="Normal3"/>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Revised Funding Profile</w:t>
            </w:r>
          </w:p>
        </w:tc>
        <w:tc>
          <w:tcPr>
            <w:tcW w:w="1035" w:type="dxa"/>
            <w:tcBorders>
              <w:top w:val="nil"/>
              <w:left w:val="nil"/>
              <w:bottom w:val="nil"/>
              <w:right w:val="nil"/>
              <w:tl2br w:val="nil"/>
              <w:tr2bl w:val="nil"/>
            </w:tcBorders>
            <w:shd w:val="clear" w:color="auto" w:fill="auto"/>
            <w:noWrap/>
            <w:tcMar>
              <w:left w:w="0" w:type="dxa"/>
              <w:right w:w="0" w:type="dxa"/>
            </w:tcMar>
          </w:tcPr>
          <w:p w14:paraId="7BA3BD89"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3AB1A7E"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6243900"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6AB9E0D" w14:textId="77777777" w:rsidR="002242F3" w:rsidRPr="005E3B44" w:rsidRDefault="002242F3" w:rsidP="005E3B44">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0DB2586" w14:textId="77777777" w:rsidR="002242F3" w:rsidRPr="005E3B44" w:rsidRDefault="002242F3" w:rsidP="005E3B44">
            <w:pPr>
              <w:pStyle w:val="Normal3"/>
              <w:rPr>
                <w:rFonts w:asciiTheme="minorHAnsi" w:eastAsia="Calibri" w:hAnsiTheme="minorHAnsi" w:cstheme="minorHAnsi"/>
                <w:color w:val="000000"/>
                <w:sz w:val="18"/>
              </w:rPr>
            </w:pPr>
          </w:p>
        </w:tc>
      </w:tr>
      <w:tr w:rsidR="002242F3" w:rsidRPr="005E3B44" w14:paraId="10A6703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3BD796F6"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Corrective Services — Information Management</w:t>
            </w:r>
          </w:p>
        </w:tc>
        <w:tc>
          <w:tcPr>
            <w:tcW w:w="1035" w:type="dxa"/>
            <w:tcBorders>
              <w:top w:val="nil"/>
              <w:left w:val="nil"/>
              <w:bottom w:val="nil"/>
              <w:right w:val="nil"/>
              <w:tl2br w:val="nil"/>
              <w:tr2bl w:val="nil"/>
            </w:tcBorders>
            <w:shd w:val="clear" w:color="auto" w:fill="auto"/>
            <w:noWrap/>
            <w:tcMar>
              <w:left w:w="101" w:type="dxa"/>
              <w:right w:w="161" w:type="dxa"/>
            </w:tcMar>
          </w:tcPr>
          <w:p w14:paraId="58C7352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-845</w:t>
            </w:r>
          </w:p>
        </w:tc>
        <w:tc>
          <w:tcPr>
            <w:tcW w:w="1035" w:type="dxa"/>
            <w:tcBorders>
              <w:top w:val="nil"/>
              <w:left w:val="nil"/>
              <w:bottom w:val="nil"/>
              <w:right w:val="nil"/>
              <w:tl2br w:val="nil"/>
              <w:tr2bl w:val="nil"/>
            </w:tcBorders>
            <w:shd w:val="clear" w:color="auto" w:fill="auto"/>
            <w:noWrap/>
            <w:tcMar>
              <w:left w:w="101" w:type="dxa"/>
              <w:right w:w="161" w:type="dxa"/>
            </w:tcMar>
          </w:tcPr>
          <w:p w14:paraId="6D4E3B0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845</w:t>
            </w:r>
          </w:p>
        </w:tc>
        <w:tc>
          <w:tcPr>
            <w:tcW w:w="1035" w:type="dxa"/>
            <w:tcBorders>
              <w:top w:val="nil"/>
              <w:left w:val="nil"/>
              <w:bottom w:val="nil"/>
              <w:right w:val="nil"/>
              <w:tl2br w:val="nil"/>
              <w:tr2bl w:val="nil"/>
            </w:tcBorders>
            <w:shd w:val="clear" w:color="auto" w:fill="auto"/>
            <w:noWrap/>
            <w:tcMar>
              <w:left w:w="101" w:type="dxa"/>
              <w:right w:w="161" w:type="dxa"/>
            </w:tcMar>
          </w:tcPr>
          <w:p w14:paraId="6D3C82E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57659F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6548CB"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419ECF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5C2B80A3"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Legislation Register Replacement</w:t>
            </w:r>
          </w:p>
        </w:tc>
        <w:tc>
          <w:tcPr>
            <w:tcW w:w="1035" w:type="dxa"/>
            <w:tcBorders>
              <w:top w:val="nil"/>
              <w:left w:val="nil"/>
              <w:bottom w:val="nil"/>
              <w:right w:val="nil"/>
              <w:tl2br w:val="nil"/>
              <w:tr2bl w:val="nil"/>
            </w:tcBorders>
            <w:shd w:val="clear" w:color="auto" w:fill="auto"/>
            <w:noWrap/>
            <w:tcMar>
              <w:left w:w="101" w:type="dxa"/>
              <w:right w:w="161" w:type="dxa"/>
            </w:tcMar>
          </w:tcPr>
          <w:p w14:paraId="0BF2CFD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w:t>
            </w:r>
          </w:p>
        </w:tc>
        <w:tc>
          <w:tcPr>
            <w:tcW w:w="1035" w:type="dxa"/>
            <w:tcBorders>
              <w:top w:val="nil"/>
              <w:left w:val="nil"/>
              <w:bottom w:val="nil"/>
              <w:right w:val="nil"/>
              <w:tl2br w:val="nil"/>
              <w:tr2bl w:val="nil"/>
            </w:tcBorders>
            <w:shd w:val="clear" w:color="auto" w:fill="auto"/>
            <w:noWrap/>
            <w:tcMar>
              <w:left w:w="101" w:type="dxa"/>
              <w:right w:w="161" w:type="dxa"/>
            </w:tcMar>
          </w:tcPr>
          <w:p w14:paraId="7D1B86A0"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w:t>
            </w:r>
          </w:p>
        </w:tc>
        <w:tc>
          <w:tcPr>
            <w:tcW w:w="1035" w:type="dxa"/>
            <w:tcBorders>
              <w:top w:val="nil"/>
              <w:left w:val="nil"/>
              <w:bottom w:val="nil"/>
              <w:right w:val="nil"/>
              <w:tl2br w:val="nil"/>
              <w:tr2bl w:val="nil"/>
            </w:tcBorders>
            <w:shd w:val="clear" w:color="auto" w:fill="auto"/>
            <w:noWrap/>
            <w:tcMar>
              <w:left w:w="101" w:type="dxa"/>
              <w:right w:w="161" w:type="dxa"/>
            </w:tcMar>
          </w:tcPr>
          <w:p w14:paraId="2408921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7D8B6B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E7A10A"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3BD98A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71A40AD4"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Alexander Maconochie Centre Detainee industries and activities enforcement project</w:t>
            </w:r>
          </w:p>
        </w:tc>
        <w:tc>
          <w:tcPr>
            <w:tcW w:w="1035" w:type="dxa"/>
            <w:tcBorders>
              <w:top w:val="nil"/>
              <w:left w:val="nil"/>
              <w:bottom w:val="nil"/>
              <w:right w:val="nil"/>
              <w:tl2br w:val="nil"/>
              <w:tr2bl w:val="nil"/>
            </w:tcBorders>
            <w:shd w:val="clear" w:color="auto" w:fill="auto"/>
            <w:noWrap/>
            <w:tcMar>
              <w:left w:w="101" w:type="dxa"/>
              <w:right w:w="161" w:type="dxa"/>
            </w:tcMar>
          </w:tcPr>
          <w:p w14:paraId="3D405E1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w:t>
            </w:r>
          </w:p>
        </w:tc>
        <w:tc>
          <w:tcPr>
            <w:tcW w:w="1035" w:type="dxa"/>
            <w:tcBorders>
              <w:top w:val="nil"/>
              <w:left w:val="nil"/>
              <w:bottom w:val="nil"/>
              <w:right w:val="nil"/>
              <w:tl2br w:val="nil"/>
              <w:tr2bl w:val="nil"/>
            </w:tcBorders>
            <w:shd w:val="clear" w:color="auto" w:fill="auto"/>
            <w:noWrap/>
            <w:tcMar>
              <w:left w:w="101" w:type="dxa"/>
              <w:right w:w="161" w:type="dxa"/>
            </w:tcMar>
          </w:tcPr>
          <w:p w14:paraId="6965F0D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w:t>
            </w:r>
          </w:p>
        </w:tc>
        <w:tc>
          <w:tcPr>
            <w:tcW w:w="1035" w:type="dxa"/>
            <w:tcBorders>
              <w:top w:val="nil"/>
              <w:left w:val="nil"/>
              <w:bottom w:val="nil"/>
              <w:right w:val="nil"/>
              <w:tl2br w:val="nil"/>
              <w:tr2bl w:val="nil"/>
            </w:tcBorders>
            <w:shd w:val="clear" w:color="auto" w:fill="auto"/>
            <w:noWrap/>
            <w:tcMar>
              <w:left w:w="101" w:type="dxa"/>
              <w:right w:w="161" w:type="dxa"/>
            </w:tcMar>
          </w:tcPr>
          <w:p w14:paraId="06D6590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2330D8"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915C89B"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38A28F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5B954CC7"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AMC Reintegration Centre — Soil rectification contingency</w:t>
            </w:r>
          </w:p>
        </w:tc>
        <w:tc>
          <w:tcPr>
            <w:tcW w:w="1035" w:type="dxa"/>
            <w:tcBorders>
              <w:top w:val="nil"/>
              <w:left w:val="nil"/>
              <w:bottom w:val="nil"/>
              <w:right w:val="nil"/>
              <w:tl2br w:val="nil"/>
              <w:tr2bl w:val="nil"/>
            </w:tcBorders>
            <w:shd w:val="clear" w:color="auto" w:fill="auto"/>
            <w:noWrap/>
            <w:tcMar>
              <w:left w:w="101" w:type="dxa"/>
              <w:right w:w="161" w:type="dxa"/>
            </w:tcMar>
          </w:tcPr>
          <w:p w14:paraId="09AF448A"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-1,754</w:t>
            </w:r>
          </w:p>
        </w:tc>
        <w:tc>
          <w:tcPr>
            <w:tcW w:w="1035" w:type="dxa"/>
            <w:tcBorders>
              <w:top w:val="nil"/>
              <w:left w:val="nil"/>
              <w:bottom w:val="nil"/>
              <w:right w:val="nil"/>
              <w:tl2br w:val="nil"/>
              <w:tr2bl w:val="nil"/>
            </w:tcBorders>
            <w:shd w:val="clear" w:color="auto" w:fill="auto"/>
            <w:noWrap/>
            <w:tcMar>
              <w:left w:w="101" w:type="dxa"/>
              <w:right w:w="161" w:type="dxa"/>
            </w:tcMar>
          </w:tcPr>
          <w:p w14:paraId="23E5183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1,754</w:t>
            </w:r>
          </w:p>
        </w:tc>
        <w:tc>
          <w:tcPr>
            <w:tcW w:w="1035" w:type="dxa"/>
            <w:tcBorders>
              <w:top w:val="nil"/>
              <w:left w:val="nil"/>
              <w:bottom w:val="nil"/>
              <w:right w:val="nil"/>
              <w:tl2br w:val="nil"/>
              <w:tr2bl w:val="nil"/>
            </w:tcBorders>
            <w:shd w:val="clear" w:color="auto" w:fill="auto"/>
            <w:noWrap/>
            <w:tcMar>
              <w:left w:w="101" w:type="dxa"/>
              <w:right w:w="161" w:type="dxa"/>
            </w:tcMar>
          </w:tcPr>
          <w:p w14:paraId="26DF6ED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AB2A88"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58B7EBF"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F9AA50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0652AC28"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Government — Human Rights Commission digital capability</w:t>
            </w:r>
          </w:p>
        </w:tc>
        <w:tc>
          <w:tcPr>
            <w:tcW w:w="1035" w:type="dxa"/>
            <w:tcBorders>
              <w:top w:val="nil"/>
              <w:left w:val="nil"/>
              <w:bottom w:val="nil"/>
              <w:right w:val="nil"/>
              <w:tl2br w:val="nil"/>
              <w:tr2bl w:val="nil"/>
            </w:tcBorders>
            <w:shd w:val="clear" w:color="auto" w:fill="auto"/>
            <w:noWrap/>
            <w:tcMar>
              <w:left w:w="101" w:type="dxa"/>
              <w:right w:w="161" w:type="dxa"/>
            </w:tcMar>
          </w:tcPr>
          <w:p w14:paraId="2CA329E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w:t>
            </w:r>
          </w:p>
        </w:tc>
        <w:tc>
          <w:tcPr>
            <w:tcW w:w="1035" w:type="dxa"/>
            <w:tcBorders>
              <w:top w:val="nil"/>
              <w:left w:val="nil"/>
              <w:bottom w:val="nil"/>
              <w:right w:val="nil"/>
              <w:tl2br w:val="nil"/>
              <w:tr2bl w:val="nil"/>
            </w:tcBorders>
            <w:shd w:val="clear" w:color="auto" w:fill="auto"/>
            <w:noWrap/>
            <w:tcMar>
              <w:left w:w="101" w:type="dxa"/>
              <w:right w:w="161" w:type="dxa"/>
            </w:tcMar>
          </w:tcPr>
          <w:p w14:paraId="0A8ABB8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w:t>
            </w:r>
          </w:p>
        </w:tc>
        <w:tc>
          <w:tcPr>
            <w:tcW w:w="1035" w:type="dxa"/>
            <w:tcBorders>
              <w:top w:val="nil"/>
              <w:left w:val="nil"/>
              <w:bottom w:val="nil"/>
              <w:right w:val="nil"/>
              <w:tl2br w:val="nil"/>
              <w:tr2bl w:val="nil"/>
            </w:tcBorders>
            <w:shd w:val="clear" w:color="auto" w:fill="auto"/>
            <w:noWrap/>
            <w:tcMar>
              <w:left w:w="101" w:type="dxa"/>
              <w:right w:w="161" w:type="dxa"/>
            </w:tcMar>
          </w:tcPr>
          <w:p w14:paraId="0748667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F8F767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DC1670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C0BEEA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2AB8DDF3"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Government — New Jury Management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11276ACD"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-259</w:t>
            </w:r>
          </w:p>
        </w:tc>
        <w:tc>
          <w:tcPr>
            <w:tcW w:w="1035" w:type="dxa"/>
            <w:tcBorders>
              <w:top w:val="nil"/>
              <w:left w:val="nil"/>
              <w:bottom w:val="nil"/>
              <w:right w:val="nil"/>
              <w:tl2br w:val="nil"/>
              <w:tr2bl w:val="nil"/>
            </w:tcBorders>
            <w:shd w:val="clear" w:color="auto" w:fill="auto"/>
            <w:noWrap/>
            <w:tcMar>
              <w:left w:w="101" w:type="dxa"/>
              <w:right w:w="161" w:type="dxa"/>
            </w:tcMar>
          </w:tcPr>
          <w:p w14:paraId="303904C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259</w:t>
            </w:r>
          </w:p>
        </w:tc>
        <w:tc>
          <w:tcPr>
            <w:tcW w:w="1035" w:type="dxa"/>
            <w:tcBorders>
              <w:top w:val="nil"/>
              <w:left w:val="nil"/>
              <w:bottom w:val="nil"/>
              <w:right w:val="nil"/>
              <w:tl2br w:val="nil"/>
              <w:tr2bl w:val="nil"/>
            </w:tcBorders>
            <w:shd w:val="clear" w:color="auto" w:fill="auto"/>
            <w:noWrap/>
            <w:tcMar>
              <w:left w:w="101" w:type="dxa"/>
              <w:right w:w="161" w:type="dxa"/>
            </w:tcMar>
          </w:tcPr>
          <w:p w14:paraId="167A0D8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364F05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264473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5B5992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00CE6970"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Infrastructure Fund</w:t>
            </w:r>
          </w:p>
        </w:tc>
        <w:tc>
          <w:tcPr>
            <w:tcW w:w="1035" w:type="dxa"/>
            <w:tcBorders>
              <w:top w:val="nil"/>
              <w:left w:val="nil"/>
              <w:bottom w:val="nil"/>
              <w:right w:val="nil"/>
              <w:tl2br w:val="nil"/>
              <w:tr2bl w:val="nil"/>
            </w:tcBorders>
            <w:shd w:val="clear" w:color="auto" w:fill="auto"/>
            <w:noWrap/>
            <w:tcMar>
              <w:left w:w="101" w:type="dxa"/>
              <w:right w:w="161" w:type="dxa"/>
            </w:tcMar>
          </w:tcPr>
          <w:p w14:paraId="09AFA41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-522</w:t>
            </w:r>
          </w:p>
        </w:tc>
        <w:tc>
          <w:tcPr>
            <w:tcW w:w="1035" w:type="dxa"/>
            <w:tcBorders>
              <w:top w:val="nil"/>
              <w:left w:val="nil"/>
              <w:bottom w:val="nil"/>
              <w:right w:val="nil"/>
              <w:tl2br w:val="nil"/>
              <w:tr2bl w:val="nil"/>
            </w:tcBorders>
            <w:shd w:val="clear" w:color="auto" w:fill="auto"/>
            <w:noWrap/>
            <w:tcMar>
              <w:left w:w="101" w:type="dxa"/>
              <w:right w:w="161" w:type="dxa"/>
            </w:tcMar>
          </w:tcPr>
          <w:p w14:paraId="3236B4E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522</w:t>
            </w:r>
          </w:p>
        </w:tc>
        <w:tc>
          <w:tcPr>
            <w:tcW w:w="1035" w:type="dxa"/>
            <w:tcBorders>
              <w:top w:val="nil"/>
              <w:left w:val="nil"/>
              <w:bottom w:val="nil"/>
              <w:right w:val="nil"/>
              <w:tl2br w:val="nil"/>
              <w:tr2bl w:val="nil"/>
            </w:tcBorders>
            <w:shd w:val="clear" w:color="auto" w:fill="auto"/>
            <w:noWrap/>
            <w:tcMar>
              <w:left w:w="101" w:type="dxa"/>
              <w:right w:w="161" w:type="dxa"/>
            </w:tcMar>
          </w:tcPr>
          <w:p w14:paraId="77C6461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C7BA57B"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E8815B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2E63CE3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62C1ED59"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support for families and inclusion — More resources for the Director of Public Prosecutions</w:t>
            </w:r>
          </w:p>
        </w:tc>
        <w:tc>
          <w:tcPr>
            <w:tcW w:w="1035" w:type="dxa"/>
            <w:tcBorders>
              <w:top w:val="nil"/>
              <w:left w:val="nil"/>
              <w:bottom w:val="nil"/>
              <w:right w:val="nil"/>
              <w:tl2br w:val="nil"/>
              <w:tr2bl w:val="nil"/>
            </w:tcBorders>
            <w:shd w:val="clear" w:color="auto" w:fill="auto"/>
            <w:noWrap/>
            <w:tcMar>
              <w:left w:w="101" w:type="dxa"/>
              <w:right w:w="161" w:type="dxa"/>
            </w:tcMar>
          </w:tcPr>
          <w:p w14:paraId="44BB4A4C"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auto" w:fill="auto"/>
            <w:noWrap/>
            <w:tcMar>
              <w:left w:w="101" w:type="dxa"/>
              <w:right w:w="161" w:type="dxa"/>
            </w:tcMar>
          </w:tcPr>
          <w:p w14:paraId="601E0CB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auto" w:fill="auto"/>
            <w:noWrap/>
            <w:tcMar>
              <w:left w:w="101" w:type="dxa"/>
              <w:right w:w="161" w:type="dxa"/>
            </w:tcMar>
          </w:tcPr>
          <w:p w14:paraId="7BDAB0C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BCBC81"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6985E3A"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5626B47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5EA99C0"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Better support when it matters — Integrating the </w:t>
            </w:r>
            <w:proofErr w:type="spellStart"/>
            <w:r w:rsidRPr="005E3B44">
              <w:rPr>
                <w:rFonts w:asciiTheme="minorHAnsi" w:eastAsia="Calibri" w:hAnsiTheme="minorHAnsi" w:cstheme="minorHAnsi"/>
                <w:color w:val="000000"/>
                <w:sz w:val="18"/>
              </w:rPr>
              <w:t>Winnunga</w:t>
            </w:r>
            <w:proofErr w:type="spellEnd"/>
            <w:r w:rsidRPr="005E3B44">
              <w:rPr>
                <w:rFonts w:asciiTheme="minorHAnsi" w:eastAsia="Calibri" w:hAnsiTheme="minorHAnsi" w:cstheme="minorHAnsi"/>
                <w:color w:val="000000"/>
                <w:sz w:val="18"/>
              </w:rPr>
              <w:t xml:space="preserve"> Model of care and enhancing health services in the Alexander Maconochie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54193410"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c>
          <w:tcPr>
            <w:tcW w:w="1035" w:type="dxa"/>
            <w:tcBorders>
              <w:top w:val="nil"/>
              <w:left w:val="nil"/>
              <w:bottom w:val="nil"/>
              <w:right w:val="nil"/>
              <w:tl2br w:val="nil"/>
              <w:tr2bl w:val="nil"/>
            </w:tcBorders>
            <w:shd w:val="clear" w:color="auto" w:fill="auto"/>
            <w:noWrap/>
            <w:tcMar>
              <w:left w:w="101" w:type="dxa"/>
              <w:right w:w="161" w:type="dxa"/>
            </w:tcMar>
          </w:tcPr>
          <w:p w14:paraId="65EF376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c>
          <w:tcPr>
            <w:tcW w:w="1035" w:type="dxa"/>
            <w:tcBorders>
              <w:top w:val="nil"/>
              <w:left w:val="nil"/>
              <w:bottom w:val="nil"/>
              <w:right w:val="nil"/>
              <w:tl2br w:val="nil"/>
              <w:tr2bl w:val="nil"/>
            </w:tcBorders>
            <w:shd w:val="clear" w:color="auto" w:fill="auto"/>
            <w:noWrap/>
            <w:tcMar>
              <w:left w:w="101" w:type="dxa"/>
              <w:right w:w="161" w:type="dxa"/>
            </w:tcMar>
          </w:tcPr>
          <w:p w14:paraId="252E6D3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120092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50B1B64"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33C4F31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25E5A560"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support when it matters — More frontline firefighters — Second crew at Ainslie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7606288A"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-341</w:t>
            </w:r>
          </w:p>
        </w:tc>
        <w:tc>
          <w:tcPr>
            <w:tcW w:w="1035" w:type="dxa"/>
            <w:tcBorders>
              <w:top w:val="nil"/>
              <w:left w:val="nil"/>
              <w:bottom w:val="nil"/>
              <w:right w:val="nil"/>
              <w:tl2br w:val="nil"/>
              <w:tr2bl w:val="nil"/>
            </w:tcBorders>
            <w:shd w:val="clear" w:color="auto" w:fill="auto"/>
            <w:noWrap/>
            <w:tcMar>
              <w:left w:w="101" w:type="dxa"/>
              <w:right w:w="161" w:type="dxa"/>
            </w:tcMar>
          </w:tcPr>
          <w:p w14:paraId="654E401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341</w:t>
            </w:r>
          </w:p>
        </w:tc>
        <w:tc>
          <w:tcPr>
            <w:tcW w:w="1035" w:type="dxa"/>
            <w:tcBorders>
              <w:top w:val="nil"/>
              <w:left w:val="nil"/>
              <w:bottom w:val="nil"/>
              <w:right w:val="nil"/>
              <w:tl2br w:val="nil"/>
              <w:tr2bl w:val="nil"/>
            </w:tcBorders>
            <w:shd w:val="clear" w:color="auto" w:fill="auto"/>
            <w:noWrap/>
            <w:tcMar>
              <w:left w:w="101" w:type="dxa"/>
              <w:right w:w="161" w:type="dxa"/>
            </w:tcMar>
          </w:tcPr>
          <w:p w14:paraId="05FD022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6495A0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109F8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9EED40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25AE3BD4"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Boosting equipment for the ACT Emergency Services Agency</w:t>
            </w:r>
          </w:p>
        </w:tc>
        <w:tc>
          <w:tcPr>
            <w:tcW w:w="1035" w:type="dxa"/>
            <w:tcBorders>
              <w:top w:val="nil"/>
              <w:left w:val="nil"/>
              <w:bottom w:val="nil"/>
              <w:right w:val="nil"/>
              <w:tl2br w:val="nil"/>
              <w:tr2bl w:val="nil"/>
            </w:tcBorders>
            <w:shd w:val="clear" w:color="auto" w:fill="auto"/>
            <w:noWrap/>
            <w:tcMar>
              <w:left w:w="101" w:type="dxa"/>
              <w:right w:w="161" w:type="dxa"/>
            </w:tcMar>
          </w:tcPr>
          <w:p w14:paraId="283A0DA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-442</w:t>
            </w:r>
          </w:p>
        </w:tc>
        <w:tc>
          <w:tcPr>
            <w:tcW w:w="1035" w:type="dxa"/>
            <w:tcBorders>
              <w:top w:val="nil"/>
              <w:left w:val="nil"/>
              <w:bottom w:val="nil"/>
              <w:right w:val="nil"/>
              <w:tl2br w:val="nil"/>
              <w:tr2bl w:val="nil"/>
            </w:tcBorders>
            <w:shd w:val="clear" w:color="auto" w:fill="auto"/>
            <w:noWrap/>
            <w:tcMar>
              <w:left w:w="101" w:type="dxa"/>
              <w:right w:w="161" w:type="dxa"/>
            </w:tcMar>
          </w:tcPr>
          <w:p w14:paraId="5629BC9E"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442</w:t>
            </w:r>
          </w:p>
        </w:tc>
        <w:tc>
          <w:tcPr>
            <w:tcW w:w="1035" w:type="dxa"/>
            <w:tcBorders>
              <w:top w:val="nil"/>
              <w:left w:val="nil"/>
              <w:bottom w:val="nil"/>
              <w:right w:val="nil"/>
              <w:tl2br w:val="nil"/>
              <w:tr2bl w:val="nil"/>
            </w:tcBorders>
            <w:shd w:val="clear" w:color="auto" w:fill="auto"/>
            <w:noWrap/>
            <w:tcMar>
              <w:left w:w="101" w:type="dxa"/>
              <w:right w:w="161" w:type="dxa"/>
            </w:tcMar>
          </w:tcPr>
          <w:p w14:paraId="1A35DF2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FBEA845"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04A3562"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F6ADDFE" w14:textId="77777777" w:rsidTr="009B3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0A49123F" w14:textId="77777777" w:rsidR="002242F3" w:rsidRPr="005E3B44" w:rsidRDefault="002242F3" w:rsidP="005E3B44">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Contraband detection and intelligence solution</w:t>
            </w:r>
          </w:p>
        </w:tc>
        <w:tc>
          <w:tcPr>
            <w:tcW w:w="1035" w:type="dxa"/>
            <w:tcBorders>
              <w:top w:val="nil"/>
              <w:left w:val="nil"/>
              <w:bottom w:val="nil"/>
              <w:right w:val="nil"/>
              <w:tl2br w:val="nil"/>
              <w:tr2bl w:val="nil"/>
            </w:tcBorders>
            <w:shd w:val="clear" w:color="auto" w:fill="auto"/>
            <w:noWrap/>
            <w:tcMar>
              <w:left w:w="101" w:type="dxa"/>
              <w:right w:w="161" w:type="dxa"/>
            </w:tcMar>
          </w:tcPr>
          <w:p w14:paraId="304DBE79"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-200</w:t>
            </w:r>
          </w:p>
        </w:tc>
        <w:tc>
          <w:tcPr>
            <w:tcW w:w="1035" w:type="dxa"/>
            <w:tcBorders>
              <w:top w:val="nil"/>
              <w:left w:val="nil"/>
              <w:bottom w:val="nil"/>
              <w:right w:val="nil"/>
              <w:tl2br w:val="nil"/>
              <w:tr2bl w:val="nil"/>
            </w:tcBorders>
            <w:shd w:val="clear" w:color="auto" w:fill="auto"/>
            <w:noWrap/>
            <w:tcMar>
              <w:left w:w="101" w:type="dxa"/>
              <w:right w:w="161" w:type="dxa"/>
            </w:tcMar>
          </w:tcPr>
          <w:p w14:paraId="3190FBA7"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200</w:t>
            </w:r>
          </w:p>
        </w:tc>
        <w:tc>
          <w:tcPr>
            <w:tcW w:w="1035" w:type="dxa"/>
            <w:tcBorders>
              <w:top w:val="nil"/>
              <w:left w:val="nil"/>
              <w:bottom w:val="nil"/>
              <w:right w:val="nil"/>
              <w:tl2br w:val="nil"/>
              <w:tr2bl w:val="nil"/>
            </w:tcBorders>
            <w:shd w:val="clear" w:color="auto" w:fill="auto"/>
            <w:noWrap/>
            <w:tcMar>
              <w:left w:w="101" w:type="dxa"/>
              <w:right w:w="161" w:type="dxa"/>
            </w:tcMar>
          </w:tcPr>
          <w:p w14:paraId="22130B6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A8A703"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41BF3F6" w14:textId="77777777" w:rsidR="002242F3" w:rsidRPr="005E3B44" w:rsidRDefault="002242F3" w:rsidP="005E3B44">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69402E" w:rsidRPr="005E3B44" w14:paraId="7E6E6FD1" w14:textId="77777777" w:rsidTr="009B3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90" w:type="dxa"/>
            <w:gridSpan w:val="6"/>
            <w:tcBorders>
              <w:top w:val="nil"/>
              <w:left w:val="nil"/>
              <w:bottom w:val="single" w:sz="12" w:space="0" w:color="auto"/>
              <w:right w:val="nil"/>
              <w:tl2br w:val="nil"/>
              <w:tr2bl w:val="nil"/>
            </w:tcBorders>
            <w:shd w:val="clear" w:color="auto" w:fill="auto"/>
            <w:tcMar>
              <w:left w:w="236" w:type="dxa"/>
              <w:right w:w="101" w:type="dxa"/>
            </w:tcMar>
            <w:vAlign w:val="bottom"/>
          </w:tcPr>
          <w:p w14:paraId="699391FE" w14:textId="42858553" w:rsidR="0069402E" w:rsidRPr="005E3B44" w:rsidRDefault="0069402E" w:rsidP="009B39D6">
            <w:pPr>
              <w:pStyle w:val="Caption"/>
              <w:pageBreakBefore/>
              <w:pBdr>
                <w:top w:val="nil"/>
                <w:left w:val="nil"/>
                <w:bottom w:val="nil"/>
                <w:right w:val="nil"/>
                <w:between w:val="nil"/>
                <w:bar w:val="nil"/>
              </w:pBdr>
              <w:spacing w:before="0" w:after="0"/>
              <w:ind w:hanging="231"/>
              <w:rPr>
                <w:rFonts w:asciiTheme="minorHAnsi" w:hAnsiTheme="minorHAnsi" w:cstheme="minorHAnsi"/>
                <w:bdr w:val="nil"/>
              </w:rPr>
            </w:pPr>
            <w:r w:rsidRPr="005E3B44">
              <w:rPr>
                <w:rFonts w:asciiTheme="minorHAnsi" w:hAnsiTheme="minorHAnsi" w:cstheme="minorHAnsi"/>
                <w:bdr w:val="nil"/>
              </w:rPr>
              <w:lastRenderedPageBreak/>
              <w:t>Table 2</w:t>
            </w:r>
            <w:r>
              <w:rPr>
                <w:rFonts w:asciiTheme="minorHAnsi" w:hAnsiTheme="minorHAnsi" w:cstheme="minorHAnsi"/>
                <w:bdr w:val="nil"/>
              </w:rPr>
              <w:t>6</w:t>
            </w:r>
            <w:r w:rsidRPr="005E3B44">
              <w:rPr>
                <w:rFonts w:asciiTheme="minorHAnsi" w:hAnsiTheme="minorHAnsi" w:cstheme="minorHAnsi"/>
                <w:bdr w:val="nil"/>
              </w:rPr>
              <w:t xml:space="preserve">: Changes to appropriation – Capital Injections, </w:t>
            </w:r>
            <w:proofErr w:type="gramStart"/>
            <w:r w:rsidRPr="005E3B44">
              <w:rPr>
                <w:rFonts w:asciiTheme="minorHAnsi" w:hAnsiTheme="minorHAnsi" w:cstheme="minorHAnsi"/>
                <w:bdr w:val="nil"/>
              </w:rPr>
              <w:t>Controlled</w:t>
            </w:r>
            <w:proofErr w:type="gramEnd"/>
            <w:r w:rsidR="009B39D6">
              <w:rPr>
                <w:rFonts w:asciiTheme="minorHAnsi" w:hAnsiTheme="minorHAnsi" w:cstheme="minorHAnsi"/>
                <w:bdr w:val="nil"/>
              </w:rPr>
              <w:t xml:space="preserve"> (Continued)</w:t>
            </w:r>
          </w:p>
          <w:p w14:paraId="50B9AEA9" w14:textId="77777777" w:rsidR="0069402E" w:rsidRPr="005E3B44" w:rsidRDefault="0069402E" w:rsidP="005468DD">
            <w:pPr>
              <w:pStyle w:val="Normal3"/>
              <w:jc w:val="right"/>
              <w:rPr>
                <w:rFonts w:asciiTheme="minorHAnsi" w:eastAsia="Calibri" w:hAnsiTheme="minorHAnsi" w:cstheme="minorHAnsi"/>
                <w:b/>
                <w:color w:val="000000"/>
                <w:sz w:val="18"/>
              </w:rPr>
            </w:pPr>
          </w:p>
        </w:tc>
      </w:tr>
      <w:tr w:rsidR="005468DD" w:rsidRPr="005E3B44" w14:paraId="13E2D279" w14:textId="77777777" w:rsidTr="009B3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single" w:sz="12" w:space="0" w:color="auto"/>
              <w:left w:val="nil"/>
              <w:bottom w:val="single" w:sz="12" w:space="0" w:color="auto"/>
              <w:right w:val="nil"/>
              <w:tl2br w:val="nil"/>
              <w:tr2bl w:val="nil"/>
            </w:tcBorders>
            <w:shd w:val="clear" w:color="auto" w:fill="auto"/>
            <w:tcMar>
              <w:left w:w="236" w:type="dxa"/>
              <w:right w:w="101" w:type="dxa"/>
            </w:tcMar>
            <w:vAlign w:val="bottom"/>
          </w:tcPr>
          <w:p w14:paraId="5367BFBA" w14:textId="77777777" w:rsidR="005468DD" w:rsidRPr="005E3B44" w:rsidRDefault="005468DD" w:rsidP="005468DD">
            <w:pPr>
              <w:pStyle w:val="Normal3"/>
              <w:ind w:left="181" w:hanging="181"/>
              <w:rPr>
                <w:rFonts w:asciiTheme="minorHAnsi" w:eastAsia="Calibri" w:hAnsiTheme="minorHAnsi" w:cstheme="minorHAnsi"/>
                <w:color w:val="000000"/>
                <w:sz w:val="18"/>
              </w:rPr>
            </w:pP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689A9283" w14:textId="77777777" w:rsidR="005468DD" w:rsidRPr="005E3B44" w:rsidRDefault="005468DD" w:rsidP="005468D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w:t>
            </w:r>
          </w:p>
          <w:p w14:paraId="4E331F68" w14:textId="0CF3923F" w:rsidR="005468DD" w:rsidRPr="005E3B44" w:rsidRDefault="005468DD" w:rsidP="005468D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773E2884" w14:textId="77777777" w:rsidR="005468DD" w:rsidRPr="005E3B44" w:rsidRDefault="005468DD" w:rsidP="005468D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p w14:paraId="26A5418C" w14:textId="77777777" w:rsidR="005468DD" w:rsidRPr="005E3B44" w:rsidRDefault="005468DD" w:rsidP="005468DD">
            <w:pPr>
              <w:pStyle w:val="Normal3"/>
              <w:jc w:val="right"/>
              <w:rPr>
                <w:rFonts w:asciiTheme="minorHAnsi" w:eastAsia="Calibri" w:hAnsiTheme="minorHAnsi" w:cstheme="minorHAnsi"/>
                <w:b/>
                <w:color w:val="000000"/>
                <w:sz w:val="18"/>
              </w:rPr>
            </w:pPr>
          </w:p>
          <w:p w14:paraId="1A48B4A5" w14:textId="2CD0596C" w:rsidR="005468DD" w:rsidRPr="005E3B44" w:rsidRDefault="005468DD" w:rsidP="005468D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50035B9A" w14:textId="77777777" w:rsidR="005468DD" w:rsidRPr="005E3B44" w:rsidRDefault="005468DD" w:rsidP="005468D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 Estimate</w:t>
            </w:r>
          </w:p>
          <w:p w14:paraId="2BDDF4D8" w14:textId="77777777" w:rsidR="005468DD" w:rsidRPr="005E3B44" w:rsidRDefault="005468DD" w:rsidP="005468DD">
            <w:pPr>
              <w:pStyle w:val="Normal3"/>
              <w:jc w:val="right"/>
              <w:rPr>
                <w:rFonts w:asciiTheme="minorHAnsi" w:eastAsia="Calibri" w:hAnsiTheme="minorHAnsi" w:cstheme="minorHAnsi"/>
                <w:b/>
                <w:color w:val="000000"/>
                <w:sz w:val="18"/>
              </w:rPr>
            </w:pPr>
          </w:p>
          <w:p w14:paraId="7246EBF0" w14:textId="7D06CA66" w:rsidR="005468DD" w:rsidRPr="005E3B44" w:rsidRDefault="005468DD" w:rsidP="005468D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088F9349" w14:textId="77777777" w:rsidR="005468DD" w:rsidRPr="005E3B44" w:rsidRDefault="005468DD" w:rsidP="005468D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 Estimate</w:t>
            </w:r>
          </w:p>
          <w:p w14:paraId="0711FE1D" w14:textId="77777777" w:rsidR="005468DD" w:rsidRPr="005E3B44" w:rsidRDefault="005468DD" w:rsidP="005468DD">
            <w:pPr>
              <w:pStyle w:val="Normal3"/>
              <w:jc w:val="right"/>
              <w:rPr>
                <w:rFonts w:asciiTheme="minorHAnsi" w:eastAsia="Calibri" w:hAnsiTheme="minorHAnsi" w:cstheme="minorHAnsi"/>
                <w:b/>
                <w:color w:val="000000"/>
                <w:sz w:val="18"/>
              </w:rPr>
            </w:pPr>
          </w:p>
          <w:p w14:paraId="25D659C3" w14:textId="584E408D" w:rsidR="005468DD" w:rsidRPr="005E3B44" w:rsidRDefault="005468DD" w:rsidP="005468D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4D0F4CE5" w14:textId="77777777" w:rsidR="005468DD" w:rsidRPr="005E3B44" w:rsidRDefault="005468DD" w:rsidP="005468D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 Estimate</w:t>
            </w:r>
          </w:p>
          <w:p w14:paraId="5F05C7B4" w14:textId="77777777" w:rsidR="005468DD" w:rsidRPr="005E3B44" w:rsidRDefault="005468DD" w:rsidP="005468DD">
            <w:pPr>
              <w:pStyle w:val="Normal3"/>
              <w:jc w:val="right"/>
              <w:rPr>
                <w:rFonts w:asciiTheme="minorHAnsi" w:eastAsia="Calibri" w:hAnsiTheme="minorHAnsi" w:cstheme="minorHAnsi"/>
                <w:b/>
                <w:color w:val="000000"/>
                <w:sz w:val="18"/>
              </w:rPr>
            </w:pPr>
          </w:p>
          <w:p w14:paraId="2B3E662F" w14:textId="7BCB2E69" w:rsidR="005468DD" w:rsidRPr="005E3B44" w:rsidRDefault="005468DD" w:rsidP="005468D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r>
      <w:tr w:rsidR="005468DD" w:rsidRPr="005E3B44" w14:paraId="2554EDD2" w14:textId="77777777" w:rsidTr="009B3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single" w:sz="12" w:space="0" w:color="auto"/>
              <w:left w:val="nil"/>
              <w:bottom w:val="nil"/>
              <w:right w:val="nil"/>
              <w:tl2br w:val="nil"/>
              <w:tr2bl w:val="nil"/>
            </w:tcBorders>
            <w:shd w:val="clear" w:color="auto" w:fill="auto"/>
            <w:tcMar>
              <w:left w:w="236" w:type="dxa"/>
              <w:right w:w="101" w:type="dxa"/>
            </w:tcMar>
            <w:vAlign w:val="bottom"/>
          </w:tcPr>
          <w:p w14:paraId="11D3008A" w14:textId="17589E84" w:rsidR="005468DD" w:rsidRPr="005E3B44" w:rsidRDefault="005468DD" w:rsidP="005468DD">
            <w:pPr>
              <w:pStyle w:val="Normal3"/>
              <w:ind w:left="181" w:hanging="181"/>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bottom"/>
          </w:tcPr>
          <w:p w14:paraId="66C86880" w14:textId="3DC5EDDE" w:rsidR="005468DD" w:rsidRPr="005E3B44" w:rsidRDefault="005468DD" w:rsidP="005468DD">
            <w:pPr>
              <w:pStyle w:val="Normal3"/>
              <w:jc w:val="right"/>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bottom"/>
          </w:tcPr>
          <w:p w14:paraId="315DE372" w14:textId="6D43352A" w:rsidR="005468DD" w:rsidRPr="005E3B44" w:rsidRDefault="005468DD" w:rsidP="005468DD">
            <w:pPr>
              <w:pStyle w:val="Normal3"/>
              <w:jc w:val="right"/>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bottom"/>
          </w:tcPr>
          <w:p w14:paraId="79EB6A4C" w14:textId="465B6C17" w:rsidR="005468DD" w:rsidRPr="005E3B44" w:rsidRDefault="005468DD" w:rsidP="005468DD">
            <w:pPr>
              <w:pStyle w:val="Normal3"/>
              <w:jc w:val="right"/>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bottom"/>
          </w:tcPr>
          <w:p w14:paraId="5759D64D" w14:textId="3C4E947C" w:rsidR="005468DD" w:rsidRPr="005E3B44" w:rsidRDefault="005468DD" w:rsidP="005468DD">
            <w:pPr>
              <w:pStyle w:val="Normal3"/>
              <w:jc w:val="right"/>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auto" w:fill="auto"/>
            <w:noWrap/>
            <w:tcMar>
              <w:left w:w="101" w:type="dxa"/>
              <w:right w:w="161" w:type="dxa"/>
            </w:tcMar>
            <w:vAlign w:val="bottom"/>
          </w:tcPr>
          <w:p w14:paraId="2C7F2902" w14:textId="2DA322A1" w:rsidR="005468DD" w:rsidRPr="005E3B44" w:rsidRDefault="005468DD" w:rsidP="005468DD">
            <w:pPr>
              <w:pStyle w:val="Normal3"/>
              <w:jc w:val="right"/>
              <w:rPr>
                <w:rFonts w:asciiTheme="minorHAnsi" w:eastAsia="Calibri" w:hAnsiTheme="minorHAnsi" w:cstheme="minorHAnsi"/>
                <w:color w:val="000000"/>
                <w:sz w:val="18"/>
              </w:rPr>
            </w:pPr>
          </w:p>
        </w:tc>
      </w:tr>
      <w:tr w:rsidR="00215EF6" w:rsidRPr="005E3B44" w14:paraId="2FAE1934" w14:textId="77777777" w:rsidTr="009B3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02C07BB" w14:textId="214C6AED" w:rsidR="00215EF6" w:rsidRPr="005E3B44" w:rsidDel="001E1A19"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Courts Public Private Partnership</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74316D51" w14:textId="66976F2A" w:rsidR="00215EF6" w:rsidRPr="005E3B44" w:rsidDel="001E1A19" w:rsidRDefault="00215EF6" w:rsidP="00215EF6">
            <w:pPr>
              <w:pStyle w:val="Normal3"/>
              <w:jc w:val="right"/>
              <w:rPr>
                <w:rFonts w:asciiTheme="minorHAnsi" w:eastAsia="Calibri" w:hAnsiTheme="minorHAnsi" w:cstheme="minorHAnsi"/>
                <w:color w:val="000000"/>
                <w:sz w:val="18"/>
              </w:rPr>
            </w:pPr>
            <w:r>
              <w:rPr>
                <w:rFonts w:asciiTheme="minorHAnsi" w:eastAsia="Calibri" w:hAnsiTheme="minorHAnsi" w:cstheme="minorHAnsi"/>
                <w:color w:val="000000"/>
                <w:sz w:val="18"/>
              </w:rPr>
              <w:t>-726</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273BBB35" w14:textId="2D3A1634" w:rsidR="00215EF6" w:rsidRPr="005E3B44" w:rsidDel="001E1A19" w:rsidRDefault="00215EF6" w:rsidP="00215EF6">
            <w:pPr>
              <w:pStyle w:val="Normal3"/>
              <w:jc w:val="right"/>
              <w:rPr>
                <w:rFonts w:asciiTheme="minorHAnsi" w:eastAsia="Calibri" w:hAnsiTheme="minorHAnsi" w:cstheme="minorHAnsi"/>
                <w:color w:val="000000"/>
                <w:sz w:val="18"/>
              </w:rPr>
            </w:pPr>
            <w:r>
              <w:rPr>
                <w:rFonts w:asciiTheme="minorHAnsi" w:eastAsia="Calibri" w:hAnsiTheme="minorHAnsi" w:cstheme="minorHAnsi"/>
                <w:color w:val="000000"/>
                <w:sz w:val="18"/>
              </w:rPr>
              <w:t>726</w:t>
            </w:r>
          </w:p>
        </w:tc>
        <w:tc>
          <w:tcPr>
            <w:tcW w:w="1035" w:type="dxa"/>
            <w:tcBorders>
              <w:top w:val="nil"/>
              <w:left w:val="nil"/>
              <w:bottom w:val="nil"/>
              <w:right w:val="nil"/>
              <w:tl2br w:val="nil"/>
              <w:tr2bl w:val="nil"/>
            </w:tcBorders>
            <w:shd w:val="clear" w:color="auto" w:fill="auto"/>
            <w:noWrap/>
            <w:tcMar>
              <w:left w:w="101" w:type="dxa"/>
              <w:right w:w="161" w:type="dxa"/>
            </w:tcMar>
          </w:tcPr>
          <w:p w14:paraId="3989A09E" w14:textId="664DE324" w:rsidR="00215EF6" w:rsidRPr="005E3B44" w:rsidDel="001E1A19"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FE3A85C" w14:textId="550FBC0F" w:rsidR="00215EF6" w:rsidRPr="005E3B44" w:rsidDel="001E1A19"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BBEBEE5" w14:textId="57AE7F70" w:rsidR="00215EF6" w:rsidRPr="005E3B44" w:rsidDel="001E1A19"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42ACB4D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6345EB1"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Creating a Reintegration Centre to support pathways out of the justice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6221782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609</w:t>
            </w:r>
          </w:p>
        </w:tc>
        <w:tc>
          <w:tcPr>
            <w:tcW w:w="1035" w:type="dxa"/>
            <w:tcBorders>
              <w:top w:val="nil"/>
              <w:left w:val="nil"/>
              <w:bottom w:val="nil"/>
              <w:right w:val="nil"/>
              <w:tl2br w:val="nil"/>
              <w:tr2bl w:val="nil"/>
            </w:tcBorders>
            <w:shd w:val="clear" w:color="auto" w:fill="auto"/>
            <w:noWrap/>
            <w:tcMar>
              <w:left w:w="101" w:type="dxa"/>
              <w:right w:w="161" w:type="dxa"/>
            </w:tcMar>
          </w:tcPr>
          <w:p w14:paraId="390A5CEF"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-609</w:t>
            </w:r>
          </w:p>
        </w:tc>
        <w:tc>
          <w:tcPr>
            <w:tcW w:w="1035" w:type="dxa"/>
            <w:tcBorders>
              <w:top w:val="nil"/>
              <w:left w:val="nil"/>
              <w:bottom w:val="nil"/>
              <w:right w:val="nil"/>
              <w:tl2br w:val="nil"/>
              <w:tr2bl w:val="nil"/>
            </w:tcBorders>
            <w:shd w:val="clear" w:color="auto" w:fill="auto"/>
            <w:noWrap/>
            <w:tcMar>
              <w:left w:w="101" w:type="dxa"/>
              <w:right w:w="161" w:type="dxa"/>
            </w:tcMar>
          </w:tcPr>
          <w:p w14:paraId="5D9C1995"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88E646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9ADFC1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658F5B2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76A204E0"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Digital Canberra — New digital radio communication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40A1F9BD"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w:t>
            </w:r>
          </w:p>
        </w:tc>
        <w:tc>
          <w:tcPr>
            <w:tcW w:w="1035" w:type="dxa"/>
            <w:tcBorders>
              <w:top w:val="nil"/>
              <w:left w:val="nil"/>
              <w:bottom w:val="nil"/>
              <w:right w:val="nil"/>
              <w:tl2br w:val="nil"/>
              <w:tr2bl w:val="nil"/>
            </w:tcBorders>
            <w:shd w:val="clear" w:color="auto" w:fill="auto"/>
            <w:noWrap/>
            <w:tcMar>
              <w:left w:w="101" w:type="dxa"/>
              <w:right w:w="161" w:type="dxa"/>
            </w:tcMar>
          </w:tcPr>
          <w:p w14:paraId="20F6A4F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w:t>
            </w:r>
          </w:p>
        </w:tc>
        <w:tc>
          <w:tcPr>
            <w:tcW w:w="1035" w:type="dxa"/>
            <w:tcBorders>
              <w:top w:val="nil"/>
              <w:left w:val="nil"/>
              <w:bottom w:val="nil"/>
              <w:right w:val="nil"/>
              <w:tl2br w:val="nil"/>
              <w:tr2bl w:val="nil"/>
            </w:tcBorders>
            <w:shd w:val="clear" w:color="auto" w:fill="auto"/>
            <w:noWrap/>
            <w:tcMar>
              <w:left w:w="101" w:type="dxa"/>
              <w:right w:w="161" w:type="dxa"/>
            </w:tcMar>
          </w:tcPr>
          <w:p w14:paraId="3122B73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BDBE15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D60CC6D"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21D4C77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7A97E33"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Emergency Services Agency Station Upgrade and Relocation — Aranda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4C5B54DA"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w:t>
            </w:r>
          </w:p>
        </w:tc>
        <w:tc>
          <w:tcPr>
            <w:tcW w:w="1035" w:type="dxa"/>
            <w:tcBorders>
              <w:top w:val="nil"/>
              <w:left w:val="nil"/>
              <w:bottom w:val="nil"/>
              <w:right w:val="nil"/>
              <w:tl2br w:val="nil"/>
              <w:tr2bl w:val="nil"/>
            </w:tcBorders>
            <w:shd w:val="clear" w:color="auto" w:fill="auto"/>
            <w:noWrap/>
            <w:tcMar>
              <w:left w:w="101" w:type="dxa"/>
              <w:right w:w="161" w:type="dxa"/>
            </w:tcMar>
          </w:tcPr>
          <w:p w14:paraId="66D2FF5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w:t>
            </w:r>
          </w:p>
        </w:tc>
        <w:tc>
          <w:tcPr>
            <w:tcW w:w="1035" w:type="dxa"/>
            <w:tcBorders>
              <w:top w:val="nil"/>
              <w:left w:val="nil"/>
              <w:bottom w:val="nil"/>
              <w:right w:val="nil"/>
              <w:tl2br w:val="nil"/>
              <w:tr2bl w:val="nil"/>
            </w:tcBorders>
            <w:shd w:val="clear" w:color="auto" w:fill="auto"/>
            <w:noWrap/>
            <w:tcMar>
              <w:left w:w="101" w:type="dxa"/>
              <w:right w:w="161" w:type="dxa"/>
            </w:tcMar>
          </w:tcPr>
          <w:p w14:paraId="479BA0A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86DEE0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C52069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6B1D31C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7AF4378D"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Emergency Services Agency critical ICT investment</w:t>
            </w:r>
          </w:p>
        </w:tc>
        <w:tc>
          <w:tcPr>
            <w:tcW w:w="1035" w:type="dxa"/>
            <w:tcBorders>
              <w:top w:val="nil"/>
              <w:left w:val="nil"/>
              <w:bottom w:val="nil"/>
              <w:right w:val="nil"/>
              <w:tl2br w:val="nil"/>
              <w:tr2bl w:val="nil"/>
            </w:tcBorders>
            <w:shd w:val="clear" w:color="auto" w:fill="auto"/>
            <w:noWrap/>
            <w:tcMar>
              <w:left w:w="101" w:type="dxa"/>
              <w:right w:w="161" w:type="dxa"/>
            </w:tcMar>
          </w:tcPr>
          <w:p w14:paraId="060425F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1035" w:type="dxa"/>
            <w:tcBorders>
              <w:top w:val="nil"/>
              <w:left w:val="nil"/>
              <w:bottom w:val="nil"/>
              <w:right w:val="nil"/>
              <w:tl2br w:val="nil"/>
              <w:tr2bl w:val="nil"/>
            </w:tcBorders>
            <w:shd w:val="clear" w:color="auto" w:fill="auto"/>
            <w:noWrap/>
            <w:tcMar>
              <w:left w:w="101" w:type="dxa"/>
              <w:right w:w="161" w:type="dxa"/>
            </w:tcMar>
          </w:tcPr>
          <w:p w14:paraId="683062F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1035" w:type="dxa"/>
            <w:tcBorders>
              <w:top w:val="nil"/>
              <w:left w:val="nil"/>
              <w:bottom w:val="nil"/>
              <w:right w:val="nil"/>
              <w:tl2br w:val="nil"/>
              <w:tr2bl w:val="nil"/>
            </w:tcBorders>
            <w:shd w:val="clear" w:color="auto" w:fill="auto"/>
            <w:noWrap/>
            <w:tcMar>
              <w:left w:w="101" w:type="dxa"/>
              <w:right w:w="161" w:type="dxa"/>
            </w:tcMar>
          </w:tcPr>
          <w:p w14:paraId="23529F5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3B68F4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DA2D6F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38FDDA6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5A0B3865"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ESA Station Upgrade and Relocation — Phase 2 Due Diligence </w:t>
            </w:r>
          </w:p>
        </w:tc>
        <w:tc>
          <w:tcPr>
            <w:tcW w:w="1035" w:type="dxa"/>
            <w:tcBorders>
              <w:top w:val="nil"/>
              <w:left w:val="nil"/>
              <w:bottom w:val="nil"/>
              <w:right w:val="nil"/>
              <w:tl2br w:val="nil"/>
              <w:tr2bl w:val="nil"/>
            </w:tcBorders>
            <w:shd w:val="clear" w:color="auto" w:fill="auto"/>
            <w:noWrap/>
            <w:tcMar>
              <w:left w:w="101" w:type="dxa"/>
              <w:right w:w="161" w:type="dxa"/>
            </w:tcMar>
          </w:tcPr>
          <w:p w14:paraId="7B7F4ED5"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-93</w:t>
            </w:r>
          </w:p>
        </w:tc>
        <w:tc>
          <w:tcPr>
            <w:tcW w:w="1035" w:type="dxa"/>
            <w:tcBorders>
              <w:top w:val="nil"/>
              <w:left w:val="nil"/>
              <w:bottom w:val="nil"/>
              <w:right w:val="nil"/>
              <w:tl2br w:val="nil"/>
              <w:tr2bl w:val="nil"/>
            </w:tcBorders>
            <w:shd w:val="clear" w:color="auto" w:fill="auto"/>
            <w:noWrap/>
            <w:tcMar>
              <w:left w:w="101" w:type="dxa"/>
              <w:right w:w="161" w:type="dxa"/>
            </w:tcMar>
          </w:tcPr>
          <w:p w14:paraId="5E0040E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93</w:t>
            </w:r>
          </w:p>
        </w:tc>
        <w:tc>
          <w:tcPr>
            <w:tcW w:w="1035" w:type="dxa"/>
            <w:tcBorders>
              <w:top w:val="nil"/>
              <w:left w:val="nil"/>
              <w:bottom w:val="nil"/>
              <w:right w:val="nil"/>
              <w:tl2br w:val="nil"/>
              <w:tr2bl w:val="nil"/>
            </w:tcBorders>
            <w:shd w:val="clear" w:color="auto" w:fill="auto"/>
            <w:noWrap/>
            <w:tcMar>
              <w:left w:w="101" w:type="dxa"/>
              <w:right w:w="161" w:type="dxa"/>
            </w:tcMar>
          </w:tcPr>
          <w:p w14:paraId="4AC6E41D"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B2A1296"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817ED7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25C151C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7DB16C86"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ESA Urban Search and Rescue and Chemical, Biological, Radiological and Nuclear Equipment Replacement</w:t>
            </w:r>
          </w:p>
        </w:tc>
        <w:tc>
          <w:tcPr>
            <w:tcW w:w="1035" w:type="dxa"/>
            <w:tcBorders>
              <w:top w:val="nil"/>
              <w:left w:val="nil"/>
              <w:bottom w:val="nil"/>
              <w:right w:val="nil"/>
              <w:tl2br w:val="nil"/>
              <w:tr2bl w:val="nil"/>
            </w:tcBorders>
            <w:shd w:val="clear" w:color="auto" w:fill="auto"/>
            <w:noWrap/>
            <w:tcMar>
              <w:left w:w="101" w:type="dxa"/>
              <w:right w:w="161" w:type="dxa"/>
            </w:tcMar>
          </w:tcPr>
          <w:p w14:paraId="1A9D443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w:t>
            </w:r>
          </w:p>
        </w:tc>
        <w:tc>
          <w:tcPr>
            <w:tcW w:w="1035" w:type="dxa"/>
            <w:tcBorders>
              <w:top w:val="nil"/>
              <w:left w:val="nil"/>
              <w:bottom w:val="nil"/>
              <w:right w:val="nil"/>
              <w:tl2br w:val="nil"/>
              <w:tr2bl w:val="nil"/>
            </w:tcBorders>
            <w:shd w:val="clear" w:color="auto" w:fill="auto"/>
            <w:noWrap/>
            <w:tcMar>
              <w:left w:w="101" w:type="dxa"/>
              <w:right w:w="161" w:type="dxa"/>
            </w:tcMar>
          </w:tcPr>
          <w:p w14:paraId="1E4EF5C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w:t>
            </w:r>
          </w:p>
        </w:tc>
        <w:tc>
          <w:tcPr>
            <w:tcW w:w="1035" w:type="dxa"/>
            <w:tcBorders>
              <w:top w:val="nil"/>
              <w:left w:val="nil"/>
              <w:bottom w:val="nil"/>
              <w:right w:val="nil"/>
              <w:tl2br w:val="nil"/>
              <w:tr2bl w:val="nil"/>
            </w:tcBorders>
            <w:shd w:val="clear" w:color="auto" w:fill="auto"/>
            <w:noWrap/>
            <w:tcMar>
              <w:left w:w="101" w:type="dxa"/>
              <w:right w:w="161" w:type="dxa"/>
            </w:tcMar>
          </w:tcPr>
          <w:p w14:paraId="5637C08A"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3E2418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9F8B841"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55F3A05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046B3A08" w14:textId="77777777" w:rsidR="00215EF6" w:rsidRPr="005E3B44" w:rsidRDefault="00215EF6" w:rsidP="00215EF6">
            <w:pPr>
              <w:pStyle w:val="Normal3"/>
              <w:ind w:left="181" w:hanging="181"/>
              <w:rPr>
                <w:rFonts w:asciiTheme="minorHAnsi" w:eastAsia="Calibri" w:hAnsiTheme="minorHAnsi" w:cstheme="minorHAnsi"/>
                <w:color w:val="000000"/>
                <w:sz w:val="18"/>
              </w:rPr>
            </w:pPr>
            <w:proofErr w:type="gramStart"/>
            <w:r w:rsidRPr="005E3B44">
              <w:rPr>
                <w:rFonts w:asciiTheme="minorHAnsi" w:eastAsia="Calibri" w:hAnsiTheme="minorHAnsi" w:cstheme="minorHAnsi"/>
                <w:color w:val="000000"/>
                <w:sz w:val="18"/>
              </w:rPr>
              <w:t>ESA  Vehicle</w:t>
            </w:r>
            <w:proofErr w:type="gramEnd"/>
            <w:r w:rsidRPr="005E3B44">
              <w:rPr>
                <w:rFonts w:asciiTheme="minorHAnsi" w:eastAsia="Calibri" w:hAnsiTheme="minorHAnsi" w:cstheme="minorHAnsi"/>
                <w:color w:val="000000"/>
                <w:sz w:val="18"/>
              </w:rPr>
              <w:t xml:space="preserve"> replacement program</w:t>
            </w:r>
          </w:p>
        </w:tc>
        <w:tc>
          <w:tcPr>
            <w:tcW w:w="1035" w:type="dxa"/>
            <w:tcBorders>
              <w:top w:val="nil"/>
              <w:left w:val="nil"/>
              <w:bottom w:val="nil"/>
              <w:right w:val="nil"/>
              <w:tl2br w:val="nil"/>
              <w:tr2bl w:val="nil"/>
            </w:tcBorders>
            <w:shd w:val="clear" w:color="auto" w:fill="auto"/>
            <w:noWrap/>
            <w:tcMar>
              <w:left w:w="101" w:type="dxa"/>
              <w:right w:w="161" w:type="dxa"/>
            </w:tcMar>
          </w:tcPr>
          <w:p w14:paraId="209DE64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-1,455</w:t>
            </w:r>
          </w:p>
        </w:tc>
        <w:tc>
          <w:tcPr>
            <w:tcW w:w="1035" w:type="dxa"/>
            <w:tcBorders>
              <w:top w:val="nil"/>
              <w:left w:val="nil"/>
              <w:bottom w:val="nil"/>
              <w:right w:val="nil"/>
              <w:tl2br w:val="nil"/>
              <w:tr2bl w:val="nil"/>
            </w:tcBorders>
            <w:shd w:val="clear" w:color="auto" w:fill="auto"/>
            <w:noWrap/>
            <w:tcMar>
              <w:left w:w="101" w:type="dxa"/>
              <w:right w:w="161" w:type="dxa"/>
            </w:tcMar>
          </w:tcPr>
          <w:p w14:paraId="6496F891"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1,455</w:t>
            </w:r>
          </w:p>
        </w:tc>
        <w:tc>
          <w:tcPr>
            <w:tcW w:w="1035" w:type="dxa"/>
            <w:tcBorders>
              <w:top w:val="nil"/>
              <w:left w:val="nil"/>
              <w:bottom w:val="nil"/>
              <w:right w:val="nil"/>
              <w:tl2br w:val="nil"/>
              <w:tr2bl w:val="nil"/>
            </w:tcBorders>
            <w:shd w:val="clear" w:color="auto" w:fill="auto"/>
            <w:noWrap/>
            <w:tcMar>
              <w:left w:w="101" w:type="dxa"/>
              <w:right w:w="161" w:type="dxa"/>
            </w:tcMar>
          </w:tcPr>
          <w:p w14:paraId="0ECAD24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5F1D47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96FED6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30CB169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7E5C446F"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Management and remediation of firefighting substances at the stations</w:t>
            </w:r>
          </w:p>
        </w:tc>
        <w:tc>
          <w:tcPr>
            <w:tcW w:w="1035" w:type="dxa"/>
            <w:tcBorders>
              <w:top w:val="nil"/>
              <w:left w:val="nil"/>
              <w:bottom w:val="nil"/>
              <w:right w:val="nil"/>
              <w:tl2br w:val="nil"/>
              <w:tr2bl w:val="nil"/>
            </w:tcBorders>
            <w:shd w:val="clear" w:color="auto" w:fill="auto"/>
            <w:noWrap/>
            <w:tcMar>
              <w:left w:w="101" w:type="dxa"/>
              <w:right w:w="161" w:type="dxa"/>
            </w:tcMar>
          </w:tcPr>
          <w:p w14:paraId="34BA540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B376F21"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-797</w:t>
            </w:r>
          </w:p>
        </w:tc>
        <w:tc>
          <w:tcPr>
            <w:tcW w:w="1035" w:type="dxa"/>
            <w:tcBorders>
              <w:top w:val="nil"/>
              <w:left w:val="nil"/>
              <w:bottom w:val="nil"/>
              <w:right w:val="nil"/>
              <w:tl2br w:val="nil"/>
              <w:tr2bl w:val="nil"/>
            </w:tcBorders>
            <w:shd w:val="clear" w:color="auto" w:fill="auto"/>
            <w:noWrap/>
            <w:tcMar>
              <w:left w:w="101" w:type="dxa"/>
              <w:right w:w="161" w:type="dxa"/>
            </w:tcMar>
          </w:tcPr>
          <w:p w14:paraId="48AF413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797</w:t>
            </w:r>
          </w:p>
        </w:tc>
        <w:tc>
          <w:tcPr>
            <w:tcW w:w="1035" w:type="dxa"/>
            <w:tcBorders>
              <w:top w:val="nil"/>
              <w:left w:val="nil"/>
              <w:bottom w:val="nil"/>
              <w:right w:val="nil"/>
              <w:tl2br w:val="nil"/>
              <w:tr2bl w:val="nil"/>
            </w:tcBorders>
            <w:shd w:val="clear" w:color="auto" w:fill="auto"/>
            <w:noWrap/>
            <w:tcMar>
              <w:left w:w="101" w:type="dxa"/>
              <w:right w:w="161" w:type="dxa"/>
            </w:tcMar>
          </w:tcPr>
          <w:p w14:paraId="0665E17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D87E0E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580331E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7A2E8C8C"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ACT Fire &amp; Rescue Staff and Construction of Acton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66D2D41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-1,364</w:t>
            </w:r>
          </w:p>
        </w:tc>
        <w:tc>
          <w:tcPr>
            <w:tcW w:w="1035" w:type="dxa"/>
            <w:tcBorders>
              <w:top w:val="nil"/>
              <w:left w:val="nil"/>
              <w:bottom w:val="nil"/>
              <w:right w:val="nil"/>
              <w:tl2br w:val="nil"/>
              <w:tr2bl w:val="nil"/>
            </w:tcBorders>
            <w:shd w:val="clear" w:color="auto" w:fill="auto"/>
            <w:noWrap/>
            <w:tcMar>
              <w:left w:w="101" w:type="dxa"/>
              <w:right w:w="161" w:type="dxa"/>
            </w:tcMar>
          </w:tcPr>
          <w:p w14:paraId="411E57B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-28,611</w:t>
            </w:r>
          </w:p>
        </w:tc>
        <w:tc>
          <w:tcPr>
            <w:tcW w:w="1035" w:type="dxa"/>
            <w:tcBorders>
              <w:top w:val="nil"/>
              <w:left w:val="nil"/>
              <w:bottom w:val="nil"/>
              <w:right w:val="nil"/>
              <w:tl2br w:val="nil"/>
              <w:tr2bl w:val="nil"/>
            </w:tcBorders>
            <w:shd w:val="clear" w:color="auto" w:fill="auto"/>
            <w:noWrap/>
            <w:tcMar>
              <w:left w:w="101" w:type="dxa"/>
              <w:right w:w="161" w:type="dxa"/>
            </w:tcMar>
          </w:tcPr>
          <w:p w14:paraId="44188CA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7,658</w:t>
            </w:r>
          </w:p>
        </w:tc>
        <w:tc>
          <w:tcPr>
            <w:tcW w:w="1035" w:type="dxa"/>
            <w:tcBorders>
              <w:top w:val="nil"/>
              <w:left w:val="nil"/>
              <w:bottom w:val="nil"/>
              <w:right w:val="nil"/>
              <w:tl2br w:val="nil"/>
              <w:tr2bl w:val="nil"/>
            </w:tcBorders>
            <w:shd w:val="clear" w:color="auto" w:fill="auto"/>
            <w:noWrap/>
            <w:tcMar>
              <w:left w:w="101" w:type="dxa"/>
              <w:right w:w="161" w:type="dxa"/>
            </w:tcMar>
          </w:tcPr>
          <w:p w14:paraId="7CD9D0B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22,317</w:t>
            </w:r>
          </w:p>
        </w:tc>
        <w:tc>
          <w:tcPr>
            <w:tcW w:w="1035" w:type="dxa"/>
            <w:tcBorders>
              <w:top w:val="nil"/>
              <w:left w:val="nil"/>
              <w:bottom w:val="nil"/>
              <w:right w:val="nil"/>
              <w:tl2br w:val="nil"/>
              <w:tr2bl w:val="nil"/>
            </w:tcBorders>
            <w:shd w:val="clear" w:color="auto" w:fill="auto"/>
            <w:noWrap/>
            <w:tcMar>
              <w:left w:w="101" w:type="dxa"/>
              <w:right w:w="161" w:type="dxa"/>
            </w:tcMar>
          </w:tcPr>
          <w:p w14:paraId="4B27FC34"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0FB7B08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0D9F458A"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services for our suburbs — Enhancing our bushfire preparedness</w:t>
            </w:r>
          </w:p>
        </w:tc>
        <w:tc>
          <w:tcPr>
            <w:tcW w:w="1035" w:type="dxa"/>
            <w:tcBorders>
              <w:top w:val="nil"/>
              <w:left w:val="nil"/>
              <w:bottom w:val="nil"/>
              <w:right w:val="nil"/>
              <w:tl2br w:val="nil"/>
              <w:tr2bl w:val="nil"/>
            </w:tcBorders>
            <w:shd w:val="clear" w:color="auto" w:fill="auto"/>
            <w:noWrap/>
            <w:tcMar>
              <w:left w:w="101" w:type="dxa"/>
              <w:right w:w="161" w:type="dxa"/>
            </w:tcMar>
          </w:tcPr>
          <w:p w14:paraId="323B7CF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w:t>
            </w:r>
          </w:p>
        </w:tc>
        <w:tc>
          <w:tcPr>
            <w:tcW w:w="1035" w:type="dxa"/>
            <w:tcBorders>
              <w:top w:val="nil"/>
              <w:left w:val="nil"/>
              <w:bottom w:val="nil"/>
              <w:right w:val="nil"/>
              <w:tl2br w:val="nil"/>
              <w:tr2bl w:val="nil"/>
            </w:tcBorders>
            <w:shd w:val="clear" w:color="auto" w:fill="auto"/>
            <w:noWrap/>
            <w:tcMar>
              <w:left w:w="101" w:type="dxa"/>
              <w:right w:w="161" w:type="dxa"/>
            </w:tcMar>
          </w:tcPr>
          <w:p w14:paraId="2F354A8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w:t>
            </w:r>
          </w:p>
        </w:tc>
        <w:tc>
          <w:tcPr>
            <w:tcW w:w="1035" w:type="dxa"/>
            <w:tcBorders>
              <w:top w:val="nil"/>
              <w:left w:val="nil"/>
              <w:bottom w:val="nil"/>
              <w:right w:val="nil"/>
              <w:tl2br w:val="nil"/>
              <w:tr2bl w:val="nil"/>
            </w:tcBorders>
            <w:shd w:val="clear" w:color="auto" w:fill="auto"/>
            <w:noWrap/>
            <w:tcMar>
              <w:left w:w="101" w:type="dxa"/>
              <w:right w:w="161" w:type="dxa"/>
            </w:tcMar>
          </w:tcPr>
          <w:p w14:paraId="2A77CA45"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09794A1"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22DBCFA"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66150EC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14FB8ECC"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services for our suburbs — More paramedics and ambulances</w:t>
            </w:r>
          </w:p>
        </w:tc>
        <w:tc>
          <w:tcPr>
            <w:tcW w:w="1035" w:type="dxa"/>
            <w:tcBorders>
              <w:top w:val="nil"/>
              <w:left w:val="nil"/>
              <w:bottom w:val="nil"/>
              <w:right w:val="nil"/>
              <w:tl2br w:val="nil"/>
              <w:tr2bl w:val="nil"/>
            </w:tcBorders>
            <w:shd w:val="clear" w:color="auto" w:fill="auto"/>
            <w:noWrap/>
            <w:tcMar>
              <w:left w:w="101" w:type="dxa"/>
              <w:right w:w="161" w:type="dxa"/>
            </w:tcMar>
          </w:tcPr>
          <w:p w14:paraId="11A1EF9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w:t>
            </w:r>
          </w:p>
        </w:tc>
        <w:tc>
          <w:tcPr>
            <w:tcW w:w="1035" w:type="dxa"/>
            <w:tcBorders>
              <w:top w:val="nil"/>
              <w:left w:val="nil"/>
              <w:bottom w:val="nil"/>
              <w:right w:val="nil"/>
              <w:tl2br w:val="nil"/>
              <w:tr2bl w:val="nil"/>
            </w:tcBorders>
            <w:shd w:val="clear" w:color="auto" w:fill="auto"/>
            <w:noWrap/>
            <w:tcMar>
              <w:left w:w="101" w:type="dxa"/>
              <w:right w:w="161" w:type="dxa"/>
            </w:tcMar>
          </w:tcPr>
          <w:p w14:paraId="0C7158A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w:t>
            </w:r>
          </w:p>
        </w:tc>
        <w:tc>
          <w:tcPr>
            <w:tcW w:w="1035" w:type="dxa"/>
            <w:tcBorders>
              <w:top w:val="nil"/>
              <w:left w:val="nil"/>
              <w:bottom w:val="nil"/>
              <w:right w:val="nil"/>
              <w:tl2br w:val="nil"/>
              <w:tr2bl w:val="nil"/>
            </w:tcBorders>
            <w:shd w:val="clear" w:color="auto" w:fill="auto"/>
            <w:noWrap/>
            <w:tcMar>
              <w:left w:w="101" w:type="dxa"/>
              <w:right w:w="161" w:type="dxa"/>
            </w:tcMar>
          </w:tcPr>
          <w:p w14:paraId="73622474"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71D5BA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C528DC1"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2041EA3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50E42D06"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services for our suburbs — New aerial pumper for ACT Fire and Rescue</w:t>
            </w:r>
          </w:p>
        </w:tc>
        <w:tc>
          <w:tcPr>
            <w:tcW w:w="1035" w:type="dxa"/>
            <w:tcBorders>
              <w:top w:val="nil"/>
              <w:left w:val="nil"/>
              <w:bottom w:val="nil"/>
              <w:right w:val="nil"/>
              <w:tl2br w:val="nil"/>
              <w:tr2bl w:val="nil"/>
            </w:tcBorders>
            <w:shd w:val="clear" w:color="auto" w:fill="auto"/>
            <w:noWrap/>
            <w:tcMar>
              <w:left w:w="101" w:type="dxa"/>
              <w:right w:w="161" w:type="dxa"/>
            </w:tcMar>
          </w:tcPr>
          <w:p w14:paraId="5CA02561"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06C6F12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191E22C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428522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9E48EA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7C6BF55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1BC26339"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Better resourcing for the Alexander Maconochie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0B653A2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-236</w:t>
            </w:r>
          </w:p>
        </w:tc>
        <w:tc>
          <w:tcPr>
            <w:tcW w:w="1035" w:type="dxa"/>
            <w:tcBorders>
              <w:top w:val="nil"/>
              <w:left w:val="nil"/>
              <w:bottom w:val="nil"/>
              <w:right w:val="nil"/>
              <w:tl2br w:val="nil"/>
              <w:tr2bl w:val="nil"/>
            </w:tcBorders>
            <w:shd w:val="clear" w:color="auto" w:fill="auto"/>
            <w:noWrap/>
            <w:tcMar>
              <w:left w:w="101" w:type="dxa"/>
              <w:right w:w="161" w:type="dxa"/>
            </w:tcMar>
          </w:tcPr>
          <w:p w14:paraId="4573D536"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w:t>
            </w:r>
          </w:p>
        </w:tc>
        <w:tc>
          <w:tcPr>
            <w:tcW w:w="1035" w:type="dxa"/>
            <w:tcBorders>
              <w:top w:val="nil"/>
              <w:left w:val="nil"/>
              <w:bottom w:val="nil"/>
              <w:right w:val="nil"/>
              <w:tl2br w:val="nil"/>
              <w:tr2bl w:val="nil"/>
            </w:tcBorders>
            <w:shd w:val="clear" w:color="auto" w:fill="auto"/>
            <w:noWrap/>
            <w:tcMar>
              <w:left w:w="101" w:type="dxa"/>
              <w:right w:w="161" w:type="dxa"/>
            </w:tcMar>
          </w:tcPr>
          <w:p w14:paraId="07C74E90"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-138</w:t>
            </w:r>
          </w:p>
        </w:tc>
        <w:tc>
          <w:tcPr>
            <w:tcW w:w="1035" w:type="dxa"/>
            <w:tcBorders>
              <w:top w:val="nil"/>
              <w:left w:val="nil"/>
              <w:bottom w:val="nil"/>
              <w:right w:val="nil"/>
              <w:tl2br w:val="nil"/>
              <w:tr2bl w:val="nil"/>
            </w:tcBorders>
            <w:shd w:val="clear" w:color="auto" w:fill="auto"/>
            <w:noWrap/>
            <w:tcMar>
              <w:left w:w="101" w:type="dxa"/>
              <w:right w:w="161" w:type="dxa"/>
            </w:tcMar>
          </w:tcPr>
          <w:p w14:paraId="041DAAE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132296D"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26E6E3C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54AFF408"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Commencing operations of the Drug and Alcohol Court</w:t>
            </w:r>
          </w:p>
        </w:tc>
        <w:tc>
          <w:tcPr>
            <w:tcW w:w="1035" w:type="dxa"/>
            <w:tcBorders>
              <w:top w:val="nil"/>
              <w:left w:val="nil"/>
              <w:bottom w:val="nil"/>
              <w:right w:val="nil"/>
              <w:tl2br w:val="nil"/>
              <w:tr2bl w:val="nil"/>
            </w:tcBorders>
            <w:shd w:val="clear" w:color="auto" w:fill="auto"/>
            <w:noWrap/>
            <w:tcMar>
              <w:left w:w="101" w:type="dxa"/>
              <w:right w:w="161" w:type="dxa"/>
            </w:tcMar>
          </w:tcPr>
          <w:p w14:paraId="7D31ABC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-130</w:t>
            </w:r>
          </w:p>
        </w:tc>
        <w:tc>
          <w:tcPr>
            <w:tcW w:w="1035" w:type="dxa"/>
            <w:tcBorders>
              <w:top w:val="nil"/>
              <w:left w:val="nil"/>
              <w:bottom w:val="nil"/>
              <w:right w:val="nil"/>
              <w:tl2br w:val="nil"/>
              <w:tr2bl w:val="nil"/>
            </w:tcBorders>
            <w:shd w:val="clear" w:color="auto" w:fill="auto"/>
            <w:noWrap/>
            <w:tcMar>
              <w:left w:w="101" w:type="dxa"/>
              <w:right w:w="161" w:type="dxa"/>
            </w:tcMar>
          </w:tcPr>
          <w:p w14:paraId="7598A99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130</w:t>
            </w:r>
          </w:p>
        </w:tc>
        <w:tc>
          <w:tcPr>
            <w:tcW w:w="1035" w:type="dxa"/>
            <w:tcBorders>
              <w:top w:val="nil"/>
              <w:left w:val="nil"/>
              <w:bottom w:val="nil"/>
              <w:right w:val="nil"/>
              <w:tl2br w:val="nil"/>
              <w:tr2bl w:val="nil"/>
            </w:tcBorders>
            <w:shd w:val="clear" w:color="auto" w:fill="auto"/>
            <w:noWrap/>
            <w:tcMar>
              <w:left w:w="101" w:type="dxa"/>
              <w:right w:w="161" w:type="dxa"/>
            </w:tcMar>
          </w:tcPr>
          <w:p w14:paraId="7CAF090D"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1FB3A05"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DEDCD3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3C014D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815" w:type="dxa"/>
            <w:tcBorders>
              <w:top w:val="nil"/>
              <w:left w:val="nil"/>
              <w:bottom w:val="nil"/>
              <w:right w:val="nil"/>
              <w:tl2br w:val="nil"/>
              <w:tr2bl w:val="nil"/>
            </w:tcBorders>
            <w:shd w:val="clear" w:color="auto" w:fill="auto"/>
            <w:tcMar>
              <w:left w:w="236" w:type="dxa"/>
              <w:right w:w="101" w:type="dxa"/>
            </w:tcMar>
            <w:vAlign w:val="bottom"/>
          </w:tcPr>
          <w:p w14:paraId="02BCAAF3"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Design and planning for the Alexander Maconochie Reintegration Centre expansion</w:t>
            </w:r>
          </w:p>
        </w:tc>
        <w:tc>
          <w:tcPr>
            <w:tcW w:w="1035" w:type="dxa"/>
            <w:tcBorders>
              <w:top w:val="nil"/>
              <w:left w:val="nil"/>
              <w:bottom w:val="nil"/>
              <w:right w:val="nil"/>
              <w:tl2br w:val="nil"/>
              <w:tr2bl w:val="nil"/>
            </w:tcBorders>
            <w:shd w:val="clear" w:color="auto" w:fill="auto"/>
            <w:noWrap/>
            <w:tcMar>
              <w:left w:w="101" w:type="dxa"/>
              <w:right w:w="161" w:type="dxa"/>
            </w:tcMar>
          </w:tcPr>
          <w:p w14:paraId="1AF6F07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auto" w:fill="auto"/>
            <w:noWrap/>
            <w:tcMar>
              <w:left w:w="101" w:type="dxa"/>
              <w:right w:w="161" w:type="dxa"/>
            </w:tcMar>
          </w:tcPr>
          <w:p w14:paraId="0E73C3F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auto" w:fill="auto"/>
            <w:noWrap/>
            <w:tcMar>
              <w:left w:w="101" w:type="dxa"/>
              <w:right w:w="161" w:type="dxa"/>
            </w:tcMar>
          </w:tcPr>
          <w:p w14:paraId="0A310D0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6CDB7E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D1439F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699F872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18F65AD2"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Providing safe alternatives to remand</w:t>
            </w:r>
          </w:p>
        </w:tc>
        <w:tc>
          <w:tcPr>
            <w:tcW w:w="1035" w:type="dxa"/>
            <w:tcBorders>
              <w:top w:val="nil"/>
              <w:left w:val="nil"/>
              <w:bottom w:val="nil"/>
              <w:right w:val="nil"/>
              <w:tl2br w:val="nil"/>
              <w:tr2bl w:val="nil"/>
            </w:tcBorders>
            <w:shd w:val="clear" w:color="auto" w:fill="auto"/>
            <w:noWrap/>
            <w:tcMar>
              <w:left w:w="101" w:type="dxa"/>
              <w:right w:w="161" w:type="dxa"/>
            </w:tcMar>
          </w:tcPr>
          <w:p w14:paraId="3E06F55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2BFFF124"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14D2AB54"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103604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99238F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09101B6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281020C9"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New Stations for ACT Ambulance Service and ACT Fire &amp; Rescue</w:t>
            </w:r>
          </w:p>
        </w:tc>
        <w:tc>
          <w:tcPr>
            <w:tcW w:w="1035" w:type="dxa"/>
            <w:tcBorders>
              <w:top w:val="nil"/>
              <w:left w:val="nil"/>
              <w:bottom w:val="nil"/>
              <w:right w:val="nil"/>
              <w:tl2br w:val="nil"/>
              <w:tr2bl w:val="nil"/>
            </w:tcBorders>
            <w:shd w:val="clear" w:color="auto" w:fill="auto"/>
            <w:noWrap/>
            <w:tcMar>
              <w:left w:w="101" w:type="dxa"/>
              <w:right w:w="161" w:type="dxa"/>
            </w:tcMar>
          </w:tcPr>
          <w:p w14:paraId="0DC6750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-311</w:t>
            </w:r>
          </w:p>
        </w:tc>
        <w:tc>
          <w:tcPr>
            <w:tcW w:w="1035" w:type="dxa"/>
            <w:tcBorders>
              <w:top w:val="nil"/>
              <w:left w:val="nil"/>
              <w:bottom w:val="nil"/>
              <w:right w:val="nil"/>
              <w:tl2br w:val="nil"/>
              <w:tr2bl w:val="nil"/>
            </w:tcBorders>
            <w:shd w:val="clear" w:color="auto" w:fill="auto"/>
            <w:noWrap/>
            <w:tcMar>
              <w:left w:w="101" w:type="dxa"/>
              <w:right w:w="161" w:type="dxa"/>
            </w:tcMar>
          </w:tcPr>
          <w:p w14:paraId="1184FF6A"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311</w:t>
            </w:r>
          </w:p>
        </w:tc>
        <w:tc>
          <w:tcPr>
            <w:tcW w:w="1035" w:type="dxa"/>
            <w:tcBorders>
              <w:top w:val="nil"/>
              <w:left w:val="nil"/>
              <w:bottom w:val="nil"/>
              <w:right w:val="nil"/>
              <w:tl2br w:val="nil"/>
              <w:tr2bl w:val="nil"/>
            </w:tcBorders>
            <w:shd w:val="clear" w:color="auto" w:fill="auto"/>
            <w:noWrap/>
            <w:tcMar>
              <w:left w:w="101" w:type="dxa"/>
              <w:right w:w="161" w:type="dxa"/>
            </w:tcMar>
          </w:tcPr>
          <w:p w14:paraId="364745DF"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75056F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0257BE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0B10AB4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9F7EBE6"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Strengthening bushfire preparedness</w:t>
            </w:r>
          </w:p>
        </w:tc>
        <w:tc>
          <w:tcPr>
            <w:tcW w:w="1035" w:type="dxa"/>
            <w:tcBorders>
              <w:top w:val="nil"/>
              <w:left w:val="nil"/>
              <w:bottom w:val="nil"/>
              <w:right w:val="nil"/>
              <w:tl2br w:val="nil"/>
              <w:tr2bl w:val="nil"/>
            </w:tcBorders>
            <w:shd w:val="clear" w:color="auto" w:fill="auto"/>
            <w:noWrap/>
            <w:tcMar>
              <w:left w:w="101" w:type="dxa"/>
              <w:right w:w="161" w:type="dxa"/>
            </w:tcMar>
          </w:tcPr>
          <w:p w14:paraId="4721BA36"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w:t>
            </w:r>
          </w:p>
        </w:tc>
        <w:tc>
          <w:tcPr>
            <w:tcW w:w="1035" w:type="dxa"/>
            <w:tcBorders>
              <w:top w:val="nil"/>
              <w:left w:val="nil"/>
              <w:bottom w:val="nil"/>
              <w:right w:val="nil"/>
              <w:tl2br w:val="nil"/>
              <w:tr2bl w:val="nil"/>
            </w:tcBorders>
            <w:shd w:val="clear" w:color="auto" w:fill="auto"/>
            <w:noWrap/>
            <w:tcMar>
              <w:left w:w="101" w:type="dxa"/>
              <w:right w:w="161" w:type="dxa"/>
            </w:tcMar>
          </w:tcPr>
          <w:p w14:paraId="73F1736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w:t>
            </w:r>
          </w:p>
        </w:tc>
        <w:tc>
          <w:tcPr>
            <w:tcW w:w="1035" w:type="dxa"/>
            <w:tcBorders>
              <w:top w:val="nil"/>
              <w:left w:val="nil"/>
              <w:bottom w:val="nil"/>
              <w:right w:val="nil"/>
              <w:tl2br w:val="nil"/>
              <w:tr2bl w:val="nil"/>
            </w:tcBorders>
            <w:shd w:val="clear" w:color="auto" w:fill="auto"/>
            <w:noWrap/>
            <w:tcMar>
              <w:left w:w="101" w:type="dxa"/>
              <w:right w:w="161" w:type="dxa"/>
            </w:tcMar>
          </w:tcPr>
          <w:p w14:paraId="10E5CCD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AF0A02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C3C297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7A0FB85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1986A658"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Strengthening Emergency Services — Territory Radio Network upgrade — Phases 2 and 3 </w:t>
            </w:r>
          </w:p>
        </w:tc>
        <w:tc>
          <w:tcPr>
            <w:tcW w:w="1035" w:type="dxa"/>
            <w:tcBorders>
              <w:top w:val="nil"/>
              <w:left w:val="nil"/>
              <w:bottom w:val="nil"/>
              <w:right w:val="nil"/>
              <w:tl2br w:val="nil"/>
              <w:tr2bl w:val="nil"/>
            </w:tcBorders>
            <w:shd w:val="clear" w:color="auto" w:fill="auto"/>
            <w:noWrap/>
            <w:tcMar>
              <w:left w:w="101" w:type="dxa"/>
              <w:right w:w="161" w:type="dxa"/>
            </w:tcMar>
          </w:tcPr>
          <w:p w14:paraId="5DA84D9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-177</w:t>
            </w:r>
          </w:p>
        </w:tc>
        <w:tc>
          <w:tcPr>
            <w:tcW w:w="1035" w:type="dxa"/>
            <w:tcBorders>
              <w:top w:val="nil"/>
              <w:left w:val="nil"/>
              <w:bottom w:val="nil"/>
              <w:right w:val="nil"/>
              <w:tl2br w:val="nil"/>
              <w:tr2bl w:val="nil"/>
            </w:tcBorders>
            <w:shd w:val="clear" w:color="auto" w:fill="auto"/>
            <w:noWrap/>
            <w:tcMar>
              <w:left w:w="101" w:type="dxa"/>
              <w:right w:w="161" w:type="dxa"/>
            </w:tcMar>
          </w:tcPr>
          <w:p w14:paraId="1CB68376"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177</w:t>
            </w:r>
          </w:p>
        </w:tc>
        <w:tc>
          <w:tcPr>
            <w:tcW w:w="1035" w:type="dxa"/>
            <w:tcBorders>
              <w:top w:val="nil"/>
              <w:left w:val="nil"/>
              <w:bottom w:val="nil"/>
              <w:right w:val="nil"/>
              <w:tl2br w:val="nil"/>
              <w:tr2bl w:val="nil"/>
            </w:tcBorders>
            <w:shd w:val="clear" w:color="auto" w:fill="auto"/>
            <w:noWrap/>
            <w:tcMar>
              <w:left w:w="101" w:type="dxa"/>
              <w:right w:w="161" w:type="dxa"/>
            </w:tcMar>
          </w:tcPr>
          <w:p w14:paraId="20DE1046"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2230F1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605DD8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74DFEB3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820CD75"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Upgrading essential services at the Alexander Maconochie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2D76DD25"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-219</w:t>
            </w:r>
          </w:p>
        </w:tc>
        <w:tc>
          <w:tcPr>
            <w:tcW w:w="1035" w:type="dxa"/>
            <w:tcBorders>
              <w:top w:val="nil"/>
              <w:left w:val="nil"/>
              <w:bottom w:val="nil"/>
              <w:right w:val="nil"/>
              <w:tl2br w:val="nil"/>
              <w:tr2bl w:val="nil"/>
            </w:tcBorders>
            <w:shd w:val="clear" w:color="auto" w:fill="auto"/>
            <w:noWrap/>
            <w:tcMar>
              <w:left w:w="101" w:type="dxa"/>
              <w:right w:w="161" w:type="dxa"/>
            </w:tcMar>
          </w:tcPr>
          <w:p w14:paraId="440E8D8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-1,281</w:t>
            </w:r>
          </w:p>
        </w:tc>
        <w:tc>
          <w:tcPr>
            <w:tcW w:w="1035" w:type="dxa"/>
            <w:tcBorders>
              <w:top w:val="nil"/>
              <w:left w:val="nil"/>
              <w:bottom w:val="nil"/>
              <w:right w:val="nil"/>
              <w:tl2br w:val="nil"/>
              <w:tr2bl w:val="nil"/>
            </w:tcBorders>
            <w:shd w:val="clear" w:color="auto" w:fill="auto"/>
            <w:noWrap/>
            <w:tcMar>
              <w:left w:w="101" w:type="dxa"/>
              <w:right w:w="161" w:type="dxa"/>
            </w:tcMar>
          </w:tcPr>
          <w:p w14:paraId="7D58AA5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1,500</w:t>
            </w:r>
          </w:p>
        </w:tc>
        <w:tc>
          <w:tcPr>
            <w:tcW w:w="1035" w:type="dxa"/>
            <w:tcBorders>
              <w:top w:val="nil"/>
              <w:left w:val="nil"/>
              <w:bottom w:val="nil"/>
              <w:right w:val="nil"/>
              <w:tl2br w:val="nil"/>
              <w:tr2bl w:val="nil"/>
            </w:tcBorders>
            <w:shd w:val="clear" w:color="auto" w:fill="auto"/>
            <w:noWrap/>
            <w:tcMar>
              <w:left w:w="101" w:type="dxa"/>
              <w:right w:w="161" w:type="dxa"/>
            </w:tcMar>
          </w:tcPr>
          <w:p w14:paraId="4D8BC92F"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6B1FA6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2399DB3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D4FF78C"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Upgrading the ACT State Emergency Service’s Majura Unit facility</w:t>
            </w:r>
          </w:p>
        </w:tc>
        <w:tc>
          <w:tcPr>
            <w:tcW w:w="1035" w:type="dxa"/>
            <w:tcBorders>
              <w:top w:val="nil"/>
              <w:left w:val="nil"/>
              <w:bottom w:val="nil"/>
              <w:right w:val="nil"/>
              <w:tl2br w:val="nil"/>
              <w:tr2bl w:val="nil"/>
            </w:tcBorders>
            <w:shd w:val="clear" w:color="auto" w:fill="auto"/>
            <w:noWrap/>
            <w:tcMar>
              <w:left w:w="101" w:type="dxa"/>
              <w:right w:w="161" w:type="dxa"/>
            </w:tcMar>
          </w:tcPr>
          <w:p w14:paraId="0FD889D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-898</w:t>
            </w:r>
          </w:p>
        </w:tc>
        <w:tc>
          <w:tcPr>
            <w:tcW w:w="1035" w:type="dxa"/>
            <w:tcBorders>
              <w:top w:val="nil"/>
              <w:left w:val="nil"/>
              <w:bottom w:val="nil"/>
              <w:right w:val="nil"/>
              <w:tl2br w:val="nil"/>
              <w:tr2bl w:val="nil"/>
            </w:tcBorders>
            <w:shd w:val="clear" w:color="auto" w:fill="auto"/>
            <w:noWrap/>
            <w:tcMar>
              <w:left w:w="101" w:type="dxa"/>
              <w:right w:w="161" w:type="dxa"/>
            </w:tcMar>
          </w:tcPr>
          <w:p w14:paraId="012D61CA"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-615</w:t>
            </w:r>
          </w:p>
        </w:tc>
        <w:tc>
          <w:tcPr>
            <w:tcW w:w="1035" w:type="dxa"/>
            <w:tcBorders>
              <w:top w:val="nil"/>
              <w:left w:val="nil"/>
              <w:bottom w:val="nil"/>
              <w:right w:val="nil"/>
              <w:tl2br w:val="nil"/>
              <w:tr2bl w:val="nil"/>
            </w:tcBorders>
            <w:shd w:val="clear" w:color="auto" w:fill="auto"/>
            <w:noWrap/>
            <w:tcMar>
              <w:left w:w="101" w:type="dxa"/>
              <w:right w:w="161" w:type="dxa"/>
            </w:tcMar>
          </w:tcPr>
          <w:p w14:paraId="450D43F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1,513</w:t>
            </w:r>
          </w:p>
        </w:tc>
        <w:tc>
          <w:tcPr>
            <w:tcW w:w="1035" w:type="dxa"/>
            <w:tcBorders>
              <w:top w:val="nil"/>
              <w:left w:val="nil"/>
              <w:bottom w:val="nil"/>
              <w:right w:val="nil"/>
              <w:tl2br w:val="nil"/>
              <w:tr2bl w:val="nil"/>
            </w:tcBorders>
            <w:shd w:val="clear" w:color="auto" w:fill="auto"/>
            <w:noWrap/>
            <w:tcMar>
              <w:left w:w="101" w:type="dxa"/>
              <w:right w:w="161" w:type="dxa"/>
            </w:tcMar>
          </w:tcPr>
          <w:p w14:paraId="28F4724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4D11184"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5108EA4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101" w:type="dxa"/>
              <w:right w:w="101" w:type="dxa"/>
            </w:tcMar>
            <w:vAlign w:val="bottom"/>
          </w:tcPr>
          <w:p w14:paraId="607C3DF3" w14:textId="77777777" w:rsidR="00215EF6" w:rsidRPr="005E3B44" w:rsidRDefault="00215EF6" w:rsidP="00215EF6">
            <w:pPr>
              <w:pStyle w:val="Normal3"/>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Offsets</w:t>
            </w:r>
          </w:p>
        </w:tc>
        <w:tc>
          <w:tcPr>
            <w:tcW w:w="1035" w:type="dxa"/>
            <w:tcBorders>
              <w:top w:val="nil"/>
              <w:left w:val="nil"/>
              <w:bottom w:val="nil"/>
              <w:right w:val="nil"/>
              <w:tl2br w:val="nil"/>
              <w:tr2bl w:val="nil"/>
            </w:tcBorders>
            <w:shd w:val="clear" w:color="auto" w:fill="auto"/>
            <w:noWrap/>
            <w:tcMar>
              <w:left w:w="0" w:type="dxa"/>
              <w:right w:w="0" w:type="dxa"/>
            </w:tcMar>
          </w:tcPr>
          <w:p w14:paraId="1961731D"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A89DF39"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64576AF"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1E6DD68"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0C8C3B6" w14:textId="77777777" w:rsidR="00215EF6" w:rsidRPr="005E3B44" w:rsidRDefault="00215EF6" w:rsidP="00215EF6">
            <w:pPr>
              <w:pStyle w:val="Normal3"/>
              <w:rPr>
                <w:rFonts w:asciiTheme="minorHAnsi" w:eastAsia="Calibri" w:hAnsiTheme="minorHAnsi" w:cstheme="minorHAnsi"/>
                <w:color w:val="000000"/>
                <w:sz w:val="18"/>
              </w:rPr>
            </w:pPr>
          </w:p>
        </w:tc>
      </w:tr>
      <w:tr w:rsidR="00215EF6" w:rsidRPr="005E3B44" w14:paraId="6E08E27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5E111C88"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Reintegration Pathways</w:t>
            </w:r>
          </w:p>
        </w:tc>
        <w:tc>
          <w:tcPr>
            <w:tcW w:w="1035" w:type="dxa"/>
            <w:tcBorders>
              <w:top w:val="nil"/>
              <w:left w:val="nil"/>
              <w:bottom w:val="nil"/>
              <w:right w:val="nil"/>
              <w:tl2br w:val="nil"/>
              <w:tr2bl w:val="nil"/>
            </w:tcBorders>
            <w:shd w:val="clear" w:color="auto" w:fill="auto"/>
            <w:noWrap/>
            <w:tcMar>
              <w:left w:w="101" w:type="dxa"/>
              <w:right w:w="161" w:type="dxa"/>
            </w:tcMar>
          </w:tcPr>
          <w:p w14:paraId="51806CB7"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6D7841E"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-39,100</w:t>
            </w:r>
          </w:p>
        </w:tc>
        <w:tc>
          <w:tcPr>
            <w:tcW w:w="1035" w:type="dxa"/>
            <w:tcBorders>
              <w:top w:val="nil"/>
              <w:left w:val="nil"/>
              <w:bottom w:val="nil"/>
              <w:right w:val="nil"/>
              <w:tl2br w:val="nil"/>
              <w:tr2bl w:val="nil"/>
            </w:tcBorders>
            <w:shd w:val="clear" w:color="auto" w:fill="auto"/>
            <w:noWrap/>
            <w:tcMar>
              <w:left w:w="101" w:type="dxa"/>
              <w:right w:w="161" w:type="dxa"/>
            </w:tcMar>
          </w:tcPr>
          <w:p w14:paraId="54F4525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C0856A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6F05C1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7B7984F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474D661C" w14:textId="7630DAAC" w:rsidR="00215EF6" w:rsidRPr="005E3B44" w:rsidRDefault="00215EF6" w:rsidP="00220403">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the ACT Civil and Administrative Tribunal</w:t>
            </w:r>
          </w:p>
        </w:tc>
        <w:tc>
          <w:tcPr>
            <w:tcW w:w="1035" w:type="dxa"/>
            <w:tcBorders>
              <w:top w:val="nil"/>
              <w:left w:val="nil"/>
              <w:bottom w:val="nil"/>
              <w:right w:val="nil"/>
              <w:tl2br w:val="nil"/>
              <w:tr2bl w:val="nil"/>
            </w:tcBorders>
            <w:shd w:val="clear" w:color="auto" w:fill="auto"/>
            <w:noWrap/>
            <w:tcMar>
              <w:left w:w="101" w:type="dxa"/>
              <w:right w:w="161" w:type="dxa"/>
            </w:tcMar>
          </w:tcPr>
          <w:p w14:paraId="7F532206"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34D48ED"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-613</w:t>
            </w:r>
          </w:p>
        </w:tc>
        <w:tc>
          <w:tcPr>
            <w:tcW w:w="1035" w:type="dxa"/>
            <w:tcBorders>
              <w:top w:val="nil"/>
              <w:left w:val="nil"/>
              <w:bottom w:val="nil"/>
              <w:right w:val="nil"/>
              <w:tl2br w:val="nil"/>
              <w:tr2bl w:val="nil"/>
            </w:tcBorders>
            <w:shd w:val="clear" w:color="auto" w:fill="auto"/>
            <w:noWrap/>
            <w:tcMar>
              <w:left w:w="101" w:type="dxa"/>
              <w:right w:w="161" w:type="dxa"/>
            </w:tcMar>
          </w:tcPr>
          <w:p w14:paraId="36F3729B"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4807B3A"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0042E85"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726F711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236" w:type="dxa"/>
              <w:right w:w="101" w:type="dxa"/>
            </w:tcMar>
            <w:vAlign w:val="bottom"/>
          </w:tcPr>
          <w:p w14:paraId="7FEF2A6E" w14:textId="77777777" w:rsidR="00215EF6" w:rsidRPr="005E3B44" w:rsidRDefault="00215EF6" w:rsidP="00215EF6">
            <w:pPr>
              <w:pStyle w:val="Normal3"/>
              <w:ind w:left="181" w:hanging="181"/>
              <w:rPr>
                <w:rFonts w:asciiTheme="minorHAnsi" w:eastAsia="Calibri" w:hAnsiTheme="minorHAnsi" w:cstheme="minorHAnsi"/>
                <w:color w:val="000000"/>
                <w:sz w:val="18"/>
              </w:rPr>
            </w:pPr>
            <w:proofErr w:type="spellStart"/>
            <w:r w:rsidRPr="005E3B44">
              <w:rPr>
                <w:rFonts w:asciiTheme="minorHAnsi" w:eastAsia="Calibri" w:hAnsiTheme="minorHAnsi" w:cstheme="minorHAnsi"/>
                <w:color w:val="000000"/>
                <w:sz w:val="18"/>
              </w:rPr>
              <w:t>Galambany</w:t>
            </w:r>
            <w:proofErr w:type="spellEnd"/>
            <w:r w:rsidRPr="005E3B44">
              <w:rPr>
                <w:rFonts w:asciiTheme="minorHAnsi" w:eastAsia="Calibri" w:hAnsiTheme="minorHAnsi" w:cstheme="minorHAnsi"/>
                <w:color w:val="000000"/>
                <w:sz w:val="18"/>
              </w:rPr>
              <w:t xml:space="preserve"> Circle Sentencing Court upgrades</w:t>
            </w:r>
          </w:p>
        </w:tc>
        <w:tc>
          <w:tcPr>
            <w:tcW w:w="1035" w:type="dxa"/>
            <w:tcBorders>
              <w:top w:val="nil"/>
              <w:left w:val="nil"/>
              <w:bottom w:val="nil"/>
              <w:right w:val="nil"/>
              <w:tl2br w:val="nil"/>
              <w:tr2bl w:val="nil"/>
            </w:tcBorders>
            <w:shd w:val="clear" w:color="auto" w:fill="auto"/>
            <w:noWrap/>
            <w:tcMar>
              <w:left w:w="101" w:type="dxa"/>
              <w:right w:w="161" w:type="dxa"/>
            </w:tcMar>
          </w:tcPr>
          <w:p w14:paraId="153BC669"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13754C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-714</w:t>
            </w:r>
          </w:p>
        </w:tc>
        <w:tc>
          <w:tcPr>
            <w:tcW w:w="1035" w:type="dxa"/>
            <w:tcBorders>
              <w:top w:val="nil"/>
              <w:left w:val="nil"/>
              <w:bottom w:val="nil"/>
              <w:right w:val="nil"/>
              <w:tl2br w:val="nil"/>
              <w:tr2bl w:val="nil"/>
            </w:tcBorders>
            <w:shd w:val="clear" w:color="auto" w:fill="auto"/>
            <w:noWrap/>
            <w:tcMar>
              <w:left w:w="101" w:type="dxa"/>
              <w:right w:w="161" w:type="dxa"/>
            </w:tcMar>
          </w:tcPr>
          <w:p w14:paraId="32BC3DB2"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A97A29D"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6464FC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1485BCF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236" w:type="dxa"/>
              <w:right w:w="101" w:type="dxa"/>
            </w:tcMar>
            <w:vAlign w:val="bottom"/>
          </w:tcPr>
          <w:p w14:paraId="38534DFC" w14:textId="77777777" w:rsidR="00215EF6" w:rsidRPr="005E3B44" w:rsidRDefault="00215EF6" w:rsidP="00215EF6">
            <w:pPr>
              <w:pStyle w:val="Normal3"/>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Management and remediation of firefighting substances at the stations — from Controlled Recurrent Payments </w:t>
            </w:r>
          </w:p>
        </w:tc>
        <w:tc>
          <w:tcPr>
            <w:tcW w:w="1035" w:type="dxa"/>
            <w:tcBorders>
              <w:top w:val="nil"/>
              <w:left w:val="nil"/>
              <w:bottom w:val="nil"/>
              <w:right w:val="nil"/>
              <w:tl2br w:val="nil"/>
              <w:tr2bl w:val="nil"/>
            </w:tcBorders>
            <w:shd w:val="clear" w:color="auto" w:fill="auto"/>
            <w:noWrap/>
            <w:tcMar>
              <w:left w:w="101" w:type="dxa"/>
              <w:right w:w="161" w:type="dxa"/>
            </w:tcMar>
          </w:tcPr>
          <w:p w14:paraId="6EE39E7A"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4397A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2,089</w:t>
            </w:r>
          </w:p>
        </w:tc>
        <w:tc>
          <w:tcPr>
            <w:tcW w:w="1035" w:type="dxa"/>
            <w:tcBorders>
              <w:top w:val="nil"/>
              <w:left w:val="nil"/>
              <w:bottom w:val="nil"/>
              <w:right w:val="nil"/>
              <w:tl2br w:val="nil"/>
              <w:tr2bl w:val="nil"/>
            </w:tcBorders>
            <w:shd w:val="clear" w:color="auto" w:fill="auto"/>
            <w:noWrap/>
            <w:tcMar>
              <w:left w:w="101" w:type="dxa"/>
              <w:right w:w="161" w:type="dxa"/>
            </w:tcMar>
          </w:tcPr>
          <w:p w14:paraId="151E63F3"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9ED192C"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7EB9A28" w14:textId="77777777" w:rsidR="00215EF6" w:rsidRPr="005E3B44" w:rsidRDefault="00215EF6" w:rsidP="00215EF6">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15EF6" w:rsidRPr="005E3B44" w14:paraId="40337F2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1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9AEE755"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75ED8A08"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34D55329"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76E42847"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29EA2A93" w14:textId="77777777" w:rsidR="00215EF6" w:rsidRPr="005E3B44" w:rsidRDefault="00215EF6" w:rsidP="00215EF6">
            <w:pPr>
              <w:pStyle w:val="Normal3"/>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177009C5" w14:textId="77777777" w:rsidR="00215EF6" w:rsidRPr="005E3B44" w:rsidRDefault="00215EF6" w:rsidP="00215EF6">
            <w:pPr>
              <w:pStyle w:val="Normal3"/>
              <w:rPr>
                <w:rFonts w:asciiTheme="minorHAnsi" w:eastAsia="Calibri" w:hAnsiTheme="minorHAnsi" w:cstheme="minorHAnsi"/>
                <w:color w:val="000000"/>
                <w:sz w:val="18"/>
              </w:rPr>
            </w:pPr>
          </w:p>
        </w:tc>
      </w:tr>
      <w:tr w:rsidR="00215EF6" w:rsidRPr="005E3B44" w14:paraId="33CC1B1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12A25BBB" w14:textId="77777777" w:rsidR="00215EF6" w:rsidRPr="005E3B44" w:rsidRDefault="00215EF6" w:rsidP="00215EF6">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79A5D6DE" w14:textId="77777777" w:rsidR="00215EF6" w:rsidRPr="005E3B44" w:rsidRDefault="00215EF6" w:rsidP="00215EF6">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19,934</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6A30FCDB" w14:textId="77777777" w:rsidR="00215EF6" w:rsidRPr="005E3B44" w:rsidRDefault="00215EF6" w:rsidP="00215EF6">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40,868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74614149" w14:textId="77777777" w:rsidR="00215EF6" w:rsidRPr="005E3B44" w:rsidRDefault="00215EF6" w:rsidP="00215EF6">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39,968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521284A8" w14:textId="77777777" w:rsidR="00215EF6" w:rsidRPr="005E3B44" w:rsidRDefault="00215EF6" w:rsidP="00215EF6">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34,703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2B77F3AE" w14:textId="1BA7A765" w:rsidR="00215EF6" w:rsidRPr="005E3B44" w:rsidRDefault="00215EF6" w:rsidP="00215EF6">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10,0</w:t>
            </w:r>
            <w:r>
              <w:rPr>
                <w:rFonts w:asciiTheme="minorHAnsi" w:eastAsia="Calibri" w:hAnsiTheme="minorHAnsi" w:cstheme="minorHAnsi"/>
                <w:b/>
                <w:color w:val="000000"/>
                <w:sz w:val="18"/>
              </w:rPr>
              <w:t>92</w:t>
            </w:r>
          </w:p>
        </w:tc>
      </w:tr>
    </w:tbl>
    <w:p w14:paraId="38387376" w14:textId="09CD87C4" w:rsidR="002242F3" w:rsidRPr="005E3B44" w:rsidRDefault="002242F3" w:rsidP="00201894">
      <w:pPr>
        <w:pStyle w:val="Caption"/>
        <w:pageBreakBefore/>
        <w:pBdr>
          <w:top w:val="nil"/>
          <w:left w:val="nil"/>
          <w:bottom w:val="nil"/>
          <w:right w:val="nil"/>
          <w:between w:val="nil"/>
          <w:bar w:val="nil"/>
        </w:pBdr>
        <w:spacing w:before="0" w:after="0"/>
        <w:outlineLvl w:val="0"/>
        <w:rPr>
          <w:rFonts w:asciiTheme="minorHAnsi" w:hAnsiTheme="minorHAnsi" w:cstheme="minorHAnsi"/>
          <w:bdr w:val="nil"/>
        </w:rPr>
      </w:pPr>
      <w:r w:rsidRPr="005E3B44">
        <w:rPr>
          <w:rFonts w:asciiTheme="minorHAnsi" w:hAnsiTheme="minorHAnsi" w:cstheme="minorHAnsi"/>
          <w:bdr w:val="nil"/>
        </w:rPr>
        <w:lastRenderedPageBreak/>
        <w:t>Table 2</w:t>
      </w:r>
      <w:r w:rsidR="00805234">
        <w:rPr>
          <w:rFonts w:asciiTheme="minorHAnsi" w:hAnsiTheme="minorHAnsi" w:cstheme="minorHAnsi"/>
          <w:bdr w:val="nil"/>
        </w:rPr>
        <w:t>7</w:t>
      </w:r>
      <w:r w:rsidRPr="005E3B44">
        <w:rPr>
          <w:rFonts w:asciiTheme="minorHAnsi" w:hAnsiTheme="minorHAnsi" w:cstheme="minorHAnsi"/>
          <w:bdr w:val="nil"/>
        </w:rPr>
        <w:t>: Changes to appropriation –</w:t>
      </w:r>
      <w:r w:rsidRPr="005E3B44">
        <w:rPr>
          <w:rFonts w:asciiTheme="minorHAnsi" w:hAnsiTheme="minorHAnsi" w:cstheme="minorHAnsi"/>
          <w:szCs w:val="20"/>
          <w:bdr w:val="nil"/>
        </w:rPr>
        <w:t xml:space="preserve"> </w:t>
      </w:r>
      <w:r w:rsidRPr="005E3B44">
        <w:rPr>
          <w:rFonts w:asciiTheme="minorHAnsi" w:hAnsiTheme="minorHAnsi" w:cstheme="minorHAnsi"/>
          <w:bdr w:val="nil"/>
        </w:rPr>
        <w:t>Capital Injections, Territorial</w:t>
      </w:r>
    </w:p>
    <w:p w14:paraId="68B2467D" w14:textId="77777777" w:rsidR="002242F3" w:rsidRPr="005E3B44" w:rsidRDefault="002242F3" w:rsidP="002242F3">
      <w:pPr>
        <w:pStyle w:val="Normal4"/>
        <w:rPr>
          <w:rFonts w:asciiTheme="minorHAnsi" w:hAnsiTheme="minorHAnsi" w:cstheme="minorHAnsi"/>
        </w:rPr>
      </w:pPr>
    </w:p>
    <w:tbl>
      <w:tblPr>
        <w:tblStyle w:val="CDMRange20"/>
        <w:tblW w:w="9975" w:type="dxa"/>
        <w:tblLayout w:type="fixed"/>
        <w:tblLook w:val="0600" w:firstRow="0" w:lastRow="0" w:firstColumn="0" w:lastColumn="0" w:noHBand="1" w:noVBand="1"/>
      </w:tblPr>
      <w:tblGrid>
        <w:gridCol w:w="4800"/>
        <w:gridCol w:w="1035"/>
        <w:gridCol w:w="1035"/>
        <w:gridCol w:w="1035"/>
        <w:gridCol w:w="1035"/>
        <w:gridCol w:w="1035"/>
      </w:tblGrid>
      <w:tr w:rsidR="002242F3" w:rsidRPr="005E3B44" w14:paraId="0978BCF5" w14:textId="77777777" w:rsidTr="00201894">
        <w:trPr>
          <w:trHeight w:val="771"/>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1A471456"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3E3E270"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w:t>
            </w:r>
          </w:p>
          <w:p w14:paraId="4872A932"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1D1BA14"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p w14:paraId="15DC8615" w14:textId="77777777" w:rsidR="002242F3" w:rsidRPr="005E3B44" w:rsidRDefault="002242F3" w:rsidP="005E3B44">
            <w:pPr>
              <w:pStyle w:val="Normal4"/>
              <w:jc w:val="right"/>
              <w:rPr>
                <w:rFonts w:asciiTheme="minorHAnsi" w:eastAsia="Calibri" w:hAnsiTheme="minorHAnsi" w:cstheme="minorHAnsi"/>
                <w:b/>
                <w:color w:val="000000"/>
                <w:sz w:val="18"/>
              </w:rPr>
            </w:pPr>
          </w:p>
          <w:p w14:paraId="48108DFF"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245C95"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 Estimate</w:t>
            </w:r>
          </w:p>
          <w:p w14:paraId="14009E04" w14:textId="77777777" w:rsidR="002242F3" w:rsidRPr="005E3B44" w:rsidRDefault="002242F3" w:rsidP="005E3B44">
            <w:pPr>
              <w:pStyle w:val="Normal4"/>
              <w:jc w:val="right"/>
              <w:rPr>
                <w:rFonts w:asciiTheme="minorHAnsi" w:eastAsia="Calibri" w:hAnsiTheme="minorHAnsi" w:cstheme="minorHAnsi"/>
                <w:b/>
                <w:color w:val="000000"/>
                <w:sz w:val="18"/>
              </w:rPr>
            </w:pPr>
          </w:p>
          <w:p w14:paraId="76BAC9C7"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DBDEAF"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 Estimate</w:t>
            </w:r>
          </w:p>
          <w:p w14:paraId="6BFAE877" w14:textId="77777777" w:rsidR="002242F3" w:rsidRPr="005E3B44" w:rsidRDefault="002242F3" w:rsidP="005E3B44">
            <w:pPr>
              <w:pStyle w:val="Normal4"/>
              <w:jc w:val="right"/>
              <w:rPr>
                <w:rFonts w:asciiTheme="minorHAnsi" w:eastAsia="Calibri" w:hAnsiTheme="minorHAnsi" w:cstheme="minorHAnsi"/>
                <w:b/>
                <w:color w:val="000000"/>
                <w:sz w:val="18"/>
              </w:rPr>
            </w:pPr>
          </w:p>
          <w:p w14:paraId="13B5180A"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5680662"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 Estimate</w:t>
            </w:r>
          </w:p>
          <w:p w14:paraId="22C9B3C5" w14:textId="77777777" w:rsidR="002242F3" w:rsidRPr="005E3B44" w:rsidRDefault="002242F3" w:rsidP="005E3B44">
            <w:pPr>
              <w:pStyle w:val="Normal4"/>
              <w:jc w:val="right"/>
              <w:rPr>
                <w:rFonts w:asciiTheme="minorHAnsi" w:eastAsia="Calibri" w:hAnsiTheme="minorHAnsi" w:cstheme="minorHAnsi"/>
                <w:b/>
                <w:color w:val="000000"/>
                <w:sz w:val="18"/>
              </w:rPr>
            </w:pPr>
          </w:p>
          <w:p w14:paraId="2F026210"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3F528A4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7F5BEDE"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9A84FDF"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90CF65A"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153BA74"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424D33A"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3C81ECD"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58F951D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5C9047B2"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61B5973"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4345D5"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9DAA091"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34ED09F"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A60423"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03E7C4E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6FC471A5" w14:textId="77777777" w:rsidR="002242F3" w:rsidRPr="005E3B44" w:rsidRDefault="002242F3" w:rsidP="005E3B44">
            <w:pPr>
              <w:pStyle w:val="Normal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E48B2E9"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6,938</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6048B1C"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8,771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7596B52"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531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C76DA77"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6A7F17A"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313</w:t>
            </w:r>
          </w:p>
        </w:tc>
      </w:tr>
      <w:tr w:rsidR="002242F3" w:rsidRPr="005E3B44" w14:paraId="3B6EC19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6D79240F"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694D5B"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1C98A47"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CAA70C"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8776EE0"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8E52FFC"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4D4EF8B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2306B9E5" w14:textId="77777777" w:rsidR="002242F3" w:rsidRPr="005E3B44" w:rsidRDefault="002242F3" w:rsidP="005E3B44">
            <w:pPr>
              <w:pStyle w:val="Normal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tcPr>
          <w:p w14:paraId="54164475"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54D142B"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90BA365"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E881137"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5093550"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12D46C5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69A90063"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Well-prepared emergency services - Gungahlin Joint Emergency Service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1380C9BB"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EC7D6C3"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w:t>
            </w:r>
          </w:p>
        </w:tc>
        <w:tc>
          <w:tcPr>
            <w:tcW w:w="1035" w:type="dxa"/>
            <w:tcBorders>
              <w:top w:val="nil"/>
              <w:left w:val="nil"/>
              <w:bottom w:val="nil"/>
              <w:right w:val="nil"/>
              <w:tl2br w:val="nil"/>
              <w:tr2bl w:val="nil"/>
            </w:tcBorders>
            <w:shd w:val="clear" w:color="auto" w:fill="auto"/>
            <w:noWrap/>
            <w:tcMar>
              <w:left w:w="101" w:type="dxa"/>
              <w:right w:w="161" w:type="dxa"/>
            </w:tcMar>
          </w:tcPr>
          <w:p w14:paraId="6386C9C9"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2,123</w:t>
            </w:r>
          </w:p>
        </w:tc>
        <w:tc>
          <w:tcPr>
            <w:tcW w:w="1035" w:type="dxa"/>
            <w:tcBorders>
              <w:top w:val="nil"/>
              <w:left w:val="nil"/>
              <w:bottom w:val="nil"/>
              <w:right w:val="nil"/>
              <w:tl2br w:val="nil"/>
              <w:tr2bl w:val="nil"/>
            </w:tcBorders>
            <w:shd w:val="clear" w:color="auto" w:fill="auto"/>
            <w:noWrap/>
            <w:tcMar>
              <w:left w:w="101" w:type="dxa"/>
              <w:right w:w="161" w:type="dxa"/>
            </w:tcMar>
          </w:tcPr>
          <w:p w14:paraId="44F800C8"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486</w:t>
            </w:r>
          </w:p>
        </w:tc>
        <w:tc>
          <w:tcPr>
            <w:tcW w:w="1035" w:type="dxa"/>
            <w:tcBorders>
              <w:top w:val="nil"/>
              <w:left w:val="nil"/>
              <w:bottom w:val="nil"/>
              <w:right w:val="nil"/>
              <w:tl2br w:val="nil"/>
              <w:tr2bl w:val="nil"/>
            </w:tcBorders>
            <w:shd w:val="clear" w:color="auto" w:fill="auto"/>
            <w:noWrap/>
            <w:tcMar>
              <w:left w:w="101" w:type="dxa"/>
              <w:right w:w="161" w:type="dxa"/>
            </w:tcMar>
          </w:tcPr>
          <w:p w14:paraId="7942CD8C"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w:t>
            </w:r>
          </w:p>
        </w:tc>
      </w:tr>
      <w:tr w:rsidR="002242F3" w:rsidRPr="005E3B44" w14:paraId="2592BAE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7A4D48CD" w14:textId="77777777" w:rsidR="002242F3" w:rsidRPr="005E3B44" w:rsidRDefault="002242F3" w:rsidP="005E3B44">
            <w:pPr>
              <w:pStyle w:val="Normal4"/>
              <w:ind w:left="181" w:hanging="18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1EEE2B4"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47BBB2D"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9C8987F"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F8F273C"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1E1269A"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47B080D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0918613F" w14:textId="77777777" w:rsidR="002242F3" w:rsidRPr="005E3B44" w:rsidRDefault="002242F3" w:rsidP="005E3B44">
            <w:pPr>
              <w:pStyle w:val="Normal4"/>
              <w:ind w:left="181" w:hanging="18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tcPr>
          <w:p w14:paraId="07576C02"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FD72C18"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CC3645E"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EEE4736"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62EAD06"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5560F78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94AB042"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61" w:type="dxa"/>
            </w:tcMar>
          </w:tcPr>
          <w:p w14:paraId="2158C81E"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601EF34"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3428297"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998DFDA"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8D097EB"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w:t>
            </w:r>
          </w:p>
        </w:tc>
      </w:tr>
      <w:tr w:rsidR="002242F3" w:rsidRPr="005E3B44" w14:paraId="4B0A171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0404B1C4"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Rapid rollout of ‘screwdriver ready’ minor capital works projects</w:t>
            </w:r>
          </w:p>
        </w:tc>
        <w:tc>
          <w:tcPr>
            <w:tcW w:w="1035" w:type="dxa"/>
            <w:tcBorders>
              <w:top w:val="nil"/>
              <w:left w:val="nil"/>
              <w:bottom w:val="nil"/>
              <w:right w:val="nil"/>
              <w:tl2br w:val="nil"/>
              <w:tr2bl w:val="nil"/>
            </w:tcBorders>
            <w:shd w:val="clear" w:color="auto" w:fill="auto"/>
            <w:noWrap/>
            <w:tcMar>
              <w:left w:w="101" w:type="dxa"/>
              <w:right w:w="161" w:type="dxa"/>
            </w:tcMar>
          </w:tcPr>
          <w:p w14:paraId="432456C3"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215745"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300</w:t>
            </w:r>
          </w:p>
        </w:tc>
        <w:tc>
          <w:tcPr>
            <w:tcW w:w="1035" w:type="dxa"/>
            <w:tcBorders>
              <w:top w:val="nil"/>
              <w:left w:val="nil"/>
              <w:bottom w:val="nil"/>
              <w:right w:val="nil"/>
              <w:tl2br w:val="nil"/>
              <w:tr2bl w:val="nil"/>
            </w:tcBorders>
            <w:shd w:val="clear" w:color="auto" w:fill="auto"/>
            <w:noWrap/>
            <w:tcMar>
              <w:left w:w="101" w:type="dxa"/>
              <w:right w:w="161" w:type="dxa"/>
            </w:tcMar>
          </w:tcPr>
          <w:p w14:paraId="6E1DE980"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C93C1DF"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B8150EB"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DC0603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D24D7BF" w14:textId="77777777" w:rsidR="002242F3" w:rsidRPr="005E3B44" w:rsidRDefault="002242F3" w:rsidP="005E3B44">
            <w:pPr>
              <w:pStyle w:val="Normal4"/>
              <w:ind w:left="181" w:hanging="181"/>
              <w:rPr>
                <w:rFonts w:asciiTheme="minorHAnsi" w:eastAsia="Calibri" w:hAnsiTheme="minorHAnsi" w:cstheme="minorHAnsi"/>
                <w:b/>
                <w:i/>
                <w:color w:val="000000"/>
                <w:sz w:val="18"/>
              </w:rPr>
            </w:pPr>
            <w:r w:rsidRPr="005E3B44">
              <w:rPr>
                <w:rFonts w:asciiTheme="minorHAnsi" w:eastAsia="Calibri" w:hAnsiTheme="minorHAnsi" w:cstheme="minorHAnsi"/>
                <w:b/>
                <w:i/>
                <w:color w:val="000000"/>
                <w:sz w:val="18"/>
              </w:rPr>
              <w:t>Revised Funding Profile</w:t>
            </w:r>
          </w:p>
        </w:tc>
        <w:tc>
          <w:tcPr>
            <w:tcW w:w="1035" w:type="dxa"/>
            <w:tcBorders>
              <w:top w:val="nil"/>
              <w:left w:val="nil"/>
              <w:bottom w:val="nil"/>
              <w:right w:val="nil"/>
              <w:tl2br w:val="nil"/>
              <w:tr2bl w:val="nil"/>
            </w:tcBorders>
            <w:shd w:val="clear" w:color="auto" w:fill="auto"/>
            <w:noWrap/>
            <w:tcMar>
              <w:left w:w="0" w:type="dxa"/>
              <w:right w:w="0" w:type="dxa"/>
            </w:tcMar>
          </w:tcPr>
          <w:p w14:paraId="6975A708"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195C648"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9E492F8"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0E713A0"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BE8D1AB"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17FBBE8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683808AD"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Boosting police for a growing city</w:t>
            </w:r>
          </w:p>
        </w:tc>
        <w:tc>
          <w:tcPr>
            <w:tcW w:w="1035" w:type="dxa"/>
            <w:tcBorders>
              <w:top w:val="nil"/>
              <w:left w:val="nil"/>
              <w:bottom w:val="nil"/>
              <w:right w:val="nil"/>
              <w:tl2br w:val="nil"/>
              <w:tr2bl w:val="nil"/>
            </w:tcBorders>
            <w:shd w:val="clear" w:color="auto" w:fill="auto"/>
            <w:noWrap/>
            <w:tcMar>
              <w:left w:w="101" w:type="dxa"/>
              <w:right w:w="161" w:type="dxa"/>
            </w:tcMar>
          </w:tcPr>
          <w:p w14:paraId="48B1C7DD"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w:t>
            </w:r>
          </w:p>
        </w:tc>
        <w:tc>
          <w:tcPr>
            <w:tcW w:w="1035" w:type="dxa"/>
            <w:tcBorders>
              <w:top w:val="nil"/>
              <w:left w:val="nil"/>
              <w:bottom w:val="nil"/>
              <w:right w:val="nil"/>
              <w:tl2br w:val="nil"/>
              <w:tr2bl w:val="nil"/>
            </w:tcBorders>
            <w:shd w:val="clear" w:color="auto" w:fill="auto"/>
            <w:noWrap/>
            <w:tcMar>
              <w:left w:w="101" w:type="dxa"/>
              <w:right w:w="161" w:type="dxa"/>
            </w:tcMar>
          </w:tcPr>
          <w:p w14:paraId="674D3C27"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w:t>
            </w:r>
          </w:p>
        </w:tc>
        <w:tc>
          <w:tcPr>
            <w:tcW w:w="1035" w:type="dxa"/>
            <w:tcBorders>
              <w:top w:val="nil"/>
              <w:left w:val="nil"/>
              <w:bottom w:val="nil"/>
              <w:right w:val="nil"/>
              <w:tl2br w:val="nil"/>
              <w:tr2bl w:val="nil"/>
            </w:tcBorders>
            <w:shd w:val="clear" w:color="auto" w:fill="auto"/>
            <w:noWrap/>
            <w:tcMar>
              <w:left w:w="101" w:type="dxa"/>
              <w:right w:w="161" w:type="dxa"/>
            </w:tcMar>
          </w:tcPr>
          <w:p w14:paraId="1909A054"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158692B"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C7685E"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0533FC5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2FC84B55"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Delivering better facilities for ACT Policing</w:t>
            </w:r>
          </w:p>
        </w:tc>
        <w:tc>
          <w:tcPr>
            <w:tcW w:w="1035" w:type="dxa"/>
            <w:tcBorders>
              <w:top w:val="nil"/>
              <w:left w:val="nil"/>
              <w:bottom w:val="nil"/>
              <w:right w:val="nil"/>
              <w:tl2br w:val="nil"/>
              <w:tr2bl w:val="nil"/>
            </w:tcBorders>
            <w:shd w:val="clear" w:color="auto" w:fill="auto"/>
            <w:noWrap/>
            <w:tcMar>
              <w:left w:w="101" w:type="dxa"/>
              <w:right w:w="161" w:type="dxa"/>
            </w:tcMar>
          </w:tcPr>
          <w:p w14:paraId="31FEC802"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-920</w:t>
            </w:r>
          </w:p>
        </w:tc>
        <w:tc>
          <w:tcPr>
            <w:tcW w:w="1035" w:type="dxa"/>
            <w:tcBorders>
              <w:top w:val="nil"/>
              <w:left w:val="nil"/>
              <w:bottom w:val="nil"/>
              <w:right w:val="nil"/>
              <w:tl2br w:val="nil"/>
              <w:tr2bl w:val="nil"/>
            </w:tcBorders>
            <w:shd w:val="clear" w:color="auto" w:fill="auto"/>
            <w:noWrap/>
            <w:tcMar>
              <w:left w:w="101" w:type="dxa"/>
              <w:right w:w="161" w:type="dxa"/>
            </w:tcMar>
          </w:tcPr>
          <w:p w14:paraId="164BBD2F"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-4,879</w:t>
            </w:r>
          </w:p>
        </w:tc>
        <w:tc>
          <w:tcPr>
            <w:tcW w:w="1035" w:type="dxa"/>
            <w:tcBorders>
              <w:top w:val="nil"/>
              <w:left w:val="nil"/>
              <w:bottom w:val="nil"/>
              <w:right w:val="nil"/>
              <w:tl2br w:val="nil"/>
              <w:tr2bl w:val="nil"/>
            </w:tcBorders>
            <w:shd w:val="clear" w:color="auto" w:fill="auto"/>
            <w:noWrap/>
            <w:tcMar>
              <w:left w:w="101" w:type="dxa"/>
              <w:right w:w="161" w:type="dxa"/>
            </w:tcMar>
          </w:tcPr>
          <w:p w14:paraId="72A58059"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4,149</w:t>
            </w:r>
          </w:p>
        </w:tc>
        <w:tc>
          <w:tcPr>
            <w:tcW w:w="1035" w:type="dxa"/>
            <w:tcBorders>
              <w:top w:val="nil"/>
              <w:left w:val="nil"/>
              <w:bottom w:val="nil"/>
              <w:right w:val="nil"/>
              <w:tl2br w:val="nil"/>
              <w:tr2bl w:val="nil"/>
            </w:tcBorders>
            <w:shd w:val="clear" w:color="auto" w:fill="auto"/>
            <w:noWrap/>
            <w:tcMar>
              <w:left w:w="101" w:type="dxa"/>
              <w:right w:w="161" w:type="dxa"/>
            </w:tcMar>
          </w:tcPr>
          <w:p w14:paraId="5239D316"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1,650</w:t>
            </w:r>
          </w:p>
        </w:tc>
        <w:tc>
          <w:tcPr>
            <w:tcW w:w="1035" w:type="dxa"/>
            <w:tcBorders>
              <w:top w:val="nil"/>
              <w:left w:val="nil"/>
              <w:bottom w:val="nil"/>
              <w:right w:val="nil"/>
              <w:tl2br w:val="nil"/>
              <w:tr2bl w:val="nil"/>
            </w:tcBorders>
            <w:shd w:val="clear" w:color="auto" w:fill="auto"/>
            <w:noWrap/>
            <w:tcMar>
              <w:left w:w="101" w:type="dxa"/>
              <w:right w:w="161" w:type="dxa"/>
            </w:tcMar>
          </w:tcPr>
          <w:p w14:paraId="0F63DD78"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7241755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236" w:type="dxa"/>
              <w:right w:w="101" w:type="dxa"/>
            </w:tcMar>
          </w:tcPr>
          <w:p w14:paraId="366474D7"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services for our suburbs — Keeping Canberrans safe in public places</w:t>
            </w:r>
          </w:p>
        </w:tc>
        <w:tc>
          <w:tcPr>
            <w:tcW w:w="1035" w:type="dxa"/>
            <w:tcBorders>
              <w:top w:val="nil"/>
              <w:left w:val="nil"/>
              <w:bottom w:val="nil"/>
              <w:right w:val="nil"/>
              <w:tl2br w:val="nil"/>
              <w:tr2bl w:val="nil"/>
            </w:tcBorders>
            <w:shd w:val="clear" w:color="auto" w:fill="auto"/>
            <w:noWrap/>
            <w:tcMar>
              <w:left w:w="101" w:type="dxa"/>
              <w:right w:w="161" w:type="dxa"/>
            </w:tcMar>
          </w:tcPr>
          <w:p w14:paraId="46E330C6"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14D2FF83"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7DA1076C"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5A6BB56"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6DAAE3"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51A9BC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54408C1C"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Relocating ACT Policing's Traffic Operations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4B4BFCD7"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-2,245</w:t>
            </w:r>
          </w:p>
        </w:tc>
        <w:tc>
          <w:tcPr>
            <w:tcW w:w="1035" w:type="dxa"/>
            <w:tcBorders>
              <w:top w:val="nil"/>
              <w:left w:val="nil"/>
              <w:bottom w:val="nil"/>
              <w:right w:val="nil"/>
              <w:tl2br w:val="nil"/>
              <w:tr2bl w:val="nil"/>
            </w:tcBorders>
            <w:shd w:val="clear" w:color="auto" w:fill="auto"/>
            <w:noWrap/>
            <w:tcMar>
              <w:left w:w="101" w:type="dxa"/>
              <w:right w:w="161" w:type="dxa"/>
            </w:tcMar>
          </w:tcPr>
          <w:p w14:paraId="3D2FA8CF"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1,025</w:t>
            </w:r>
          </w:p>
        </w:tc>
        <w:tc>
          <w:tcPr>
            <w:tcW w:w="1035" w:type="dxa"/>
            <w:tcBorders>
              <w:top w:val="nil"/>
              <w:left w:val="nil"/>
              <w:bottom w:val="nil"/>
              <w:right w:val="nil"/>
              <w:tl2br w:val="nil"/>
              <w:tr2bl w:val="nil"/>
            </w:tcBorders>
            <w:shd w:val="clear" w:color="auto" w:fill="auto"/>
            <w:noWrap/>
            <w:tcMar>
              <w:left w:w="101" w:type="dxa"/>
              <w:right w:w="161" w:type="dxa"/>
            </w:tcMar>
          </w:tcPr>
          <w:p w14:paraId="686BEBD5"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1,220</w:t>
            </w:r>
          </w:p>
        </w:tc>
        <w:tc>
          <w:tcPr>
            <w:tcW w:w="1035" w:type="dxa"/>
            <w:tcBorders>
              <w:top w:val="nil"/>
              <w:left w:val="nil"/>
              <w:bottom w:val="nil"/>
              <w:right w:val="nil"/>
              <w:tl2br w:val="nil"/>
              <w:tr2bl w:val="nil"/>
            </w:tcBorders>
            <w:shd w:val="clear" w:color="auto" w:fill="auto"/>
            <w:noWrap/>
            <w:tcMar>
              <w:left w:w="101" w:type="dxa"/>
              <w:right w:w="161" w:type="dxa"/>
            </w:tcMar>
          </w:tcPr>
          <w:p w14:paraId="0F433408"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02FCEBB"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41461C8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48D6CB7A"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Upgrading ACT Policing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7348EB46"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-150</w:t>
            </w:r>
          </w:p>
        </w:tc>
        <w:tc>
          <w:tcPr>
            <w:tcW w:w="1035" w:type="dxa"/>
            <w:tcBorders>
              <w:top w:val="nil"/>
              <w:left w:val="nil"/>
              <w:bottom w:val="nil"/>
              <w:right w:val="nil"/>
              <w:tl2br w:val="nil"/>
              <w:tr2bl w:val="nil"/>
            </w:tcBorders>
            <w:shd w:val="clear" w:color="auto" w:fill="auto"/>
            <w:noWrap/>
            <w:tcMar>
              <w:left w:w="101" w:type="dxa"/>
              <w:right w:w="161" w:type="dxa"/>
            </w:tcMar>
          </w:tcPr>
          <w:p w14:paraId="4F76C21B"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150</w:t>
            </w:r>
          </w:p>
        </w:tc>
        <w:tc>
          <w:tcPr>
            <w:tcW w:w="1035" w:type="dxa"/>
            <w:tcBorders>
              <w:top w:val="nil"/>
              <w:left w:val="nil"/>
              <w:bottom w:val="nil"/>
              <w:right w:val="nil"/>
              <w:tl2br w:val="nil"/>
              <w:tr2bl w:val="nil"/>
            </w:tcBorders>
            <w:shd w:val="clear" w:color="auto" w:fill="auto"/>
            <w:noWrap/>
            <w:tcMar>
              <w:left w:w="101" w:type="dxa"/>
              <w:right w:w="161" w:type="dxa"/>
            </w:tcMar>
          </w:tcPr>
          <w:p w14:paraId="1A017262"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48DD4A5"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0239CE1"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6E3FD73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39C18179" w14:textId="77777777" w:rsidR="002242F3" w:rsidRPr="005E3B44" w:rsidRDefault="002242F3" w:rsidP="005E3B44">
            <w:pPr>
              <w:pStyle w:val="Normal4"/>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Transfer — Relocating ACT Policing's Traffic Operations Centre — from Expenses on Behalf of the Territory</w:t>
            </w:r>
          </w:p>
        </w:tc>
        <w:tc>
          <w:tcPr>
            <w:tcW w:w="1035" w:type="dxa"/>
            <w:tcBorders>
              <w:top w:val="nil"/>
              <w:left w:val="nil"/>
              <w:bottom w:val="nil"/>
              <w:right w:val="nil"/>
              <w:tl2br w:val="nil"/>
              <w:tr2bl w:val="nil"/>
            </w:tcBorders>
            <w:shd w:val="clear" w:color="auto" w:fill="auto"/>
            <w:noWrap/>
            <w:tcMar>
              <w:left w:w="101" w:type="dxa"/>
              <w:right w:w="161" w:type="dxa"/>
            </w:tcMar>
          </w:tcPr>
          <w:p w14:paraId="4F90C04B"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F2DE611"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2,295</w:t>
            </w:r>
          </w:p>
        </w:tc>
        <w:tc>
          <w:tcPr>
            <w:tcW w:w="1035" w:type="dxa"/>
            <w:tcBorders>
              <w:top w:val="nil"/>
              <w:left w:val="nil"/>
              <w:bottom w:val="nil"/>
              <w:right w:val="nil"/>
              <w:tl2br w:val="nil"/>
              <w:tr2bl w:val="nil"/>
            </w:tcBorders>
            <w:shd w:val="clear" w:color="auto" w:fill="auto"/>
            <w:noWrap/>
            <w:tcMar>
              <w:left w:w="101" w:type="dxa"/>
              <w:right w:w="161" w:type="dxa"/>
            </w:tcMar>
          </w:tcPr>
          <w:p w14:paraId="1EE01ECD"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70A656F"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E20754" w14:textId="77777777" w:rsidR="002242F3" w:rsidRPr="005E3B44" w:rsidRDefault="002242F3" w:rsidP="005E3B44">
            <w:pPr>
              <w:pStyle w:val="Normal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r>
      <w:tr w:rsidR="002242F3" w:rsidRPr="005E3B44" w14:paraId="10BD4BF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2312211"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1F4B706"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41E3AA5"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6BCA124"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D7E835A" w14:textId="77777777" w:rsidR="002242F3" w:rsidRPr="005E3B44" w:rsidRDefault="002242F3" w:rsidP="005E3B44">
            <w:pPr>
              <w:pStyle w:val="Normal4"/>
              <w:rPr>
                <w:rFonts w:asciiTheme="minorHAnsi" w:eastAsia="Calibri" w:hAnsiTheme="minorHAnsi" w:cstheme="minorHAns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981B9AF" w14:textId="77777777" w:rsidR="002242F3" w:rsidRPr="005E3B44" w:rsidRDefault="002242F3" w:rsidP="005E3B44">
            <w:pPr>
              <w:pStyle w:val="Normal4"/>
              <w:rPr>
                <w:rFonts w:asciiTheme="minorHAnsi" w:eastAsia="Calibri" w:hAnsiTheme="minorHAnsi" w:cstheme="minorHAnsi"/>
                <w:color w:val="000000"/>
                <w:sz w:val="18"/>
              </w:rPr>
            </w:pPr>
          </w:p>
        </w:tc>
      </w:tr>
      <w:tr w:rsidR="002242F3" w:rsidRPr="005E3B44" w14:paraId="19B0937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4916F61A" w14:textId="77777777" w:rsidR="002242F3" w:rsidRPr="005E3B44" w:rsidRDefault="002242F3" w:rsidP="005E3B44">
            <w:pPr>
              <w:pStyle w:val="Normal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0EC1AF7"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3,423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CD32F33"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8,096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CC69D94"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8,023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A981FBD"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2,449</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90681DB" w14:textId="77777777" w:rsidR="002242F3" w:rsidRPr="005E3B44" w:rsidRDefault="002242F3" w:rsidP="005E3B44">
            <w:pPr>
              <w:pStyle w:val="Normal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337</w:t>
            </w:r>
          </w:p>
        </w:tc>
      </w:tr>
    </w:tbl>
    <w:p w14:paraId="2616EF97" w14:textId="77777777" w:rsidR="002242F3" w:rsidRPr="005E3B44" w:rsidRDefault="002242F3" w:rsidP="002242F3">
      <w:pPr>
        <w:pStyle w:val="Heading2"/>
        <w:pageBreakBefore/>
        <w:pBdr>
          <w:top w:val="nil"/>
          <w:left w:val="nil"/>
          <w:bottom w:val="nil"/>
          <w:right w:val="nil"/>
          <w:between w:val="nil"/>
          <w:bar w:val="nil"/>
        </w:pBdr>
        <w:rPr>
          <w:rFonts w:asciiTheme="minorHAnsi" w:hAnsiTheme="minorHAnsi" w:cstheme="minorHAnsi"/>
          <w:bdr w:val="nil"/>
        </w:rPr>
      </w:pPr>
      <w:bookmarkStart w:id="23" w:name="_Toc452127417"/>
      <w:r w:rsidRPr="005E3B44">
        <w:rPr>
          <w:rFonts w:asciiTheme="minorHAnsi" w:hAnsiTheme="minorHAnsi" w:cstheme="minorHAnsi"/>
          <w:bdr w:val="nil"/>
        </w:rPr>
        <w:lastRenderedPageBreak/>
        <w:t>Summary of 2021-22 Infrastructure Program</w:t>
      </w:r>
      <w:bookmarkEnd w:id="23"/>
    </w:p>
    <w:p w14:paraId="58F22AC7" w14:textId="2B091599"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Table 2</w:t>
      </w:r>
      <w:r w:rsidR="00805234">
        <w:rPr>
          <w:rFonts w:asciiTheme="minorHAnsi" w:hAnsiTheme="minorHAnsi" w:cstheme="minorHAnsi"/>
          <w:bdr w:val="nil"/>
        </w:rPr>
        <w:t>8</w:t>
      </w:r>
      <w:r w:rsidRPr="005E3B44">
        <w:rPr>
          <w:rFonts w:asciiTheme="minorHAnsi" w:hAnsiTheme="minorHAnsi" w:cstheme="minorHAnsi"/>
          <w:bdr w:val="nil"/>
        </w:rPr>
        <w:t>: 2021-22 Justice and Community Safety Directorate Infrastructure Program</w:t>
      </w:r>
    </w:p>
    <w:tbl>
      <w:tblPr>
        <w:tblStyle w:val="CDMRange11"/>
        <w:tblW w:w="9552" w:type="dxa"/>
        <w:tblLayout w:type="fixed"/>
        <w:tblLook w:val="0600" w:firstRow="0" w:lastRow="0" w:firstColumn="0" w:lastColumn="0" w:noHBand="1" w:noVBand="1"/>
      </w:tblPr>
      <w:tblGrid>
        <w:gridCol w:w="3402"/>
        <w:gridCol w:w="975"/>
        <w:gridCol w:w="975"/>
        <w:gridCol w:w="975"/>
        <w:gridCol w:w="975"/>
        <w:gridCol w:w="1125"/>
        <w:gridCol w:w="1125"/>
      </w:tblGrid>
      <w:tr w:rsidR="002242F3" w:rsidRPr="005E3B44" w14:paraId="68D4BAAB" w14:textId="77777777" w:rsidTr="00FE63C8">
        <w:trPr>
          <w:trHeight w:val="724"/>
        </w:trPr>
        <w:tc>
          <w:tcPr>
            <w:tcW w:w="3402"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5D5FF39A" w14:textId="77777777" w:rsidR="002242F3" w:rsidRPr="005E3B44" w:rsidRDefault="002242F3" w:rsidP="005E3B44">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Project</w:t>
            </w:r>
          </w:p>
        </w:tc>
        <w:tc>
          <w:tcPr>
            <w:tcW w:w="97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45113695"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w:t>
            </w:r>
          </w:p>
          <w:p w14:paraId="4067D196"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69E05110"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w:t>
            </w:r>
          </w:p>
          <w:p w14:paraId="5D92D064"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645176A6"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w:t>
            </w:r>
          </w:p>
          <w:p w14:paraId="2441B4D8"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07C38396"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w:t>
            </w:r>
          </w:p>
          <w:p w14:paraId="729BBF0C"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12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5BFD19FB"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Four Year</w:t>
            </w:r>
          </w:p>
          <w:p w14:paraId="17DA9E4F"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Investment</w:t>
            </w:r>
          </w:p>
          <w:p w14:paraId="38F7F44C"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p w14:paraId="1B63D8E9" w14:textId="77777777" w:rsidR="002242F3" w:rsidRPr="005E3B44" w:rsidRDefault="002242F3" w:rsidP="005E3B44">
            <w:pPr>
              <w:pStyle w:val="Normal5"/>
              <w:jc w:val="right"/>
              <w:rPr>
                <w:rFonts w:asciiTheme="minorHAnsi" w:eastAsia="Calibri" w:hAnsiTheme="minorHAnsi" w:cstheme="minorHAnsi"/>
                <w:b/>
                <w:color w:val="000000"/>
                <w:sz w:val="18"/>
              </w:rPr>
            </w:pPr>
          </w:p>
        </w:tc>
        <w:tc>
          <w:tcPr>
            <w:tcW w:w="112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60851931"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Physical</w:t>
            </w:r>
          </w:p>
          <w:p w14:paraId="6D244FA1"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Completion</w:t>
            </w:r>
          </w:p>
          <w:p w14:paraId="250FC3BC"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Date</w:t>
            </w:r>
          </w:p>
        </w:tc>
      </w:tr>
      <w:tr w:rsidR="002242F3" w:rsidRPr="005E3B44" w14:paraId="2A4A485E"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single" w:sz="12" w:space="0" w:color="auto"/>
              <w:left w:val="nil"/>
              <w:bottom w:val="nil"/>
              <w:right w:val="nil"/>
              <w:tl2br w:val="nil"/>
              <w:tr2bl w:val="nil"/>
            </w:tcBorders>
            <w:shd w:val="clear" w:color="auto" w:fill="auto"/>
            <w:tcMar>
              <w:left w:w="0" w:type="dxa"/>
              <w:right w:w="0" w:type="dxa"/>
            </w:tcMar>
          </w:tcPr>
          <w:p w14:paraId="440A14E0"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12" w:space="0" w:color="auto"/>
              <w:left w:val="nil"/>
              <w:bottom w:val="nil"/>
              <w:right w:val="nil"/>
              <w:tl2br w:val="nil"/>
              <w:tr2bl w:val="nil"/>
            </w:tcBorders>
            <w:shd w:val="clear" w:color="auto" w:fill="auto"/>
            <w:noWrap/>
            <w:tcMar>
              <w:left w:w="0" w:type="dxa"/>
              <w:right w:w="0" w:type="dxa"/>
            </w:tcMar>
          </w:tcPr>
          <w:p w14:paraId="51CFBEA6"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12" w:space="0" w:color="auto"/>
              <w:left w:val="nil"/>
              <w:bottom w:val="nil"/>
              <w:right w:val="nil"/>
              <w:tl2br w:val="nil"/>
              <w:tr2bl w:val="nil"/>
            </w:tcBorders>
            <w:shd w:val="clear" w:color="auto" w:fill="auto"/>
            <w:noWrap/>
            <w:tcMar>
              <w:left w:w="0" w:type="dxa"/>
              <w:right w:w="0" w:type="dxa"/>
            </w:tcMar>
          </w:tcPr>
          <w:p w14:paraId="29D1C803"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12" w:space="0" w:color="auto"/>
              <w:left w:val="nil"/>
              <w:bottom w:val="nil"/>
              <w:right w:val="nil"/>
              <w:tl2br w:val="nil"/>
              <w:tr2bl w:val="nil"/>
            </w:tcBorders>
            <w:shd w:val="clear" w:color="auto" w:fill="auto"/>
            <w:noWrap/>
            <w:tcMar>
              <w:left w:w="0" w:type="dxa"/>
              <w:right w:w="0" w:type="dxa"/>
            </w:tcMar>
          </w:tcPr>
          <w:p w14:paraId="6FF2EF88"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12" w:space="0" w:color="auto"/>
              <w:left w:val="nil"/>
              <w:bottom w:val="nil"/>
              <w:right w:val="nil"/>
              <w:tl2br w:val="nil"/>
              <w:tr2bl w:val="nil"/>
            </w:tcBorders>
            <w:shd w:val="clear" w:color="auto" w:fill="auto"/>
            <w:noWrap/>
            <w:tcMar>
              <w:left w:w="0" w:type="dxa"/>
              <w:right w:w="0" w:type="dxa"/>
            </w:tcMar>
          </w:tcPr>
          <w:p w14:paraId="55DC2971"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single" w:sz="12" w:space="0" w:color="auto"/>
              <w:left w:val="nil"/>
              <w:bottom w:val="nil"/>
              <w:right w:val="nil"/>
              <w:tl2br w:val="nil"/>
              <w:tr2bl w:val="nil"/>
            </w:tcBorders>
            <w:shd w:val="clear" w:color="auto" w:fill="auto"/>
            <w:noWrap/>
            <w:tcMar>
              <w:left w:w="0" w:type="dxa"/>
              <w:right w:w="0" w:type="dxa"/>
            </w:tcMar>
          </w:tcPr>
          <w:p w14:paraId="7A2EC9C3"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single" w:sz="12" w:space="0" w:color="auto"/>
              <w:left w:val="nil"/>
              <w:bottom w:val="nil"/>
              <w:right w:val="nil"/>
              <w:tl2br w:val="nil"/>
              <w:tr2bl w:val="nil"/>
            </w:tcBorders>
            <w:shd w:val="clear" w:color="auto" w:fill="auto"/>
            <w:noWrap/>
            <w:tcMar>
              <w:left w:w="0" w:type="dxa"/>
              <w:right w:w="0" w:type="dxa"/>
            </w:tcMar>
          </w:tcPr>
          <w:p w14:paraId="6FFF2563" w14:textId="77777777" w:rsidR="002242F3" w:rsidRPr="005E3B44" w:rsidRDefault="002242F3" w:rsidP="005E3B44">
            <w:pPr>
              <w:pStyle w:val="Normal5"/>
              <w:rPr>
                <w:rFonts w:asciiTheme="minorHAnsi" w:eastAsia="Calibri" w:hAnsiTheme="minorHAnsi" w:cstheme="minorHAnsi"/>
                <w:color w:val="000000"/>
                <w:sz w:val="18"/>
              </w:rPr>
            </w:pPr>
          </w:p>
        </w:tc>
      </w:tr>
      <w:tr w:rsidR="002242F3" w:rsidRPr="005E3B44" w14:paraId="4C0D7B05"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tcPr>
          <w:p w14:paraId="7EC70C4C" w14:textId="77777777" w:rsidR="002242F3" w:rsidRPr="005E3B44" w:rsidRDefault="002242F3" w:rsidP="005E3B44">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CAPITAL WORKS PROGRAM</w:t>
            </w:r>
          </w:p>
        </w:tc>
        <w:tc>
          <w:tcPr>
            <w:tcW w:w="975" w:type="dxa"/>
            <w:tcBorders>
              <w:top w:val="nil"/>
              <w:left w:val="nil"/>
              <w:bottom w:val="nil"/>
              <w:right w:val="nil"/>
              <w:tl2br w:val="nil"/>
              <w:tr2bl w:val="nil"/>
            </w:tcBorders>
            <w:shd w:val="clear" w:color="auto" w:fill="auto"/>
            <w:noWrap/>
            <w:tcMar>
              <w:left w:w="0" w:type="dxa"/>
              <w:right w:w="0" w:type="dxa"/>
            </w:tcMar>
          </w:tcPr>
          <w:p w14:paraId="352FAAC2"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0B6A4BB"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79DA3BA6"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42F4578"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488DCD7"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18D128C" w14:textId="77777777" w:rsidR="002242F3" w:rsidRPr="005E3B44" w:rsidRDefault="002242F3" w:rsidP="005E3B44">
            <w:pPr>
              <w:pStyle w:val="Normal5"/>
              <w:rPr>
                <w:rFonts w:asciiTheme="minorHAnsi" w:eastAsia="Calibri" w:hAnsiTheme="minorHAnsi" w:cstheme="minorHAnsi"/>
                <w:color w:val="000000"/>
                <w:sz w:val="18"/>
              </w:rPr>
            </w:pPr>
          </w:p>
        </w:tc>
      </w:tr>
      <w:tr w:rsidR="002242F3" w:rsidRPr="005E3B44" w14:paraId="264153F0"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tcPr>
          <w:p w14:paraId="3C3559E4" w14:textId="77777777" w:rsidR="002242F3" w:rsidRPr="005E3B44" w:rsidRDefault="002242F3" w:rsidP="005E3B44">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New Work</w:t>
            </w:r>
          </w:p>
        </w:tc>
        <w:tc>
          <w:tcPr>
            <w:tcW w:w="975" w:type="dxa"/>
            <w:tcBorders>
              <w:top w:val="nil"/>
              <w:left w:val="nil"/>
              <w:bottom w:val="nil"/>
              <w:right w:val="nil"/>
              <w:tl2br w:val="nil"/>
              <w:tr2bl w:val="nil"/>
            </w:tcBorders>
            <w:shd w:val="clear" w:color="auto" w:fill="auto"/>
            <w:noWrap/>
            <w:tcMar>
              <w:left w:w="0" w:type="dxa"/>
              <w:right w:w="0" w:type="dxa"/>
            </w:tcMar>
          </w:tcPr>
          <w:p w14:paraId="65C648F5"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2E9C3A3"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D02F584"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591B6B9"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521BCC05"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F6EBC7A" w14:textId="77777777" w:rsidR="002242F3" w:rsidRPr="005E3B44" w:rsidRDefault="002242F3" w:rsidP="005E3B44">
            <w:pPr>
              <w:pStyle w:val="Normal5"/>
              <w:rPr>
                <w:rFonts w:asciiTheme="minorHAnsi" w:eastAsia="Calibri" w:hAnsiTheme="minorHAnsi" w:cstheme="minorHAnsi"/>
                <w:color w:val="000000"/>
                <w:sz w:val="18"/>
              </w:rPr>
            </w:pPr>
          </w:p>
        </w:tc>
      </w:tr>
      <w:tr w:rsidR="002242F3" w:rsidRPr="005E3B44" w14:paraId="266276F9"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333DD9D5"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Law Courts upgrades</w:t>
            </w:r>
          </w:p>
        </w:tc>
        <w:tc>
          <w:tcPr>
            <w:tcW w:w="975" w:type="dxa"/>
            <w:tcBorders>
              <w:top w:val="nil"/>
              <w:left w:val="nil"/>
              <w:bottom w:val="nil"/>
              <w:right w:val="nil"/>
              <w:tl2br w:val="nil"/>
              <w:tr2bl w:val="nil"/>
            </w:tcBorders>
            <w:shd w:val="clear" w:color="auto" w:fill="auto"/>
            <w:noWrap/>
            <w:tcMar>
              <w:left w:w="101" w:type="dxa"/>
              <w:right w:w="161" w:type="dxa"/>
            </w:tcMar>
          </w:tcPr>
          <w:p w14:paraId="66DA8A5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975" w:type="dxa"/>
            <w:tcBorders>
              <w:top w:val="nil"/>
              <w:left w:val="nil"/>
              <w:bottom w:val="nil"/>
              <w:right w:val="nil"/>
              <w:tl2br w:val="nil"/>
              <w:tr2bl w:val="nil"/>
            </w:tcBorders>
            <w:shd w:val="clear" w:color="auto" w:fill="auto"/>
            <w:noWrap/>
            <w:tcMar>
              <w:left w:w="101" w:type="dxa"/>
              <w:right w:w="161" w:type="dxa"/>
            </w:tcMar>
          </w:tcPr>
          <w:p w14:paraId="68F9C36E"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0CB4A0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1E393B6"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2A6643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w:t>
            </w:r>
          </w:p>
        </w:tc>
        <w:tc>
          <w:tcPr>
            <w:tcW w:w="1125" w:type="dxa"/>
            <w:tcBorders>
              <w:top w:val="nil"/>
              <w:left w:val="nil"/>
              <w:bottom w:val="nil"/>
              <w:right w:val="nil"/>
              <w:tl2br w:val="nil"/>
              <w:tr2bl w:val="nil"/>
            </w:tcBorders>
            <w:shd w:val="clear" w:color="auto" w:fill="auto"/>
            <w:noWrap/>
            <w:tcMar>
              <w:left w:w="101" w:type="dxa"/>
              <w:right w:w="101" w:type="dxa"/>
            </w:tcMar>
          </w:tcPr>
          <w:p w14:paraId="345E72AF"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Mar-22</w:t>
            </w:r>
          </w:p>
        </w:tc>
      </w:tr>
      <w:tr w:rsidR="002242F3" w:rsidRPr="005E3B44" w14:paraId="6C71E179"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2A7AE84E" w14:textId="77777777" w:rsidR="002242F3" w:rsidRPr="005E3B44" w:rsidRDefault="002242F3" w:rsidP="005E3B44">
            <w:pPr>
              <w:pStyle w:val="Normal5"/>
              <w:ind w:left="181" w:hanging="181"/>
              <w:rPr>
                <w:rFonts w:asciiTheme="minorHAnsi" w:eastAsia="Calibri" w:hAnsiTheme="minorHAnsi" w:cstheme="minorHAnsi"/>
                <w:color w:val="000000"/>
                <w:sz w:val="18"/>
              </w:rPr>
            </w:pPr>
            <w:proofErr w:type="spellStart"/>
            <w:r w:rsidRPr="005E3B44">
              <w:rPr>
                <w:rFonts w:asciiTheme="minorHAnsi" w:eastAsia="Calibri" w:hAnsiTheme="minorHAnsi" w:cstheme="minorHAnsi"/>
                <w:color w:val="000000"/>
                <w:sz w:val="18"/>
              </w:rPr>
              <w:t>Galambany</w:t>
            </w:r>
            <w:proofErr w:type="spellEnd"/>
            <w:r w:rsidRPr="005E3B44">
              <w:rPr>
                <w:rFonts w:asciiTheme="minorHAnsi" w:eastAsia="Calibri" w:hAnsiTheme="minorHAnsi" w:cstheme="minorHAnsi"/>
                <w:color w:val="000000"/>
                <w:sz w:val="18"/>
              </w:rPr>
              <w:t xml:space="preserve"> Circle Sentencing Court upgrades</w:t>
            </w:r>
          </w:p>
        </w:tc>
        <w:tc>
          <w:tcPr>
            <w:tcW w:w="975" w:type="dxa"/>
            <w:tcBorders>
              <w:top w:val="nil"/>
              <w:left w:val="nil"/>
              <w:bottom w:val="nil"/>
              <w:right w:val="nil"/>
              <w:tl2br w:val="nil"/>
              <w:tr2bl w:val="nil"/>
            </w:tcBorders>
            <w:shd w:val="clear" w:color="auto" w:fill="auto"/>
            <w:noWrap/>
            <w:tcMar>
              <w:left w:w="101" w:type="dxa"/>
              <w:right w:w="161" w:type="dxa"/>
            </w:tcMar>
          </w:tcPr>
          <w:p w14:paraId="482EB48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714</w:t>
            </w:r>
          </w:p>
        </w:tc>
        <w:tc>
          <w:tcPr>
            <w:tcW w:w="975" w:type="dxa"/>
            <w:tcBorders>
              <w:top w:val="nil"/>
              <w:left w:val="nil"/>
              <w:bottom w:val="nil"/>
              <w:right w:val="nil"/>
              <w:tl2br w:val="nil"/>
              <w:tr2bl w:val="nil"/>
            </w:tcBorders>
            <w:shd w:val="clear" w:color="auto" w:fill="auto"/>
            <w:noWrap/>
            <w:tcMar>
              <w:left w:w="101" w:type="dxa"/>
              <w:right w:w="161" w:type="dxa"/>
            </w:tcMar>
          </w:tcPr>
          <w:p w14:paraId="42CF8D3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F69FE8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0556E30"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870DA5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714</w:t>
            </w:r>
          </w:p>
        </w:tc>
        <w:tc>
          <w:tcPr>
            <w:tcW w:w="1125" w:type="dxa"/>
            <w:tcBorders>
              <w:top w:val="nil"/>
              <w:left w:val="nil"/>
              <w:bottom w:val="nil"/>
              <w:right w:val="nil"/>
              <w:tl2br w:val="nil"/>
              <w:tr2bl w:val="nil"/>
            </w:tcBorders>
            <w:shd w:val="clear" w:color="auto" w:fill="auto"/>
            <w:noWrap/>
            <w:tcMar>
              <w:left w:w="101" w:type="dxa"/>
              <w:right w:w="101" w:type="dxa"/>
            </w:tcMar>
          </w:tcPr>
          <w:p w14:paraId="5C7415B6"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2242F3" w:rsidRPr="005E3B44" w14:paraId="2D5ABAF8"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67E3D08C"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Improving infrastructure and wellbeing at the Alexander Maconochie Centre</w:t>
            </w:r>
          </w:p>
        </w:tc>
        <w:tc>
          <w:tcPr>
            <w:tcW w:w="975" w:type="dxa"/>
            <w:tcBorders>
              <w:top w:val="nil"/>
              <w:left w:val="nil"/>
              <w:bottom w:val="nil"/>
              <w:right w:val="nil"/>
              <w:tl2br w:val="nil"/>
              <w:tr2bl w:val="nil"/>
            </w:tcBorders>
            <w:shd w:val="clear" w:color="auto" w:fill="auto"/>
            <w:noWrap/>
            <w:tcMar>
              <w:left w:w="101" w:type="dxa"/>
              <w:right w:w="161" w:type="dxa"/>
            </w:tcMar>
          </w:tcPr>
          <w:p w14:paraId="29C472C9"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1,265</w:t>
            </w:r>
          </w:p>
        </w:tc>
        <w:tc>
          <w:tcPr>
            <w:tcW w:w="975" w:type="dxa"/>
            <w:tcBorders>
              <w:top w:val="nil"/>
              <w:left w:val="nil"/>
              <w:bottom w:val="nil"/>
              <w:right w:val="nil"/>
              <w:tl2br w:val="nil"/>
              <w:tr2bl w:val="nil"/>
            </w:tcBorders>
            <w:shd w:val="clear" w:color="auto" w:fill="auto"/>
            <w:noWrap/>
            <w:tcMar>
              <w:left w:w="101" w:type="dxa"/>
              <w:right w:w="161" w:type="dxa"/>
            </w:tcMar>
          </w:tcPr>
          <w:p w14:paraId="70746062"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4,029</w:t>
            </w:r>
          </w:p>
        </w:tc>
        <w:tc>
          <w:tcPr>
            <w:tcW w:w="975" w:type="dxa"/>
            <w:tcBorders>
              <w:top w:val="nil"/>
              <w:left w:val="nil"/>
              <w:bottom w:val="nil"/>
              <w:right w:val="nil"/>
              <w:tl2br w:val="nil"/>
              <w:tr2bl w:val="nil"/>
            </w:tcBorders>
            <w:shd w:val="clear" w:color="auto" w:fill="auto"/>
            <w:noWrap/>
            <w:tcMar>
              <w:left w:w="101" w:type="dxa"/>
              <w:right w:w="161" w:type="dxa"/>
            </w:tcMar>
          </w:tcPr>
          <w:p w14:paraId="3BA287DD"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542F14A"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542F9313"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5,294</w:t>
            </w:r>
          </w:p>
        </w:tc>
        <w:tc>
          <w:tcPr>
            <w:tcW w:w="1125" w:type="dxa"/>
            <w:tcBorders>
              <w:top w:val="nil"/>
              <w:left w:val="nil"/>
              <w:bottom w:val="nil"/>
              <w:right w:val="nil"/>
              <w:tl2br w:val="nil"/>
              <w:tr2bl w:val="nil"/>
            </w:tcBorders>
            <w:shd w:val="clear" w:color="auto" w:fill="auto"/>
            <w:noWrap/>
            <w:tcMar>
              <w:left w:w="101" w:type="dxa"/>
              <w:right w:w="101" w:type="dxa"/>
            </w:tcMar>
          </w:tcPr>
          <w:p w14:paraId="402A2F05"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2242F3" w:rsidRPr="005E3B44" w14:paraId="01768D78"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0CC38201"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Improving the probate system in the ACT</w:t>
            </w:r>
          </w:p>
        </w:tc>
        <w:tc>
          <w:tcPr>
            <w:tcW w:w="975" w:type="dxa"/>
            <w:tcBorders>
              <w:top w:val="nil"/>
              <w:left w:val="nil"/>
              <w:bottom w:val="nil"/>
              <w:right w:val="nil"/>
              <w:tl2br w:val="nil"/>
              <w:tr2bl w:val="nil"/>
            </w:tcBorders>
            <w:shd w:val="clear" w:color="auto" w:fill="auto"/>
            <w:noWrap/>
            <w:tcMar>
              <w:left w:w="101" w:type="dxa"/>
              <w:right w:w="161" w:type="dxa"/>
            </w:tcMar>
          </w:tcPr>
          <w:p w14:paraId="435F25E6"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72</w:t>
            </w:r>
          </w:p>
        </w:tc>
        <w:tc>
          <w:tcPr>
            <w:tcW w:w="975" w:type="dxa"/>
            <w:tcBorders>
              <w:top w:val="nil"/>
              <w:left w:val="nil"/>
              <w:bottom w:val="nil"/>
              <w:right w:val="nil"/>
              <w:tl2br w:val="nil"/>
              <w:tr2bl w:val="nil"/>
            </w:tcBorders>
            <w:shd w:val="clear" w:color="auto" w:fill="auto"/>
            <w:noWrap/>
            <w:tcMar>
              <w:left w:w="101" w:type="dxa"/>
              <w:right w:w="161" w:type="dxa"/>
            </w:tcMar>
          </w:tcPr>
          <w:p w14:paraId="343DB19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DD38B5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79517AA"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DB9C228"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72</w:t>
            </w:r>
          </w:p>
        </w:tc>
        <w:tc>
          <w:tcPr>
            <w:tcW w:w="1125" w:type="dxa"/>
            <w:tcBorders>
              <w:top w:val="nil"/>
              <w:left w:val="nil"/>
              <w:bottom w:val="nil"/>
              <w:right w:val="nil"/>
              <w:tl2br w:val="nil"/>
              <w:tr2bl w:val="nil"/>
            </w:tcBorders>
            <w:shd w:val="clear" w:color="auto" w:fill="auto"/>
            <w:noWrap/>
            <w:tcMar>
              <w:left w:w="101" w:type="dxa"/>
              <w:right w:w="101" w:type="dxa"/>
            </w:tcMar>
          </w:tcPr>
          <w:p w14:paraId="4A5A3380"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Nov-21</w:t>
            </w:r>
          </w:p>
        </w:tc>
      </w:tr>
      <w:tr w:rsidR="002242F3" w:rsidRPr="005E3B44" w14:paraId="24D6DDE1"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3C1DF183"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Modernising the ACT Ambulance Service</w:t>
            </w:r>
          </w:p>
        </w:tc>
        <w:tc>
          <w:tcPr>
            <w:tcW w:w="975" w:type="dxa"/>
            <w:tcBorders>
              <w:top w:val="nil"/>
              <w:left w:val="nil"/>
              <w:bottom w:val="nil"/>
              <w:right w:val="nil"/>
              <w:tl2br w:val="nil"/>
              <w:tr2bl w:val="nil"/>
            </w:tcBorders>
            <w:shd w:val="clear" w:color="auto" w:fill="auto"/>
            <w:noWrap/>
            <w:tcMar>
              <w:left w:w="101" w:type="dxa"/>
              <w:right w:w="161" w:type="dxa"/>
            </w:tcMar>
          </w:tcPr>
          <w:p w14:paraId="63C6FBEA"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390</w:t>
            </w:r>
          </w:p>
        </w:tc>
        <w:tc>
          <w:tcPr>
            <w:tcW w:w="975" w:type="dxa"/>
            <w:tcBorders>
              <w:top w:val="nil"/>
              <w:left w:val="nil"/>
              <w:bottom w:val="nil"/>
              <w:right w:val="nil"/>
              <w:tl2br w:val="nil"/>
              <w:tr2bl w:val="nil"/>
            </w:tcBorders>
            <w:shd w:val="clear" w:color="auto" w:fill="auto"/>
            <w:noWrap/>
            <w:tcMar>
              <w:left w:w="101" w:type="dxa"/>
              <w:right w:w="161" w:type="dxa"/>
            </w:tcMar>
          </w:tcPr>
          <w:p w14:paraId="63BB36B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250</w:t>
            </w:r>
          </w:p>
        </w:tc>
        <w:tc>
          <w:tcPr>
            <w:tcW w:w="975" w:type="dxa"/>
            <w:tcBorders>
              <w:top w:val="nil"/>
              <w:left w:val="nil"/>
              <w:bottom w:val="nil"/>
              <w:right w:val="nil"/>
              <w:tl2br w:val="nil"/>
              <w:tr2bl w:val="nil"/>
            </w:tcBorders>
            <w:shd w:val="clear" w:color="auto" w:fill="auto"/>
            <w:noWrap/>
            <w:tcMar>
              <w:left w:w="101" w:type="dxa"/>
              <w:right w:w="161" w:type="dxa"/>
            </w:tcMar>
          </w:tcPr>
          <w:p w14:paraId="202E19B7"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39D4D29"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64A5E2E7"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640</w:t>
            </w:r>
          </w:p>
        </w:tc>
        <w:tc>
          <w:tcPr>
            <w:tcW w:w="1125" w:type="dxa"/>
            <w:tcBorders>
              <w:top w:val="nil"/>
              <w:left w:val="nil"/>
              <w:bottom w:val="nil"/>
              <w:right w:val="nil"/>
              <w:tl2br w:val="nil"/>
              <w:tr2bl w:val="nil"/>
            </w:tcBorders>
            <w:shd w:val="clear" w:color="auto" w:fill="auto"/>
            <w:noWrap/>
            <w:tcMar>
              <w:left w:w="101" w:type="dxa"/>
              <w:right w:w="101" w:type="dxa"/>
            </w:tcMar>
          </w:tcPr>
          <w:p w14:paraId="4AFE9CEC"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2242F3" w:rsidRPr="005E3B44" w14:paraId="1C070372"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620AD9E7"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the ACT Civil and Administrative Tribunal</w:t>
            </w:r>
          </w:p>
        </w:tc>
        <w:tc>
          <w:tcPr>
            <w:tcW w:w="975" w:type="dxa"/>
            <w:tcBorders>
              <w:top w:val="nil"/>
              <w:left w:val="nil"/>
              <w:bottom w:val="nil"/>
              <w:right w:val="nil"/>
              <w:tl2br w:val="nil"/>
              <w:tr2bl w:val="nil"/>
            </w:tcBorders>
            <w:shd w:val="clear" w:color="auto" w:fill="auto"/>
            <w:noWrap/>
            <w:tcMar>
              <w:left w:w="101" w:type="dxa"/>
              <w:right w:w="161" w:type="dxa"/>
            </w:tcMar>
          </w:tcPr>
          <w:p w14:paraId="5556529A"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6,237</w:t>
            </w:r>
          </w:p>
        </w:tc>
        <w:tc>
          <w:tcPr>
            <w:tcW w:w="975" w:type="dxa"/>
            <w:tcBorders>
              <w:top w:val="nil"/>
              <w:left w:val="nil"/>
              <w:bottom w:val="nil"/>
              <w:right w:val="nil"/>
              <w:tl2br w:val="nil"/>
              <w:tr2bl w:val="nil"/>
            </w:tcBorders>
            <w:shd w:val="clear" w:color="auto" w:fill="auto"/>
            <w:noWrap/>
            <w:tcMar>
              <w:left w:w="101" w:type="dxa"/>
              <w:right w:w="161" w:type="dxa"/>
            </w:tcMar>
          </w:tcPr>
          <w:p w14:paraId="6BABB60F"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5744EAB"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9FABB48"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2EF85B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6,237</w:t>
            </w:r>
          </w:p>
        </w:tc>
        <w:tc>
          <w:tcPr>
            <w:tcW w:w="1125" w:type="dxa"/>
            <w:tcBorders>
              <w:top w:val="nil"/>
              <w:left w:val="nil"/>
              <w:bottom w:val="nil"/>
              <w:right w:val="nil"/>
              <w:tl2br w:val="nil"/>
              <w:tr2bl w:val="nil"/>
            </w:tcBorders>
            <w:shd w:val="clear" w:color="auto" w:fill="auto"/>
            <w:noWrap/>
            <w:tcMar>
              <w:left w:w="101" w:type="dxa"/>
              <w:right w:w="101" w:type="dxa"/>
            </w:tcMar>
          </w:tcPr>
          <w:p w14:paraId="29EA4933"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2242F3" w:rsidRPr="005E3B44" w14:paraId="1F561857"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541BDEB1"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 -prepared emergency services - Improving safety at police, emergency services and corrections facilities </w:t>
            </w:r>
          </w:p>
        </w:tc>
        <w:tc>
          <w:tcPr>
            <w:tcW w:w="975" w:type="dxa"/>
            <w:tcBorders>
              <w:top w:val="nil"/>
              <w:left w:val="nil"/>
              <w:bottom w:val="nil"/>
              <w:right w:val="nil"/>
              <w:tl2br w:val="nil"/>
              <w:tr2bl w:val="nil"/>
            </w:tcBorders>
            <w:shd w:val="clear" w:color="auto" w:fill="auto"/>
            <w:noWrap/>
            <w:tcMar>
              <w:left w:w="101" w:type="dxa"/>
              <w:right w:w="161" w:type="dxa"/>
            </w:tcMar>
          </w:tcPr>
          <w:p w14:paraId="4C3B0192"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1,358</w:t>
            </w:r>
          </w:p>
        </w:tc>
        <w:tc>
          <w:tcPr>
            <w:tcW w:w="975" w:type="dxa"/>
            <w:tcBorders>
              <w:top w:val="nil"/>
              <w:left w:val="nil"/>
              <w:bottom w:val="nil"/>
              <w:right w:val="nil"/>
              <w:tl2br w:val="nil"/>
              <w:tr2bl w:val="nil"/>
            </w:tcBorders>
            <w:shd w:val="clear" w:color="auto" w:fill="auto"/>
            <w:noWrap/>
            <w:tcMar>
              <w:left w:w="101" w:type="dxa"/>
              <w:right w:w="161" w:type="dxa"/>
            </w:tcMar>
          </w:tcPr>
          <w:p w14:paraId="0EB80CA4"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300</w:t>
            </w:r>
          </w:p>
        </w:tc>
        <w:tc>
          <w:tcPr>
            <w:tcW w:w="975" w:type="dxa"/>
            <w:tcBorders>
              <w:top w:val="nil"/>
              <w:left w:val="nil"/>
              <w:bottom w:val="nil"/>
              <w:right w:val="nil"/>
              <w:tl2br w:val="nil"/>
              <w:tr2bl w:val="nil"/>
            </w:tcBorders>
            <w:shd w:val="clear" w:color="auto" w:fill="auto"/>
            <w:noWrap/>
            <w:tcMar>
              <w:left w:w="101" w:type="dxa"/>
              <w:right w:w="161" w:type="dxa"/>
            </w:tcMar>
          </w:tcPr>
          <w:p w14:paraId="45C9B7CF"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69D5DEF"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E297C9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1,658</w:t>
            </w:r>
          </w:p>
        </w:tc>
        <w:tc>
          <w:tcPr>
            <w:tcW w:w="1125" w:type="dxa"/>
            <w:tcBorders>
              <w:top w:val="nil"/>
              <w:left w:val="nil"/>
              <w:bottom w:val="nil"/>
              <w:right w:val="nil"/>
              <w:tl2br w:val="nil"/>
              <w:tr2bl w:val="nil"/>
            </w:tcBorders>
            <w:shd w:val="clear" w:color="auto" w:fill="auto"/>
            <w:noWrap/>
            <w:tcMar>
              <w:left w:w="101" w:type="dxa"/>
              <w:right w:w="101" w:type="dxa"/>
            </w:tcMar>
          </w:tcPr>
          <w:p w14:paraId="589D230A"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2242F3" w:rsidRPr="005E3B44" w14:paraId="203C794C"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4F0960D"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Well-prepared emergency services - Gungahlin Joint Emergency Service Centre </w:t>
            </w:r>
          </w:p>
        </w:tc>
        <w:tc>
          <w:tcPr>
            <w:tcW w:w="975" w:type="dxa"/>
            <w:tcBorders>
              <w:top w:val="nil"/>
              <w:left w:val="nil"/>
              <w:bottom w:val="nil"/>
              <w:right w:val="nil"/>
              <w:tl2br w:val="nil"/>
              <w:tr2bl w:val="nil"/>
            </w:tcBorders>
            <w:shd w:val="clear" w:color="auto" w:fill="auto"/>
            <w:noWrap/>
            <w:tcMar>
              <w:left w:w="101" w:type="dxa"/>
              <w:right w:w="161" w:type="dxa"/>
            </w:tcMar>
          </w:tcPr>
          <w:p w14:paraId="5CB93F6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519</w:t>
            </w:r>
          </w:p>
        </w:tc>
        <w:tc>
          <w:tcPr>
            <w:tcW w:w="975" w:type="dxa"/>
            <w:tcBorders>
              <w:top w:val="nil"/>
              <w:left w:val="nil"/>
              <w:bottom w:val="nil"/>
              <w:right w:val="nil"/>
              <w:tl2br w:val="nil"/>
              <w:tr2bl w:val="nil"/>
            </w:tcBorders>
            <w:shd w:val="clear" w:color="auto" w:fill="auto"/>
            <w:noWrap/>
            <w:tcMar>
              <w:left w:w="101" w:type="dxa"/>
              <w:right w:w="161" w:type="dxa"/>
            </w:tcMar>
          </w:tcPr>
          <w:p w14:paraId="49C1FB4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6,189</w:t>
            </w:r>
          </w:p>
        </w:tc>
        <w:tc>
          <w:tcPr>
            <w:tcW w:w="975" w:type="dxa"/>
            <w:tcBorders>
              <w:top w:val="nil"/>
              <w:left w:val="nil"/>
              <w:bottom w:val="nil"/>
              <w:right w:val="nil"/>
              <w:tl2br w:val="nil"/>
              <w:tr2bl w:val="nil"/>
            </w:tcBorders>
            <w:shd w:val="clear" w:color="auto" w:fill="auto"/>
            <w:noWrap/>
            <w:tcMar>
              <w:left w:w="101" w:type="dxa"/>
              <w:right w:w="161" w:type="dxa"/>
            </w:tcMar>
          </w:tcPr>
          <w:p w14:paraId="31D0C63B"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1,469</w:t>
            </w:r>
          </w:p>
        </w:tc>
        <w:tc>
          <w:tcPr>
            <w:tcW w:w="975" w:type="dxa"/>
            <w:tcBorders>
              <w:top w:val="nil"/>
              <w:left w:val="nil"/>
              <w:bottom w:val="nil"/>
              <w:right w:val="nil"/>
              <w:tl2br w:val="nil"/>
              <w:tr2bl w:val="nil"/>
            </w:tcBorders>
            <w:shd w:val="clear" w:color="auto" w:fill="auto"/>
            <w:noWrap/>
            <w:tcMar>
              <w:left w:w="101" w:type="dxa"/>
              <w:right w:w="161" w:type="dxa"/>
            </w:tcMar>
          </w:tcPr>
          <w:p w14:paraId="31518234"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125" w:type="dxa"/>
            <w:tcBorders>
              <w:top w:val="nil"/>
              <w:left w:val="nil"/>
              <w:bottom w:val="nil"/>
              <w:right w:val="nil"/>
              <w:tl2br w:val="nil"/>
              <w:tr2bl w:val="nil"/>
            </w:tcBorders>
            <w:shd w:val="clear" w:color="auto" w:fill="auto"/>
            <w:noWrap/>
            <w:tcMar>
              <w:left w:w="101" w:type="dxa"/>
              <w:right w:w="161" w:type="dxa"/>
            </w:tcMar>
          </w:tcPr>
          <w:p w14:paraId="1EFCC448"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8,227</w:t>
            </w:r>
          </w:p>
        </w:tc>
        <w:tc>
          <w:tcPr>
            <w:tcW w:w="1125" w:type="dxa"/>
            <w:tcBorders>
              <w:top w:val="nil"/>
              <w:left w:val="nil"/>
              <w:bottom w:val="nil"/>
              <w:right w:val="nil"/>
              <w:tl2br w:val="nil"/>
              <w:tr2bl w:val="nil"/>
            </w:tcBorders>
            <w:shd w:val="clear" w:color="auto" w:fill="auto"/>
            <w:noWrap/>
            <w:tcMar>
              <w:left w:w="101" w:type="dxa"/>
              <w:right w:w="101" w:type="dxa"/>
            </w:tcMar>
          </w:tcPr>
          <w:p w14:paraId="6202CB41"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Sep-24</w:t>
            </w:r>
          </w:p>
        </w:tc>
      </w:tr>
      <w:tr w:rsidR="002242F3" w:rsidRPr="005E3B44" w14:paraId="78006B5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B0615AD"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Well-prepared emergency services - Remediating hazardous materials around the former West Belconnen ACT Fire &amp; Rescue Station</w:t>
            </w:r>
          </w:p>
        </w:tc>
        <w:tc>
          <w:tcPr>
            <w:tcW w:w="975" w:type="dxa"/>
            <w:tcBorders>
              <w:top w:val="nil"/>
              <w:left w:val="nil"/>
              <w:bottom w:val="nil"/>
              <w:right w:val="nil"/>
              <w:tl2br w:val="nil"/>
              <w:tr2bl w:val="nil"/>
            </w:tcBorders>
            <w:shd w:val="clear" w:color="auto" w:fill="auto"/>
            <w:noWrap/>
            <w:tcMar>
              <w:left w:w="101" w:type="dxa"/>
              <w:right w:w="161" w:type="dxa"/>
            </w:tcMar>
          </w:tcPr>
          <w:p w14:paraId="437A691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975" w:type="dxa"/>
            <w:tcBorders>
              <w:top w:val="nil"/>
              <w:left w:val="nil"/>
              <w:bottom w:val="nil"/>
              <w:right w:val="nil"/>
              <w:tl2br w:val="nil"/>
              <w:tr2bl w:val="nil"/>
            </w:tcBorders>
            <w:shd w:val="clear" w:color="auto" w:fill="auto"/>
            <w:noWrap/>
            <w:tcMar>
              <w:left w:w="101" w:type="dxa"/>
              <w:right w:w="161" w:type="dxa"/>
            </w:tcMar>
          </w:tcPr>
          <w:p w14:paraId="4A1F3A27"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516</w:t>
            </w:r>
          </w:p>
        </w:tc>
        <w:tc>
          <w:tcPr>
            <w:tcW w:w="975" w:type="dxa"/>
            <w:tcBorders>
              <w:top w:val="nil"/>
              <w:left w:val="nil"/>
              <w:bottom w:val="nil"/>
              <w:right w:val="nil"/>
              <w:tl2br w:val="nil"/>
              <w:tr2bl w:val="nil"/>
            </w:tcBorders>
            <w:shd w:val="clear" w:color="auto" w:fill="auto"/>
            <w:noWrap/>
            <w:tcMar>
              <w:left w:w="101" w:type="dxa"/>
              <w:right w:w="161" w:type="dxa"/>
            </w:tcMar>
          </w:tcPr>
          <w:p w14:paraId="2B06C1F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D4CB5E4"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2EAC16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916</w:t>
            </w:r>
          </w:p>
        </w:tc>
        <w:tc>
          <w:tcPr>
            <w:tcW w:w="1125" w:type="dxa"/>
            <w:tcBorders>
              <w:top w:val="nil"/>
              <w:left w:val="nil"/>
              <w:bottom w:val="nil"/>
              <w:right w:val="nil"/>
              <w:tl2br w:val="nil"/>
              <w:tr2bl w:val="nil"/>
            </w:tcBorders>
            <w:shd w:val="clear" w:color="auto" w:fill="auto"/>
            <w:noWrap/>
            <w:tcMar>
              <w:left w:w="101" w:type="dxa"/>
              <w:right w:w="101" w:type="dxa"/>
            </w:tcMar>
          </w:tcPr>
          <w:p w14:paraId="430A2A2A"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2242F3" w:rsidRPr="005E3B44" w14:paraId="03BD9DC8"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323D462"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Well-prepared emergency services - </w:t>
            </w:r>
            <w:proofErr w:type="gramStart"/>
            <w:r w:rsidRPr="005E3B44">
              <w:rPr>
                <w:rFonts w:asciiTheme="minorHAnsi" w:eastAsia="Calibri" w:hAnsiTheme="minorHAnsi" w:cstheme="minorHAnsi"/>
                <w:color w:val="000000"/>
                <w:sz w:val="18"/>
              </w:rPr>
              <w:t>Strengthening  ICT</w:t>
            </w:r>
            <w:proofErr w:type="gramEnd"/>
            <w:r w:rsidRPr="005E3B44">
              <w:rPr>
                <w:rFonts w:asciiTheme="minorHAnsi" w:eastAsia="Calibri" w:hAnsiTheme="minorHAnsi" w:cstheme="minorHAnsi"/>
                <w:color w:val="000000"/>
                <w:sz w:val="18"/>
              </w:rPr>
              <w:t xml:space="preserve"> infrastructure</w:t>
            </w:r>
          </w:p>
        </w:tc>
        <w:tc>
          <w:tcPr>
            <w:tcW w:w="975" w:type="dxa"/>
            <w:tcBorders>
              <w:top w:val="nil"/>
              <w:left w:val="nil"/>
              <w:bottom w:val="nil"/>
              <w:right w:val="nil"/>
              <w:tl2br w:val="nil"/>
              <w:tr2bl w:val="nil"/>
            </w:tcBorders>
            <w:shd w:val="clear" w:color="auto" w:fill="auto"/>
            <w:noWrap/>
            <w:tcMar>
              <w:left w:w="101" w:type="dxa"/>
              <w:right w:w="161" w:type="dxa"/>
            </w:tcMar>
          </w:tcPr>
          <w:p w14:paraId="50978858"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1,169</w:t>
            </w:r>
          </w:p>
        </w:tc>
        <w:tc>
          <w:tcPr>
            <w:tcW w:w="975" w:type="dxa"/>
            <w:tcBorders>
              <w:top w:val="nil"/>
              <w:left w:val="nil"/>
              <w:bottom w:val="nil"/>
              <w:right w:val="nil"/>
              <w:tl2br w:val="nil"/>
              <w:tr2bl w:val="nil"/>
            </w:tcBorders>
            <w:shd w:val="clear" w:color="auto" w:fill="auto"/>
            <w:noWrap/>
            <w:tcMar>
              <w:left w:w="101" w:type="dxa"/>
              <w:right w:w="161" w:type="dxa"/>
            </w:tcMar>
          </w:tcPr>
          <w:p w14:paraId="60568284"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541</w:t>
            </w:r>
          </w:p>
        </w:tc>
        <w:tc>
          <w:tcPr>
            <w:tcW w:w="975" w:type="dxa"/>
            <w:tcBorders>
              <w:top w:val="nil"/>
              <w:left w:val="nil"/>
              <w:bottom w:val="nil"/>
              <w:right w:val="nil"/>
              <w:tl2br w:val="nil"/>
              <w:tr2bl w:val="nil"/>
            </w:tcBorders>
            <w:shd w:val="clear" w:color="auto" w:fill="auto"/>
            <w:noWrap/>
            <w:tcMar>
              <w:left w:w="101" w:type="dxa"/>
              <w:right w:w="161" w:type="dxa"/>
            </w:tcMar>
          </w:tcPr>
          <w:p w14:paraId="71D9E707"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F80F90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1DE09DD"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1,710</w:t>
            </w:r>
          </w:p>
        </w:tc>
        <w:tc>
          <w:tcPr>
            <w:tcW w:w="1125" w:type="dxa"/>
            <w:tcBorders>
              <w:top w:val="nil"/>
              <w:left w:val="nil"/>
              <w:bottom w:val="nil"/>
              <w:right w:val="nil"/>
              <w:tl2br w:val="nil"/>
              <w:tr2bl w:val="nil"/>
            </w:tcBorders>
            <w:shd w:val="clear" w:color="auto" w:fill="auto"/>
            <w:noWrap/>
            <w:tcMar>
              <w:left w:w="101" w:type="dxa"/>
              <w:right w:w="101" w:type="dxa"/>
            </w:tcMar>
          </w:tcPr>
          <w:p w14:paraId="5E2D1CFA"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2242F3" w:rsidRPr="005E3B44" w14:paraId="078A8581"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1C5AB7E8"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Well-prepared emergency services - Vehicle replacement program </w:t>
            </w:r>
          </w:p>
        </w:tc>
        <w:tc>
          <w:tcPr>
            <w:tcW w:w="975" w:type="dxa"/>
            <w:tcBorders>
              <w:top w:val="nil"/>
              <w:left w:val="nil"/>
              <w:bottom w:val="nil"/>
              <w:right w:val="nil"/>
              <w:tl2br w:val="nil"/>
              <w:tr2bl w:val="nil"/>
            </w:tcBorders>
            <w:shd w:val="clear" w:color="auto" w:fill="auto"/>
            <w:noWrap/>
            <w:tcMar>
              <w:left w:w="101" w:type="dxa"/>
              <w:right w:w="161" w:type="dxa"/>
            </w:tcMar>
          </w:tcPr>
          <w:p w14:paraId="5F4E063D"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152</w:t>
            </w:r>
          </w:p>
        </w:tc>
        <w:tc>
          <w:tcPr>
            <w:tcW w:w="975" w:type="dxa"/>
            <w:tcBorders>
              <w:top w:val="nil"/>
              <w:left w:val="nil"/>
              <w:bottom w:val="nil"/>
              <w:right w:val="nil"/>
              <w:tl2br w:val="nil"/>
              <w:tr2bl w:val="nil"/>
            </w:tcBorders>
            <w:shd w:val="clear" w:color="auto" w:fill="auto"/>
            <w:noWrap/>
            <w:tcMar>
              <w:left w:w="101" w:type="dxa"/>
              <w:right w:w="161" w:type="dxa"/>
            </w:tcMar>
          </w:tcPr>
          <w:p w14:paraId="4F522C86"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5,222</w:t>
            </w:r>
          </w:p>
        </w:tc>
        <w:tc>
          <w:tcPr>
            <w:tcW w:w="975" w:type="dxa"/>
            <w:tcBorders>
              <w:top w:val="nil"/>
              <w:left w:val="nil"/>
              <w:bottom w:val="nil"/>
              <w:right w:val="nil"/>
              <w:tl2br w:val="nil"/>
              <w:tr2bl w:val="nil"/>
            </w:tcBorders>
            <w:shd w:val="clear" w:color="auto" w:fill="auto"/>
            <w:noWrap/>
            <w:tcMar>
              <w:left w:w="101" w:type="dxa"/>
              <w:right w:w="161" w:type="dxa"/>
            </w:tcMar>
          </w:tcPr>
          <w:p w14:paraId="1E82ECC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4,377</w:t>
            </w:r>
          </w:p>
        </w:tc>
        <w:tc>
          <w:tcPr>
            <w:tcW w:w="975" w:type="dxa"/>
            <w:tcBorders>
              <w:top w:val="nil"/>
              <w:left w:val="nil"/>
              <w:bottom w:val="nil"/>
              <w:right w:val="nil"/>
              <w:tl2br w:val="nil"/>
              <w:tr2bl w:val="nil"/>
            </w:tcBorders>
            <w:shd w:val="clear" w:color="auto" w:fill="auto"/>
            <w:noWrap/>
            <w:tcMar>
              <w:left w:w="101" w:type="dxa"/>
              <w:right w:w="161" w:type="dxa"/>
            </w:tcMar>
          </w:tcPr>
          <w:p w14:paraId="1FC1FE1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3,029</w:t>
            </w:r>
          </w:p>
        </w:tc>
        <w:tc>
          <w:tcPr>
            <w:tcW w:w="1125" w:type="dxa"/>
            <w:tcBorders>
              <w:top w:val="nil"/>
              <w:left w:val="nil"/>
              <w:bottom w:val="nil"/>
              <w:right w:val="nil"/>
              <w:tl2br w:val="nil"/>
              <w:tr2bl w:val="nil"/>
            </w:tcBorders>
            <w:shd w:val="clear" w:color="auto" w:fill="auto"/>
            <w:noWrap/>
            <w:tcMar>
              <w:left w:w="101" w:type="dxa"/>
              <w:right w:w="161" w:type="dxa"/>
            </w:tcMar>
          </w:tcPr>
          <w:p w14:paraId="703E4904"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12,780</w:t>
            </w:r>
          </w:p>
        </w:tc>
        <w:tc>
          <w:tcPr>
            <w:tcW w:w="1125" w:type="dxa"/>
            <w:tcBorders>
              <w:top w:val="nil"/>
              <w:left w:val="nil"/>
              <w:bottom w:val="nil"/>
              <w:right w:val="nil"/>
              <w:tl2br w:val="nil"/>
              <w:tr2bl w:val="nil"/>
            </w:tcBorders>
            <w:shd w:val="clear" w:color="auto" w:fill="auto"/>
            <w:noWrap/>
            <w:tcMar>
              <w:left w:w="101" w:type="dxa"/>
              <w:right w:w="101" w:type="dxa"/>
            </w:tcMar>
          </w:tcPr>
          <w:p w14:paraId="20841E48"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ongoing</w:t>
            </w:r>
          </w:p>
        </w:tc>
      </w:tr>
      <w:tr w:rsidR="002242F3" w:rsidRPr="005E3B44" w14:paraId="357BD9E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0" w:type="dxa"/>
              <w:right w:w="0" w:type="dxa"/>
            </w:tcMar>
          </w:tcPr>
          <w:p w14:paraId="68305511"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213C57A7"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22FB596B"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1FA216BE"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284F4BB2"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0517A8E2"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7B6A8EF" w14:textId="77777777" w:rsidR="002242F3" w:rsidRPr="005E3B44" w:rsidRDefault="002242F3" w:rsidP="005E3B44">
            <w:pPr>
              <w:pStyle w:val="Normal5"/>
              <w:jc w:val="center"/>
              <w:rPr>
                <w:rFonts w:asciiTheme="minorHAnsi" w:eastAsia="Calibri" w:hAnsiTheme="minorHAnsi" w:cstheme="minorHAnsi"/>
                <w:color w:val="000000"/>
                <w:sz w:val="18"/>
              </w:rPr>
            </w:pPr>
          </w:p>
        </w:tc>
      </w:tr>
      <w:tr w:rsidR="002242F3" w:rsidRPr="005E3B44" w14:paraId="669F49B5"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101" w:type="dxa"/>
              <w:right w:w="101" w:type="dxa"/>
            </w:tcMar>
          </w:tcPr>
          <w:p w14:paraId="6B6431BC" w14:textId="77777777" w:rsidR="002242F3" w:rsidRPr="005E3B44" w:rsidRDefault="002242F3" w:rsidP="005E3B44">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New Work</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DD4F4ED"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12,626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DC51D35"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17,047</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DFE76DC"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5,846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622B275"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3,079</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C2518DB" w14:textId="77777777" w:rsidR="002242F3" w:rsidRPr="005E3B44" w:rsidRDefault="002242F3" w:rsidP="005E3B44">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38,598</w:t>
            </w:r>
          </w:p>
        </w:tc>
        <w:tc>
          <w:tcPr>
            <w:tcW w:w="1125" w:type="dxa"/>
            <w:tcBorders>
              <w:top w:val="nil"/>
              <w:left w:val="nil"/>
              <w:bottom w:val="nil"/>
              <w:right w:val="nil"/>
              <w:tl2br w:val="nil"/>
              <w:tr2bl w:val="nil"/>
            </w:tcBorders>
            <w:shd w:val="clear" w:color="auto" w:fill="auto"/>
            <w:noWrap/>
            <w:tcMar>
              <w:left w:w="0" w:type="dxa"/>
              <w:right w:w="0" w:type="dxa"/>
            </w:tcMar>
          </w:tcPr>
          <w:p w14:paraId="1637680C" w14:textId="77777777" w:rsidR="002242F3" w:rsidRPr="005E3B44" w:rsidRDefault="002242F3" w:rsidP="005E3B44">
            <w:pPr>
              <w:pStyle w:val="Normal5"/>
              <w:jc w:val="center"/>
              <w:rPr>
                <w:rFonts w:asciiTheme="minorHAnsi" w:eastAsia="Calibri" w:hAnsiTheme="minorHAnsi" w:cstheme="minorHAnsi"/>
                <w:color w:val="000000"/>
                <w:sz w:val="18"/>
              </w:rPr>
            </w:pPr>
          </w:p>
        </w:tc>
      </w:tr>
      <w:tr w:rsidR="002242F3" w:rsidRPr="005E3B44" w14:paraId="214BF308"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0" w:type="dxa"/>
              <w:right w:w="0" w:type="dxa"/>
            </w:tcMar>
          </w:tcPr>
          <w:p w14:paraId="07DB8B2F"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0C77492B"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573EA7D9"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9BA16A3"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30326C9"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7AF3B001"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1B3FF09" w14:textId="77777777" w:rsidR="002242F3" w:rsidRPr="005E3B44" w:rsidRDefault="002242F3" w:rsidP="005E3B44">
            <w:pPr>
              <w:pStyle w:val="Normal5"/>
              <w:jc w:val="center"/>
              <w:rPr>
                <w:rFonts w:asciiTheme="minorHAnsi" w:eastAsia="Calibri" w:hAnsiTheme="minorHAnsi" w:cstheme="minorHAnsi"/>
                <w:color w:val="000000"/>
                <w:sz w:val="18"/>
              </w:rPr>
            </w:pPr>
          </w:p>
        </w:tc>
      </w:tr>
      <w:tr w:rsidR="002242F3" w:rsidRPr="005E3B44" w14:paraId="3CDAD766"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tcPr>
          <w:p w14:paraId="79B74FFF" w14:textId="77777777" w:rsidR="002242F3" w:rsidRPr="005E3B44" w:rsidRDefault="002242F3" w:rsidP="005E3B44">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Work </w:t>
            </w:r>
            <w:proofErr w:type="gramStart"/>
            <w:r w:rsidRPr="005E3B44">
              <w:rPr>
                <w:rFonts w:asciiTheme="minorHAnsi" w:eastAsia="Calibri" w:hAnsiTheme="minorHAnsi" w:cstheme="minorHAnsi"/>
                <w:b/>
                <w:color w:val="000000"/>
                <w:sz w:val="18"/>
              </w:rPr>
              <w:t>In</w:t>
            </w:r>
            <w:proofErr w:type="gramEnd"/>
            <w:r w:rsidRPr="005E3B44">
              <w:rPr>
                <w:rFonts w:asciiTheme="minorHAnsi" w:eastAsia="Calibri" w:hAnsiTheme="minorHAnsi" w:cstheme="minorHAnsi"/>
                <w:b/>
                <w:color w:val="000000"/>
                <w:sz w:val="18"/>
              </w:rPr>
              <w:t xml:space="preserve"> Progress</w:t>
            </w:r>
          </w:p>
        </w:tc>
        <w:tc>
          <w:tcPr>
            <w:tcW w:w="975" w:type="dxa"/>
            <w:tcBorders>
              <w:top w:val="nil"/>
              <w:left w:val="nil"/>
              <w:bottom w:val="nil"/>
              <w:right w:val="nil"/>
              <w:tl2br w:val="nil"/>
              <w:tr2bl w:val="nil"/>
            </w:tcBorders>
            <w:shd w:val="clear" w:color="auto" w:fill="auto"/>
            <w:noWrap/>
            <w:tcMar>
              <w:left w:w="0" w:type="dxa"/>
              <w:right w:w="0" w:type="dxa"/>
            </w:tcMar>
          </w:tcPr>
          <w:p w14:paraId="0884DE87"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6C59A24E"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5B46C31" w14:textId="77777777" w:rsidR="002242F3" w:rsidRPr="005E3B44" w:rsidRDefault="002242F3" w:rsidP="005E3B44">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35A77655"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4736F3F" w14:textId="77777777" w:rsidR="002242F3" w:rsidRPr="005E3B44" w:rsidRDefault="002242F3" w:rsidP="005E3B44">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B7FB1F6" w14:textId="77777777" w:rsidR="002242F3" w:rsidRPr="005E3B44" w:rsidRDefault="002242F3" w:rsidP="005E3B44">
            <w:pPr>
              <w:pStyle w:val="Normal5"/>
              <w:jc w:val="center"/>
              <w:rPr>
                <w:rFonts w:asciiTheme="minorHAnsi" w:eastAsia="Calibri" w:hAnsiTheme="minorHAnsi" w:cstheme="minorHAnsi"/>
                <w:color w:val="000000"/>
                <w:sz w:val="18"/>
              </w:rPr>
            </w:pPr>
          </w:p>
        </w:tc>
      </w:tr>
      <w:tr w:rsidR="002242F3" w:rsidRPr="005E3B44" w14:paraId="77C156C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32864444"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Corrective Services — Information management</w:t>
            </w:r>
          </w:p>
        </w:tc>
        <w:tc>
          <w:tcPr>
            <w:tcW w:w="975" w:type="dxa"/>
            <w:tcBorders>
              <w:top w:val="nil"/>
              <w:left w:val="nil"/>
              <w:bottom w:val="nil"/>
              <w:right w:val="nil"/>
              <w:tl2br w:val="nil"/>
              <w:tr2bl w:val="nil"/>
            </w:tcBorders>
            <w:shd w:val="clear" w:color="auto" w:fill="auto"/>
            <w:noWrap/>
            <w:tcMar>
              <w:left w:w="101" w:type="dxa"/>
              <w:right w:w="161" w:type="dxa"/>
            </w:tcMar>
          </w:tcPr>
          <w:p w14:paraId="63F5A0DE"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2,145</w:t>
            </w:r>
          </w:p>
        </w:tc>
        <w:tc>
          <w:tcPr>
            <w:tcW w:w="975" w:type="dxa"/>
            <w:tcBorders>
              <w:top w:val="nil"/>
              <w:left w:val="nil"/>
              <w:bottom w:val="nil"/>
              <w:right w:val="nil"/>
              <w:tl2br w:val="nil"/>
              <w:tr2bl w:val="nil"/>
            </w:tcBorders>
            <w:shd w:val="clear" w:color="auto" w:fill="auto"/>
            <w:noWrap/>
            <w:tcMar>
              <w:left w:w="101" w:type="dxa"/>
              <w:right w:w="161" w:type="dxa"/>
            </w:tcMar>
          </w:tcPr>
          <w:p w14:paraId="61295F6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B3CFA50"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D5B7C0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9B1A50E"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2,145</w:t>
            </w:r>
          </w:p>
        </w:tc>
        <w:tc>
          <w:tcPr>
            <w:tcW w:w="1125" w:type="dxa"/>
            <w:tcBorders>
              <w:top w:val="nil"/>
              <w:left w:val="nil"/>
              <w:bottom w:val="nil"/>
              <w:right w:val="nil"/>
              <w:tl2br w:val="nil"/>
              <w:tr2bl w:val="nil"/>
            </w:tcBorders>
            <w:shd w:val="clear" w:color="auto" w:fill="auto"/>
            <w:noWrap/>
            <w:tcMar>
              <w:left w:w="101" w:type="dxa"/>
              <w:right w:w="101" w:type="dxa"/>
            </w:tcMar>
          </w:tcPr>
          <w:p w14:paraId="2F15F0BD"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2242F3" w:rsidRPr="005E3B44" w14:paraId="2DD680B3"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F2BF600"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ACT Legislation Register Replacement</w:t>
            </w:r>
          </w:p>
        </w:tc>
        <w:tc>
          <w:tcPr>
            <w:tcW w:w="975" w:type="dxa"/>
            <w:tcBorders>
              <w:top w:val="nil"/>
              <w:left w:val="nil"/>
              <w:bottom w:val="nil"/>
              <w:right w:val="nil"/>
              <w:tl2br w:val="nil"/>
              <w:tr2bl w:val="nil"/>
            </w:tcBorders>
            <w:shd w:val="clear" w:color="auto" w:fill="auto"/>
            <w:noWrap/>
            <w:tcMar>
              <w:left w:w="101" w:type="dxa"/>
              <w:right w:w="161" w:type="dxa"/>
            </w:tcMar>
          </w:tcPr>
          <w:p w14:paraId="64893DD5"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w:t>
            </w:r>
          </w:p>
        </w:tc>
        <w:tc>
          <w:tcPr>
            <w:tcW w:w="975" w:type="dxa"/>
            <w:tcBorders>
              <w:top w:val="nil"/>
              <w:left w:val="nil"/>
              <w:bottom w:val="nil"/>
              <w:right w:val="nil"/>
              <w:tl2br w:val="nil"/>
              <w:tr2bl w:val="nil"/>
            </w:tcBorders>
            <w:shd w:val="clear" w:color="auto" w:fill="auto"/>
            <w:noWrap/>
            <w:tcMar>
              <w:left w:w="101" w:type="dxa"/>
              <w:right w:w="161" w:type="dxa"/>
            </w:tcMar>
          </w:tcPr>
          <w:p w14:paraId="0015FA6F"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63536EF"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2895B06"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A75C163"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w:t>
            </w:r>
          </w:p>
        </w:tc>
        <w:tc>
          <w:tcPr>
            <w:tcW w:w="1125" w:type="dxa"/>
            <w:tcBorders>
              <w:top w:val="nil"/>
              <w:left w:val="nil"/>
              <w:bottom w:val="nil"/>
              <w:right w:val="nil"/>
              <w:tl2br w:val="nil"/>
              <w:tr2bl w:val="nil"/>
            </w:tcBorders>
            <w:shd w:val="clear" w:color="auto" w:fill="auto"/>
            <w:noWrap/>
            <w:tcMar>
              <w:left w:w="101" w:type="dxa"/>
              <w:right w:w="101" w:type="dxa"/>
            </w:tcMar>
          </w:tcPr>
          <w:p w14:paraId="62889C06"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Sep-21</w:t>
            </w:r>
          </w:p>
        </w:tc>
      </w:tr>
      <w:tr w:rsidR="002242F3" w:rsidRPr="005E3B44" w14:paraId="767A968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191429CC"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Alexander Maconochie Centre Detainee industries and activities enforcement project</w:t>
            </w:r>
          </w:p>
        </w:tc>
        <w:tc>
          <w:tcPr>
            <w:tcW w:w="975" w:type="dxa"/>
            <w:tcBorders>
              <w:top w:val="nil"/>
              <w:left w:val="nil"/>
              <w:bottom w:val="nil"/>
              <w:right w:val="nil"/>
              <w:tl2br w:val="nil"/>
              <w:tr2bl w:val="nil"/>
            </w:tcBorders>
            <w:shd w:val="clear" w:color="auto" w:fill="auto"/>
            <w:noWrap/>
            <w:tcMar>
              <w:left w:w="101" w:type="dxa"/>
              <w:right w:w="161" w:type="dxa"/>
            </w:tcMar>
          </w:tcPr>
          <w:p w14:paraId="359437A0"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w:t>
            </w:r>
          </w:p>
        </w:tc>
        <w:tc>
          <w:tcPr>
            <w:tcW w:w="975" w:type="dxa"/>
            <w:tcBorders>
              <w:top w:val="nil"/>
              <w:left w:val="nil"/>
              <w:bottom w:val="nil"/>
              <w:right w:val="nil"/>
              <w:tl2br w:val="nil"/>
              <w:tr2bl w:val="nil"/>
            </w:tcBorders>
            <w:shd w:val="clear" w:color="auto" w:fill="auto"/>
            <w:noWrap/>
            <w:tcMar>
              <w:left w:w="101" w:type="dxa"/>
              <w:right w:w="161" w:type="dxa"/>
            </w:tcMar>
          </w:tcPr>
          <w:p w14:paraId="1226B7AA"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260B39F"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2D7C3D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A7FCF84"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w:t>
            </w:r>
          </w:p>
        </w:tc>
        <w:tc>
          <w:tcPr>
            <w:tcW w:w="1125" w:type="dxa"/>
            <w:tcBorders>
              <w:top w:val="nil"/>
              <w:left w:val="nil"/>
              <w:bottom w:val="nil"/>
              <w:right w:val="nil"/>
              <w:tl2br w:val="nil"/>
              <w:tr2bl w:val="nil"/>
            </w:tcBorders>
            <w:shd w:val="clear" w:color="auto" w:fill="auto"/>
            <w:noWrap/>
            <w:tcMar>
              <w:left w:w="101" w:type="dxa"/>
              <w:right w:w="101" w:type="dxa"/>
            </w:tcMar>
          </w:tcPr>
          <w:p w14:paraId="0448C357"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2242F3" w:rsidRPr="005E3B44" w14:paraId="6D3D7FA2"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57EE9708"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Better Government — Human Rights Commission digital capability </w:t>
            </w:r>
            <w:r w:rsidRPr="005E3B44">
              <w:rPr>
                <w:rFonts w:asciiTheme="minorHAnsi" w:eastAsia="Calibri" w:hAnsiTheme="minorHAnsi" w:cstheme="minorHAnsi"/>
                <w:color w:val="000000"/>
                <w:sz w:val="18"/>
                <w:vertAlign w:val="superscript"/>
              </w:rPr>
              <w:t>1</w:t>
            </w:r>
          </w:p>
        </w:tc>
        <w:tc>
          <w:tcPr>
            <w:tcW w:w="975" w:type="dxa"/>
            <w:tcBorders>
              <w:top w:val="nil"/>
              <w:left w:val="nil"/>
              <w:bottom w:val="nil"/>
              <w:right w:val="nil"/>
              <w:tl2br w:val="nil"/>
              <w:tr2bl w:val="nil"/>
            </w:tcBorders>
            <w:shd w:val="clear" w:color="auto" w:fill="auto"/>
            <w:noWrap/>
            <w:tcMar>
              <w:left w:w="101" w:type="dxa"/>
              <w:right w:w="161" w:type="dxa"/>
            </w:tcMar>
          </w:tcPr>
          <w:p w14:paraId="7724F8D3"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w:t>
            </w:r>
          </w:p>
        </w:tc>
        <w:tc>
          <w:tcPr>
            <w:tcW w:w="975" w:type="dxa"/>
            <w:tcBorders>
              <w:top w:val="nil"/>
              <w:left w:val="nil"/>
              <w:bottom w:val="nil"/>
              <w:right w:val="nil"/>
              <w:tl2br w:val="nil"/>
              <w:tr2bl w:val="nil"/>
            </w:tcBorders>
            <w:shd w:val="clear" w:color="auto" w:fill="auto"/>
            <w:noWrap/>
            <w:tcMar>
              <w:left w:w="101" w:type="dxa"/>
              <w:right w:w="161" w:type="dxa"/>
            </w:tcMar>
          </w:tcPr>
          <w:p w14:paraId="606ABE92"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A1DD40E"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55D284D"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1DFFEB2"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w:t>
            </w:r>
          </w:p>
        </w:tc>
        <w:tc>
          <w:tcPr>
            <w:tcW w:w="1125" w:type="dxa"/>
            <w:tcBorders>
              <w:top w:val="nil"/>
              <w:left w:val="nil"/>
              <w:bottom w:val="nil"/>
              <w:right w:val="nil"/>
              <w:tl2br w:val="nil"/>
              <w:tr2bl w:val="nil"/>
            </w:tcBorders>
            <w:shd w:val="clear" w:color="auto" w:fill="auto"/>
            <w:noWrap/>
            <w:tcMar>
              <w:left w:w="101" w:type="dxa"/>
              <w:right w:w="101" w:type="dxa"/>
            </w:tcMar>
          </w:tcPr>
          <w:p w14:paraId="493ABBA5"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Jun-20</w:t>
            </w:r>
          </w:p>
        </w:tc>
      </w:tr>
      <w:tr w:rsidR="002242F3" w:rsidRPr="005E3B44" w14:paraId="6F09BD7E"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6B5649C2"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Government — New Jury Management System</w:t>
            </w:r>
          </w:p>
        </w:tc>
        <w:tc>
          <w:tcPr>
            <w:tcW w:w="975" w:type="dxa"/>
            <w:tcBorders>
              <w:top w:val="nil"/>
              <w:left w:val="nil"/>
              <w:bottom w:val="nil"/>
              <w:right w:val="nil"/>
              <w:tl2br w:val="nil"/>
              <w:tr2bl w:val="nil"/>
            </w:tcBorders>
            <w:shd w:val="clear" w:color="auto" w:fill="auto"/>
            <w:noWrap/>
            <w:tcMar>
              <w:left w:w="101" w:type="dxa"/>
              <w:right w:w="161" w:type="dxa"/>
            </w:tcMar>
          </w:tcPr>
          <w:p w14:paraId="6858847F"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409</w:t>
            </w:r>
          </w:p>
        </w:tc>
        <w:tc>
          <w:tcPr>
            <w:tcW w:w="975" w:type="dxa"/>
            <w:tcBorders>
              <w:top w:val="nil"/>
              <w:left w:val="nil"/>
              <w:bottom w:val="nil"/>
              <w:right w:val="nil"/>
              <w:tl2br w:val="nil"/>
              <w:tr2bl w:val="nil"/>
            </w:tcBorders>
            <w:shd w:val="clear" w:color="auto" w:fill="auto"/>
            <w:noWrap/>
            <w:tcMar>
              <w:left w:w="101" w:type="dxa"/>
              <w:right w:w="161" w:type="dxa"/>
            </w:tcMar>
          </w:tcPr>
          <w:p w14:paraId="26DFE11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5CA1659"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4C857FB"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4E41790"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409</w:t>
            </w:r>
          </w:p>
        </w:tc>
        <w:tc>
          <w:tcPr>
            <w:tcW w:w="1125" w:type="dxa"/>
            <w:tcBorders>
              <w:top w:val="nil"/>
              <w:left w:val="nil"/>
              <w:bottom w:val="nil"/>
              <w:right w:val="nil"/>
              <w:tl2br w:val="nil"/>
              <w:tr2bl w:val="nil"/>
            </w:tcBorders>
            <w:shd w:val="clear" w:color="auto" w:fill="auto"/>
            <w:noWrap/>
            <w:tcMar>
              <w:left w:w="101" w:type="dxa"/>
              <w:right w:w="101" w:type="dxa"/>
            </w:tcMar>
          </w:tcPr>
          <w:p w14:paraId="6D68F847"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2242F3" w:rsidRPr="005E3B44" w14:paraId="63D688D4"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63B774CC"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Better support for families and inclusion — More resources for the Director of Public Prosecutions </w:t>
            </w:r>
            <w:r w:rsidRPr="005E3B44">
              <w:rPr>
                <w:rFonts w:asciiTheme="minorHAnsi" w:eastAsia="Calibri" w:hAnsiTheme="minorHAnsi" w:cstheme="minorHAnsi"/>
                <w:color w:val="000000"/>
                <w:sz w:val="18"/>
                <w:vertAlign w:val="superscript"/>
              </w:rPr>
              <w:t>1</w:t>
            </w:r>
          </w:p>
        </w:tc>
        <w:tc>
          <w:tcPr>
            <w:tcW w:w="975" w:type="dxa"/>
            <w:tcBorders>
              <w:top w:val="nil"/>
              <w:left w:val="nil"/>
              <w:bottom w:val="nil"/>
              <w:right w:val="nil"/>
              <w:tl2br w:val="nil"/>
              <w:tr2bl w:val="nil"/>
            </w:tcBorders>
            <w:shd w:val="clear" w:color="auto" w:fill="auto"/>
            <w:noWrap/>
            <w:tcMar>
              <w:left w:w="101" w:type="dxa"/>
              <w:right w:w="161" w:type="dxa"/>
            </w:tcMar>
          </w:tcPr>
          <w:p w14:paraId="100890DA"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w:t>
            </w:r>
          </w:p>
        </w:tc>
        <w:tc>
          <w:tcPr>
            <w:tcW w:w="975" w:type="dxa"/>
            <w:tcBorders>
              <w:top w:val="nil"/>
              <w:left w:val="nil"/>
              <w:bottom w:val="nil"/>
              <w:right w:val="nil"/>
              <w:tl2br w:val="nil"/>
              <w:tr2bl w:val="nil"/>
            </w:tcBorders>
            <w:shd w:val="clear" w:color="auto" w:fill="auto"/>
            <w:noWrap/>
            <w:tcMar>
              <w:left w:w="101" w:type="dxa"/>
              <w:right w:w="161" w:type="dxa"/>
            </w:tcMar>
          </w:tcPr>
          <w:p w14:paraId="33A9AD66"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F6DF05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7AAA5C8"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8A6B183"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w:t>
            </w:r>
          </w:p>
        </w:tc>
        <w:tc>
          <w:tcPr>
            <w:tcW w:w="1125" w:type="dxa"/>
            <w:tcBorders>
              <w:top w:val="nil"/>
              <w:left w:val="nil"/>
              <w:bottom w:val="nil"/>
              <w:right w:val="nil"/>
              <w:tl2br w:val="nil"/>
              <w:tr2bl w:val="nil"/>
            </w:tcBorders>
            <w:shd w:val="clear" w:color="auto" w:fill="auto"/>
            <w:noWrap/>
            <w:tcMar>
              <w:left w:w="101" w:type="dxa"/>
              <w:right w:w="101" w:type="dxa"/>
            </w:tcMar>
          </w:tcPr>
          <w:p w14:paraId="6DF4CFD8"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Dec-20</w:t>
            </w:r>
          </w:p>
        </w:tc>
      </w:tr>
      <w:tr w:rsidR="002242F3" w:rsidRPr="005E3B44" w14:paraId="5287E2C8"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3402" w:type="dxa"/>
            <w:tcBorders>
              <w:top w:val="nil"/>
              <w:left w:val="nil"/>
              <w:bottom w:val="nil"/>
              <w:right w:val="nil"/>
              <w:tl2br w:val="nil"/>
              <w:tr2bl w:val="nil"/>
            </w:tcBorders>
            <w:shd w:val="clear" w:color="auto" w:fill="auto"/>
            <w:tcMar>
              <w:left w:w="101" w:type="dxa"/>
              <w:right w:w="101" w:type="dxa"/>
            </w:tcMar>
            <w:vAlign w:val="center"/>
          </w:tcPr>
          <w:p w14:paraId="384C147E" w14:textId="77777777" w:rsidR="002242F3" w:rsidRPr="005E3B44" w:rsidRDefault="002242F3" w:rsidP="005E3B44">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Better support when it matters — Integrating the </w:t>
            </w:r>
            <w:proofErr w:type="spellStart"/>
            <w:r w:rsidRPr="005E3B44">
              <w:rPr>
                <w:rFonts w:asciiTheme="minorHAnsi" w:eastAsia="Calibri" w:hAnsiTheme="minorHAnsi" w:cstheme="minorHAnsi"/>
                <w:color w:val="000000"/>
                <w:sz w:val="18"/>
              </w:rPr>
              <w:t>Winnunga</w:t>
            </w:r>
            <w:proofErr w:type="spellEnd"/>
            <w:r w:rsidRPr="005E3B44">
              <w:rPr>
                <w:rFonts w:asciiTheme="minorHAnsi" w:eastAsia="Calibri" w:hAnsiTheme="minorHAnsi" w:cstheme="minorHAnsi"/>
                <w:color w:val="000000"/>
                <w:sz w:val="18"/>
              </w:rPr>
              <w:t xml:space="preserve"> Model of Care and Enhancing Health Services in the Alexander Maconochie Centre</w:t>
            </w:r>
          </w:p>
        </w:tc>
        <w:tc>
          <w:tcPr>
            <w:tcW w:w="975" w:type="dxa"/>
            <w:tcBorders>
              <w:top w:val="nil"/>
              <w:left w:val="nil"/>
              <w:bottom w:val="nil"/>
              <w:right w:val="nil"/>
              <w:tl2br w:val="nil"/>
              <w:tr2bl w:val="nil"/>
            </w:tcBorders>
            <w:shd w:val="clear" w:color="auto" w:fill="auto"/>
            <w:noWrap/>
            <w:tcMar>
              <w:left w:w="101" w:type="dxa"/>
              <w:right w:w="161" w:type="dxa"/>
            </w:tcMar>
          </w:tcPr>
          <w:p w14:paraId="59BAF9B1"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c>
          <w:tcPr>
            <w:tcW w:w="975" w:type="dxa"/>
            <w:tcBorders>
              <w:top w:val="nil"/>
              <w:left w:val="nil"/>
              <w:bottom w:val="nil"/>
              <w:right w:val="nil"/>
              <w:tl2br w:val="nil"/>
              <w:tr2bl w:val="nil"/>
            </w:tcBorders>
            <w:shd w:val="clear" w:color="auto" w:fill="auto"/>
            <w:noWrap/>
            <w:tcMar>
              <w:left w:w="101" w:type="dxa"/>
              <w:right w:w="161" w:type="dxa"/>
            </w:tcMar>
          </w:tcPr>
          <w:p w14:paraId="7509E5EC"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7C67AC9"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46121CD"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D5A7278" w14:textId="77777777" w:rsidR="002242F3" w:rsidRPr="005E3B44" w:rsidRDefault="002242F3" w:rsidP="005E3B44">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c>
          <w:tcPr>
            <w:tcW w:w="1125" w:type="dxa"/>
            <w:tcBorders>
              <w:top w:val="nil"/>
              <w:left w:val="nil"/>
              <w:bottom w:val="nil"/>
              <w:right w:val="nil"/>
              <w:tl2br w:val="nil"/>
              <w:tr2bl w:val="nil"/>
            </w:tcBorders>
            <w:shd w:val="clear" w:color="auto" w:fill="auto"/>
            <w:noWrap/>
            <w:tcMar>
              <w:left w:w="101" w:type="dxa"/>
              <w:right w:w="101" w:type="dxa"/>
            </w:tcMar>
          </w:tcPr>
          <w:p w14:paraId="61E61386" w14:textId="77777777" w:rsidR="002242F3" w:rsidRPr="005E3B44" w:rsidRDefault="002242F3" w:rsidP="005E3B44">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388236A7"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552" w:type="dxa"/>
            <w:gridSpan w:val="7"/>
            <w:tcBorders>
              <w:top w:val="nil"/>
              <w:left w:val="nil"/>
              <w:bottom w:val="single" w:sz="12" w:space="0" w:color="auto"/>
              <w:right w:val="nil"/>
              <w:tl2br w:val="nil"/>
              <w:tr2bl w:val="nil"/>
            </w:tcBorders>
            <w:shd w:val="clear" w:color="auto" w:fill="auto"/>
            <w:tcMar>
              <w:left w:w="101" w:type="dxa"/>
              <w:right w:w="101" w:type="dxa"/>
            </w:tcMar>
          </w:tcPr>
          <w:p w14:paraId="661115E7" w14:textId="410B8DB9" w:rsidR="0069402E" w:rsidRPr="00FE63C8" w:rsidRDefault="0069402E" w:rsidP="00FE63C8">
            <w:pPr>
              <w:pStyle w:val="Caption"/>
              <w:pBdr>
                <w:top w:val="nil"/>
                <w:left w:val="nil"/>
                <w:bottom w:val="nil"/>
                <w:right w:val="nil"/>
                <w:between w:val="nil"/>
                <w:bar w:val="nil"/>
              </w:pBdr>
              <w:spacing w:before="0"/>
              <w:ind w:hanging="95"/>
              <w:rPr>
                <w:rFonts w:asciiTheme="minorHAnsi" w:hAnsiTheme="minorHAnsi" w:cstheme="minorHAnsi"/>
                <w:b w:val="0"/>
                <w:bdr w:val="nil"/>
              </w:rPr>
            </w:pPr>
            <w:r w:rsidRPr="005E3B44">
              <w:rPr>
                <w:rFonts w:asciiTheme="minorHAnsi" w:hAnsiTheme="minorHAnsi" w:cstheme="minorHAnsi"/>
                <w:bdr w:val="nil"/>
              </w:rPr>
              <w:lastRenderedPageBreak/>
              <w:t>Table 2</w:t>
            </w:r>
            <w:r>
              <w:rPr>
                <w:rFonts w:asciiTheme="minorHAnsi" w:hAnsiTheme="minorHAnsi" w:cstheme="minorHAnsi"/>
                <w:bdr w:val="nil"/>
              </w:rPr>
              <w:t>8</w:t>
            </w:r>
            <w:r w:rsidRPr="005E3B44">
              <w:rPr>
                <w:rFonts w:asciiTheme="minorHAnsi" w:hAnsiTheme="minorHAnsi" w:cstheme="minorHAnsi"/>
                <w:bdr w:val="nil"/>
              </w:rPr>
              <w:t>: 2021-22 Justice and Community Safety Directorate Infrastructure Program</w:t>
            </w:r>
            <w:r w:rsidR="00FE63C8">
              <w:rPr>
                <w:rFonts w:asciiTheme="minorHAnsi" w:hAnsiTheme="minorHAnsi" w:cstheme="minorHAnsi"/>
                <w:bdr w:val="nil"/>
              </w:rPr>
              <w:t xml:space="preserve"> (Continued)</w:t>
            </w:r>
          </w:p>
        </w:tc>
      </w:tr>
      <w:tr w:rsidR="0069402E" w:rsidRPr="005E3B44" w14:paraId="26A77FF9"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single" w:sz="12" w:space="0" w:color="auto"/>
              <w:left w:val="nil"/>
              <w:bottom w:val="single" w:sz="12" w:space="0" w:color="auto"/>
              <w:right w:val="nil"/>
              <w:tl2br w:val="nil"/>
              <w:tr2bl w:val="nil"/>
            </w:tcBorders>
            <w:shd w:val="clear" w:color="auto" w:fill="auto"/>
            <w:tcMar>
              <w:left w:w="101" w:type="dxa"/>
              <w:right w:w="101" w:type="dxa"/>
            </w:tcMar>
          </w:tcPr>
          <w:p w14:paraId="2845FCD8" w14:textId="1BC05538"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Project</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3C920E06"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w:t>
            </w:r>
          </w:p>
          <w:p w14:paraId="2001B2DA" w14:textId="4A30DD5D"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4FA902D0"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w:t>
            </w:r>
          </w:p>
          <w:p w14:paraId="7C371A80" w14:textId="21DDD116"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55AB0591"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w:t>
            </w:r>
          </w:p>
          <w:p w14:paraId="6900A160" w14:textId="1D017DF2"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5D496077"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w:t>
            </w:r>
          </w:p>
          <w:p w14:paraId="583BC9E6" w14:textId="63068DDE"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112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0D7D7949"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Four Year</w:t>
            </w:r>
          </w:p>
          <w:p w14:paraId="21A28DC2"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Investment</w:t>
            </w:r>
          </w:p>
          <w:p w14:paraId="742513B4"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p w14:paraId="08BD5739" w14:textId="77777777" w:rsidR="0069402E" w:rsidRPr="005E3B44" w:rsidRDefault="0069402E" w:rsidP="0069402E">
            <w:pPr>
              <w:pStyle w:val="Normal5"/>
              <w:jc w:val="right"/>
              <w:rPr>
                <w:rFonts w:asciiTheme="minorHAnsi" w:eastAsia="Calibri" w:hAnsiTheme="minorHAnsi" w:cstheme="minorHAnsi"/>
                <w:color w:val="000000"/>
                <w:sz w:val="18"/>
              </w:rPr>
            </w:pPr>
          </w:p>
        </w:tc>
        <w:tc>
          <w:tcPr>
            <w:tcW w:w="1125" w:type="dxa"/>
            <w:tcBorders>
              <w:top w:val="single" w:sz="12" w:space="0" w:color="auto"/>
              <w:left w:val="nil"/>
              <w:bottom w:val="single" w:sz="12" w:space="0" w:color="auto"/>
              <w:right w:val="nil"/>
              <w:tl2br w:val="nil"/>
              <w:tr2bl w:val="nil"/>
            </w:tcBorders>
            <w:shd w:val="clear" w:color="auto" w:fill="auto"/>
            <w:noWrap/>
            <w:tcMar>
              <w:left w:w="101" w:type="dxa"/>
              <w:right w:w="101" w:type="dxa"/>
            </w:tcMar>
          </w:tcPr>
          <w:p w14:paraId="4D71E47D" w14:textId="77777777" w:rsidR="0069402E" w:rsidRPr="005E3B44" w:rsidRDefault="0069402E" w:rsidP="00700C91">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Physical</w:t>
            </w:r>
          </w:p>
          <w:p w14:paraId="2557723E" w14:textId="77777777" w:rsidR="0069402E" w:rsidRPr="005E3B44" w:rsidRDefault="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Completion</w:t>
            </w:r>
          </w:p>
          <w:p w14:paraId="62C7D0F0" w14:textId="26C67E68" w:rsidR="0069402E" w:rsidRPr="005E3B44" w:rsidRDefault="0069402E" w:rsidP="00FE63C8">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Date</w:t>
            </w:r>
          </w:p>
        </w:tc>
      </w:tr>
      <w:tr w:rsidR="0069402E" w:rsidRPr="005E3B44" w14:paraId="201DE707"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single" w:sz="12" w:space="0" w:color="auto"/>
              <w:left w:val="nil"/>
              <w:bottom w:val="nil"/>
              <w:right w:val="nil"/>
              <w:tl2br w:val="nil"/>
              <w:tr2bl w:val="nil"/>
            </w:tcBorders>
            <w:shd w:val="clear" w:color="auto" w:fill="auto"/>
            <w:tcMar>
              <w:left w:w="101" w:type="dxa"/>
              <w:right w:w="101" w:type="dxa"/>
            </w:tcMar>
            <w:vAlign w:val="center"/>
          </w:tcPr>
          <w:p w14:paraId="4213EA19"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Better support when it matters — More frontline firefighters — Second crew at Ainslie Station</w:t>
            </w:r>
          </w:p>
        </w:tc>
        <w:tc>
          <w:tcPr>
            <w:tcW w:w="975" w:type="dxa"/>
            <w:tcBorders>
              <w:top w:val="single" w:sz="12" w:space="0" w:color="auto"/>
              <w:left w:val="nil"/>
              <w:bottom w:val="nil"/>
              <w:right w:val="nil"/>
              <w:tl2br w:val="nil"/>
              <w:tr2bl w:val="nil"/>
            </w:tcBorders>
            <w:shd w:val="clear" w:color="auto" w:fill="auto"/>
            <w:noWrap/>
            <w:tcMar>
              <w:left w:w="101" w:type="dxa"/>
              <w:right w:w="161" w:type="dxa"/>
            </w:tcMar>
          </w:tcPr>
          <w:p w14:paraId="110899F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541</w:t>
            </w:r>
          </w:p>
        </w:tc>
        <w:tc>
          <w:tcPr>
            <w:tcW w:w="975" w:type="dxa"/>
            <w:tcBorders>
              <w:top w:val="single" w:sz="12" w:space="0" w:color="auto"/>
              <w:left w:val="nil"/>
              <w:bottom w:val="nil"/>
              <w:right w:val="nil"/>
              <w:tl2br w:val="nil"/>
              <w:tr2bl w:val="nil"/>
            </w:tcBorders>
            <w:shd w:val="clear" w:color="auto" w:fill="auto"/>
            <w:noWrap/>
            <w:tcMar>
              <w:left w:w="101" w:type="dxa"/>
              <w:right w:w="161" w:type="dxa"/>
            </w:tcMar>
          </w:tcPr>
          <w:p w14:paraId="1206C31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single" w:sz="12" w:space="0" w:color="auto"/>
              <w:left w:val="nil"/>
              <w:bottom w:val="nil"/>
              <w:right w:val="nil"/>
              <w:tl2br w:val="nil"/>
              <w:tr2bl w:val="nil"/>
            </w:tcBorders>
            <w:shd w:val="clear" w:color="auto" w:fill="auto"/>
            <w:noWrap/>
            <w:tcMar>
              <w:left w:w="101" w:type="dxa"/>
              <w:right w:w="161" w:type="dxa"/>
            </w:tcMar>
          </w:tcPr>
          <w:p w14:paraId="28770B9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single" w:sz="12" w:space="0" w:color="auto"/>
              <w:left w:val="nil"/>
              <w:bottom w:val="nil"/>
              <w:right w:val="nil"/>
              <w:tl2br w:val="nil"/>
              <w:tr2bl w:val="nil"/>
            </w:tcBorders>
            <w:shd w:val="clear" w:color="auto" w:fill="auto"/>
            <w:noWrap/>
            <w:tcMar>
              <w:left w:w="101" w:type="dxa"/>
              <w:right w:w="161" w:type="dxa"/>
            </w:tcMar>
          </w:tcPr>
          <w:p w14:paraId="7A048F9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single" w:sz="12" w:space="0" w:color="auto"/>
              <w:left w:val="nil"/>
              <w:bottom w:val="nil"/>
              <w:right w:val="nil"/>
              <w:tl2br w:val="nil"/>
              <w:tr2bl w:val="nil"/>
            </w:tcBorders>
            <w:shd w:val="clear" w:color="auto" w:fill="auto"/>
            <w:noWrap/>
            <w:tcMar>
              <w:left w:w="101" w:type="dxa"/>
              <w:right w:w="161" w:type="dxa"/>
            </w:tcMar>
          </w:tcPr>
          <w:p w14:paraId="1C04CD9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541</w:t>
            </w:r>
          </w:p>
        </w:tc>
        <w:tc>
          <w:tcPr>
            <w:tcW w:w="1125" w:type="dxa"/>
            <w:tcBorders>
              <w:top w:val="single" w:sz="12" w:space="0" w:color="auto"/>
              <w:left w:val="nil"/>
              <w:bottom w:val="nil"/>
              <w:right w:val="nil"/>
              <w:tl2br w:val="nil"/>
              <w:tr2bl w:val="nil"/>
            </w:tcBorders>
            <w:shd w:val="clear" w:color="auto" w:fill="auto"/>
            <w:noWrap/>
            <w:tcMar>
              <w:left w:w="101" w:type="dxa"/>
              <w:right w:w="101" w:type="dxa"/>
            </w:tcMar>
          </w:tcPr>
          <w:p w14:paraId="7F4F4BDA"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03E23385"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3634C2B2"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Boosting equipment for the ACT Emergency Services Agency</w:t>
            </w:r>
          </w:p>
        </w:tc>
        <w:tc>
          <w:tcPr>
            <w:tcW w:w="975" w:type="dxa"/>
            <w:tcBorders>
              <w:top w:val="nil"/>
              <w:left w:val="nil"/>
              <w:bottom w:val="nil"/>
              <w:right w:val="nil"/>
              <w:tl2br w:val="nil"/>
              <w:tr2bl w:val="nil"/>
            </w:tcBorders>
            <w:shd w:val="clear" w:color="auto" w:fill="auto"/>
            <w:noWrap/>
            <w:tcMar>
              <w:left w:w="101" w:type="dxa"/>
              <w:right w:w="161" w:type="dxa"/>
            </w:tcMar>
          </w:tcPr>
          <w:p w14:paraId="211E07A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1,228</w:t>
            </w:r>
          </w:p>
        </w:tc>
        <w:tc>
          <w:tcPr>
            <w:tcW w:w="975" w:type="dxa"/>
            <w:tcBorders>
              <w:top w:val="nil"/>
              <w:left w:val="nil"/>
              <w:bottom w:val="nil"/>
              <w:right w:val="nil"/>
              <w:tl2br w:val="nil"/>
              <w:tr2bl w:val="nil"/>
            </w:tcBorders>
            <w:shd w:val="clear" w:color="auto" w:fill="auto"/>
            <w:noWrap/>
            <w:tcMar>
              <w:left w:w="101" w:type="dxa"/>
              <w:right w:w="161" w:type="dxa"/>
            </w:tcMar>
          </w:tcPr>
          <w:p w14:paraId="18173A4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E227AC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BCCC96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A568B1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1,228</w:t>
            </w:r>
          </w:p>
        </w:tc>
        <w:tc>
          <w:tcPr>
            <w:tcW w:w="1125" w:type="dxa"/>
            <w:tcBorders>
              <w:top w:val="nil"/>
              <w:left w:val="nil"/>
              <w:bottom w:val="nil"/>
              <w:right w:val="nil"/>
              <w:tl2br w:val="nil"/>
              <w:tr2bl w:val="nil"/>
            </w:tcBorders>
            <w:shd w:val="clear" w:color="auto" w:fill="auto"/>
            <w:noWrap/>
            <w:tcMar>
              <w:left w:w="101" w:type="dxa"/>
              <w:right w:w="101" w:type="dxa"/>
            </w:tcMar>
          </w:tcPr>
          <w:p w14:paraId="0521FC8C"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37B0BEF3"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17DF32AF"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Boosting police for a growing city</w:t>
            </w:r>
          </w:p>
        </w:tc>
        <w:tc>
          <w:tcPr>
            <w:tcW w:w="975" w:type="dxa"/>
            <w:tcBorders>
              <w:top w:val="nil"/>
              <w:left w:val="nil"/>
              <w:bottom w:val="nil"/>
              <w:right w:val="nil"/>
              <w:tl2br w:val="nil"/>
              <w:tr2bl w:val="nil"/>
            </w:tcBorders>
            <w:shd w:val="clear" w:color="auto" w:fill="auto"/>
            <w:noWrap/>
            <w:tcMar>
              <w:left w:w="101" w:type="dxa"/>
              <w:right w:w="161" w:type="dxa"/>
            </w:tcMar>
          </w:tcPr>
          <w:p w14:paraId="68A8345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w:t>
            </w:r>
          </w:p>
        </w:tc>
        <w:tc>
          <w:tcPr>
            <w:tcW w:w="975" w:type="dxa"/>
            <w:tcBorders>
              <w:top w:val="nil"/>
              <w:left w:val="nil"/>
              <w:bottom w:val="nil"/>
              <w:right w:val="nil"/>
              <w:tl2br w:val="nil"/>
              <w:tr2bl w:val="nil"/>
            </w:tcBorders>
            <w:shd w:val="clear" w:color="auto" w:fill="auto"/>
            <w:noWrap/>
            <w:tcMar>
              <w:left w:w="101" w:type="dxa"/>
              <w:right w:w="161" w:type="dxa"/>
            </w:tcMar>
          </w:tcPr>
          <w:p w14:paraId="17ED0CD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C11FA5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8BD562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29E4CA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w:t>
            </w:r>
          </w:p>
        </w:tc>
        <w:tc>
          <w:tcPr>
            <w:tcW w:w="1125" w:type="dxa"/>
            <w:tcBorders>
              <w:top w:val="nil"/>
              <w:left w:val="nil"/>
              <w:bottom w:val="nil"/>
              <w:right w:val="nil"/>
              <w:tl2br w:val="nil"/>
              <w:tr2bl w:val="nil"/>
            </w:tcBorders>
            <w:shd w:val="clear" w:color="auto" w:fill="auto"/>
            <w:noWrap/>
            <w:tcMar>
              <w:left w:w="101" w:type="dxa"/>
              <w:right w:w="101" w:type="dxa"/>
            </w:tcMar>
          </w:tcPr>
          <w:p w14:paraId="3DEFE854"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Aug-21</w:t>
            </w:r>
          </w:p>
        </w:tc>
      </w:tr>
      <w:tr w:rsidR="0069402E" w:rsidRPr="005E3B44" w14:paraId="0C505BB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129A415A"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Contraband detection and intelligence solution</w:t>
            </w:r>
          </w:p>
        </w:tc>
        <w:tc>
          <w:tcPr>
            <w:tcW w:w="975" w:type="dxa"/>
            <w:tcBorders>
              <w:top w:val="nil"/>
              <w:left w:val="nil"/>
              <w:bottom w:val="nil"/>
              <w:right w:val="nil"/>
              <w:tl2br w:val="nil"/>
              <w:tr2bl w:val="nil"/>
            </w:tcBorders>
            <w:shd w:val="clear" w:color="auto" w:fill="auto"/>
            <w:noWrap/>
            <w:tcMar>
              <w:left w:w="101" w:type="dxa"/>
              <w:right w:w="161" w:type="dxa"/>
            </w:tcMar>
          </w:tcPr>
          <w:p w14:paraId="42C9E1B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604</w:t>
            </w:r>
          </w:p>
        </w:tc>
        <w:tc>
          <w:tcPr>
            <w:tcW w:w="975" w:type="dxa"/>
            <w:tcBorders>
              <w:top w:val="nil"/>
              <w:left w:val="nil"/>
              <w:bottom w:val="nil"/>
              <w:right w:val="nil"/>
              <w:tl2br w:val="nil"/>
              <w:tr2bl w:val="nil"/>
            </w:tcBorders>
            <w:shd w:val="clear" w:color="auto" w:fill="auto"/>
            <w:noWrap/>
            <w:tcMar>
              <w:left w:w="101" w:type="dxa"/>
              <w:right w:w="161" w:type="dxa"/>
            </w:tcMar>
          </w:tcPr>
          <w:p w14:paraId="55E47F3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9F1767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F5A750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C4806B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604</w:t>
            </w:r>
          </w:p>
        </w:tc>
        <w:tc>
          <w:tcPr>
            <w:tcW w:w="1125" w:type="dxa"/>
            <w:tcBorders>
              <w:top w:val="nil"/>
              <w:left w:val="nil"/>
              <w:bottom w:val="nil"/>
              <w:right w:val="nil"/>
              <w:tl2br w:val="nil"/>
              <w:tr2bl w:val="nil"/>
            </w:tcBorders>
            <w:shd w:val="clear" w:color="auto" w:fill="auto"/>
            <w:noWrap/>
            <w:tcMar>
              <w:left w:w="101" w:type="dxa"/>
              <w:right w:w="101" w:type="dxa"/>
            </w:tcMar>
          </w:tcPr>
          <w:p w14:paraId="0236D32F"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0D6DB37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01DC14D8"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Courts Public Private Partnership </w:t>
            </w:r>
          </w:p>
        </w:tc>
        <w:tc>
          <w:tcPr>
            <w:tcW w:w="975" w:type="dxa"/>
            <w:tcBorders>
              <w:top w:val="nil"/>
              <w:left w:val="nil"/>
              <w:bottom w:val="nil"/>
              <w:right w:val="nil"/>
              <w:tl2br w:val="nil"/>
              <w:tr2bl w:val="nil"/>
            </w:tcBorders>
            <w:shd w:val="clear" w:color="auto" w:fill="auto"/>
            <w:noWrap/>
            <w:tcMar>
              <w:left w:w="101" w:type="dxa"/>
              <w:right w:w="161" w:type="dxa"/>
            </w:tcMar>
          </w:tcPr>
          <w:p w14:paraId="731848E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712</w:t>
            </w:r>
          </w:p>
        </w:tc>
        <w:tc>
          <w:tcPr>
            <w:tcW w:w="975" w:type="dxa"/>
            <w:tcBorders>
              <w:top w:val="nil"/>
              <w:left w:val="nil"/>
              <w:bottom w:val="nil"/>
              <w:right w:val="nil"/>
              <w:tl2br w:val="nil"/>
              <w:tr2bl w:val="nil"/>
            </w:tcBorders>
            <w:shd w:val="clear" w:color="auto" w:fill="auto"/>
            <w:noWrap/>
            <w:tcMar>
              <w:left w:w="101" w:type="dxa"/>
              <w:right w:w="161" w:type="dxa"/>
            </w:tcMar>
          </w:tcPr>
          <w:p w14:paraId="05B1711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34D02B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C6CC04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31A23D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712</w:t>
            </w:r>
          </w:p>
        </w:tc>
        <w:tc>
          <w:tcPr>
            <w:tcW w:w="1125" w:type="dxa"/>
            <w:tcBorders>
              <w:top w:val="nil"/>
              <w:left w:val="nil"/>
              <w:bottom w:val="nil"/>
              <w:right w:val="nil"/>
              <w:tl2br w:val="nil"/>
              <w:tr2bl w:val="nil"/>
            </w:tcBorders>
            <w:shd w:val="clear" w:color="auto" w:fill="auto"/>
            <w:noWrap/>
            <w:tcMar>
              <w:left w:w="101" w:type="dxa"/>
              <w:right w:w="101" w:type="dxa"/>
            </w:tcMar>
          </w:tcPr>
          <w:p w14:paraId="0CDCCB3E"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167660D8"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402" w:type="dxa"/>
            <w:tcBorders>
              <w:top w:val="nil"/>
              <w:left w:val="nil"/>
              <w:bottom w:val="nil"/>
              <w:right w:val="nil"/>
              <w:tl2br w:val="nil"/>
              <w:tr2bl w:val="nil"/>
            </w:tcBorders>
            <w:shd w:val="clear" w:color="auto" w:fill="auto"/>
            <w:tcMar>
              <w:left w:w="101" w:type="dxa"/>
              <w:right w:w="101" w:type="dxa"/>
            </w:tcMar>
            <w:vAlign w:val="center"/>
          </w:tcPr>
          <w:p w14:paraId="448B6B19"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Creating a Reintegration Centre to support pathways out of the justice system</w:t>
            </w:r>
          </w:p>
        </w:tc>
        <w:tc>
          <w:tcPr>
            <w:tcW w:w="975" w:type="dxa"/>
            <w:tcBorders>
              <w:top w:val="nil"/>
              <w:left w:val="nil"/>
              <w:bottom w:val="nil"/>
              <w:right w:val="nil"/>
              <w:tl2br w:val="nil"/>
              <w:tr2bl w:val="nil"/>
            </w:tcBorders>
            <w:shd w:val="clear" w:color="auto" w:fill="auto"/>
            <w:noWrap/>
            <w:tcMar>
              <w:left w:w="101" w:type="dxa"/>
              <w:right w:w="161" w:type="dxa"/>
            </w:tcMar>
          </w:tcPr>
          <w:p w14:paraId="339869C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w:t>
            </w:r>
          </w:p>
        </w:tc>
        <w:tc>
          <w:tcPr>
            <w:tcW w:w="975" w:type="dxa"/>
            <w:tcBorders>
              <w:top w:val="nil"/>
              <w:left w:val="nil"/>
              <w:bottom w:val="nil"/>
              <w:right w:val="nil"/>
              <w:tl2br w:val="nil"/>
              <w:tr2bl w:val="nil"/>
            </w:tcBorders>
            <w:shd w:val="clear" w:color="auto" w:fill="auto"/>
            <w:noWrap/>
            <w:tcMar>
              <w:left w:w="101" w:type="dxa"/>
              <w:right w:w="161" w:type="dxa"/>
            </w:tcMar>
          </w:tcPr>
          <w:p w14:paraId="791E22D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42BC3D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E04BCE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6CF29A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w:t>
            </w:r>
          </w:p>
        </w:tc>
        <w:tc>
          <w:tcPr>
            <w:tcW w:w="1125" w:type="dxa"/>
            <w:tcBorders>
              <w:top w:val="nil"/>
              <w:left w:val="nil"/>
              <w:bottom w:val="nil"/>
              <w:right w:val="nil"/>
              <w:tl2br w:val="nil"/>
              <w:tr2bl w:val="nil"/>
            </w:tcBorders>
            <w:shd w:val="clear" w:color="auto" w:fill="auto"/>
            <w:noWrap/>
            <w:tcMar>
              <w:left w:w="101" w:type="dxa"/>
              <w:right w:w="101" w:type="dxa"/>
            </w:tcMar>
          </w:tcPr>
          <w:p w14:paraId="147CE553"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53FD26B9"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402" w:type="dxa"/>
            <w:tcBorders>
              <w:top w:val="nil"/>
              <w:left w:val="nil"/>
              <w:bottom w:val="nil"/>
              <w:right w:val="nil"/>
              <w:tl2br w:val="nil"/>
              <w:tr2bl w:val="nil"/>
            </w:tcBorders>
            <w:shd w:val="clear" w:color="auto" w:fill="auto"/>
            <w:tcMar>
              <w:left w:w="101" w:type="dxa"/>
              <w:right w:w="101" w:type="dxa"/>
            </w:tcMar>
            <w:vAlign w:val="center"/>
          </w:tcPr>
          <w:p w14:paraId="566E0114"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Delivering better facilities for ACT Policing</w:t>
            </w:r>
          </w:p>
        </w:tc>
        <w:tc>
          <w:tcPr>
            <w:tcW w:w="975" w:type="dxa"/>
            <w:tcBorders>
              <w:top w:val="nil"/>
              <w:left w:val="nil"/>
              <w:bottom w:val="nil"/>
              <w:right w:val="nil"/>
              <w:tl2br w:val="nil"/>
              <w:tr2bl w:val="nil"/>
            </w:tcBorders>
            <w:shd w:val="clear" w:color="auto" w:fill="auto"/>
            <w:noWrap/>
            <w:tcMar>
              <w:left w:w="101" w:type="dxa"/>
              <w:right w:w="161" w:type="dxa"/>
            </w:tcMar>
          </w:tcPr>
          <w:p w14:paraId="552C487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1,100</w:t>
            </w:r>
          </w:p>
        </w:tc>
        <w:tc>
          <w:tcPr>
            <w:tcW w:w="975" w:type="dxa"/>
            <w:tcBorders>
              <w:top w:val="nil"/>
              <w:left w:val="nil"/>
              <w:bottom w:val="nil"/>
              <w:right w:val="nil"/>
              <w:tl2br w:val="nil"/>
              <w:tr2bl w:val="nil"/>
            </w:tcBorders>
            <w:shd w:val="clear" w:color="auto" w:fill="auto"/>
            <w:noWrap/>
            <w:tcMar>
              <w:left w:w="101" w:type="dxa"/>
              <w:right w:w="161" w:type="dxa"/>
            </w:tcMar>
          </w:tcPr>
          <w:p w14:paraId="1EE4BBC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4,374</w:t>
            </w:r>
          </w:p>
        </w:tc>
        <w:tc>
          <w:tcPr>
            <w:tcW w:w="975" w:type="dxa"/>
            <w:tcBorders>
              <w:top w:val="nil"/>
              <w:left w:val="nil"/>
              <w:bottom w:val="nil"/>
              <w:right w:val="nil"/>
              <w:tl2br w:val="nil"/>
              <w:tr2bl w:val="nil"/>
            </w:tcBorders>
            <w:shd w:val="clear" w:color="auto" w:fill="auto"/>
            <w:noWrap/>
            <w:tcMar>
              <w:left w:w="101" w:type="dxa"/>
              <w:right w:w="161" w:type="dxa"/>
            </w:tcMar>
          </w:tcPr>
          <w:p w14:paraId="48054E4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1,650</w:t>
            </w:r>
          </w:p>
        </w:tc>
        <w:tc>
          <w:tcPr>
            <w:tcW w:w="975" w:type="dxa"/>
            <w:tcBorders>
              <w:top w:val="nil"/>
              <w:left w:val="nil"/>
              <w:bottom w:val="nil"/>
              <w:right w:val="nil"/>
              <w:tl2br w:val="nil"/>
              <w:tr2bl w:val="nil"/>
            </w:tcBorders>
            <w:shd w:val="clear" w:color="auto" w:fill="auto"/>
            <w:noWrap/>
            <w:tcMar>
              <w:left w:w="101" w:type="dxa"/>
              <w:right w:w="161" w:type="dxa"/>
            </w:tcMar>
          </w:tcPr>
          <w:p w14:paraId="0E9923C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3FF752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7,124</w:t>
            </w:r>
          </w:p>
        </w:tc>
        <w:tc>
          <w:tcPr>
            <w:tcW w:w="1125" w:type="dxa"/>
            <w:tcBorders>
              <w:top w:val="nil"/>
              <w:left w:val="nil"/>
              <w:bottom w:val="nil"/>
              <w:right w:val="nil"/>
              <w:tl2br w:val="nil"/>
              <w:tr2bl w:val="nil"/>
            </w:tcBorders>
            <w:shd w:val="clear" w:color="auto" w:fill="auto"/>
            <w:noWrap/>
            <w:tcMar>
              <w:left w:w="101" w:type="dxa"/>
              <w:right w:w="101" w:type="dxa"/>
            </w:tcMar>
          </w:tcPr>
          <w:p w14:paraId="1A3DE815"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Dec-23</w:t>
            </w:r>
          </w:p>
        </w:tc>
      </w:tr>
      <w:tr w:rsidR="0069402E" w:rsidRPr="005E3B44" w14:paraId="3EC5B13E"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31C370C8"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Digital Canberra — New digital radio communication system </w:t>
            </w:r>
            <w:r w:rsidRPr="005E3B44">
              <w:rPr>
                <w:rFonts w:asciiTheme="minorHAnsi" w:eastAsia="Calibri" w:hAnsiTheme="minorHAnsi" w:cstheme="minorHAnsi"/>
                <w:color w:val="000000"/>
                <w:sz w:val="18"/>
                <w:vertAlign w:val="superscript"/>
              </w:rPr>
              <w:t>1</w:t>
            </w:r>
          </w:p>
        </w:tc>
        <w:tc>
          <w:tcPr>
            <w:tcW w:w="975" w:type="dxa"/>
            <w:tcBorders>
              <w:top w:val="nil"/>
              <w:left w:val="nil"/>
              <w:bottom w:val="nil"/>
              <w:right w:val="nil"/>
              <w:tl2br w:val="nil"/>
              <w:tr2bl w:val="nil"/>
            </w:tcBorders>
            <w:shd w:val="clear" w:color="auto" w:fill="auto"/>
            <w:noWrap/>
            <w:tcMar>
              <w:left w:w="101" w:type="dxa"/>
              <w:right w:w="161" w:type="dxa"/>
            </w:tcMar>
          </w:tcPr>
          <w:p w14:paraId="31CA7FE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w:t>
            </w:r>
          </w:p>
        </w:tc>
        <w:tc>
          <w:tcPr>
            <w:tcW w:w="975" w:type="dxa"/>
            <w:tcBorders>
              <w:top w:val="nil"/>
              <w:left w:val="nil"/>
              <w:bottom w:val="nil"/>
              <w:right w:val="nil"/>
              <w:tl2br w:val="nil"/>
              <w:tr2bl w:val="nil"/>
            </w:tcBorders>
            <w:shd w:val="clear" w:color="auto" w:fill="auto"/>
            <w:noWrap/>
            <w:tcMar>
              <w:left w:w="101" w:type="dxa"/>
              <w:right w:w="161" w:type="dxa"/>
            </w:tcMar>
          </w:tcPr>
          <w:p w14:paraId="4098785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44D4B6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45308F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508C7F7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w:t>
            </w:r>
          </w:p>
        </w:tc>
        <w:tc>
          <w:tcPr>
            <w:tcW w:w="1125" w:type="dxa"/>
            <w:tcBorders>
              <w:top w:val="nil"/>
              <w:left w:val="nil"/>
              <w:bottom w:val="nil"/>
              <w:right w:val="nil"/>
              <w:tl2br w:val="nil"/>
              <w:tr2bl w:val="nil"/>
            </w:tcBorders>
            <w:shd w:val="clear" w:color="auto" w:fill="auto"/>
            <w:noWrap/>
            <w:tcMar>
              <w:left w:w="101" w:type="dxa"/>
              <w:right w:w="101" w:type="dxa"/>
            </w:tcMar>
          </w:tcPr>
          <w:p w14:paraId="3902E2DB"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Mar-20</w:t>
            </w:r>
          </w:p>
        </w:tc>
      </w:tr>
      <w:tr w:rsidR="0069402E" w:rsidRPr="005E3B44" w14:paraId="1618EBDA"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12D6E84"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Emergency Services Agency (ESA) Station Upgrade and Relocation — Aranda station </w:t>
            </w:r>
            <w:r w:rsidRPr="005E3B44">
              <w:rPr>
                <w:rFonts w:asciiTheme="minorHAnsi" w:eastAsia="Calibri" w:hAnsiTheme="minorHAnsi" w:cstheme="minorHAnsi"/>
                <w:color w:val="000000"/>
                <w:sz w:val="18"/>
                <w:vertAlign w:val="superscript"/>
              </w:rPr>
              <w:t>1</w:t>
            </w:r>
          </w:p>
        </w:tc>
        <w:tc>
          <w:tcPr>
            <w:tcW w:w="975" w:type="dxa"/>
            <w:tcBorders>
              <w:top w:val="nil"/>
              <w:left w:val="nil"/>
              <w:bottom w:val="nil"/>
              <w:right w:val="nil"/>
              <w:tl2br w:val="nil"/>
              <w:tr2bl w:val="nil"/>
            </w:tcBorders>
            <w:shd w:val="clear" w:color="auto" w:fill="auto"/>
            <w:noWrap/>
            <w:tcMar>
              <w:left w:w="101" w:type="dxa"/>
              <w:right w:w="161" w:type="dxa"/>
            </w:tcMar>
          </w:tcPr>
          <w:p w14:paraId="06F5936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w:t>
            </w:r>
          </w:p>
        </w:tc>
        <w:tc>
          <w:tcPr>
            <w:tcW w:w="975" w:type="dxa"/>
            <w:tcBorders>
              <w:top w:val="nil"/>
              <w:left w:val="nil"/>
              <w:bottom w:val="nil"/>
              <w:right w:val="nil"/>
              <w:tl2br w:val="nil"/>
              <w:tr2bl w:val="nil"/>
            </w:tcBorders>
            <w:shd w:val="clear" w:color="auto" w:fill="auto"/>
            <w:noWrap/>
            <w:tcMar>
              <w:left w:w="101" w:type="dxa"/>
              <w:right w:w="161" w:type="dxa"/>
            </w:tcMar>
          </w:tcPr>
          <w:p w14:paraId="1623800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AF432B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54A4E9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EB645B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w:t>
            </w:r>
          </w:p>
        </w:tc>
        <w:tc>
          <w:tcPr>
            <w:tcW w:w="1125" w:type="dxa"/>
            <w:tcBorders>
              <w:top w:val="nil"/>
              <w:left w:val="nil"/>
              <w:bottom w:val="nil"/>
              <w:right w:val="nil"/>
              <w:tl2br w:val="nil"/>
              <w:tr2bl w:val="nil"/>
            </w:tcBorders>
            <w:shd w:val="clear" w:color="auto" w:fill="auto"/>
            <w:noWrap/>
            <w:tcMar>
              <w:left w:w="101" w:type="dxa"/>
              <w:right w:w="101" w:type="dxa"/>
            </w:tcMar>
          </w:tcPr>
          <w:p w14:paraId="319E0455"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Mar-20</w:t>
            </w:r>
          </w:p>
        </w:tc>
      </w:tr>
      <w:tr w:rsidR="0069402E" w:rsidRPr="005E3B44" w14:paraId="44983DA4"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551CBBCC"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Emergency Services Agency critical ICT investment</w:t>
            </w:r>
          </w:p>
        </w:tc>
        <w:tc>
          <w:tcPr>
            <w:tcW w:w="975" w:type="dxa"/>
            <w:tcBorders>
              <w:top w:val="nil"/>
              <w:left w:val="nil"/>
              <w:bottom w:val="nil"/>
              <w:right w:val="nil"/>
              <w:tl2br w:val="nil"/>
              <w:tr2bl w:val="nil"/>
            </w:tcBorders>
            <w:shd w:val="clear" w:color="auto" w:fill="auto"/>
            <w:noWrap/>
            <w:tcMar>
              <w:left w:w="101" w:type="dxa"/>
              <w:right w:w="161" w:type="dxa"/>
            </w:tcMar>
          </w:tcPr>
          <w:p w14:paraId="4A5D646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975" w:type="dxa"/>
            <w:tcBorders>
              <w:top w:val="nil"/>
              <w:left w:val="nil"/>
              <w:bottom w:val="nil"/>
              <w:right w:val="nil"/>
              <w:tl2br w:val="nil"/>
              <w:tr2bl w:val="nil"/>
            </w:tcBorders>
            <w:shd w:val="clear" w:color="auto" w:fill="auto"/>
            <w:noWrap/>
            <w:tcMar>
              <w:left w:w="101" w:type="dxa"/>
              <w:right w:w="161" w:type="dxa"/>
            </w:tcMar>
          </w:tcPr>
          <w:p w14:paraId="7BE11DA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63B7AE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2E653F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930347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1125" w:type="dxa"/>
            <w:tcBorders>
              <w:top w:val="nil"/>
              <w:left w:val="nil"/>
              <w:bottom w:val="nil"/>
              <w:right w:val="nil"/>
              <w:tl2br w:val="nil"/>
              <w:tr2bl w:val="nil"/>
            </w:tcBorders>
            <w:shd w:val="clear" w:color="auto" w:fill="auto"/>
            <w:noWrap/>
            <w:tcMar>
              <w:left w:w="101" w:type="dxa"/>
              <w:right w:w="101" w:type="dxa"/>
            </w:tcMar>
          </w:tcPr>
          <w:p w14:paraId="5958F412"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6386EBA4"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1F819406"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ESA — Station Relocation and Upgrade — Phase 2 Due Diligence</w:t>
            </w:r>
          </w:p>
        </w:tc>
        <w:tc>
          <w:tcPr>
            <w:tcW w:w="975" w:type="dxa"/>
            <w:tcBorders>
              <w:top w:val="nil"/>
              <w:left w:val="nil"/>
              <w:bottom w:val="nil"/>
              <w:right w:val="nil"/>
              <w:tl2br w:val="nil"/>
              <w:tr2bl w:val="nil"/>
            </w:tcBorders>
            <w:shd w:val="clear" w:color="auto" w:fill="auto"/>
            <w:noWrap/>
            <w:tcMar>
              <w:left w:w="101" w:type="dxa"/>
              <w:right w:w="161" w:type="dxa"/>
            </w:tcMar>
          </w:tcPr>
          <w:p w14:paraId="49185CA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257</w:t>
            </w:r>
          </w:p>
        </w:tc>
        <w:tc>
          <w:tcPr>
            <w:tcW w:w="975" w:type="dxa"/>
            <w:tcBorders>
              <w:top w:val="nil"/>
              <w:left w:val="nil"/>
              <w:bottom w:val="nil"/>
              <w:right w:val="nil"/>
              <w:tl2br w:val="nil"/>
              <w:tr2bl w:val="nil"/>
            </w:tcBorders>
            <w:shd w:val="clear" w:color="auto" w:fill="auto"/>
            <w:noWrap/>
            <w:tcMar>
              <w:left w:w="101" w:type="dxa"/>
              <w:right w:w="161" w:type="dxa"/>
            </w:tcMar>
          </w:tcPr>
          <w:p w14:paraId="46A8696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5DFBD3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36A3D3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DBC6D0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257</w:t>
            </w:r>
          </w:p>
        </w:tc>
        <w:tc>
          <w:tcPr>
            <w:tcW w:w="1125" w:type="dxa"/>
            <w:tcBorders>
              <w:top w:val="nil"/>
              <w:left w:val="nil"/>
              <w:bottom w:val="nil"/>
              <w:right w:val="nil"/>
              <w:tl2br w:val="nil"/>
              <w:tr2bl w:val="nil"/>
            </w:tcBorders>
            <w:shd w:val="clear" w:color="auto" w:fill="auto"/>
            <w:noWrap/>
            <w:tcMar>
              <w:left w:w="101" w:type="dxa"/>
              <w:right w:w="101" w:type="dxa"/>
            </w:tcMar>
          </w:tcPr>
          <w:p w14:paraId="10B0A3C1"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6C5E5E94"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A0AEC30"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ESA Urban Search and Rescue and Chemical, Biological, Radiological and Nuclear Equipment Replacement</w:t>
            </w:r>
          </w:p>
        </w:tc>
        <w:tc>
          <w:tcPr>
            <w:tcW w:w="975" w:type="dxa"/>
            <w:tcBorders>
              <w:top w:val="nil"/>
              <w:left w:val="nil"/>
              <w:bottom w:val="nil"/>
              <w:right w:val="nil"/>
              <w:tl2br w:val="nil"/>
              <w:tr2bl w:val="nil"/>
            </w:tcBorders>
            <w:shd w:val="clear" w:color="auto" w:fill="auto"/>
            <w:noWrap/>
            <w:tcMar>
              <w:left w:w="101" w:type="dxa"/>
              <w:right w:w="161" w:type="dxa"/>
            </w:tcMar>
          </w:tcPr>
          <w:p w14:paraId="2013BFB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311</w:t>
            </w:r>
          </w:p>
        </w:tc>
        <w:tc>
          <w:tcPr>
            <w:tcW w:w="975" w:type="dxa"/>
            <w:tcBorders>
              <w:top w:val="nil"/>
              <w:left w:val="nil"/>
              <w:bottom w:val="nil"/>
              <w:right w:val="nil"/>
              <w:tl2br w:val="nil"/>
              <w:tr2bl w:val="nil"/>
            </w:tcBorders>
            <w:shd w:val="clear" w:color="auto" w:fill="auto"/>
            <w:noWrap/>
            <w:tcMar>
              <w:left w:w="101" w:type="dxa"/>
              <w:right w:w="161" w:type="dxa"/>
            </w:tcMar>
          </w:tcPr>
          <w:p w14:paraId="30AE6D8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111</w:t>
            </w:r>
          </w:p>
        </w:tc>
        <w:tc>
          <w:tcPr>
            <w:tcW w:w="975" w:type="dxa"/>
            <w:tcBorders>
              <w:top w:val="nil"/>
              <w:left w:val="nil"/>
              <w:bottom w:val="nil"/>
              <w:right w:val="nil"/>
              <w:tl2br w:val="nil"/>
              <w:tr2bl w:val="nil"/>
            </w:tcBorders>
            <w:shd w:val="clear" w:color="auto" w:fill="auto"/>
            <w:noWrap/>
            <w:tcMar>
              <w:left w:w="101" w:type="dxa"/>
              <w:right w:w="161" w:type="dxa"/>
            </w:tcMar>
          </w:tcPr>
          <w:p w14:paraId="2EACA7A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111</w:t>
            </w:r>
          </w:p>
        </w:tc>
        <w:tc>
          <w:tcPr>
            <w:tcW w:w="975" w:type="dxa"/>
            <w:tcBorders>
              <w:top w:val="nil"/>
              <w:left w:val="nil"/>
              <w:bottom w:val="nil"/>
              <w:right w:val="nil"/>
              <w:tl2br w:val="nil"/>
              <w:tr2bl w:val="nil"/>
            </w:tcBorders>
            <w:shd w:val="clear" w:color="auto" w:fill="auto"/>
            <w:noWrap/>
            <w:tcMar>
              <w:left w:w="101" w:type="dxa"/>
              <w:right w:w="161" w:type="dxa"/>
            </w:tcMar>
          </w:tcPr>
          <w:p w14:paraId="30A8F38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111</w:t>
            </w:r>
          </w:p>
        </w:tc>
        <w:tc>
          <w:tcPr>
            <w:tcW w:w="1125" w:type="dxa"/>
            <w:tcBorders>
              <w:top w:val="nil"/>
              <w:left w:val="nil"/>
              <w:bottom w:val="nil"/>
              <w:right w:val="nil"/>
              <w:tl2br w:val="nil"/>
              <w:tr2bl w:val="nil"/>
            </w:tcBorders>
            <w:shd w:val="clear" w:color="auto" w:fill="auto"/>
            <w:noWrap/>
            <w:tcMar>
              <w:left w:w="101" w:type="dxa"/>
              <w:right w:w="161" w:type="dxa"/>
            </w:tcMar>
          </w:tcPr>
          <w:p w14:paraId="5C92986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644</w:t>
            </w:r>
          </w:p>
        </w:tc>
        <w:tc>
          <w:tcPr>
            <w:tcW w:w="1125" w:type="dxa"/>
            <w:tcBorders>
              <w:top w:val="nil"/>
              <w:left w:val="nil"/>
              <w:bottom w:val="nil"/>
              <w:right w:val="nil"/>
              <w:tl2br w:val="nil"/>
              <w:tr2bl w:val="nil"/>
            </w:tcBorders>
            <w:shd w:val="clear" w:color="auto" w:fill="auto"/>
            <w:noWrap/>
            <w:tcMar>
              <w:left w:w="101" w:type="dxa"/>
              <w:right w:w="101" w:type="dxa"/>
            </w:tcMar>
          </w:tcPr>
          <w:p w14:paraId="7EED302E"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ongoing</w:t>
            </w:r>
          </w:p>
        </w:tc>
      </w:tr>
      <w:tr w:rsidR="0069402E" w:rsidRPr="005E3B44" w14:paraId="12A86A92"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7B5F35FE"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ESA Vehicle replacement program </w:t>
            </w:r>
          </w:p>
        </w:tc>
        <w:tc>
          <w:tcPr>
            <w:tcW w:w="975" w:type="dxa"/>
            <w:tcBorders>
              <w:top w:val="nil"/>
              <w:left w:val="nil"/>
              <w:bottom w:val="nil"/>
              <w:right w:val="nil"/>
              <w:tl2br w:val="nil"/>
              <w:tr2bl w:val="nil"/>
            </w:tcBorders>
            <w:shd w:val="clear" w:color="auto" w:fill="auto"/>
            <w:noWrap/>
            <w:tcMar>
              <w:left w:w="101" w:type="dxa"/>
              <w:right w:w="161" w:type="dxa"/>
            </w:tcMar>
          </w:tcPr>
          <w:p w14:paraId="0EA7569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7,658</w:t>
            </w:r>
          </w:p>
        </w:tc>
        <w:tc>
          <w:tcPr>
            <w:tcW w:w="975" w:type="dxa"/>
            <w:tcBorders>
              <w:top w:val="nil"/>
              <w:left w:val="nil"/>
              <w:bottom w:val="nil"/>
              <w:right w:val="nil"/>
              <w:tl2br w:val="nil"/>
              <w:tr2bl w:val="nil"/>
            </w:tcBorders>
            <w:shd w:val="clear" w:color="auto" w:fill="auto"/>
            <w:noWrap/>
            <w:tcMar>
              <w:left w:w="101" w:type="dxa"/>
              <w:right w:w="161" w:type="dxa"/>
            </w:tcMar>
          </w:tcPr>
          <w:p w14:paraId="44B0FE4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517981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926</w:t>
            </w:r>
          </w:p>
        </w:tc>
        <w:tc>
          <w:tcPr>
            <w:tcW w:w="975" w:type="dxa"/>
            <w:tcBorders>
              <w:top w:val="nil"/>
              <w:left w:val="nil"/>
              <w:bottom w:val="nil"/>
              <w:right w:val="nil"/>
              <w:tl2br w:val="nil"/>
              <w:tr2bl w:val="nil"/>
            </w:tcBorders>
            <w:shd w:val="clear" w:color="auto" w:fill="auto"/>
            <w:noWrap/>
            <w:tcMar>
              <w:left w:w="101" w:type="dxa"/>
              <w:right w:w="161" w:type="dxa"/>
            </w:tcMar>
          </w:tcPr>
          <w:p w14:paraId="0532DAA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2,011</w:t>
            </w:r>
          </w:p>
        </w:tc>
        <w:tc>
          <w:tcPr>
            <w:tcW w:w="1125" w:type="dxa"/>
            <w:tcBorders>
              <w:top w:val="nil"/>
              <w:left w:val="nil"/>
              <w:bottom w:val="nil"/>
              <w:right w:val="nil"/>
              <w:tl2br w:val="nil"/>
              <w:tr2bl w:val="nil"/>
            </w:tcBorders>
            <w:shd w:val="clear" w:color="auto" w:fill="auto"/>
            <w:noWrap/>
            <w:tcMar>
              <w:left w:w="101" w:type="dxa"/>
              <w:right w:w="161" w:type="dxa"/>
            </w:tcMar>
          </w:tcPr>
          <w:p w14:paraId="0AFB6E9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10,595</w:t>
            </w:r>
          </w:p>
        </w:tc>
        <w:tc>
          <w:tcPr>
            <w:tcW w:w="1125" w:type="dxa"/>
            <w:tcBorders>
              <w:top w:val="nil"/>
              <w:left w:val="nil"/>
              <w:bottom w:val="nil"/>
              <w:right w:val="nil"/>
              <w:tl2br w:val="nil"/>
              <w:tr2bl w:val="nil"/>
            </w:tcBorders>
            <w:shd w:val="clear" w:color="auto" w:fill="auto"/>
            <w:noWrap/>
            <w:tcMar>
              <w:left w:w="101" w:type="dxa"/>
              <w:right w:w="101" w:type="dxa"/>
            </w:tcMar>
          </w:tcPr>
          <w:p w14:paraId="6ACE97F4"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ongoing</w:t>
            </w:r>
          </w:p>
        </w:tc>
      </w:tr>
      <w:tr w:rsidR="0069402E" w:rsidRPr="005E3B44" w14:paraId="6300EE8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620D317D"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Management and remediation of firefighting substances at the stations</w:t>
            </w:r>
          </w:p>
        </w:tc>
        <w:tc>
          <w:tcPr>
            <w:tcW w:w="975" w:type="dxa"/>
            <w:tcBorders>
              <w:top w:val="nil"/>
              <w:left w:val="nil"/>
              <w:bottom w:val="nil"/>
              <w:right w:val="nil"/>
              <w:tl2br w:val="nil"/>
              <w:tr2bl w:val="nil"/>
            </w:tcBorders>
            <w:shd w:val="clear" w:color="auto" w:fill="auto"/>
            <w:noWrap/>
            <w:tcMar>
              <w:left w:w="101" w:type="dxa"/>
              <w:right w:w="161" w:type="dxa"/>
            </w:tcMar>
          </w:tcPr>
          <w:p w14:paraId="2F30691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1,292</w:t>
            </w:r>
          </w:p>
        </w:tc>
        <w:tc>
          <w:tcPr>
            <w:tcW w:w="975" w:type="dxa"/>
            <w:tcBorders>
              <w:top w:val="nil"/>
              <w:left w:val="nil"/>
              <w:bottom w:val="nil"/>
              <w:right w:val="nil"/>
              <w:tl2br w:val="nil"/>
              <w:tr2bl w:val="nil"/>
            </w:tcBorders>
            <w:shd w:val="clear" w:color="auto" w:fill="auto"/>
            <w:noWrap/>
            <w:tcMar>
              <w:left w:w="101" w:type="dxa"/>
              <w:right w:w="161" w:type="dxa"/>
            </w:tcMar>
          </w:tcPr>
          <w:p w14:paraId="6F3B972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797</w:t>
            </w:r>
          </w:p>
        </w:tc>
        <w:tc>
          <w:tcPr>
            <w:tcW w:w="975" w:type="dxa"/>
            <w:tcBorders>
              <w:top w:val="nil"/>
              <w:left w:val="nil"/>
              <w:bottom w:val="nil"/>
              <w:right w:val="nil"/>
              <w:tl2br w:val="nil"/>
              <w:tr2bl w:val="nil"/>
            </w:tcBorders>
            <w:shd w:val="clear" w:color="auto" w:fill="auto"/>
            <w:noWrap/>
            <w:tcMar>
              <w:left w:w="101" w:type="dxa"/>
              <w:right w:w="161" w:type="dxa"/>
            </w:tcMar>
          </w:tcPr>
          <w:p w14:paraId="5C22952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5C1A94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6188D38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2,089</w:t>
            </w:r>
          </w:p>
        </w:tc>
        <w:tc>
          <w:tcPr>
            <w:tcW w:w="1125" w:type="dxa"/>
            <w:tcBorders>
              <w:top w:val="nil"/>
              <w:left w:val="nil"/>
              <w:bottom w:val="nil"/>
              <w:right w:val="nil"/>
              <w:tl2br w:val="nil"/>
              <w:tr2bl w:val="nil"/>
            </w:tcBorders>
            <w:shd w:val="clear" w:color="auto" w:fill="auto"/>
            <w:noWrap/>
            <w:tcMar>
              <w:left w:w="101" w:type="dxa"/>
              <w:right w:w="101" w:type="dxa"/>
            </w:tcMar>
          </w:tcPr>
          <w:p w14:paraId="5927B2BD"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69402E" w:rsidRPr="005E3B44" w14:paraId="0C2AA766"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35CC74A9"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More ACT Fire &amp; Rescue Staff and Construction of Acton Station </w:t>
            </w:r>
            <w:r w:rsidRPr="005E3B44">
              <w:rPr>
                <w:rFonts w:asciiTheme="minorHAnsi" w:eastAsia="Calibri" w:hAnsiTheme="minorHAnsi" w:cstheme="minorHAnsi"/>
                <w:color w:val="000000"/>
                <w:sz w:val="18"/>
                <w:vertAlign w:val="superscript"/>
              </w:rPr>
              <w:t>2</w:t>
            </w:r>
          </w:p>
        </w:tc>
        <w:tc>
          <w:tcPr>
            <w:tcW w:w="975" w:type="dxa"/>
            <w:tcBorders>
              <w:top w:val="nil"/>
              <w:left w:val="nil"/>
              <w:bottom w:val="nil"/>
              <w:right w:val="nil"/>
              <w:tl2br w:val="nil"/>
              <w:tr2bl w:val="nil"/>
            </w:tcBorders>
            <w:shd w:val="clear" w:color="auto" w:fill="auto"/>
            <w:noWrap/>
            <w:tcMar>
              <w:left w:w="101" w:type="dxa"/>
              <w:right w:w="161" w:type="dxa"/>
            </w:tcMar>
          </w:tcPr>
          <w:p w14:paraId="7FA43E4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1,312</w:t>
            </w:r>
          </w:p>
        </w:tc>
        <w:tc>
          <w:tcPr>
            <w:tcW w:w="975" w:type="dxa"/>
            <w:tcBorders>
              <w:top w:val="nil"/>
              <w:left w:val="nil"/>
              <w:bottom w:val="nil"/>
              <w:right w:val="nil"/>
              <w:tl2br w:val="nil"/>
              <w:tr2bl w:val="nil"/>
            </w:tcBorders>
            <w:shd w:val="clear" w:color="auto" w:fill="auto"/>
            <w:noWrap/>
            <w:tcMar>
              <w:left w:w="101" w:type="dxa"/>
              <w:right w:w="161" w:type="dxa"/>
            </w:tcMar>
          </w:tcPr>
          <w:p w14:paraId="5AF5FD3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15,641</w:t>
            </w:r>
          </w:p>
        </w:tc>
        <w:tc>
          <w:tcPr>
            <w:tcW w:w="975" w:type="dxa"/>
            <w:tcBorders>
              <w:top w:val="nil"/>
              <w:left w:val="nil"/>
              <w:bottom w:val="nil"/>
              <w:right w:val="nil"/>
              <w:tl2br w:val="nil"/>
              <w:tr2bl w:val="nil"/>
            </w:tcBorders>
            <w:shd w:val="clear" w:color="auto" w:fill="auto"/>
            <w:noWrap/>
            <w:tcMar>
              <w:left w:w="101" w:type="dxa"/>
              <w:right w:w="161" w:type="dxa"/>
            </w:tcMar>
          </w:tcPr>
          <w:p w14:paraId="29FEFAB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23,444</w:t>
            </w:r>
          </w:p>
        </w:tc>
        <w:tc>
          <w:tcPr>
            <w:tcW w:w="975" w:type="dxa"/>
            <w:tcBorders>
              <w:top w:val="nil"/>
              <w:left w:val="nil"/>
              <w:bottom w:val="nil"/>
              <w:right w:val="nil"/>
              <w:tl2br w:val="nil"/>
              <w:tr2bl w:val="nil"/>
            </w:tcBorders>
            <w:shd w:val="clear" w:color="auto" w:fill="auto"/>
            <w:noWrap/>
            <w:tcMar>
              <w:left w:w="101" w:type="dxa"/>
              <w:right w:w="161" w:type="dxa"/>
            </w:tcMar>
          </w:tcPr>
          <w:p w14:paraId="35E54E5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8FB563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40,397</w:t>
            </w:r>
          </w:p>
        </w:tc>
        <w:tc>
          <w:tcPr>
            <w:tcW w:w="1125" w:type="dxa"/>
            <w:tcBorders>
              <w:top w:val="nil"/>
              <w:left w:val="nil"/>
              <w:bottom w:val="nil"/>
              <w:right w:val="nil"/>
              <w:tl2br w:val="nil"/>
              <w:tr2bl w:val="nil"/>
            </w:tcBorders>
            <w:shd w:val="clear" w:color="auto" w:fill="auto"/>
            <w:noWrap/>
            <w:tcMar>
              <w:left w:w="101" w:type="dxa"/>
              <w:right w:w="101" w:type="dxa"/>
            </w:tcMar>
          </w:tcPr>
          <w:p w14:paraId="1D276A6D"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Jun-24</w:t>
            </w:r>
          </w:p>
        </w:tc>
      </w:tr>
      <w:tr w:rsidR="0069402E" w:rsidRPr="005E3B44" w14:paraId="19EA92F5"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5B64B8B0"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More services for our suburbs — Enhancing Our Bushfire Preparedness </w:t>
            </w:r>
          </w:p>
        </w:tc>
        <w:tc>
          <w:tcPr>
            <w:tcW w:w="975" w:type="dxa"/>
            <w:tcBorders>
              <w:top w:val="nil"/>
              <w:left w:val="nil"/>
              <w:bottom w:val="nil"/>
              <w:right w:val="nil"/>
              <w:tl2br w:val="nil"/>
              <w:tr2bl w:val="nil"/>
            </w:tcBorders>
            <w:shd w:val="clear" w:color="auto" w:fill="auto"/>
            <w:noWrap/>
            <w:tcMar>
              <w:left w:w="101" w:type="dxa"/>
              <w:right w:w="161" w:type="dxa"/>
            </w:tcMar>
          </w:tcPr>
          <w:p w14:paraId="420E207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w:t>
            </w:r>
          </w:p>
        </w:tc>
        <w:tc>
          <w:tcPr>
            <w:tcW w:w="975" w:type="dxa"/>
            <w:tcBorders>
              <w:top w:val="nil"/>
              <w:left w:val="nil"/>
              <w:bottom w:val="nil"/>
              <w:right w:val="nil"/>
              <w:tl2br w:val="nil"/>
              <w:tr2bl w:val="nil"/>
            </w:tcBorders>
            <w:shd w:val="clear" w:color="auto" w:fill="auto"/>
            <w:noWrap/>
            <w:tcMar>
              <w:left w:w="101" w:type="dxa"/>
              <w:right w:w="161" w:type="dxa"/>
            </w:tcMar>
          </w:tcPr>
          <w:p w14:paraId="3300379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A627FB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FC9743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E7CC77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w:t>
            </w:r>
          </w:p>
        </w:tc>
        <w:tc>
          <w:tcPr>
            <w:tcW w:w="1125" w:type="dxa"/>
            <w:tcBorders>
              <w:top w:val="nil"/>
              <w:left w:val="nil"/>
              <w:bottom w:val="nil"/>
              <w:right w:val="nil"/>
              <w:tl2br w:val="nil"/>
              <w:tr2bl w:val="nil"/>
            </w:tcBorders>
            <w:shd w:val="clear" w:color="auto" w:fill="auto"/>
            <w:noWrap/>
            <w:tcMar>
              <w:left w:w="101" w:type="dxa"/>
              <w:right w:w="101" w:type="dxa"/>
            </w:tcMar>
          </w:tcPr>
          <w:p w14:paraId="63FDC7E5"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Dec-21</w:t>
            </w:r>
          </w:p>
        </w:tc>
      </w:tr>
      <w:tr w:rsidR="0069402E" w:rsidRPr="005E3B44" w14:paraId="4AF31D5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571470A8"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services for our suburbs — Keeping Canberrans safe in public places</w:t>
            </w:r>
          </w:p>
        </w:tc>
        <w:tc>
          <w:tcPr>
            <w:tcW w:w="975" w:type="dxa"/>
            <w:tcBorders>
              <w:top w:val="nil"/>
              <w:left w:val="nil"/>
              <w:bottom w:val="nil"/>
              <w:right w:val="nil"/>
              <w:tl2br w:val="nil"/>
              <w:tr2bl w:val="nil"/>
            </w:tcBorders>
            <w:shd w:val="clear" w:color="auto" w:fill="auto"/>
            <w:noWrap/>
            <w:tcMar>
              <w:left w:w="101" w:type="dxa"/>
              <w:right w:w="161" w:type="dxa"/>
            </w:tcMar>
          </w:tcPr>
          <w:p w14:paraId="4632CAF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975" w:type="dxa"/>
            <w:tcBorders>
              <w:top w:val="nil"/>
              <w:left w:val="nil"/>
              <w:bottom w:val="nil"/>
              <w:right w:val="nil"/>
              <w:tl2br w:val="nil"/>
              <w:tr2bl w:val="nil"/>
            </w:tcBorders>
            <w:shd w:val="clear" w:color="auto" w:fill="auto"/>
            <w:noWrap/>
            <w:tcMar>
              <w:left w:w="101" w:type="dxa"/>
              <w:right w:w="161" w:type="dxa"/>
            </w:tcMar>
          </w:tcPr>
          <w:p w14:paraId="25A0B80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1C09FA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5B9FC4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B10CAA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125" w:type="dxa"/>
            <w:tcBorders>
              <w:top w:val="nil"/>
              <w:left w:val="nil"/>
              <w:bottom w:val="nil"/>
              <w:right w:val="nil"/>
              <w:tl2br w:val="nil"/>
              <w:tr2bl w:val="nil"/>
            </w:tcBorders>
            <w:shd w:val="clear" w:color="auto" w:fill="auto"/>
            <w:noWrap/>
            <w:tcMar>
              <w:left w:w="101" w:type="dxa"/>
              <w:right w:w="101" w:type="dxa"/>
            </w:tcMar>
          </w:tcPr>
          <w:p w14:paraId="4E3B1074"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Dec-21</w:t>
            </w:r>
          </w:p>
        </w:tc>
      </w:tr>
      <w:tr w:rsidR="0069402E" w:rsidRPr="005E3B44" w14:paraId="0EDA9949"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6BBA4FD9"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More services for our suburbs — More paramedics and ambulances </w:t>
            </w:r>
            <w:r w:rsidRPr="005E3B44">
              <w:rPr>
                <w:rFonts w:asciiTheme="minorHAnsi" w:eastAsia="Calibri" w:hAnsiTheme="minorHAnsi" w:cstheme="minorHAnsi"/>
                <w:color w:val="000000"/>
                <w:sz w:val="18"/>
                <w:vertAlign w:val="superscript"/>
              </w:rPr>
              <w:t>1</w:t>
            </w:r>
          </w:p>
        </w:tc>
        <w:tc>
          <w:tcPr>
            <w:tcW w:w="975" w:type="dxa"/>
            <w:tcBorders>
              <w:top w:val="nil"/>
              <w:left w:val="nil"/>
              <w:bottom w:val="nil"/>
              <w:right w:val="nil"/>
              <w:tl2br w:val="nil"/>
              <w:tr2bl w:val="nil"/>
            </w:tcBorders>
            <w:shd w:val="clear" w:color="auto" w:fill="auto"/>
            <w:noWrap/>
            <w:tcMar>
              <w:left w:w="101" w:type="dxa"/>
              <w:right w:w="161" w:type="dxa"/>
            </w:tcMar>
          </w:tcPr>
          <w:p w14:paraId="65963A9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w:t>
            </w:r>
          </w:p>
        </w:tc>
        <w:tc>
          <w:tcPr>
            <w:tcW w:w="975" w:type="dxa"/>
            <w:tcBorders>
              <w:top w:val="nil"/>
              <w:left w:val="nil"/>
              <w:bottom w:val="nil"/>
              <w:right w:val="nil"/>
              <w:tl2br w:val="nil"/>
              <w:tr2bl w:val="nil"/>
            </w:tcBorders>
            <w:shd w:val="clear" w:color="auto" w:fill="auto"/>
            <w:noWrap/>
            <w:tcMar>
              <w:left w:w="101" w:type="dxa"/>
              <w:right w:w="161" w:type="dxa"/>
            </w:tcMar>
          </w:tcPr>
          <w:p w14:paraId="4F523E9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139211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7B76C9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2CC97C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w:t>
            </w:r>
          </w:p>
        </w:tc>
        <w:tc>
          <w:tcPr>
            <w:tcW w:w="1125" w:type="dxa"/>
            <w:tcBorders>
              <w:top w:val="nil"/>
              <w:left w:val="nil"/>
              <w:bottom w:val="nil"/>
              <w:right w:val="nil"/>
              <w:tl2br w:val="nil"/>
              <w:tr2bl w:val="nil"/>
            </w:tcBorders>
            <w:shd w:val="clear" w:color="auto" w:fill="auto"/>
            <w:noWrap/>
            <w:tcMar>
              <w:left w:w="101" w:type="dxa"/>
              <w:right w:w="101" w:type="dxa"/>
            </w:tcMar>
          </w:tcPr>
          <w:p w14:paraId="3DE82B86"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Aug-20</w:t>
            </w:r>
          </w:p>
        </w:tc>
      </w:tr>
      <w:tr w:rsidR="0069402E" w:rsidRPr="005E3B44" w14:paraId="7CE87123"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402" w:type="dxa"/>
            <w:tcBorders>
              <w:top w:val="nil"/>
              <w:left w:val="nil"/>
              <w:bottom w:val="nil"/>
              <w:right w:val="nil"/>
              <w:tl2br w:val="nil"/>
              <w:tr2bl w:val="nil"/>
            </w:tcBorders>
            <w:shd w:val="clear" w:color="auto" w:fill="auto"/>
            <w:tcMar>
              <w:left w:w="101" w:type="dxa"/>
              <w:right w:w="101" w:type="dxa"/>
            </w:tcMar>
            <w:vAlign w:val="center"/>
          </w:tcPr>
          <w:p w14:paraId="733744AE"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More services for our suburbs — New aerial pumper for ACT Fire and Rescue </w:t>
            </w:r>
            <w:r w:rsidRPr="005E3B44">
              <w:rPr>
                <w:rFonts w:asciiTheme="minorHAnsi" w:eastAsia="Calibri" w:hAnsiTheme="minorHAnsi" w:cstheme="minorHAnsi"/>
                <w:color w:val="000000"/>
                <w:sz w:val="18"/>
                <w:vertAlign w:val="superscript"/>
              </w:rPr>
              <w:t>1</w:t>
            </w:r>
          </w:p>
        </w:tc>
        <w:tc>
          <w:tcPr>
            <w:tcW w:w="975" w:type="dxa"/>
            <w:tcBorders>
              <w:top w:val="nil"/>
              <w:left w:val="nil"/>
              <w:bottom w:val="nil"/>
              <w:right w:val="nil"/>
              <w:tl2br w:val="nil"/>
              <w:tr2bl w:val="nil"/>
            </w:tcBorders>
            <w:shd w:val="clear" w:color="auto" w:fill="auto"/>
            <w:noWrap/>
            <w:tcMar>
              <w:left w:w="101" w:type="dxa"/>
              <w:right w:w="161" w:type="dxa"/>
            </w:tcMar>
          </w:tcPr>
          <w:p w14:paraId="2A52CC2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975" w:type="dxa"/>
            <w:tcBorders>
              <w:top w:val="nil"/>
              <w:left w:val="nil"/>
              <w:bottom w:val="nil"/>
              <w:right w:val="nil"/>
              <w:tl2br w:val="nil"/>
              <w:tr2bl w:val="nil"/>
            </w:tcBorders>
            <w:shd w:val="clear" w:color="auto" w:fill="auto"/>
            <w:noWrap/>
            <w:tcMar>
              <w:left w:w="101" w:type="dxa"/>
              <w:right w:w="161" w:type="dxa"/>
            </w:tcMar>
          </w:tcPr>
          <w:p w14:paraId="456E172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B7C2FF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648813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69262E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125" w:type="dxa"/>
            <w:tcBorders>
              <w:top w:val="nil"/>
              <w:left w:val="nil"/>
              <w:bottom w:val="nil"/>
              <w:right w:val="nil"/>
              <w:tl2br w:val="nil"/>
              <w:tr2bl w:val="nil"/>
            </w:tcBorders>
            <w:shd w:val="clear" w:color="auto" w:fill="auto"/>
            <w:noWrap/>
            <w:tcMar>
              <w:left w:w="101" w:type="dxa"/>
              <w:right w:w="101" w:type="dxa"/>
            </w:tcMar>
          </w:tcPr>
          <w:p w14:paraId="28E88FFC"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Feb-21</w:t>
            </w:r>
          </w:p>
        </w:tc>
      </w:tr>
      <w:tr w:rsidR="0069402E" w:rsidRPr="005E3B44" w14:paraId="79B4CC0D"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7C494D90"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Better resourcing for the Alexander Maconochie Centre</w:t>
            </w:r>
          </w:p>
        </w:tc>
        <w:tc>
          <w:tcPr>
            <w:tcW w:w="975" w:type="dxa"/>
            <w:tcBorders>
              <w:top w:val="nil"/>
              <w:left w:val="nil"/>
              <w:bottom w:val="nil"/>
              <w:right w:val="nil"/>
              <w:tl2br w:val="nil"/>
              <w:tr2bl w:val="nil"/>
            </w:tcBorders>
            <w:shd w:val="clear" w:color="auto" w:fill="auto"/>
            <w:noWrap/>
            <w:tcMar>
              <w:left w:w="101" w:type="dxa"/>
              <w:right w:w="161" w:type="dxa"/>
            </w:tcMar>
          </w:tcPr>
          <w:p w14:paraId="2331854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1,125</w:t>
            </w:r>
          </w:p>
        </w:tc>
        <w:tc>
          <w:tcPr>
            <w:tcW w:w="975" w:type="dxa"/>
            <w:tcBorders>
              <w:top w:val="nil"/>
              <w:left w:val="nil"/>
              <w:bottom w:val="nil"/>
              <w:right w:val="nil"/>
              <w:tl2br w:val="nil"/>
              <w:tr2bl w:val="nil"/>
            </w:tcBorders>
            <w:shd w:val="clear" w:color="auto" w:fill="auto"/>
            <w:noWrap/>
            <w:tcMar>
              <w:left w:w="101" w:type="dxa"/>
              <w:right w:w="161" w:type="dxa"/>
            </w:tcMar>
          </w:tcPr>
          <w:p w14:paraId="3DD2A0E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4747D6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3FC12C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868B91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1,125</w:t>
            </w:r>
          </w:p>
        </w:tc>
        <w:tc>
          <w:tcPr>
            <w:tcW w:w="1125" w:type="dxa"/>
            <w:tcBorders>
              <w:top w:val="nil"/>
              <w:left w:val="nil"/>
              <w:bottom w:val="nil"/>
              <w:right w:val="nil"/>
              <w:tl2br w:val="nil"/>
              <w:tr2bl w:val="nil"/>
            </w:tcBorders>
            <w:shd w:val="clear" w:color="auto" w:fill="auto"/>
            <w:noWrap/>
            <w:tcMar>
              <w:left w:w="101" w:type="dxa"/>
              <w:right w:w="101" w:type="dxa"/>
            </w:tcMar>
          </w:tcPr>
          <w:p w14:paraId="7490FFDE"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49B11D8E"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2804F7D9"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Commencing operations of the Drug and Alcohol Court</w:t>
            </w:r>
          </w:p>
        </w:tc>
        <w:tc>
          <w:tcPr>
            <w:tcW w:w="975" w:type="dxa"/>
            <w:tcBorders>
              <w:top w:val="nil"/>
              <w:left w:val="nil"/>
              <w:bottom w:val="nil"/>
              <w:right w:val="nil"/>
              <w:tl2br w:val="nil"/>
              <w:tr2bl w:val="nil"/>
            </w:tcBorders>
            <w:shd w:val="clear" w:color="auto" w:fill="auto"/>
            <w:noWrap/>
            <w:tcMar>
              <w:left w:w="101" w:type="dxa"/>
              <w:right w:w="161" w:type="dxa"/>
            </w:tcMar>
          </w:tcPr>
          <w:p w14:paraId="61A513A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591</w:t>
            </w:r>
          </w:p>
        </w:tc>
        <w:tc>
          <w:tcPr>
            <w:tcW w:w="975" w:type="dxa"/>
            <w:tcBorders>
              <w:top w:val="nil"/>
              <w:left w:val="nil"/>
              <w:bottom w:val="nil"/>
              <w:right w:val="nil"/>
              <w:tl2br w:val="nil"/>
              <w:tr2bl w:val="nil"/>
            </w:tcBorders>
            <w:shd w:val="clear" w:color="auto" w:fill="auto"/>
            <w:noWrap/>
            <w:tcMar>
              <w:left w:w="101" w:type="dxa"/>
              <w:right w:w="161" w:type="dxa"/>
            </w:tcMar>
          </w:tcPr>
          <w:p w14:paraId="14F0B78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1BC99A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B600BB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5EAF2A9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591</w:t>
            </w:r>
          </w:p>
        </w:tc>
        <w:tc>
          <w:tcPr>
            <w:tcW w:w="1125" w:type="dxa"/>
            <w:tcBorders>
              <w:top w:val="nil"/>
              <w:left w:val="nil"/>
              <w:bottom w:val="nil"/>
              <w:right w:val="nil"/>
              <w:tl2br w:val="nil"/>
              <w:tr2bl w:val="nil"/>
            </w:tcBorders>
            <w:shd w:val="clear" w:color="auto" w:fill="auto"/>
            <w:noWrap/>
            <w:tcMar>
              <w:left w:w="101" w:type="dxa"/>
              <w:right w:w="101" w:type="dxa"/>
            </w:tcMar>
          </w:tcPr>
          <w:p w14:paraId="010220CE"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29A11A60"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163D89F" w14:textId="77777777" w:rsidR="0069402E"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Design and planning for the Alexander Maconochie Reintegration Centre expansion</w:t>
            </w:r>
          </w:p>
          <w:p w14:paraId="1C3596D2" w14:textId="77777777" w:rsidR="00700C91" w:rsidRDefault="00700C91" w:rsidP="0069402E">
            <w:pPr>
              <w:pStyle w:val="Normal5"/>
              <w:ind w:left="181" w:hanging="181"/>
              <w:rPr>
                <w:rFonts w:asciiTheme="minorHAnsi" w:eastAsia="Calibri" w:hAnsiTheme="minorHAnsi" w:cstheme="minorHAnsi"/>
                <w:color w:val="000000"/>
                <w:sz w:val="18"/>
              </w:rPr>
            </w:pPr>
          </w:p>
          <w:p w14:paraId="2CA4451F" w14:textId="77777777" w:rsidR="00700C91" w:rsidRDefault="00700C91" w:rsidP="0069402E">
            <w:pPr>
              <w:pStyle w:val="Normal5"/>
              <w:ind w:left="181" w:hanging="181"/>
              <w:rPr>
                <w:rFonts w:asciiTheme="minorHAnsi" w:eastAsia="Calibri" w:hAnsiTheme="minorHAnsi" w:cstheme="minorHAnsi"/>
                <w:color w:val="000000"/>
                <w:sz w:val="18"/>
              </w:rPr>
            </w:pPr>
          </w:p>
          <w:p w14:paraId="5542C8DF" w14:textId="77777777" w:rsidR="00700C91" w:rsidRDefault="00700C91" w:rsidP="0069402E">
            <w:pPr>
              <w:pStyle w:val="Normal5"/>
              <w:ind w:left="181" w:hanging="181"/>
              <w:rPr>
                <w:rFonts w:asciiTheme="minorHAnsi" w:eastAsia="Calibri" w:hAnsiTheme="minorHAnsi" w:cstheme="minorHAnsi"/>
                <w:color w:val="000000"/>
                <w:sz w:val="18"/>
              </w:rPr>
            </w:pPr>
          </w:p>
          <w:p w14:paraId="2AC7BC8F" w14:textId="34FC7C8C" w:rsidR="00700C91" w:rsidRPr="005E3B44" w:rsidRDefault="00700C91" w:rsidP="0069402E">
            <w:pPr>
              <w:pStyle w:val="Normal5"/>
              <w:ind w:left="181" w:hanging="181"/>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4B99957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975" w:type="dxa"/>
            <w:tcBorders>
              <w:top w:val="nil"/>
              <w:left w:val="nil"/>
              <w:bottom w:val="nil"/>
              <w:right w:val="nil"/>
              <w:tl2br w:val="nil"/>
              <w:tr2bl w:val="nil"/>
            </w:tcBorders>
            <w:shd w:val="clear" w:color="auto" w:fill="auto"/>
            <w:noWrap/>
            <w:tcMar>
              <w:left w:w="101" w:type="dxa"/>
              <w:right w:w="161" w:type="dxa"/>
            </w:tcMar>
          </w:tcPr>
          <w:p w14:paraId="5E06BB3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348D21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BAFD30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33EBEB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1125" w:type="dxa"/>
            <w:tcBorders>
              <w:top w:val="nil"/>
              <w:left w:val="nil"/>
              <w:bottom w:val="nil"/>
              <w:right w:val="nil"/>
              <w:tl2br w:val="nil"/>
              <w:tr2bl w:val="nil"/>
            </w:tcBorders>
            <w:shd w:val="clear" w:color="auto" w:fill="auto"/>
            <w:noWrap/>
            <w:tcMar>
              <w:left w:w="101" w:type="dxa"/>
              <w:right w:w="101" w:type="dxa"/>
            </w:tcMar>
          </w:tcPr>
          <w:p w14:paraId="1927DEF5"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342BEA21"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552" w:type="dxa"/>
            <w:gridSpan w:val="7"/>
            <w:tcBorders>
              <w:top w:val="nil"/>
              <w:left w:val="nil"/>
              <w:bottom w:val="single" w:sz="12" w:space="0" w:color="auto"/>
              <w:right w:val="nil"/>
              <w:tl2br w:val="nil"/>
              <w:tr2bl w:val="nil"/>
            </w:tcBorders>
            <w:shd w:val="clear" w:color="auto" w:fill="auto"/>
            <w:tcMar>
              <w:left w:w="101" w:type="dxa"/>
              <w:right w:w="101" w:type="dxa"/>
            </w:tcMar>
          </w:tcPr>
          <w:p w14:paraId="35DB2BCB" w14:textId="593B7046" w:rsidR="0069402E" w:rsidRPr="00700C91" w:rsidRDefault="0069402E" w:rsidP="00FE63C8">
            <w:pPr>
              <w:pStyle w:val="Normal5"/>
              <w:ind w:hanging="95"/>
              <w:rPr>
                <w:rFonts w:asciiTheme="minorHAnsi" w:eastAsia="Calibri" w:hAnsiTheme="minorHAnsi" w:cstheme="minorHAnsi"/>
                <w:b/>
                <w:bCs/>
                <w:color w:val="000000"/>
                <w:sz w:val="18"/>
              </w:rPr>
            </w:pPr>
            <w:r w:rsidRPr="00FE63C8">
              <w:rPr>
                <w:rFonts w:asciiTheme="minorHAnsi" w:hAnsiTheme="minorHAnsi" w:cstheme="minorHAnsi"/>
                <w:b/>
                <w:bCs/>
                <w:sz w:val="22"/>
                <w:szCs w:val="22"/>
                <w:bdr w:val="nil"/>
              </w:rPr>
              <w:lastRenderedPageBreak/>
              <w:t>Table 28: 2021-22 Justice and Community Safety Directorate Infrastructure Program</w:t>
            </w:r>
            <w:r w:rsidR="00FE63C8">
              <w:rPr>
                <w:rFonts w:asciiTheme="minorHAnsi" w:hAnsiTheme="minorHAnsi" w:cstheme="minorHAnsi"/>
                <w:b/>
                <w:bCs/>
                <w:sz w:val="22"/>
                <w:szCs w:val="22"/>
                <w:bdr w:val="nil"/>
              </w:rPr>
              <w:t xml:space="preserve"> (Continued)</w:t>
            </w:r>
          </w:p>
        </w:tc>
      </w:tr>
      <w:tr w:rsidR="0069402E" w:rsidRPr="005E3B44" w14:paraId="6EF29A71"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single" w:sz="12" w:space="0" w:color="auto"/>
              <w:left w:val="nil"/>
              <w:bottom w:val="single" w:sz="12" w:space="0" w:color="auto"/>
              <w:right w:val="nil"/>
              <w:tl2br w:val="nil"/>
              <w:tr2bl w:val="nil"/>
            </w:tcBorders>
            <w:shd w:val="clear" w:color="auto" w:fill="auto"/>
            <w:tcMar>
              <w:left w:w="101" w:type="dxa"/>
              <w:right w:w="101" w:type="dxa"/>
            </w:tcMar>
          </w:tcPr>
          <w:p w14:paraId="27685743" w14:textId="77777777" w:rsidR="0069402E" w:rsidRPr="005E3B44" w:rsidRDefault="0069402E" w:rsidP="00D811FD">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Project</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68E879C8"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2021-22</w:t>
            </w:r>
          </w:p>
          <w:p w14:paraId="3994E2B2" w14:textId="77777777" w:rsidR="0069402E" w:rsidRPr="005E3B44" w:rsidRDefault="0069402E" w:rsidP="00D811FD">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1FC995DE"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2022-23</w:t>
            </w:r>
          </w:p>
          <w:p w14:paraId="138718E7" w14:textId="77777777" w:rsidR="0069402E" w:rsidRPr="005E3B44" w:rsidRDefault="0069402E" w:rsidP="00D811FD">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40D312AF"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2023-24</w:t>
            </w:r>
          </w:p>
          <w:p w14:paraId="7C80A953" w14:textId="77777777" w:rsidR="0069402E" w:rsidRPr="005E3B44" w:rsidRDefault="0069402E" w:rsidP="00D811FD">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97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6EECC89D"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2024-25</w:t>
            </w:r>
          </w:p>
          <w:p w14:paraId="0CD92BCB" w14:textId="77777777" w:rsidR="0069402E" w:rsidRPr="005E3B44" w:rsidRDefault="0069402E" w:rsidP="00D811FD">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$'000</w:t>
            </w:r>
          </w:p>
        </w:tc>
        <w:tc>
          <w:tcPr>
            <w:tcW w:w="112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0271CEDC"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Four Year</w:t>
            </w:r>
          </w:p>
          <w:p w14:paraId="631985AB"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Investment</w:t>
            </w:r>
          </w:p>
          <w:p w14:paraId="6529D05B"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p w14:paraId="102B1EBC" w14:textId="77777777" w:rsidR="0069402E" w:rsidRPr="005E3B44" w:rsidRDefault="0069402E" w:rsidP="00D811FD">
            <w:pPr>
              <w:pStyle w:val="Normal5"/>
              <w:jc w:val="right"/>
              <w:rPr>
                <w:rFonts w:asciiTheme="minorHAnsi" w:eastAsia="Calibri" w:hAnsiTheme="minorHAnsi" w:cstheme="minorHAnsi"/>
                <w:color w:val="000000"/>
                <w:sz w:val="18"/>
              </w:rPr>
            </w:pPr>
          </w:p>
        </w:tc>
        <w:tc>
          <w:tcPr>
            <w:tcW w:w="1125" w:type="dxa"/>
            <w:tcBorders>
              <w:top w:val="single" w:sz="12" w:space="0" w:color="auto"/>
              <w:left w:val="nil"/>
              <w:bottom w:val="single" w:sz="12" w:space="0" w:color="auto"/>
              <w:right w:val="nil"/>
              <w:tl2br w:val="nil"/>
              <w:tr2bl w:val="nil"/>
            </w:tcBorders>
            <w:shd w:val="clear" w:color="auto" w:fill="auto"/>
            <w:noWrap/>
            <w:tcMar>
              <w:left w:w="101" w:type="dxa"/>
              <w:right w:w="101" w:type="dxa"/>
            </w:tcMar>
          </w:tcPr>
          <w:p w14:paraId="6146C672"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Physical</w:t>
            </w:r>
          </w:p>
          <w:p w14:paraId="7337ED6F" w14:textId="77777777" w:rsidR="0069402E" w:rsidRPr="005E3B44" w:rsidRDefault="0069402E" w:rsidP="00D811FD">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Completion</w:t>
            </w:r>
          </w:p>
          <w:p w14:paraId="439CBC5A" w14:textId="77777777" w:rsidR="0069402E" w:rsidRPr="005E3B44" w:rsidRDefault="0069402E" w:rsidP="00D811FD">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b/>
                <w:color w:val="000000"/>
                <w:sz w:val="18"/>
              </w:rPr>
              <w:t>Date</w:t>
            </w:r>
          </w:p>
        </w:tc>
      </w:tr>
      <w:tr w:rsidR="0069402E" w:rsidRPr="005E3B44" w14:paraId="2E4FB583"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402" w:type="dxa"/>
            <w:tcBorders>
              <w:top w:val="nil"/>
              <w:left w:val="nil"/>
              <w:bottom w:val="nil"/>
              <w:right w:val="nil"/>
              <w:tl2br w:val="nil"/>
              <w:tr2bl w:val="nil"/>
            </w:tcBorders>
            <w:shd w:val="clear" w:color="auto" w:fill="auto"/>
            <w:tcMar>
              <w:left w:w="101" w:type="dxa"/>
              <w:right w:w="101" w:type="dxa"/>
            </w:tcMar>
          </w:tcPr>
          <w:p w14:paraId="247D964A" w14:textId="77777777" w:rsidR="0069402E" w:rsidRPr="005E3B44" w:rsidRDefault="0069402E" w:rsidP="00700C91">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More support for families and inclusion — Providing safe alternatives to remand</w:t>
            </w:r>
          </w:p>
        </w:tc>
        <w:tc>
          <w:tcPr>
            <w:tcW w:w="975" w:type="dxa"/>
            <w:tcBorders>
              <w:top w:val="nil"/>
              <w:left w:val="nil"/>
              <w:bottom w:val="nil"/>
              <w:right w:val="nil"/>
              <w:tl2br w:val="nil"/>
              <w:tr2bl w:val="nil"/>
            </w:tcBorders>
            <w:shd w:val="clear" w:color="auto" w:fill="auto"/>
            <w:noWrap/>
            <w:tcMar>
              <w:left w:w="101" w:type="dxa"/>
              <w:right w:w="161" w:type="dxa"/>
            </w:tcMar>
          </w:tcPr>
          <w:p w14:paraId="00FB5E51" w14:textId="77777777" w:rsidR="0069402E" w:rsidRPr="005E3B44" w:rsidRDefault="0069402E" w:rsidP="00215EF6">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975" w:type="dxa"/>
            <w:tcBorders>
              <w:top w:val="nil"/>
              <w:left w:val="nil"/>
              <w:bottom w:val="nil"/>
              <w:right w:val="nil"/>
              <w:tl2br w:val="nil"/>
              <w:tr2bl w:val="nil"/>
            </w:tcBorders>
            <w:shd w:val="clear" w:color="auto" w:fill="auto"/>
            <w:noWrap/>
            <w:tcMar>
              <w:left w:w="101" w:type="dxa"/>
              <w:right w:w="161" w:type="dxa"/>
            </w:tcMar>
          </w:tcPr>
          <w:p w14:paraId="465DFD34" w14:textId="77777777" w:rsidR="0069402E" w:rsidRPr="005E3B44" w:rsidRDefault="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EC77B13" w14:textId="77777777" w:rsidR="0069402E" w:rsidRPr="005E3B44" w:rsidRDefault="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5C95C45" w14:textId="77777777" w:rsidR="0069402E" w:rsidRPr="005E3B44" w:rsidRDefault="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8E5B122" w14:textId="77777777" w:rsidR="0069402E" w:rsidRPr="005E3B44" w:rsidRDefault="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w:t>
            </w:r>
          </w:p>
        </w:tc>
        <w:tc>
          <w:tcPr>
            <w:tcW w:w="1125" w:type="dxa"/>
            <w:tcBorders>
              <w:top w:val="nil"/>
              <w:left w:val="nil"/>
              <w:bottom w:val="nil"/>
              <w:right w:val="nil"/>
              <w:tl2br w:val="nil"/>
              <w:tr2bl w:val="nil"/>
            </w:tcBorders>
            <w:shd w:val="clear" w:color="auto" w:fill="auto"/>
            <w:noWrap/>
            <w:tcMar>
              <w:left w:w="101" w:type="dxa"/>
              <w:right w:w="101" w:type="dxa"/>
            </w:tcMar>
          </w:tcPr>
          <w:p w14:paraId="1EC95F0A" w14:textId="77777777" w:rsidR="0069402E" w:rsidRPr="005E3B44" w:rsidRDefault="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40A8BDA7"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42F322E1"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New stations for ACT Ambulance Service and ACT Fire &amp; Rescue</w:t>
            </w:r>
          </w:p>
        </w:tc>
        <w:tc>
          <w:tcPr>
            <w:tcW w:w="975" w:type="dxa"/>
            <w:tcBorders>
              <w:top w:val="nil"/>
              <w:left w:val="nil"/>
              <w:bottom w:val="nil"/>
              <w:right w:val="nil"/>
              <w:tl2br w:val="nil"/>
              <w:tr2bl w:val="nil"/>
            </w:tcBorders>
            <w:shd w:val="clear" w:color="auto" w:fill="auto"/>
            <w:noWrap/>
            <w:tcMar>
              <w:left w:w="101" w:type="dxa"/>
              <w:right w:w="161" w:type="dxa"/>
            </w:tcMar>
          </w:tcPr>
          <w:p w14:paraId="048DE5B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431</w:t>
            </w:r>
          </w:p>
        </w:tc>
        <w:tc>
          <w:tcPr>
            <w:tcW w:w="975" w:type="dxa"/>
            <w:tcBorders>
              <w:top w:val="nil"/>
              <w:left w:val="nil"/>
              <w:bottom w:val="nil"/>
              <w:right w:val="nil"/>
              <w:tl2br w:val="nil"/>
              <w:tr2bl w:val="nil"/>
            </w:tcBorders>
            <w:shd w:val="clear" w:color="auto" w:fill="auto"/>
            <w:noWrap/>
            <w:tcMar>
              <w:left w:w="101" w:type="dxa"/>
              <w:right w:w="161" w:type="dxa"/>
            </w:tcMar>
          </w:tcPr>
          <w:p w14:paraId="52B3288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E26849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6BA05A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9788FB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431</w:t>
            </w:r>
          </w:p>
        </w:tc>
        <w:tc>
          <w:tcPr>
            <w:tcW w:w="1125" w:type="dxa"/>
            <w:tcBorders>
              <w:top w:val="nil"/>
              <w:left w:val="nil"/>
              <w:bottom w:val="nil"/>
              <w:right w:val="nil"/>
              <w:tl2br w:val="nil"/>
              <w:tr2bl w:val="nil"/>
            </w:tcBorders>
            <w:shd w:val="clear" w:color="auto" w:fill="auto"/>
            <w:noWrap/>
            <w:tcMar>
              <w:left w:w="101" w:type="dxa"/>
              <w:right w:w="101" w:type="dxa"/>
            </w:tcMar>
          </w:tcPr>
          <w:p w14:paraId="712F5A51"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Dec-22</w:t>
            </w:r>
          </w:p>
        </w:tc>
      </w:tr>
      <w:tr w:rsidR="0069402E" w:rsidRPr="005E3B44" w14:paraId="314F8BDE"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24807C9F"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Rapid rollout of ‘screwdriver ready’ minor capital works projects </w:t>
            </w:r>
          </w:p>
        </w:tc>
        <w:tc>
          <w:tcPr>
            <w:tcW w:w="975" w:type="dxa"/>
            <w:tcBorders>
              <w:top w:val="nil"/>
              <w:left w:val="nil"/>
              <w:bottom w:val="nil"/>
              <w:right w:val="nil"/>
              <w:tl2br w:val="nil"/>
              <w:tr2bl w:val="nil"/>
            </w:tcBorders>
            <w:shd w:val="clear" w:color="auto" w:fill="auto"/>
            <w:noWrap/>
            <w:tcMar>
              <w:left w:w="101" w:type="dxa"/>
              <w:right w:w="161" w:type="dxa"/>
            </w:tcMar>
          </w:tcPr>
          <w:p w14:paraId="7039A82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556</w:t>
            </w:r>
          </w:p>
        </w:tc>
        <w:tc>
          <w:tcPr>
            <w:tcW w:w="975" w:type="dxa"/>
            <w:tcBorders>
              <w:top w:val="nil"/>
              <w:left w:val="nil"/>
              <w:bottom w:val="nil"/>
              <w:right w:val="nil"/>
              <w:tl2br w:val="nil"/>
              <w:tr2bl w:val="nil"/>
            </w:tcBorders>
            <w:shd w:val="clear" w:color="auto" w:fill="auto"/>
            <w:noWrap/>
            <w:tcMar>
              <w:left w:w="101" w:type="dxa"/>
              <w:right w:w="161" w:type="dxa"/>
            </w:tcMar>
          </w:tcPr>
          <w:p w14:paraId="6EF458B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EFD985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1CA0C4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F47103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556</w:t>
            </w:r>
          </w:p>
        </w:tc>
        <w:tc>
          <w:tcPr>
            <w:tcW w:w="1125" w:type="dxa"/>
            <w:tcBorders>
              <w:top w:val="nil"/>
              <w:left w:val="nil"/>
              <w:bottom w:val="nil"/>
              <w:right w:val="nil"/>
              <w:tl2br w:val="nil"/>
              <w:tr2bl w:val="nil"/>
            </w:tcBorders>
            <w:shd w:val="clear" w:color="auto" w:fill="auto"/>
            <w:noWrap/>
            <w:tcMar>
              <w:left w:w="101" w:type="dxa"/>
              <w:right w:w="101" w:type="dxa"/>
            </w:tcMar>
          </w:tcPr>
          <w:p w14:paraId="7445B577"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Dec-21</w:t>
            </w:r>
          </w:p>
        </w:tc>
      </w:tr>
      <w:tr w:rsidR="0069402E" w:rsidRPr="005E3B44" w14:paraId="0732A81C"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53B5A461"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Relocating ACT Policing's Traffic Operations Centre</w:t>
            </w:r>
          </w:p>
        </w:tc>
        <w:tc>
          <w:tcPr>
            <w:tcW w:w="975" w:type="dxa"/>
            <w:tcBorders>
              <w:top w:val="nil"/>
              <w:left w:val="nil"/>
              <w:bottom w:val="nil"/>
              <w:right w:val="nil"/>
              <w:tl2br w:val="nil"/>
              <w:tr2bl w:val="nil"/>
            </w:tcBorders>
            <w:shd w:val="clear" w:color="auto" w:fill="auto"/>
            <w:noWrap/>
            <w:tcMar>
              <w:left w:w="101" w:type="dxa"/>
              <w:right w:w="161" w:type="dxa"/>
            </w:tcMar>
          </w:tcPr>
          <w:p w14:paraId="7A700A2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5,820</w:t>
            </w:r>
          </w:p>
        </w:tc>
        <w:tc>
          <w:tcPr>
            <w:tcW w:w="975" w:type="dxa"/>
            <w:tcBorders>
              <w:top w:val="nil"/>
              <w:left w:val="nil"/>
              <w:bottom w:val="nil"/>
              <w:right w:val="nil"/>
              <w:tl2br w:val="nil"/>
              <w:tr2bl w:val="nil"/>
            </w:tcBorders>
            <w:shd w:val="clear" w:color="auto" w:fill="auto"/>
            <w:noWrap/>
            <w:tcMar>
              <w:left w:w="101" w:type="dxa"/>
              <w:right w:w="161" w:type="dxa"/>
            </w:tcMar>
          </w:tcPr>
          <w:p w14:paraId="37438AF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1,220</w:t>
            </w:r>
          </w:p>
        </w:tc>
        <w:tc>
          <w:tcPr>
            <w:tcW w:w="975" w:type="dxa"/>
            <w:tcBorders>
              <w:top w:val="nil"/>
              <w:left w:val="nil"/>
              <w:bottom w:val="nil"/>
              <w:right w:val="nil"/>
              <w:tl2br w:val="nil"/>
              <w:tr2bl w:val="nil"/>
            </w:tcBorders>
            <w:shd w:val="clear" w:color="auto" w:fill="auto"/>
            <w:noWrap/>
            <w:tcMar>
              <w:left w:w="101" w:type="dxa"/>
              <w:right w:w="161" w:type="dxa"/>
            </w:tcMar>
          </w:tcPr>
          <w:p w14:paraId="3536C9C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1E7729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723030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7,040</w:t>
            </w:r>
          </w:p>
        </w:tc>
        <w:tc>
          <w:tcPr>
            <w:tcW w:w="1125" w:type="dxa"/>
            <w:tcBorders>
              <w:top w:val="nil"/>
              <w:left w:val="nil"/>
              <w:bottom w:val="nil"/>
              <w:right w:val="nil"/>
              <w:tl2br w:val="nil"/>
              <w:tr2bl w:val="nil"/>
            </w:tcBorders>
            <w:shd w:val="clear" w:color="auto" w:fill="auto"/>
            <w:noWrap/>
            <w:tcMar>
              <w:left w:w="101" w:type="dxa"/>
              <w:right w:w="101" w:type="dxa"/>
            </w:tcMar>
          </w:tcPr>
          <w:p w14:paraId="153757DE"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69402E" w:rsidRPr="005E3B44" w14:paraId="4CBA82D0"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402" w:type="dxa"/>
            <w:tcBorders>
              <w:top w:val="nil"/>
              <w:left w:val="nil"/>
              <w:bottom w:val="nil"/>
              <w:right w:val="nil"/>
              <w:tl2br w:val="nil"/>
              <w:tr2bl w:val="nil"/>
            </w:tcBorders>
            <w:shd w:val="clear" w:color="auto" w:fill="auto"/>
            <w:tcMar>
              <w:left w:w="101" w:type="dxa"/>
              <w:right w:w="101" w:type="dxa"/>
            </w:tcMar>
            <w:vAlign w:val="center"/>
          </w:tcPr>
          <w:p w14:paraId="3D67E016"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Strategic accommodation study for Policing</w:t>
            </w:r>
          </w:p>
        </w:tc>
        <w:tc>
          <w:tcPr>
            <w:tcW w:w="975" w:type="dxa"/>
            <w:tcBorders>
              <w:top w:val="nil"/>
              <w:left w:val="nil"/>
              <w:bottom w:val="nil"/>
              <w:right w:val="nil"/>
              <w:tl2br w:val="nil"/>
              <w:tr2bl w:val="nil"/>
            </w:tcBorders>
            <w:shd w:val="clear" w:color="auto" w:fill="auto"/>
            <w:noWrap/>
            <w:tcMar>
              <w:left w:w="101" w:type="dxa"/>
              <w:right w:w="161" w:type="dxa"/>
            </w:tcMar>
          </w:tcPr>
          <w:p w14:paraId="550C826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126</w:t>
            </w:r>
          </w:p>
        </w:tc>
        <w:tc>
          <w:tcPr>
            <w:tcW w:w="975" w:type="dxa"/>
            <w:tcBorders>
              <w:top w:val="nil"/>
              <w:left w:val="nil"/>
              <w:bottom w:val="nil"/>
              <w:right w:val="nil"/>
              <w:tl2br w:val="nil"/>
              <w:tr2bl w:val="nil"/>
            </w:tcBorders>
            <w:shd w:val="clear" w:color="auto" w:fill="auto"/>
            <w:noWrap/>
            <w:tcMar>
              <w:left w:w="101" w:type="dxa"/>
              <w:right w:w="161" w:type="dxa"/>
            </w:tcMar>
          </w:tcPr>
          <w:p w14:paraId="5BF2D40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DBBDB2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AD2D76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59F919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126</w:t>
            </w:r>
          </w:p>
        </w:tc>
        <w:tc>
          <w:tcPr>
            <w:tcW w:w="1125" w:type="dxa"/>
            <w:tcBorders>
              <w:top w:val="nil"/>
              <w:left w:val="nil"/>
              <w:bottom w:val="nil"/>
              <w:right w:val="nil"/>
              <w:tl2br w:val="nil"/>
              <w:tr2bl w:val="nil"/>
            </w:tcBorders>
            <w:shd w:val="clear" w:color="auto" w:fill="auto"/>
            <w:noWrap/>
            <w:tcMar>
              <w:left w:w="101" w:type="dxa"/>
              <w:right w:w="101" w:type="dxa"/>
            </w:tcMar>
          </w:tcPr>
          <w:p w14:paraId="55A24193"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442A129A"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2A393A4F"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Strengthening bushfire preparedness</w:t>
            </w:r>
          </w:p>
        </w:tc>
        <w:tc>
          <w:tcPr>
            <w:tcW w:w="975" w:type="dxa"/>
            <w:tcBorders>
              <w:top w:val="nil"/>
              <w:left w:val="nil"/>
              <w:bottom w:val="nil"/>
              <w:right w:val="nil"/>
              <w:tl2br w:val="nil"/>
              <w:tr2bl w:val="nil"/>
            </w:tcBorders>
            <w:shd w:val="clear" w:color="auto" w:fill="auto"/>
            <w:noWrap/>
            <w:tcMar>
              <w:left w:w="101" w:type="dxa"/>
              <w:right w:w="161" w:type="dxa"/>
            </w:tcMar>
          </w:tcPr>
          <w:p w14:paraId="707EACE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w:t>
            </w:r>
          </w:p>
        </w:tc>
        <w:tc>
          <w:tcPr>
            <w:tcW w:w="975" w:type="dxa"/>
            <w:tcBorders>
              <w:top w:val="nil"/>
              <w:left w:val="nil"/>
              <w:bottom w:val="nil"/>
              <w:right w:val="nil"/>
              <w:tl2br w:val="nil"/>
              <w:tr2bl w:val="nil"/>
            </w:tcBorders>
            <w:shd w:val="clear" w:color="auto" w:fill="auto"/>
            <w:noWrap/>
            <w:tcMar>
              <w:left w:w="101" w:type="dxa"/>
              <w:right w:w="161" w:type="dxa"/>
            </w:tcMar>
          </w:tcPr>
          <w:p w14:paraId="46BB3F2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873A2E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73D2D9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109EF9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w:t>
            </w:r>
          </w:p>
        </w:tc>
        <w:tc>
          <w:tcPr>
            <w:tcW w:w="1125" w:type="dxa"/>
            <w:tcBorders>
              <w:top w:val="nil"/>
              <w:left w:val="nil"/>
              <w:bottom w:val="nil"/>
              <w:right w:val="nil"/>
              <w:tl2br w:val="nil"/>
              <w:tr2bl w:val="nil"/>
            </w:tcBorders>
            <w:shd w:val="clear" w:color="auto" w:fill="auto"/>
            <w:noWrap/>
            <w:tcMar>
              <w:left w:w="101" w:type="dxa"/>
              <w:right w:w="101" w:type="dxa"/>
            </w:tcMar>
          </w:tcPr>
          <w:p w14:paraId="253A2F01"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Jun-22</w:t>
            </w:r>
          </w:p>
        </w:tc>
      </w:tr>
      <w:tr w:rsidR="0069402E" w:rsidRPr="005E3B44" w14:paraId="02E189C0" w14:textId="77777777" w:rsidTr="00FE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02" w:type="dxa"/>
            <w:tcBorders>
              <w:top w:val="nil"/>
              <w:left w:val="nil"/>
              <w:bottom w:val="nil"/>
              <w:right w:val="nil"/>
              <w:tl2br w:val="nil"/>
              <w:tr2bl w:val="nil"/>
            </w:tcBorders>
            <w:shd w:val="clear" w:color="auto" w:fill="auto"/>
            <w:tcMar>
              <w:left w:w="101" w:type="dxa"/>
              <w:right w:w="101" w:type="dxa"/>
            </w:tcMar>
            <w:vAlign w:val="center"/>
          </w:tcPr>
          <w:p w14:paraId="1D188499"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Strengthening Emergency Services — Territory Radio Network upgrade — Phases 2 and 3</w:t>
            </w:r>
          </w:p>
        </w:tc>
        <w:tc>
          <w:tcPr>
            <w:tcW w:w="975" w:type="dxa"/>
            <w:tcBorders>
              <w:top w:val="nil"/>
              <w:left w:val="nil"/>
              <w:bottom w:val="nil"/>
              <w:right w:val="nil"/>
              <w:tl2br w:val="nil"/>
              <w:tr2bl w:val="nil"/>
            </w:tcBorders>
            <w:shd w:val="clear" w:color="auto" w:fill="auto"/>
            <w:noWrap/>
            <w:tcMar>
              <w:left w:w="101" w:type="dxa"/>
              <w:right w:w="161" w:type="dxa"/>
            </w:tcMar>
          </w:tcPr>
          <w:p w14:paraId="50A3B59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452</w:t>
            </w:r>
          </w:p>
        </w:tc>
        <w:tc>
          <w:tcPr>
            <w:tcW w:w="975" w:type="dxa"/>
            <w:tcBorders>
              <w:top w:val="nil"/>
              <w:left w:val="nil"/>
              <w:bottom w:val="nil"/>
              <w:right w:val="nil"/>
              <w:tl2br w:val="nil"/>
              <w:tr2bl w:val="nil"/>
            </w:tcBorders>
            <w:shd w:val="clear" w:color="auto" w:fill="auto"/>
            <w:noWrap/>
            <w:tcMar>
              <w:left w:w="101" w:type="dxa"/>
              <w:right w:w="161" w:type="dxa"/>
            </w:tcMar>
          </w:tcPr>
          <w:p w14:paraId="3379B9F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FE12D33"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C8FD4E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4E7271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452</w:t>
            </w:r>
          </w:p>
        </w:tc>
        <w:tc>
          <w:tcPr>
            <w:tcW w:w="1125" w:type="dxa"/>
            <w:tcBorders>
              <w:top w:val="nil"/>
              <w:left w:val="nil"/>
              <w:bottom w:val="nil"/>
              <w:right w:val="nil"/>
              <w:tl2br w:val="nil"/>
              <w:tr2bl w:val="nil"/>
            </w:tcBorders>
            <w:shd w:val="clear" w:color="auto" w:fill="auto"/>
            <w:noWrap/>
            <w:tcMar>
              <w:left w:w="101" w:type="dxa"/>
              <w:right w:w="101" w:type="dxa"/>
            </w:tcMar>
          </w:tcPr>
          <w:p w14:paraId="02D3654A"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Mar-22</w:t>
            </w:r>
          </w:p>
        </w:tc>
      </w:tr>
      <w:tr w:rsidR="0069402E" w:rsidRPr="005E3B44" w14:paraId="3F354955"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vAlign w:val="center"/>
          </w:tcPr>
          <w:p w14:paraId="216E3145"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Upgrading ACT Policing facilities</w:t>
            </w:r>
          </w:p>
        </w:tc>
        <w:tc>
          <w:tcPr>
            <w:tcW w:w="975" w:type="dxa"/>
            <w:tcBorders>
              <w:top w:val="nil"/>
              <w:left w:val="nil"/>
              <w:bottom w:val="nil"/>
              <w:right w:val="nil"/>
              <w:tl2br w:val="nil"/>
              <w:tr2bl w:val="nil"/>
            </w:tcBorders>
            <w:shd w:val="clear" w:color="auto" w:fill="auto"/>
            <w:noWrap/>
            <w:tcMar>
              <w:left w:w="101" w:type="dxa"/>
              <w:right w:w="161" w:type="dxa"/>
            </w:tcMar>
          </w:tcPr>
          <w:p w14:paraId="1B64D61E"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150</w:t>
            </w:r>
          </w:p>
        </w:tc>
        <w:tc>
          <w:tcPr>
            <w:tcW w:w="975" w:type="dxa"/>
            <w:tcBorders>
              <w:top w:val="nil"/>
              <w:left w:val="nil"/>
              <w:bottom w:val="nil"/>
              <w:right w:val="nil"/>
              <w:tl2br w:val="nil"/>
              <w:tr2bl w:val="nil"/>
            </w:tcBorders>
            <w:shd w:val="clear" w:color="auto" w:fill="auto"/>
            <w:noWrap/>
            <w:tcMar>
              <w:left w:w="101" w:type="dxa"/>
              <w:right w:w="161" w:type="dxa"/>
            </w:tcMar>
          </w:tcPr>
          <w:p w14:paraId="0676F59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CB99B7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78F1C99"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6848DBA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150</w:t>
            </w:r>
          </w:p>
        </w:tc>
        <w:tc>
          <w:tcPr>
            <w:tcW w:w="1125" w:type="dxa"/>
            <w:tcBorders>
              <w:top w:val="nil"/>
              <w:left w:val="nil"/>
              <w:bottom w:val="nil"/>
              <w:right w:val="nil"/>
              <w:tl2br w:val="nil"/>
              <w:tr2bl w:val="nil"/>
            </w:tcBorders>
            <w:shd w:val="clear" w:color="auto" w:fill="auto"/>
            <w:noWrap/>
            <w:tcMar>
              <w:left w:w="101" w:type="dxa"/>
              <w:right w:w="101" w:type="dxa"/>
            </w:tcMar>
          </w:tcPr>
          <w:p w14:paraId="4E2010E7"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Oct-21</w:t>
            </w:r>
          </w:p>
        </w:tc>
      </w:tr>
      <w:tr w:rsidR="0069402E" w:rsidRPr="005E3B44" w14:paraId="23F5F500"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7A4B0C6E"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Upgrading essential services at the Alexander Maconochie Centre</w:t>
            </w:r>
          </w:p>
        </w:tc>
        <w:tc>
          <w:tcPr>
            <w:tcW w:w="975" w:type="dxa"/>
            <w:tcBorders>
              <w:top w:val="nil"/>
              <w:left w:val="nil"/>
              <w:bottom w:val="nil"/>
              <w:right w:val="nil"/>
              <w:tl2br w:val="nil"/>
              <w:tr2bl w:val="nil"/>
            </w:tcBorders>
            <w:shd w:val="clear" w:color="auto" w:fill="auto"/>
            <w:noWrap/>
            <w:tcMar>
              <w:left w:w="101" w:type="dxa"/>
              <w:right w:w="161" w:type="dxa"/>
            </w:tcMar>
          </w:tcPr>
          <w:p w14:paraId="2C28CDE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3,122</w:t>
            </w:r>
          </w:p>
        </w:tc>
        <w:tc>
          <w:tcPr>
            <w:tcW w:w="975" w:type="dxa"/>
            <w:tcBorders>
              <w:top w:val="nil"/>
              <w:left w:val="nil"/>
              <w:bottom w:val="nil"/>
              <w:right w:val="nil"/>
              <w:tl2br w:val="nil"/>
              <w:tr2bl w:val="nil"/>
            </w:tcBorders>
            <w:shd w:val="clear" w:color="auto" w:fill="auto"/>
            <w:noWrap/>
            <w:tcMar>
              <w:left w:w="101" w:type="dxa"/>
              <w:right w:w="161" w:type="dxa"/>
            </w:tcMar>
          </w:tcPr>
          <w:p w14:paraId="346FC6C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2,700</w:t>
            </w:r>
          </w:p>
        </w:tc>
        <w:tc>
          <w:tcPr>
            <w:tcW w:w="975" w:type="dxa"/>
            <w:tcBorders>
              <w:top w:val="nil"/>
              <w:left w:val="nil"/>
              <w:bottom w:val="nil"/>
              <w:right w:val="nil"/>
              <w:tl2br w:val="nil"/>
              <w:tr2bl w:val="nil"/>
            </w:tcBorders>
            <w:shd w:val="clear" w:color="auto" w:fill="auto"/>
            <w:noWrap/>
            <w:tcMar>
              <w:left w:w="101" w:type="dxa"/>
              <w:right w:w="161" w:type="dxa"/>
            </w:tcMar>
          </w:tcPr>
          <w:p w14:paraId="3F2A5C9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72E2C6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16B0DD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5,822</w:t>
            </w:r>
          </w:p>
        </w:tc>
        <w:tc>
          <w:tcPr>
            <w:tcW w:w="1125" w:type="dxa"/>
            <w:tcBorders>
              <w:top w:val="nil"/>
              <w:left w:val="nil"/>
              <w:bottom w:val="nil"/>
              <w:right w:val="nil"/>
              <w:tl2br w:val="nil"/>
              <w:tr2bl w:val="nil"/>
            </w:tcBorders>
            <w:shd w:val="clear" w:color="auto" w:fill="auto"/>
            <w:noWrap/>
            <w:tcMar>
              <w:left w:w="101" w:type="dxa"/>
              <w:right w:w="101" w:type="dxa"/>
            </w:tcMar>
          </w:tcPr>
          <w:p w14:paraId="22FECC72"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Dec-22</w:t>
            </w:r>
          </w:p>
        </w:tc>
      </w:tr>
      <w:tr w:rsidR="0069402E" w:rsidRPr="005E3B44" w14:paraId="30B9F92F"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402" w:type="dxa"/>
            <w:tcBorders>
              <w:top w:val="nil"/>
              <w:left w:val="nil"/>
              <w:bottom w:val="nil"/>
              <w:right w:val="nil"/>
              <w:tl2br w:val="nil"/>
              <w:tr2bl w:val="nil"/>
            </w:tcBorders>
            <w:shd w:val="clear" w:color="auto" w:fill="auto"/>
            <w:tcMar>
              <w:left w:w="101" w:type="dxa"/>
              <w:right w:w="101" w:type="dxa"/>
            </w:tcMar>
            <w:vAlign w:val="center"/>
          </w:tcPr>
          <w:p w14:paraId="2DC4D4B2" w14:textId="77777777" w:rsidR="0069402E" w:rsidRPr="005E3B44" w:rsidRDefault="0069402E" w:rsidP="0069402E">
            <w:pPr>
              <w:pStyle w:val="Normal5"/>
              <w:ind w:left="181" w:hanging="18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Upgrading the ACT State Emergency Service’s Majura Unit facility</w:t>
            </w:r>
          </w:p>
        </w:tc>
        <w:tc>
          <w:tcPr>
            <w:tcW w:w="975" w:type="dxa"/>
            <w:tcBorders>
              <w:top w:val="nil"/>
              <w:left w:val="nil"/>
              <w:bottom w:val="nil"/>
              <w:right w:val="nil"/>
              <w:tl2br w:val="nil"/>
              <w:tr2bl w:val="nil"/>
            </w:tcBorders>
            <w:shd w:val="clear" w:color="auto" w:fill="auto"/>
            <w:noWrap/>
            <w:tcMar>
              <w:left w:w="101" w:type="dxa"/>
              <w:right w:w="161" w:type="dxa"/>
            </w:tcMar>
          </w:tcPr>
          <w:p w14:paraId="7320866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w:t>
            </w:r>
          </w:p>
        </w:tc>
        <w:tc>
          <w:tcPr>
            <w:tcW w:w="975" w:type="dxa"/>
            <w:tcBorders>
              <w:top w:val="nil"/>
              <w:left w:val="nil"/>
              <w:bottom w:val="nil"/>
              <w:right w:val="nil"/>
              <w:tl2br w:val="nil"/>
              <w:tr2bl w:val="nil"/>
            </w:tcBorders>
            <w:shd w:val="clear" w:color="auto" w:fill="auto"/>
            <w:noWrap/>
            <w:tcMar>
              <w:left w:w="101" w:type="dxa"/>
              <w:right w:w="161" w:type="dxa"/>
            </w:tcMar>
          </w:tcPr>
          <w:p w14:paraId="41D02FA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1,513</w:t>
            </w:r>
          </w:p>
        </w:tc>
        <w:tc>
          <w:tcPr>
            <w:tcW w:w="975" w:type="dxa"/>
            <w:tcBorders>
              <w:top w:val="nil"/>
              <w:left w:val="nil"/>
              <w:bottom w:val="nil"/>
              <w:right w:val="nil"/>
              <w:tl2br w:val="nil"/>
              <w:tr2bl w:val="nil"/>
            </w:tcBorders>
            <w:shd w:val="clear" w:color="auto" w:fill="auto"/>
            <w:noWrap/>
            <w:tcMar>
              <w:left w:w="101" w:type="dxa"/>
              <w:right w:w="161" w:type="dxa"/>
            </w:tcMar>
          </w:tcPr>
          <w:p w14:paraId="6AC0C93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0F55CD8"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5FF76D9C"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1,537</w:t>
            </w:r>
          </w:p>
        </w:tc>
        <w:tc>
          <w:tcPr>
            <w:tcW w:w="1125" w:type="dxa"/>
            <w:tcBorders>
              <w:top w:val="nil"/>
              <w:left w:val="nil"/>
              <w:bottom w:val="nil"/>
              <w:right w:val="nil"/>
              <w:tl2br w:val="nil"/>
              <w:tr2bl w:val="nil"/>
            </w:tcBorders>
            <w:shd w:val="clear" w:color="auto" w:fill="auto"/>
            <w:noWrap/>
            <w:tcMar>
              <w:left w:w="101" w:type="dxa"/>
              <w:right w:w="101" w:type="dxa"/>
            </w:tcMar>
          </w:tcPr>
          <w:p w14:paraId="3234DAC8"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Jun-23</w:t>
            </w:r>
          </w:p>
        </w:tc>
      </w:tr>
      <w:tr w:rsidR="0069402E" w:rsidRPr="005E3B44" w14:paraId="192E34D4"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0" w:type="dxa"/>
              <w:right w:w="0" w:type="dxa"/>
            </w:tcMar>
          </w:tcPr>
          <w:p w14:paraId="69994156"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376C6219"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53FC3B76"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0E820AAB"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2DDFEBB5"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02625154"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10D6BD70"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1CA98EFB"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101" w:type="dxa"/>
              <w:right w:w="101" w:type="dxa"/>
            </w:tcMar>
          </w:tcPr>
          <w:p w14:paraId="1CAD69E8" w14:textId="77777777" w:rsidR="0069402E" w:rsidRPr="005E3B44" w:rsidRDefault="0069402E" w:rsidP="0069402E">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Work in Progress</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43C4A84C"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31,917</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A793C3B"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26,356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48088E5B"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26,131</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B4A1A9E"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2,122</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4EBE5E8"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86,526</w:t>
            </w:r>
          </w:p>
        </w:tc>
        <w:tc>
          <w:tcPr>
            <w:tcW w:w="1125" w:type="dxa"/>
            <w:tcBorders>
              <w:top w:val="nil"/>
              <w:left w:val="nil"/>
              <w:bottom w:val="nil"/>
              <w:right w:val="nil"/>
              <w:tl2br w:val="nil"/>
              <w:tr2bl w:val="nil"/>
            </w:tcBorders>
            <w:shd w:val="clear" w:color="auto" w:fill="auto"/>
            <w:noWrap/>
            <w:tcMar>
              <w:left w:w="0" w:type="dxa"/>
              <w:right w:w="0" w:type="dxa"/>
            </w:tcMar>
          </w:tcPr>
          <w:p w14:paraId="58DFCC32"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2479B846"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0" w:type="dxa"/>
              <w:right w:w="0" w:type="dxa"/>
            </w:tcMar>
          </w:tcPr>
          <w:p w14:paraId="2FDEED7B"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649474D"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441109E"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F27475B"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0E92C40"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4C5363F3"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62E2CCE"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2BFDB681"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tcPr>
          <w:p w14:paraId="6C9F1C4F" w14:textId="77777777" w:rsidR="0069402E" w:rsidRPr="005E3B44" w:rsidRDefault="0069402E" w:rsidP="0069402E">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Better Infrastructure Fund</w:t>
            </w:r>
          </w:p>
        </w:tc>
        <w:tc>
          <w:tcPr>
            <w:tcW w:w="975" w:type="dxa"/>
            <w:tcBorders>
              <w:top w:val="nil"/>
              <w:left w:val="nil"/>
              <w:bottom w:val="nil"/>
              <w:right w:val="nil"/>
              <w:tl2br w:val="nil"/>
              <w:tr2bl w:val="nil"/>
            </w:tcBorders>
            <w:shd w:val="clear" w:color="auto" w:fill="auto"/>
            <w:noWrap/>
            <w:tcMar>
              <w:left w:w="0" w:type="dxa"/>
              <w:right w:w="0" w:type="dxa"/>
            </w:tcMar>
          </w:tcPr>
          <w:p w14:paraId="2F0DFC76"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69AF4C9"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1ADAC85"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3EC03A91"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F9394C1"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BBEA647"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4F756278"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tcPr>
          <w:p w14:paraId="3F4F3BFE" w14:textId="77777777" w:rsidR="0069402E" w:rsidRPr="005E3B44" w:rsidRDefault="0069402E" w:rsidP="0069402E">
            <w:pPr>
              <w:pStyle w:val="Normal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Directorate</w:t>
            </w:r>
          </w:p>
        </w:tc>
        <w:tc>
          <w:tcPr>
            <w:tcW w:w="975" w:type="dxa"/>
            <w:tcBorders>
              <w:top w:val="nil"/>
              <w:left w:val="nil"/>
              <w:bottom w:val="nil"/>
              <w:right w:val="nil"/>
              <w:tl2br w:val="nil"/>
              <w:tr2bl w:val="nil"/>
            </w:tcBorders>
            <w:shd w:val="clear" w:color="auto" w:fill="auto"/>
            <w:noWrap/>
            <w:tcMar>
              <w:left w:w="101" w:type="dxa"/>
              <w:right w:w="161" w:type="dxa"/>
            </w:tcMar>
          </w:tcPr>
          <w:p w14:paraId="5DBD63E7"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2,184</w:t>
            </w:r>
          </w:p>
        </w:tc>
        <w:tc>
          <w:tcPr>
            <w:tcW w:w="975" w:type="dxa"/>
            <w:tcBorders>
              <w:top w:val="nil"/>
              <w:left w:val="nil"/>
              <w:bottom w:val="nil"/>
              <w:right w:val="nil"/>
              <w:tl2br w:val="nil"/>
              <w:tr2bl w:val="nil"/>
            </w:tcBorders>
            <w:shd w:val="clear" w:color="auto" w:fill="auto"/>
            <w:noWrap/>
            <w:tcMar>
              <w:left w:w="101" w:type="dxa"/>
              <w:right w:w="161" w:type="dxa"/>
            </w:tcMar>
          </w:tcPr>
          <w:p w14:paraId="45AE6C9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1,746</w:t>
            </w:r>
          </w:p>
        </w:tc>
        <w:tc>
          <w:tcPr>
            <w:tcW w:w="975" w:type="dxa"/>
            <w:tcBorders>
              <w:top w:val="nil"/>
              <w:left w:val="nil"/>
              <w:bottom w:val="nil"/>
              <w:right w:val="nil"/>
              <w:tl2br w:val="nil"/>
              <w:tr2bl w:val="nil"/>
            </w:tcBorders>
            <w:shd w:val="clear" w:color="auto" w:fill="auto"/>
            <w:noWrap/>
            <w:tcMar>
              <w:left w:w="101" w:type="dxa"/>
              <w:right w:w="161" w:type="dxa"/>
            </w:tcMar>
          </w:tcPr>
          <w:p w14:paraId="4F887DE6"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1,789</w:t>
            </w:r>
          </w:p>
        </w:tc>
        <w:tc>
          <w:tcPr>
            <w:tcW w:w="975" w:type="dxa"/>
            <w:tcBorders>
              <w:top w:val="nil"/>
              <w:left w:val="nil"/>
              <w:bottom w:val="nil"/>
              <w:right w:val="nil"/>
              <w:tl2br w:val="nil"/>
              <w:tr2bl w:val="nil"/>
            </w:tcBorders>
            <w:shd w:val="clear" w:color="auto" w:fill="auto"/>
            <w:noWrap/>
            <w:tcMar>
              <w:left w:w="101" w:type="dxa"/>
              <w:right w:w="161" w:type="dxa"/>
            </w:tcMar>
          </w:tcPr>
          <w:p w14:paraId="4252BE5D"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1,834</w:t>
            </w:r>
          </w:p>
        </w:tc>
        <w:tc>
          <w:tcPr>
            <w:tcW w:w="1125" w:type="dxa"/>
            <w:tcBorders>
              <w:top w:val="nil"/>
              <w:left w:val="nil"/>
              <w:bottom w:val="nil"/>
              <w:right w:val="nil"/>
              <w:tl2br w:val="nil"/>
              <w:tr2bl w:val="nil"/>
            </w:tcBorders>
            <w:shd w:val="clear" w:color="auto" w:fill="auto"/>
            <w:noWrap/>
            <w:tcMar>
              <w:left w:w="101" w:type="dxa"/>
              <w:right w:w="161" w:type="dxa"/>
            </w:tcMar>
          </w:tcPr>
          <w:p w14:paraId="7B5DDF8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7,553</w:t>
            </w:r>
          </w:p>
        </w:tc>
        <w:tc>
          <w:tcPr>
            <w:tcW w:w="1125" w:type="dxa"/>
            <w:tcBorders>
              <w:top w:val="nil"/>
              <w:left w:val="nil"/>
              <w:bottom w:val="nil"/>
              <w:right w:val="nil"/>
              <w:tl2br w:val="nil"/>
              <w:tr2bl w:val="nil"/>
            </w:tcBorders>
            <w:shd w:val="clear" w:color="auto" w:fill="auto"/>
            <w:noWrap/>
            <w:tcMar>
              <w:left w:w="101" w:type="dxa"/>
              <w:right w:w="101" w:type="dxa"/>
            </w:tcMar>
          </w:tcPr>
          <w:p w14:paraId="5B546361"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ongoing</w:t>
            </w:r>
          </w:p>
        </w:tc>
      </w:tr>
      <w:tr w:rsidR="0069402E" w:rsidRPr="005E3B44" w14:paraId="5071D45C"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101" w:type="dxa"/>
              <w:right w:w="101" w:type="dxa"/>
            </w:tcMar>
          </w:tcPr>
          <w:p w14:paraId="654F7473" w14:textId="77777777" w:rsidR="0069402E" w:rsidRPr="005E3B44" w:rsidRDefault="0069402E" w:rsidP="0069402E">
            <w:pPr>
              <w:pStyle w:val="Normal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Territorial</w:t>
            </w:r>
          </w:p>
        </w:tc>
        <w:tc>
          <w:tcPr>
            <w:tcW w:w="975" w:type="dxa"/>
            <w:tcBorders>
              <w:top w:val="nil"/>
              <w:left w:val="nil"/>
              <w:bottom w:val="nil"/>
              <w:right w:val="nil"/>
              <w:tl2br w:val="nil"/>
              <w:tr2bl w:val="nil"/>
            </w:tcBorders>
            <w:shd w:val="clear" w:color="auto" w:fill="auto"/>
            <w:noWrap/>
            <w:tcMar>
              <w:left w:w="101" w:type="dxa"/>
              <w:right w:w="161" w:type="dxa"/>
            </w:tcMar>
          </w:tcPr>
          <w:p w14:paraId="34335E55"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292</w:t>
            </w:r>
          </w:p>
        </w:tc>
        <w:tc>
          <w:tcPr>
            <w:tcW w:w="975" w:type="dxa"/>
            <w:tcBorders>
              <w:top w:val="nil"/>
              <w:left w:val="nil"/>
              <w:bottom w:val="nil"/>
              <w:right w:val="nil"/>
              <w:tl2br w:val="nil"/>
              <w:tr2bl w:val="nil"/>
            </w:tcBorders>
            <w:shd w:val="clear" w:color="auto" w:fill="auto"/>
            <w:noWrap/>
            <w:tcMar>
              <w:left w:w="101" w:type="dxa"/>
              <w:right w:w="161" w:type="dxa"/>
            </w:tcMar>
          </w:tcPr>
          <w:p w14:paraId="31B6B4B4"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306</w:t>
            </w:r>
          </w:p>
        </w:tc>
        <w:tc>
          <w:tcPr>
            <w:tcW w:w="975" w:type="dxa"/>
            <w:tcBorders>
              <w:top w:val="nil"/>
              <w:left w:val="nil"/>
              <w:bottom w:val="nil"/>
              <w:right w:val="nil"/>
              <w:tl2br w:val="nil"/>
              <w:tr2bl w:val="nil"/>
            </w:tcBorders>
            <w:shd w:val="clear" w:color="auto" w:fill="auto"/>
            <w:noWrap/>
            <w:tcMar>
              <w:left w:w="101" w:type="dxa"/>
              <w:right w:w="161" w:type="dxa"/>
            </w:tcMar>
          </w:tcPr>
          <w:p w14:paraId="493F1E5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313</w:t>
            </w:r>
          </w:p>
        </w:tc>
        <w:tc>
          <w:tcPr>
            <w:tcW w:w="975" w:type="dxa"/>
            <w:tcBorders>
              <w:top w:val="nil"/>
              <w:left w:val="nil"/>
              <w:bottom w:val="nil"/>
              <w:right w:val="nil"/>
              <w:tl2br w:val="nil"/>
              <w:tr2bl w:val="nil"/>
            </w:tcBorders>
            <w:shd w:val="clear" w:color="auto" w:fill="auto"/>
            <w:noWrap/>
            <w:tcMar>
              <w:left w:w="101" w:type="dxa"/>
              <w:right w:w="161" w:type="dxa"/>
            </w:tcMar>
          </w:tcPr>
          <w:p w14:paraId="157C4F0B"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321</w:t>
            </w:r>
          </w:p>
        </w:tc>
        <w:tc>
          <w:tcPr>
            <w:tcW w:w="1125" w:type="dxa"/>
            <w:tcBorders>
              <w:top w:val="nil"/>
              <w:left w:val="nil"/>
              <w:bottom w:val="nil"/>
              <w:right w:val="nil"/>
              <w:tl2br w:val="nil"/>
              <w:tr2bl w:val="nil"/>
            </w:tcBorders>
            <w:shd w:val="clear" w:color="auto" w:fill="auto"/>
            <w:noWrap/>
            <w:tcMar>
              <w:left w:w="101" w:type="dxa"/>
              <w:right w:w="161" w:type="dxa"/>
            </w:tcMar>
          </w:tcPr>
          <w:p w14:paraId="5CF1257F"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1,232</w:t>
            </w:r>
          </w:p>
        </w:tc>
        <w:tc>
          <w:tcPr>
            <w:tcW w:w="1125" w:type="dxa"/>
            <w:tcBorders>
              <w:top w:val="nil"/>
              <w:left w:val="nil"/>
              <w:bottom w:val="nil"/>
              <w:right w:val="nil"/>
              <w:tl2br w:val="nil"/>
              <w:tr2bl w:val="nil"/>
            </w:tcBorders>
            <w:shd w:val="clear" w:color="auto" w:fill="auto"/>
            <w:noWrap/>
            <w:tcMar>
              <w:left w:w="101" w:type="dxa"/>
              <w:right w:w="101" w:type="dxa"/>
            </w:tcMar>
          </w:tcPr>
          <w:p w14:paraId="2A386470" w14:textId="77777777" w:rsidR="0069402E" w:rsidRPr="005E3B44" w:rsidRDefault="0069402E" w:rsidP="0069402E">
            <w:pPr>
              <w:pStyle w:val="Normal5"/>
              <w:jc w:val="center"/>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ongoing</w:t>
            </w:r>
          </w:p>
        </w:tc>
      </w:tr>
      <w:tr w:rsidR="0069402E" w:rsidRPr="005E3B44" w14:paraId="562E6384"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0" w:type="dxa"/>
              <w:right w:w="0" w:type="dxa"/>
            </w:tcMar>
          </w:tcPr>
          <w:p w14:paraId="39ECA5B0"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469D29BA"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1656A7C7"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156F43A7"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688326A5"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0A6E8500"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CF10A8B"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69C2869F"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101" w:type="dxa"/>
              <w:right w:w="101" w:type="dxa"/>
            </w:tcMar>
          </w:tcPr>
          <w:p w14:paraId="4CACA3CE" w14:textId="77777777" w:rsidR="0069402E" w:rsidRPr="005E3B44" w:rsidRDefault="0069402E" w:rsidP="0069402E">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Better Infrastructure Fund</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16150269"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2,476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F0A3130"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2,052</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50DDD60"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2,102</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FF264AB"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2,155</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110CE830"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8,785</w:t>
            </w:r>
          </w:p>
        </w:tc>
        <w:tc>
          <w:tcPr>
            <w:tcW w:w="1125" w:type="dxa"/>
            <w:tcBorders>
              <w:top w:val="nil"/>
              <w:left w:val="nil"/>
              <w:bottom w:val="nil"/>
              <w:right w:val="nil"/>
              <w:tl2br w:val="nil"/>
              <w:tr2bl w:val="nil"/>
            </w:tcBorders>
            <w:shd w:val="clear" w:color="auto" w:fill="auto"/>
            <w:noWrap/>
            <w:tcMar>
              <w:left w:w="0" w:type="dxa"/>
              <w:right w:w="0" w:type="dxa"/>
            </w:tcMar>
          </w:tcPr>
          <w:p w14:paraId="37343ADA"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20F4BFCC"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0" w:type="dxa"/>
              <w:right w:w="0" w:type="dxa"/>
            </w:tcMar>
          </w:tcPr>
          <w:p w14:paraId="66B38243"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0F9931E3"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031B9A60"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54FDFE3C"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2F0F27D4"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7377CD4C"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560BE248"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5FA1F4F1"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101" w:type="dxa"/>
              <w:right w:w="101" w:type="dxa"/>
            </w:tcMar>
          </w:tcPr>
          <w:p w14:paraId="686EAE34" w14:textId="77777777" w:rsidR="0069402E" w:rsidRPr="005E3B44" w:rsidRDefault="0069402E" w:rsidP="0069402E">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Infrastructure Program</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91DEA76"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47,019</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BB8AE73"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45,455</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470935BD"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34,079</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475F63D5"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7,356</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185C9DB"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133,909</w:t>
            </w:r>
          </w:p>
        </w:tc>
        <w:tc>
          <w:tcPr>
            <w:tcW w:w="1125" w:type="dxa"/>
            <w:tcBorders>
              <w:top w:val="nil"/>
              <w:left w:val="nil"/>
              <w:bottom w:val="nil"/>
              <w:right w:val="nil"/>
              <w:tl2br w:val="nil"/>
              <w:tr2bl w:val="nil"/>
            </w:tcBorders>
            <w:shd w:val="clear" w:color="auto" w:fill="auto"/>
            <w:noWrap/>
            <w:tcMar>
              <w:left w:w="0" w:type="dxa"/>
              <w:right w:w="0" w:type="dxa"/>
            </w:tcMar>
          </w:tcPr>
          <w:p w14:paraId="749DAA7A"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1AE4C16C"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0" w:type="dxa"/>
              <w:right w:w="0" w:type="dxa"/>
            </w:tcMar>
          </w:tcPr>
          <w:p w14:paraId="633EADAC"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76997D71"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796E4FB5"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7F4D61B"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26C68D52"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2A284F84"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77F54CA"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419C43CC"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101" w:type="dxa"/>
              <w:right w:w="101" w:type="dxa"/>
            </w:tcMar>
          </w:tcPr>
          <w:p w14:paraId="54DCFF42" w14:textId="77777777" w:rsidR="0069402E" w:rsidRPr="005E3B44" w:rsidRDefault="0069402E" w:rsidP="0069402E">
            <w:pPr>
              <w:pStyle w:val="Normal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Public Private Partnership</w:t>
            </w: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3D397B91"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6146356D"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5D7C88F0" w14:textId="77777777" w:rsidR="0069402E" w:rsidRPr="005E3B44" w:rsidRDefault="0069402E" w:rsidP="0069402E">
            <w:pPr>
              <w:pStyle w:val="Normal5"/>
              <w:rPr>
                <w:rFonts w:asciiTheme="minorHAnsi" w:eastAsia="Calibri" w:hAnsiTheme="minorHAnsi" w:cstheme="minorHAns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0D9E4013"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0B0CC710" w14:textId="77777777" w:rsidR="0069402E" w:rsidRPr="005E3B44" w:rsidRDefault="0069402E" w:rsidP="0069402E">
            <w:pPr>
              <w:pStyle w:val="Normal5"/>
              <w:rPr>
                <w:rFonts w:asciiTheme="minorHAnsi" w:eastAsia="Calibri" w:hAnsiTheme="minorHAnsi" w:cstheme="minorHAns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43D6019"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511C8C7B"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402" w:type="dxa"/>
            <w:tcBorders>
              <w:top w:val="nil"/>
              <w:left w:val="nil"/>
              <w:bottom w:val="nil"/>
              <w:right w:val="nil"/>
              <w:tl2br w:val="nil"/>
              <w:tr2bl w:val="nil"/>
            </w:tcBorders>
            <w:shd w:val="clear" w:color="auto" w:fill="auto"/>
            <w:tcMar>
              <w:left w:w="101" w:type="dxa"/>
              <w:right w:w="101" w:type="dxa"/>
            </w:tcMar>
          </w:tcPr>
          <w:p w14:paraId="22E1C31A" w14:textId="77777777" w:rsidR="0069402E" w:rsidRPr="005E3B44" w:rsidRDefault="0069402E" w:rsidP="0069402E">
            <w:pPr>
              <w:pStyle w:val="Normal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Courts PPP</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center"/>
          </w:tcPr>
          <w:p w14:paraId="4A0675B1"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2,618</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center"/>
          </w:tcPr>
          <w:p w14:paraId="74DDD872"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2,836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center"/>
          </w:tcPr>
          <w:p w14:paraId="7DC582C0"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3,073</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center"/>
          </w:tcPr>
          <w:p w14:paraId="1D35EAFA" w14:textId="77777777" w:rsidR="0069402E" w:rsidRPr="005E3B44" w:rsidRDefault="0069402E" w:rsidP="0069402E">
            <w:pPr>
              <w:pStyle w:val="Normal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3,073</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center"/>
          </w:tcPr>
          <w:p w14:paraId="38842999" w14:textId="77777777" w:rsidR="0069402E" w:rsidRPr="005E3B44" w:rsidRDefault="0069402E" w:rsidP="0069402E">
            <w:pPr>
              <w:pStyle w:val="Normal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11,600</w:t>
            </w:r>
          </w:p>
        </w:tc>
        <w:tc>
          <w:tcPr>
            <w:tcW w:w="1125" w:type="dxa"/>
            <w:tcBorders>
              <w:top w:val="nil"/>
              <w:left w:val="nil"/>
              <w:bottom w:val="nil"/>
              <w:right w:val="nil"/>
              <w:tl2br w:val="nil"/>
              <w:tr2bl w:val="nil"/>
            </w:tcBorders>
            <w:shd w:val="clear" w:color="auto" w:fill="auto"/>
            <w:noWrap/>
            <w:tcMar>
              <w:left w:w="0" w:type="dxa"/>
              <w:right w:w="0" w:type="dxa"/>
            </w:tcMar>
          </w:tcPr>
          <w:p w14:paraId="413CB5F0" w14:textId="77777777" w:rsidR="0069402E" w:rsidRPr="005E3B44" w:rsidRDefault="0069402E" w:rsidP="0069402E">
            <w:pPr>
              <w:pStyle w:val="Normal5"/>
              <w:jc w:val="center"/>
              <w:rPr>
                <w:rFonts w:asciiTheme="minorHAnsi" w:eastAsia="Calibri" w:hAnsiTheme="minorHAnsi" w:cstheme="minorHAnsi"/>
                <w:color w:val="000000"/>
                <w:sz w:val="18"/>
              </w:rPr>
            </w:pPr>
          </w:p>
        </w:tc>
      </w:tr>
      <w:tr w:rsidR="0069402E" w:rsidRPr="005E3B44" w14:paraId="221965FE" w14:textId="77777777" w:rsidTr="009A1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nil"/>
              <w:left w:val="nil"/>
              <w:bottom w:val="nil"/>
              <w:right w:val="nil"/>
              <w:tl2br w:val="nil"/>
              <w:tr2bl w:val="nil"/>
            </w:tcBorders>
            <w:shd w:val="clear" w:color="auto" w:fill="auto"/>
            <w:tcMar>
              <w:left w:w="0" w:type="dxa"/>
              <w:right w:w="0" w:type="dxa"/>
            </w:tcMar>
          </w:tcPr>
          <w:p w14:paraId="4F4631C9" w14:textId="77777777" w:rsidR="0069402E" w:rsidRPr="005E3B44" w:rsidRDefault="0069402E" w:rsidP="0069402E">
            <w:pPr>
              <w:pStyle w:val="Normal5"/>
              <w:rPr>
                <w:rFonts w:asciiTheme="minorHAnsi" w:eastAsia="Calibri" w:hAnsiTheme="minorHAnsi" w:cstheme="minorHAns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2F0C376" w14:textId="77777777" w:rsidR="0069402E" w:rsidRPr="005E3B44" w:rsidRDefault="0069402E" w:rsidP="0069402E">
            <w:pPr>
              <w:pStyle w:val="Normal5"/>
              <w:rPr>
                <w:rFonts w:asciiTheme="minorHAnsi" w:eastAsia="Calibri" w:hAnsiTheme="minorHAnsi" w:cstheme="minorHAns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79875EBB" w14:textId="77777777" w:rsidR="0069402E" w:rsidRPr="005E3B44" w:rsidRDefault="0069402E" w:rsidP="0069402E">
            <w:pPr>
              <w:pStyle w:val="Normal5"/>
              <w:rPr>
                <w:rFonts w:asciiTheme="minorHAnsi" w:eastAsia="Calibri" w:hAnsiTheme="minorHAnsi" w:cstheme="minorHAns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94A161B" w14:textId="77777777" w:rsidR="0069402E" w:rsidRPr="005E3B44" w:rsidRDefault="0069402E" w:rsidP="0069402E">
            <w:pPr>
              <w:pStyle w:val="Normal5"/>
              <w:rPr>
                <w:rFonts w:asciiTheme="minorHAnsi" w:eastAsia="Calibri" w:hAnsiTheme="minorHAnsi" w:cstheme="minorHAns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A3EF27D" w14:textId="77777777" w:rsidR="0069402E" w:rsidRPr="005E3B44" w:rsidRDefault="0069402E" w:rsidP="0069402E">
            <w:pPr>
              <w:pStyle w:val="Normal5"/>
              <w:rPr>
                <w:rFonts w:asciiTheme="minorHAnsi" w:eastAsia="Calibri" w:hAnsiTheme="minorHAnsi" w:cstheme="minorHAns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2BE94F5F" w14:textId="77777777" w:rsidR="0069402E" w:rsidRPr="005E3B44" w:rsidRDefault="0069402E" w:rsidP="0069402E">
            <w:pPr>
              <w:pStyle w:val="Normal5"/>
              <w:rPr>
                <w:rFonts w:asciiTheme="minorHAnsi" w:eastAsia="Calibri" w:hAnsiTheme="minorHAnsi" w:cstheme="minorHAns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096BE90" w14:textId="77777777" w:rsidR="0069402E" w:rsidRPr="005E3B44" w:rsidRDefault="0069402E" w:rsidP="0069402E">
            <w:pPr>
              <w:pStyle w:val="Normal5"/>
              <w:rPr>
                <w:rFonts w:asciiTheme="minorHAnsi" w:eastAsia="Calibri" w:hAnsiTheme="minorHAnsi" w:cstheme="minorHAnsi"/>
                <w:color w:val="000000"/>
                <w:sz w:val="18"/>
              </w:rPr>
            </w:pPr>
          </w:p>
        </w:tc>
      </w:tr>
    </w:tbl>
    <w:p w14:paraId="436A8648" w14:textId="77777777" w:rsidR="002242F3" w:rsidRPr="005E3B44" w:rsidRDefault="002242F3" w:rsidP="002242F3">
      <w:pPr>
        <w:pStyle w:val="BSnot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Notes:</w:t>
      </w:r>
      <w:r w:rsidRPr="005E3B44">
        <w:rPr>
          <w:rFonts w:asciiTheme="minorHAnsi" w:hAnsiTheme="minorHAnsi" w:cstheme="minorHAnsi"/>
          <w:bdr w:val="nil"/>
        </w:rPr>
        <w:tab/>
      </w:r>
    </w:p>
    <w:p w14:paraId="68AE5D28" w14:textId="77777777" w:rsidR="002242F3" w:rsidRPr="005E3B44" w:rsidRDefault="002242F3" w:rsidP="002242F3">
      <w:pPr>
        <w:pStyle w:val="ListParagraph"/>
        <w:numPr>
          <w:ilvl w:val="0"/>
          <w:numId w:val="42"/>
        </w:numPr>
        <w:pBdr>
          <w:top w:val="nil"/>
          <w:left w:val="nil"/>
          <w:bottom w:val="nil"/>
          <w:right w:val="nil"/>
          <w:between w:val="nil"/>
          <w:bar w:val="nil"/>
        </w:pBdr>
        <w:spacing w:before="0" w:after="200"/>
        <w:ind w:left="142" w:hanging="142"/>
        <w:contextualSpacing/>
        <w:rPr>
          <w:rFonts w:asciiTheme="minorHAnsi" w:hAnsiTheme="minorHAnsi" w:cstheme="minorHAnsi"/>
          <w:sz w:val="18"/>
          <w:szCs w:val="18"/>
          <w:bdr w:val="nil"/>
        </w:rPr>
      </w:pPr>
      <w:r w:rsidRPr="005E3B44">
        <w:rPr>
          <w:rFonts w:asciiTheme="minorHAnsi" w:hAnsiTheme="minorHAnsi" w:cstheme="minorHAnsi"/>
          <w:sz w:val="18"/>
          <w:szCs w:val="18"/>
          <w:bdr w:val="nil"/>
        </w:rPr>
        <w:t>These projects are physically complete. The funding in 2021-22 is for financial completion.</w:t>
      </w:r>
    </w:p>
    <w:p w14:paraId="0438C20B" w14:textId="77777777" w:rsidR="002242F3" w:rsidRPr="005E3B44" w:rsidRDefault="002242F3" w:rsidP="002242F3">
      <w:pPr>
        <w:pStyle w:val="ListParagraph"/>
        <w:numPr>
          <w:ilvl w:val="0"/>
          <w:numId w:val="42"/>
        </w:numPr>
        <w:pBdr>
          <w:top w:val="nil"/>
          <w:left w:val="nil"/>
          <w:bottom w:val="nil"/>
          <w:right w:val="nil"/>
          <w:between w:val="nil"/>
          <w:bar w:val="nil"/>
        </w:pBdr>
        <w:spacing w:before="0" w:after="200"/>
        <w:ind w:left="142" w:hanging="142"/>
        <w:contextualSpacing/>
        <w:rPr>
          <w:rFonts w:asciiTheme="minorHAnsi" w:hAnsiTheme="minorHAnsi" w:cstheme="minorHAnsi"/>
          <w:sz w:val="18"/>
          <w:szCs w:val="18"/>
          <w:bdr w:val="nil"/>
        </w:rPr>
      </w:pPr>
      <w:r w:rsidRPr="005E3B44">
        <w:rPr>
          <w:rFonts w:asciiTheme="minorHAnsi" w:hAnsiTheme="minorHAnsi" w:cstheme="minorHAnsi"/>
          <w:sz w:val="18"/>
          <w:szCs w:val="18"/>
          <w:bdr w:val="nil"/>
        </w:rPr>
        <w:t>The 2021-22 amount includes salary costs of $0.406m for ACT Fire &amp; Rescue staff.</w:t>
      </w:r>
    </w:p>
    <w:p w14:paraId="1078D2CD" w14:textId="77777777" w:rsidR="002242F3" w:rsidRPr="005E3B44" w:rsidRDefault="002242F3" w:rsidP="002242F3">
      <w:pPr>
        <w:pStyle w:val="BSnoteslist"/>
        <w:keepLines/>
        <w:numPr>
          <w:ilvl w:val="0"/>
          <w:numId w:val="0"/>
        </w:numPr>
        <w:pBdr>
          <w:top w:val="nil"/>
          <w:left w:val="nil"/>
          <w:bottom w:val="nil"/>
          <w:right w:val="nil"/>
          <w:between w:val="nil"/>
          <w:bar w:val="nil"/>
        </w:pBdr>
        <w:ind w:left="360"/>
        <w:rPr>
          <w:rFonts w:asciiTheme="minorHAnsi" w:hAnsiTheme="minorHAnsi" w:cstheme="minorHAnsi"/>
          <w:bdr w:val="nil"/>
        </w:rPr>
      </w:pPr>
      <w:r w:rsidRPr="005E3B44">
        <w:rPr>
          <w:rFonts w:asciiTheme="minorHAnsi" w:hAnsiTheme="minorHAnsi" w:cstheme="minorHAnsi"/>
        </w:rPr>
        <w:t xml:space="preserve"> </w:t>
      </w:r>
    </w:p>
    <w:p w14:paraId="063BBBCC" w14:textId="77777777" w:rsidR="002242F3" w:rsidRPr="005E3B44" w:rsidRDefault="002242F3" w:rsidP="002242F3">
      <w:pPr>
        <w:pStyle w:val="Heading2"/>
        <w:pageBreakBefore/>
        <w:pBdr>
          <w:top w:val="nil"/>
          <w:left w:val="nil"/>
          <w:bottom w:val="nil"/>
          <w:right w:val="nil"/>
          <w:between w:val="nil"/>
          <w:bar w:val="nil"/>
        </w:pBdr>
        <w:ind w:left="-426" w:firstLine="426"/>
        <w:rPr>
          <w:rFonts w:asciiTheme="minorHAnsi" w:hAnsiTheme="minorHAnsi" w:cstheme="minorHAnsi"/>
          <w:bdr w:val="nil"/>
        </w:rPr>
      </w:pPr>
      <w:bookmarkStart w:id="24" w:name="_Toc452467803"/>
      <w:r w:rsidRPr="005E3B44">
        <w:rPr>
          <w:rFonts w:asciiTheme="minorHAnsi" w:hAnsiTheme="minorHAnsi" w:cstheme="minorHAnsi"/>
          <w:bdr w:val="nil"/>
        </w:rPr>
        <w:lastRenderedPageBreak/>
        <w:t>Financial Statements</w:t>
      </w:r>
      <w:bookmarkEnd w:id="24"/>
    </w:p>
    <w:p w14:paraId="3CA032DD"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Due to the release of the 2021-22 Budget on 6 October 2021, the 2020-21 Interim Outcome column reflects the interim outcome included in the draft 2020-21 Financial Statements, which were unaudited at the time of preparing these budget statements.</w:t>
      </w:r>
    </w:p>
    <w:p w14:paraId="68CC1323" w14:textId="09A22D71" w:rsidR="002242F3" w:rsidRPr="005E3B44" w:rsidRDefault="002242F3" w:rsidP="002242F3">
      <w:pPr>
        <w:pStyle w:val="Caption"/>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Table 2</w:t>
      </w:r>
      <w:r w:rsidR="00805234">
        <w:rPr>
          <w:rFonts w:asciiTheme="minorHAnsi" w:hAnsiTheme="minorHAnsi" w:cstheme="minorHAnsi"/>
          <w:bdr w:val="nil"/>
        </w:rPr>
        <w:t>9</w:t>
      </w:r>
      <w:r w:rsidRPr="005E3B44">
        <w:rPr>
          <w:rFonts w:asciiTheme="minorHAnsi" w:hAnsiTheme="minorHAnsi" w:cstheme="minorHAnsi"/>
          <w:bdr w:val="nil"/>
        </w:rPr>
        <w:t xml:space="preserve">: Justice and Community Safety Directorate: Operating Statement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6BF2C380" w14:textId="77777777" w:rsidTr="005E3B44">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071129"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422A3DDE" w14:textId="77777777" w:rsidR="002242F3" w:rsidRPr="005E3B44" w:rsidRDefault="002242F3" w:rsidP="005E3B44">
            <w:pPr>
              <w:pStyle w:val="Normal7"/>
              <w:jc w:val="right"/>
              <w:rPr>
                <w:rFonts w:asciiTheme="minorHAnsi" w:eastAsia="Calibri" w:hAnsiTheme="minorHAnsi" w:cstheme="minorHAnsi"/>
                <w:b/>
                <w:color w:val="000000"/>
                <w:sz w:val="18"/>
              </w:rPr>
            </w:pPr>
          </w:p>
          <w:p w14:paraId="69943DBF"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711A8E4"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B89313B"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328EC1"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Budget            </w:t>
            </w:r>
          </w:p>
          <w:p w14:paraId="039B78BB" w14:textId="77777777" w:rsidR="002242F3" w:rsidRPr="005E3B44" w:rsidRDefault="002242F3" w:rsidP="005E3B44">
            <w:pPr>
              <w:pStyle w:val="Normal7"/>
              <w:jc w:val="right"/>
              <w:rPr>
                <w:rFonts w:asciiTheme="minorHAnsi" w:eastAsia="Calibri" w:hAnsiTheme="minorHAnsi" w:cstheme="minorHAnsi"/>
                <w:b/>
                <w:color w:val="000000"/>
                <w:sz w:val="18"/>
              </w:rPr>
            </w:pPr>
          </w:p>
          <w:p w14:paraId="7E733FA6"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65DB978"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74A0F54D"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DEF7A77"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Estimate            </w:t>
            </w:r>
          </w:p>
          <w:p w14:paraId="473A0BDC" w14:textId="77777777" w:rsidR="002242F3" w:rsidRPr="005E3B44" w:rsidRDefault="002242F3" w:rsidP="005E3B44">
            <w:pPr>
              <w:pStyle w:val="Normal7"/>
              <w:jc w:val="right"/>
              <w:rPr>
                <w:rFonts w:asciiTheme="minorHAnsi" w:eastAsia="Calibri" w:hAnsiTheme="minorHAnsi" w:cstheme="minorHAnsi"/>
                <w:b/>
                <w:color w:val="000000"/>
                <w:sz w:val="18"/>
              </w:rPr>
            </w:pPr>
          </w:p>
          <w:p w14:paraId="18E5CE97"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3333E43"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Estimate            </w:t>
            </w:r>
          </w:p>
          <w:p w14:paraId="1FE86E27" w14:textId="77777777" w:rsidR="002242F3" w:rsidRPr="005E3B44" w:rsidRDefault="002242F3" w:rsidP="005E3B44">
            <w:pPr>
              <w:pStyle w:val="Normal7"/>
              <w:jc w:val="right"/>
              <w:rPr>
                <w:rFonts w:asciiTheme="minorHAnsi" w:eastAsia="Calibri" w:hAnsiTheme="minorHAnsi" w:cstheme="minorHAnsi"/>
                <w:b/>
                <w:color w:val="000000"/>
                <w:sz w:val="18"/>
              </w:rPr>
            </w:pPr>
          </w:p>
          <w:p w14:paraId="32D69188"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C99CD32"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Estimate            </w:t>
            </w:r>
          </w:p>
          <w:p w14:paraId="6361D93E" w14:textId="77777777" w:rsidR="002242F3" w:rsidRPr="005E3B44" w:rsidRDefault="002242F3" w:rsidP="005E3B44">
            <w:pPr>
              <w:pStyle w:val="Normal7"/>
              <w:jc w:val="right"/>
              <w:rPr>
                <w:rFonts w:asciiTheme="minorHAnsi" w:eastAsia="Calibri" w:hAnsiTheme="minorHAnsi" w:cstheme="minorHAnsi"/>
                <w:b/>
                <w:color w:val="000000"/>
                <w:sz w:val="18"/>
              </w:rPr>
            </w:pPr>
          </w:p>
          <w:p w14:paraId="3BD816E3"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143A825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B42F8D0"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3503262"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6A9A5E1"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54D7F21"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912FF64"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DC501C"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F9FF2B"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FBEC28D" w14:textId="77777777" w:rsidR="002242F3" w:rsidRPr="005E3B44" w:rsidRDefault="002242F3" w:rsidP="005E3B44">
            <w:pPr>
              <w:pStyle w:val="Normal7"/>
              <w:jc w:val="right"/>
              <w:rPr>
                <w:rFonts w:asciiTheme="minorHAnsi" w:eastAsia="Calibri" w:hAnsiTheme="minorHAnsi" w:cstheme="minorHAnsi"/>
                <w:b/>
                <w:i/>
                <w:color w:val="000000"/>
                <w:sz w:val="18"/>
              </w:rPr>
            </w:pPr>
          </w:p>
        </w:tc>
      </w:tr>
      <w:tr w:rsidR="002242F3" w:rsidRPr="005E3B44" w14:paraId="72D35DA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A68199"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5C67D15"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6AB978CD"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C3912"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065742"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4E5225"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B2471C"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5EC5B3" w14:textId="77777777" w:rsidR="002242F3" w:rsidRPr="005E3B44" w:rsidRDefault="002242F3" w:rsidP="005E3B44">
            <w:pPr>
              <w:pStyle w:val="Normal7"/>
              <w:jc w:val="right"/>
              <w:rPr>
                <w:rFonts w:asciiTheme="minorHAnsi" w:eastAsia="Calibri" w:hAnsiTheme="minorHAnsi" w:cstheme="minorHAnsi"/>
                <w:b/>
                <w:i/>
                <w:color w:val="000000"/>
                <w:sz w:val="18"/>
              </w:rPr>
            </w:pPr>
          </w:p>
        </w:tc>
      </w:tr>
      <w:tr w:rsidR="002242F3" w:rsidRPr="005E3B44" w14:paraId="7080965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BC0890"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5A147C5"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4B00AB"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65917D"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8B3B6F"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73CEB1"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CD2D14" w14:textId="77777777" w:rsidR="002242F3" w:rsidRPr="005E3B44" w:rsidRDefault="002242F3" w:rsidP="005E3B44">
            <w:pPr>
              <w:pStyle w:val="Normal7"/>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470465" w14:textId="77777777" w:rsidR="002242F3" w:rsidRPr="005E3B44" w:rsidRDefault="002242F3" w:rsidP="005E3B44">
            <w:pPr>
              <w:pStyle w:val="Normal7"/>
              <w:jc w:val="right"/>
              <w:rPr>
                <w:rFonts w:asciiTheme="minorHAnsi" w:eastAsia="Calibri" w:hAnsiTheme="minorHAnsi" w:cstheme="minorHAnsi"/>
                <w:b/>
                <w:i/>
                <w:color w:val="000000"/>
                <w:sz w:val="18"/>
              </w:rPr>
            </w:pPr>
          </w:p>
        </w:tc>
      </w:tr>
      <w:tr w:rsidR="002242F3" w:rsidRPr="005E3B44" w14:paraId="5FA83E5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1581C6"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4203284"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23EC487"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0628F7"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05E4EDF"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0481E7"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F839EF"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D35672"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21C5079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46C4ADF"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359,022</w:t>
            </w:r>
          </w:p>
        </w:tc>
        <w:tc>
          <w:tcPr>
            <w:tcW w:w="2385" w:type="dxa"/>
            <w:tcBorders>
              <w:top w:val="nil"/>
              <w:left w:val="nil"/>
              <w:bottom w:val="nil"/>
              <w:right w:val="nil"/>
              <w:tl2br w:val="nil"/>
              <w:tr2bl w:val="nil"/>
            </w:tcBorders>
            <w:shd w:val="clear" w:color="auto" w:fill="auto"/>
            <w:noWrap/>
            <w:tcMar>
              <w:left w:w="101" w:type="dxa"/>
              <w:right w:w="101" w:type="dxa"/>
            </w:tcMar>
          </w:tcPr>
          <w:p w14:paraId="598140DA"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EA1BDFE"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340,762</w:t>
            </w:r>
          </w:p>
        </w:tc>
        <w:tc>
          <w:tcPr>
            <w:tcW w:w="1035" w:type="dxa"/>
            <w:tcBorders>
              <w:top w:val="nil"/>
              <w:left w:val="nil"/>
              <w:bottom w:val="nil"/>
              <w:right w:val="nil"/>
              <w:tl2br w:val="nil"/>
              <w:tr2bl w:val="nil"/>
            </w:tcBorders>
            <w:shd w:val="clear" w:color="FFFFFF" w:fill="FFFFFF"/>
            <w:noWrap/>
            <w:tcMar>
              <w:left w:w="101" w:type="dxa"/>
              <w:right w:w="101" w:type="dxa"/>
            </w:tcMar>
          </w:tcPr>
          <w:p w14:paraId="2E028819"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385,009</w:t>
            </w:r>
          </w:p>
        </w:tc>
        <w:tc>
          <w:tcPr>
            <w:tcW w:w="600" w:type="dxa"/>
            <w:tcBorders>
              <w:top w:val="nil"/>
              <w:left w:val="nil"/>
              <w:bottom w:val="nil"/>
              <w:right w:val="nil"/>
              <w:tl2br w:val="nil"/>
              <w:tr2bl w:val="nil"/>
            </w:tcBorders>
            <w:shd w:val="clear" w:color="FFFFFF" w:fill="FFFFFF"/>
            <w:tcMar>
              <w:left w:w="101" w:type="dxa"/>
              <w:right w:w="101" w:type="dxa"/>
            </w:tcMar>
          </w:tcPr>
          <w:p w14:paraId="322C043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DAAA9B7"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388,130</w:t>
            </w:r>
          </w:p>
        </w:tc>
        <w:tc>
          <w:tcPr>
            <w:tcW w:w="1035" w:type="dxa"/>
            <w:tcBorders>
              <w:top w:val="nil"/>
              <w:left w:val="nil"/>
              <w:bottom w:val="nil"/>
              <w:right w:val="nil"/>
              <w:tl2br w:val="nil"/>
              <w:tr2bl w:val="nil"/>
            </w:tcBorders>
            <w:shd w:val="clear" w:color="FFFFFF" w:fill="FFFFFF"/>
            <w:noWrap/>
            <w:tcMar>
              <w:left w:w="101" w:type="dxa"/>
              <w:right w:w="101" w:type="dxa"/>
            </w:tcMar>
          </w:tcPr>
          <w:p w14:paraId="773DB55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390,377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15636922"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391,394</w:t>
            </w:r>
          </w:p>
        </w:tc>
      </w:tr>
      <w:tr w:rsidR="002242F3" w:rsidRPr="005E3B44" w14:paraId="5B649CB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C19F60"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19,927</w:t>
            </w:r>
          </w:p>
        </w:tc>
        <w:tc>
          <w:tcPr>
            <w:tcW w:w="2385" w:type="dxa"/>
            <w:tcBorders>
              <w:top w:val="nil"/>
              <w:left w:val="nil"/>
              <w:bottom w:val="nil"/>
              <w:right w:val="nil"/>
              <w:tl2br w:val="nil"/>
              <w:tr2bl w:val="nil"/>
            </w:tcBorders>
            <w:shd w:val="clear" w:color="auto" w:fill="auto"/>
            <w:noWrap/>
            <w:tcMar>
              <w:left w:w="101" w:type="dxa"/>
              <w:right w:w="101" w:type="dxa"/>
            </w:tcMar>
          </w:tcPr>
          <w:p w14:paraId="050BE618"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486CD62"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22,323</w:t>
            </w:r>
          </w:p>
        </w:tc>
        <w:tc>
          <w:tcPr>
            <w:tcW w:w="1035" w:type="dxa"/>
            <w:tcBorders>
              <w:top w:val="nil"/>
              <w:left w:val="nil"/>
              <w:bottom w:val="nil"/>
              <w:right w:val="nil"/>
              <w:tl2br w:val="nil"/>
              <w:tr2bl w:val="nil"/>
            </w:tcBorders>
            <w:shd w:val="clear" w:color="FFFFFF" w:fill="FFFFFF"/>
            <w:tcMar>
              <w:left w:w="101" w:type="dxa"/>
              <w:right w:w="101" w:type="dxa"/>
            </w:tcMar>
          </w:tcPr>
          <w:p w14:paraId="3281F7F4"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18,214</w:t>
            </w:r>
          </w:p>
        </w:tc>
        <w:tc>
          <w:tcPr>
            <w:tcW w:w="600" w:type="dxa"/>
            <w:tcBorders>
              <w:top w:val="nil"/>
              <w:left w:val="nil"/>
              <w:bottom w:val="nil"/>
              <w:right w:val="nil"/>
              <w:tl2br w:val="nil"/>
              <w:tr2bl w:val="nil"/>
            </w:tcBorders>
            <w:shd w:val="clear" w:color="FFFFFF" w:fill="FFFFFF"/>
            <w:tcMar>
              <w:left w:w="101" w:type="dxa"/>
              <w:right w:w="101" w:type="dxa"/>
            </w:tcMar>
          </w:tcPr>
          <w:p w14:paraId="3F120CD4"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3282FBE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18,719</w:t>
            </w:r>
          </w:p>
        </w:tc>
        <w:tc>
          <w:tcPr>
            <w:tcW w:w="1035" w:type="dxa"/>
            <w:tcBorders>
              <w:top w:val="nil"/>
              <w:left w:val="nil"/>
              <w:bottom w:val="nil"/>
              <w:right w:val="nil"/>
              <w:tl2br w:val="nil"/>
              <w:tr2bl w:val="nil"/>
            </w:tcBorders>
            <w:shd w:val="clear" w:color="FFFFFF" w:fill="FFFFFF"/>
            <w:tcMar>
              <w:left w:w="101" w:type="dxa"/>
              <w:right w:w="101" w:type="dxa"/>
            </w:tcMar>
          </w:tcPr>
          <w:p w14:paraId="6606B36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19,228</w:t>
            </w:r>
          </w:p>
        </w:tc>
        <w:tc>
          <w:tcPr>
            <w:tcW w:w="1035" w:type="dxa"/>
            <w:tcBorders>
              <w:top w:val="nil"/>
              <w:left w:val="nil"/>
              <w:bottom w:val="nil"/>
              <w:right w:val="nil"/>
              <w:tl2br w:val="nil"/>
              <w:tr2bl w:val="nil"/>
            </w:tcBorders>
            <w:shd w:val="clear" w:color="FFFFFF" w:fill="FFFFFF"/>
            <w:tcMar>
              <w:left w:w="101" w:type="dxa"/>
              <w:right w:w="101" w:type="dxa"/>
            </w:tcMar>
          </w:tcPr>
          <w:p w14:paraId="2A1DFC4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19,630</w:t>
            </w:r>
          </w:p>
        </w:tc>
      </w:tr>
      <w:tr w:rsidR="002242F3" w:rsidRPr="005E3B44" w14:paraId="5F8E220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DCFFA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4,677</w:t>
            </w:r>
          </w:p>
        </w:tc>
        <w:tc>
          <w:tcPr>
            <w:tcW w:w="2385" w:type="dxa"/>
            <w:tcBorders>
              <w:top w:val="nil"/>
              <w:left w:val="nil"/>
              <w:bottom w:val="nil"/>
              <w:right w:val="nil"/>
              <w:tl2br w:val="nil"/>
              <w:tr2bl w:val="nil"/>
            </w:tcBorders>
            <w:shd w:val="clear" w:color="auto" w:fill="auto"/>
            <w:noWrap/>
            <w:tcMar>
              <w:left w:w="101" w:type="dxa"/>
              <w:right w:w="101" w:type="dxa"/>
            </w:tcMar>
          </w:tcPr>
          <w:p w14:paraId="6248AE70"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958F9C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5,251</w:t>
            </w:r>
          </w:p>
        </w:tc>
        <w:tc>
          <w:tcPr>
            <w:tcW w:w="1035" w:type="dxa"/>
            <w:tcBorders>
              <w:top w:val="nil"/>
              <w:left w:val="nil"/>
              <w:bottom w:val="nil"/>
              <w:right w:val="nil"/>
              <w:tl2br w:val="nil"/>
              <w:tr2bl w:val="nil"/>
            </w:tcBorders>
            <w:shd w:val="clear" w:color="FFFFFF" w:fill="FFFFFF"/>
            <w:tcMar>
              <w:left w:w="101" w:type="dxa"/>
              <w:right w:w="101" w:type="dxa"/>
            </w:tcMar>
          </w:tcPr>
          <w:p w14:paraId="0573CB4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4,370</w:t>
            </w:r>
          </w:p>
        </w:tc>
        <w:tc>
          <w:tcPr>
            <w:tcW w:w="600" w:type="dxa"/>
            <w:tcBorders>
              <w:top w:val="nil"/>
              <w:left w:val="nil"/>
              <w:bottom w:val="nil"/>
              <w:right w:val="nil"/>
              <w:tl2br w:val="nil"/>
              <w:tr2bl w:val="nil"/>
            </w:tcBorders>
            <w:shd w:val="clear" w:color="FFFFFF" w:fill="FFFFFF"/>
            <w:tcMar>
              <w:left w:w="101" w:type="dxa"/>
              <w:right w:w="101" w:type="dxa"/>
            </w:tcMar>
          </w:tcPr>
          <w:p w14:paraId="464AE153"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41B30844"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4,457</w:t>
            </w:r>
          </w:p>
        </w:tc>
        <w:tc>
          <w:tcPr>
            <w:tcW w:w="1035" w:type="dxa"/>
            <w:tcBorders>
              <w:top w:val="nil"/>
              <w:left w:val="nil"/>
              <w:bottom w:val="nil"/>
              <w:right w:val="nil"/>
              <w:tl2br w:val="nil"/>
              <w:tr2bl w:val="nil"/>
            </w:tcBorders>
            <w:shd w:val="clear" w:color="FFFFFF" w:fill="FFFFFF"/>
            <w:tcMar>
              <w:left w:w="101" w:type="dxa"/>
              <w:right w:w="101" w:type="dxa"/>
            </w:tcMar>
          </w:tcPr>
          <w:p w14:paraId="0C50EDC0"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4,547</w:t>
            </w:r>
          </w:p>
        </w:tc>
        <w:tc>
          <w:tcPr>
            <w:tcW w:w="1035" w:type="dxa"/>
            <w:tcBorders>
              <w:top w:val="nil"/>
              <w:left w:val="nil"/>
              <w:bottom w:val="nil"/>
              <w:right w:val="nil"/>
              <w:tl2br w:val="nil"/>
              <w:tr2bl w:val="nil"/>
            </w:tcBorders>
            <w:shd w:val="clear" w:color="FFFFFF" w:fill="FFFFFF"/>
            <w:tcMar>
              <w:left w:w="101" w:type="dxa"/>
              <w:right w:w="101" w:type="dxa"/>
            </w:tcMar>
          </w:tcPr>
          <w:p w14:paraId="17BD9873"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4,639</w:t>
            </w:r>
          </w:p>
        </w:tc>
      </w:tr>
      <w:tr w:rsidR="002242F3" w:rsidRPr="005E3B44" w14:paraId="09472E2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BB8356"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15,765</w:t>
            </w:r>
          </w:p>
        </w:tc>
        <w:tc>
          <w:tcPr>
            <w:tcW w:w="2385" w:type="dxa"/>
            <w:tcBorders>
              <w:top w:val="nil"/>
              <w:left w:val="nil"/>
              <w:bottom w:val="nil"/>
              <w:right w:val="nil"/>
              <w:tl2br w:val="nil"/>
              <w:tr2bl w:val="nil"/>
            </w:tcBorders>
            <w:shd w:val="clear" w:color="auto" w:fill="auto"/>
            <w:noWrap/>
            <w:tcMar>
              <w:left w:w="101" w:type="dxa"/>
              <w:right w:w="101" w:type="dxa"/>
            </w:tcMar>
          </w:tcPr>
          <w:p w14:paraId="36AA6790"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4253D9AD"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17,391</w:t>
            </w:r>
          </w:p>
        </w:tc>
        <w:tc>
          <w:tcPr>
            <w:tcW w:w="1035" w:type="dxa"/>
            <w:tcBorders>
              <w:top w:val="nil"/>
              <w:left w:val="nil"/>
              <w:bottom w:val="nil"/>
              <w:right w:val="nil"/>
              <w:tl2br w:val="nil"/>
              <w:tr2bl w:val="nil"/>
            </w:tcBorders>
            <w:shd w:val="clear" w:color="FFFFFF" w:fill="FFFFFF"/>
            <w:tcMar>
              <w:left w:w="101" w:type="dxa"/>
              <w:right w:w="101" w:type="dxa"/>
            </w:tcMar>
          </w:tcPr>
          <w:p w14:paraId="25D29DF0"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13,204</w:t>
            </w:r>
          </w:p>
        </w:tc>
        <w:tc>
          <w:tcPr>
            <w:tcW w:w="600" w:type="dxa"/>
            <w:tcBorders>
              <w:top w:val="nil"/>
              <w:left w:val="nil"/>
              <w:bottom w:val="nil"/>
              <w:right w:val="nil"/>
              <w:tl2br w:val="nil"/>
              <w:tr2bl w:val="nil"/>
            </w:tcBorders>
            <w:shd w:val="clear" w:color="FFFFFF" w:fill="FFFFFF"/>
            <w:tcMar>
              <w:left w:w="101" w:type="dxa"/>
              <w:right w:w="101" w:type="dxa"/>
            </w:tcMar>
          </w:tcPr>
          <w:p w14:paraId="1C01BCB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09B222C9"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12,239</w:t>
            </w:r>
          </w:p>
        </w:tc>
        <w:tc>
          <w:tcPr>
            <w:tcW w:w="1035" w:type="dxa"/>
            <w:tcBorders>
              <w:top w:val="nil"/>
              <w:left w:val="nil"/>
              <w:bottom w:val="nil"/>
              <w:right w:val="nil"/>
              <w:tl2br w:val="nil"/>
              <w:tr2bl w:val="nil"/>
            </w:tcBorders>
            <w:shd w:val="clear" w:color="FFFFFF" w:fill="FFFFFF"/>
            <w:tcMar>
              <w:left w:w="101" w:type="dxa"/>
              <w:right w:w="101" w:type="dxa"/>
            </w:tcMar>
          </w:tcPr>
          <w:p w14:paraId="11ED2C20"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12,503</w:t>
            </w:r>
          </w:p>
        </w:tc>
        <w:tc>
          <w:tcPr>
            <w:tcW w:w="1035" w:type="dxa"/>
            <w:tcBorders>
              <w:top w:val="nil"/>
              <w:left w:val="nil"/>
              <w:bottom w:val="nil"/>
              <w:right w:val="nil"/>
              <w:tl2br w:val="nil"/>
              <w:tr2bl w:val="nil"/>
            </w:tcBorders>
            <w:shd w:val="clear" w:color="FFFFFF" w:fill="FFFFFF"/>
            <w:tcMar>
              <w:left w:w="101" w:type="dxa"/>
              <w:right w:w="101" w:type="dxa"/>
            </w:tcMar>
          </w:tcPr>
          <w:p w14:paraId="52C27674"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12,783</w:t>
            </w:r>
          </w:p>
        </w:tc>
      </w:tr>
      <w:tr w:rsidR="002242F3" w:rsidRPr="005E3B44" w14:paraId="1841E81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C1C112"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6188689"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EE1C0C"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B6CFE1"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51A436"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156B4F"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C27850"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8E5AE5"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69EE37F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72BA70"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399,391</w:t>
            </w:r>
          </w:p>
        </w:tc>
        <w:tc>
          <w:tcPr>
            <w:tcW w:w="2385" w:type="dxa"/>
            <w:tcBorders>
              <w:top w:val="nil"/>
              <w:left w:val="nil"/>
              <w:bottom w:val="nil"/>
              <w:right w:val="nil"/>
              <w:tl2br w:val="nil"/>
              <w:tr2bl w:val="nil"/>
            </w:tcBorders>
            <w:shd w:val="clear" w:color="FFFFFF" w:fill="FFFFFF"/>
            <w:noWrap/>
            <w:tcMar>
              <w:left w:w="101" w:type="dxa"/>
              <w:right w:w="101" w:type="dxa"/>
            </w:tcMar>
          </w:tcPr>
          <w:p w14:paraId="536737F9"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39DB2AC4"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385,727</w:t>
            </w:r>
          </w:p>
        </w:tc>
        <w:tc>
          <w:tcPr>
            <w:tcW w:w="1035" w:type="dxa"/>
            <w:tcBorders>
              <w:top w:val="nil"/>
              <w:left w:val="nil"/>
              <w:bottom w:val="nil"/>
              <w:right w:val="nil"/>
              <w:tl2br w:val="nil"/>
              <w:tr2bl w:val="nil"/>
            </w:tcBorders>
            <w:shd w:val="clear" w:color="FFFFFF" w:fill="FFFFFF"/>
            <w:tcMar>
              <w:left w:w="101" w:type="dxa"/>
              <w:right w:w="101" w:type="dxa"/>
            </w:tcMar>
          </w:tcPr>
          <w:p w14:paraId="28047CD8"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420,797</w:t>
            </w:r>
          </w:p>
        </w:tc>
        <w:tc>
          <w:tcPr>
            <w:tcW w:w="600" w:type="dxa"/>
            <w:tcBorders>
              <w:top w:val="nil"/>
              <w:left w:val="nil"/>
              <w:bottom w:val="nil"/>
              <w:right w:val="nil"/>
              <w:tl2br w:val="nil"/>
              <w:tr2bl w:val="nil"/>
            </w:tcBorders>
            <w:shd w:val="clear" w:color="FFFFFF" w:fill="FFFFFF"/>
            <w:tcMar>
              <w:left w:w="101" w:type="dxa"/>
              <w:right w:w="101" w:type="dxa"/>
            </w:tcMar>
          </w:tcPr>
          <w:p w14:paraId="4F362390"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6AFF34E2"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423,545</w:t>
            </w:r>
          </w:p>
        </w:tc>
        <w:tc>
          <w:tcPr>
            <w:tcW w:w="1035" w:type="dxa"/>
            <w:tcBorders>
              <w:top w:val="nil"/>
              <w:left w:val="nil"/>
              <w:bottom w:val="nil"/>
              <w:right w:val="nil"/>
              <w:tl2br w:val="nil"/>
              <w:tr2bl w:val="nil"/>
            </w:tcBorders>
            <w:shd w:val="clear" w:color="FFFFFF" w:fill="FFFFFF"/>
            <w:tcMar>
              <w:left w:w="101" w:type="dxa"/>
              <w:right w:w="101" w:type="dxa"/>
            </w:tcMar>
          </w:tcPr>
          <w:p w14:paraId="5B9CBFAE"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426,655</w:t>
            </w:r>
          </w:p>
        </w:tc>
        <w:tc>
          <w:tcPr>
            <w:tcW w:w="1035" w:type="dxa"/>
            <w:tcBorders>
              <w:top w:val="nil"/>
              <w:left w:val="nil"/>
              <w:bottom w:val="nil"/>
              <w:right w:val="nil"/>
              <w:tl2br w:val="nil"/>
              <w:tr2bl w:val="nil"/>
            </w:tcBorders>
            <w:shd w:val="clear" w:color="FFFFFF" w:fill="FFFFFF"/>
            <w:tcMar>
              <w:left w:w="101" w:type="dxa"/>
              <w:right w:w="101" w:type="dxa"/>
            </w:tcMar>
          </w:tcPr>
          <w:p w14:paraId="27726089"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428,446</w:t>
            </w:r>
          </w:p>
        </w:tc>
      </w:tr>
      <w:tr w:rsidR="002242F3" w:rsidRPr="005E3B44" w14:paraId="0F5DD46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E50006"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63EE076"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5F97D"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B11C75"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9D8B7F"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FD5C8D"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D49020"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A9DBB1"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5797179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A9D7EC"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7CD44AD"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38D06B11"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A82E93"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0F92D3"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805ED3"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C2AB00"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2723D8"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5FD5B3D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71F5DE"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0F22DF2"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45D9971F"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304</w:t>
            </w:r>
          </w:p>
        </w:tc>
        <w:tc>
          <w:tcPr>
            <w:tcW w:w="1035" w:type="dxa"/>
            <w:tcBorders>
              <w:top w:val="nil"/>
              <w:left w:val="nil"/>
              <w:bottom w:val="nil"/>
              <w:right w:val="nil"/>
              <w:tl2br w:val="nil"/>
              <w:tr2bl w:val="nil"/>
            </w:tcBorders>
            <w:shd w:val="clear" w:color="FFFFFF" w:fill="FFFFFF"/>
            <w:tcMar>
              <w:left w:w="101" w:type="dxa"/>
              <w:right w:w="101" w:type="dxa"/>
            </w:tcMar>
          </w:tcPr>
          <w:p w14:paraId="478763E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010F82D"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60DACF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5B158A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FA38944"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1F506B6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604905"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CDE1478"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C3F64B"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CC65A7"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64794E"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8E83AB"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5E2B43"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AE71CB"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6983194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348B5B"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9D30C75"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1091BBA6"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304</w:t>
            </w:r>
          </w:p>
        </w:tc>
        <w:tc>
          <w:tcPr>
            <w:tcW w:w="1035" w:type="dxa"/>
            <w:tcBorders>
              <w:top w:val="nil"/>
              <w:left w:val="nil"/>
              <w:bottom w:val="nil"/>
              <w:right w:val="nil"/>
              <w:tl2br w:val="nil"/>
              <w:tr2bl w:val="nil"/>
            </w:tcBorders>
            <w:shd w:val="clear" w:color="FFFFFF" w:fill="FFFFFF"/>
            <w:tcMar>
              <w:left w:w="101" w:type="dxa"/>
              <w:right w:w="101" w:type="dxa"/>
            </w:tcMar>
          </w:tcPr>
          <w:p w14:paraId="41D88C4C"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B8B13E8"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1876C06"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347D343"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58063D7"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5E3B44" w14:paraId="71C1EC5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6DA164"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9D5690C"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2BC488"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1F60B5"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CDEEA5"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49298D"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CBD892"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40246C"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7548182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95C7A4"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399,391</w:t>
            </w:r>
          </w:p>
        </w:tc>
        <w:tc>
          <w:tcPr>
            <w:tcW w:w="2385" w:type="dxa"/>
            <w:tcBorders>
              <w:top w:val="nil"/>
              <w:left w:val="nil"/>
              <w:bottom w:val="nil"/>
              <w:right w:val="nil"/>
              <w:tl2br w:val="nil"/>
              <w:tr2bl w:val="nil"/>
            </w:tcBorders>
            <w:shd w:val="clear" w:color="FFFFFF" w:fill="FFFFFF"/>
            <w:noWrap/>
            <w:tcMar>
              <w:left w:w="101" w:type="dxa"/>
              <w:right w:w="101" w:type="dxa"/>
            </w:tcMar>
          </w:tcPr>
          <w:p w14:paraId="0818A1F1"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34095957"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386,031</w:t>
            </w:r>
          </w:p>
        </w:tc>
        <w:tc>
          <w:tcPr>
            <w:tcW w:w="1035" w:type="dxa"/>
            <w:tcBorders>
              <w:top w:val="nil"/>
              <w:left w:val="nil"/>
              <w:bottom w:val="nil"/>
              <w:right w:val="nil"/>
              <w:tl2br w:val="nil"/>
              <w:tr2bl w:val="nil"/>
            </w:tcBorders>
            <w:shd w:val="clear" w:color="FFFFFF" w:fill="FFFFFF"/>
            <w:tcMar>
              <w:left w:w="101" w:type="dxa"/>
              <w:right w:w="101" w:type="dxa"/>
            </w:tcMar>
          </w:tcPr>
          <w:p w14:paraId="65B540AF"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420,797</w:t>
            </w:r>
          </w:p>
        </w:tc>
        <w:tc>
          <w:tcPr>
            <w:tcW w:w="600" w:type="dxa"/>
            <w:tcBorders>
              <w:top w:val="nil"/>
              <w:left w:val="nil"/>
              <w:bottom w:val="nil"/>
              <w:right w:val="nil"/>
              <w:tl2br w:val="nil"/>
              <w:tr2bl w:val="nil"/>
            </w:tcBorders>
            <w:shd w:val="clear" w:color="FFFFFF" w:fill="FFFFFF"/>
            <w:tcMar>
              <w:left w:w="101" w:type="dxa"/>
              <w:right w:w="101" w:type="dxa"/>
            </w:tcMar>
          </w:tcPr>
          <w:p w14:paraId="757F70DB"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3519885B"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423,545</w:t>
            </w:r>
          </w:p>
        </w:tc>
        <w:tc>
          <w:tcPr>
            <w:tcW w:w="1035" w:type="dxa"/>
            <w:tcBorders>
              <w:top w:val="nil"/>
              <w:left w:val="nil"/>
              <w:bottom w:val="nil"/>
              <w:right w:val="nil"/>
              <w:tl2br w:val="nil"/>
              <w:tr2bl w:val="nil"/>
            </w:tcBorders>
            <w:shd w:val="clear" w:color="FFFFFF" w:fill="FFFFFF"/>
            <w:tcMar>
              <w:left w:w="101" w:type="dxa"/>
              <w:right w:w="101" w:type="dxa"/>
            </w:tcMar>
          </w:tcPr>
          <w:p w14:paraId="2F90DC35"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426,655</w:t>
            </w:r>
          </w:p>
        </w:tc>
        <w:tc>
          <w:tcPr>
            <w:tcW w:w="1035" w:type="dxa"/>
            <w:tcBorders>
              <w:top w:val="nil"/>
              <w:left w:val="nil"/>
              <w:bottom w:val="nil"/>
              <w:right w:val="nil"/>
              <w:tl2br w:val="nil"/>
              <w:tr2bl w:val="nil"/>
            </w:tcBorders>
            <w:shd w:val="clear" w:color="FFFFFF" w:fill="FFFFFF"/>
            <w:tcMar>
              <w:left w:w="101" w:type="dxa"/>
              <w:right w:w="101" w:type="dxa"/>
            </w:tcMar>
          </w:tcPr>
          <w:p w14:paraId="635CAC3A"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428,446</w:t>
            </w:r>
          </w:p>
        </w:tc>
      </w:tr>
      <w:tr w:rsidR="002242F3" w:rsidRPr="005E3B44" w14:paraId="538DE95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D30C92"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09621AB"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9674C9"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0B30C9"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D5B9345"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2D8877"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D94B98"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35E48D"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195B4A8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3E5D18"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1862010"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3188BE16"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F11547"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CA22FA"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ACB706"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F631B9"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DE9086"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6F01655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46315F"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234,902</w:t>
            </w:r>
          </w:p>
        </w:tc>
        <w:tc>
          <w:tcPr>
            <w:tcW w:w="2385" w:type="dxa"/>
            <w:tcBorders>
              <w:top w:val="nil"/>
              <w:left w:val="nil"/>
              <w:bottom w:val="nil"/>
              <w:right w:val="nil"/>
              <w:tl2br w:val="nil"/>
              <w:tr2bl w:val="nil"/>
            </w:tcBorders>
            <w:shd w:val="clear" w:color="FFFFFF" w:fill="FFFFFF"/>
            <w:noWrap/>
            <w:tcMar>
              <w:left w:w="101" w:type="dxa"/>
              <w:right w:w="101" w:type="dxa"/>
            </w:tcMar>
          </w:tcPr>
          <w:p w14:paraId="45E0E2AD"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5F64E68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244,237</w:t>
            </w:r>
          </w:p>
        </w:tc>
        <w:tc>
          <w:tcPr>
            <w:tcW w:w="1035" w:type="dxa"/>
            <w:tcBorders>
              <w:top w:val="nil"/>
              <w:left w:val="nil"/>
              <w:bottom w:val="nil"/>
              <w:right w:val="nil"/>
              <w:tl2br w:val="nil"/>
              <w:tr2bl w:val="nil"/>
            </w:tcBorders>
            <w:shd w:val="clear" w:color="FFFFFF" w:fill="FFFFFF"/>
            <w:tcMar>
              <w:left w:w="101" w:type="dxa"/>
              <w:right w:w="101" w:type="dxa"/>
            </w:tcMar>
          </w:tcPr>
          <w:p w14:paraId="3CECC786"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243,893</w:t>
            </w:r>
          </w:p>
        </w:tc>
        <w:tc>
          <w:tcPr>
            <w:tcW w:w="600" w:type="dxa"/>
            <w:tcBorders>
              <w:top w:val="nil"/>
              <w:left w:val="nil"/>
              <w:bottom w:val="nil"/>
              <w:right w:val="nil"/>
              <w:tl2br w:val="nil"/>
              <w:tr2bl w:val="nil"/>
            </w:tcBorders>
            <w:shd w:val="clear" w:color="FFFFFF" w:fill="FFFFFF"/>
            <w:tcMar>
              <w:left w:w="101" w:type="dxa"/>
              <w:right w:w="101" w:type="dxa"/>
            </w:tcMar>
          </w:tcPr>
          <w:p w14:paraId="62AF2A8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4FF8EDA"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247,468</w:t>
            </w:r>
          </w:p>
        </w:tc>
        <w:tc>
          <w:tcPr>
            <w:tcW w:w="1035" w:type="dxa"/>
            <w:tcBorders>
              <w:top w:val="nil"/>
              <w:left w:val="nil"/>
              <w:bottom w:val="nil"/>
              <w:right w:val="nil"/>
              <w:tl2br w:val="nil"/>
              <w:tr2bl w:val="nil"/>
            </w:tcBorders>
            <w:shd w:val="clear" w:color="FFFFFF" w:fill="FFFFFF"/>
            <w:tcMar>
              <w:left w:w="101" w:type="dxa"/>
              <w:right w:w="101" w:type="dxa"/>
            </w:tcMar>
          </w:tcPr>
          <w:p w14:paraId="0B182D2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251,568</w:t>
            </w:r>
          </w:p>
        </w:tc>
        <w:tc>
          <w:tcPr>
            <w:tcW w:w="1035" w:type="dxa"/>
            <w:tcBorders>
              <w:top w:val="nil"/>
              <w:left w:val="nil"/>
              <w:bottom w:val="nil"/>
              <w:right w:val="nil"/>
              <w:tl2br w:val="nil"/>
              <w:tr2bl w:val="nil"/>
            </w:tcBorders>
            <w:shd w:val="clear" w:color="FFFFFF" w:fill="FFFFFF"/>
            <w:tcMar>
              <w:left w:w="101" w:type="dxa"/>
              <w:right w:w="101" w:type="dxa"/>
            </w:tcMar>
          </w:tcPr>
          <w:p w14:paraId="39899AB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254,872</w:t>
            </w:r>
          </w:p>
        </w:tc>
      </w:tr>
      <w:tr w:rsidR="002242F3" w:rsidRPr="005E3B44" w14:paraId="06E112B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9A05BD"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34,715</w:t>
            </w:r>
          </w:p>
        </w:tc>
        <w:tc>
          <w:tcPr>
            <w:tcW w:w="2385" w:type="dxa"/>
            <w:tcBorders>
              <w:top w:val="nil"/>
              <w:left w:val="nil"/>
              <w:bottom w:val="nil"/>
              <w:right w:val="nil"/>
              <w:tl2br w:val="nil"/>
              <w:tr2bl w:val="nil"/>
            </w:tcBorders>
            <w:shd w:val="clear" w:color="FFFFFF" w:fill="FFFFFF"/>
            <w:noWrap/>
            <w:tcMar>
              <w:left w:w="101" w:type="dxa"/>
              <w:right w:w="101" w:type="dxa"/>
            </w:tcMar>
          </w:tcPr>
          <w:p w14:paraId="66DAE79E"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76F48EEF"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34,946</w:t>
            </w:r>
          </w:p>
        </w:tc>
        <w:tc>
          <w:tcPr>
            <w:tcW w:w="1035" w:type="dxa"/>
            <w:tcBorders>
              <w:top w:val="nil"/>
              <w:left w:val="nil"/>
              <w:bottom w:val="nil"/>
              <w:right w:val="nil"/>
              <w:tl2br w:val="nil"/>
              <w:tr2bl w:val="nil"/>
            </w:tcBorders>
            <w:shd w:val="clear" w:color="FFFFFF" w:fill="FFFFFF"/>
            <w:tcMar>
              <w:left w:w="101" w:type="dxa"/>
              <w:right w:w="101" w:type="dxa"/>
            </w:tcMar>
          </w:tcPr>
          <w:p w14:paraId="1F1C4E4D"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37,929</w:t>
            </w:r>
          </w:p>
        </w:tc>
        <w:tc>
          <w:tcPr>
            <w:tcW w:w="600" w:type="dxa"/>
            <w:tcBorders>
              <w:top w:val="nil"/>
              <w:left w:val="nil"/>
              <w:bottom w:val="nil"/>
              <w:right w:val="nil"/>
              <w:tl2br w:val="nil"/>
              <w:tr2bl w:val="nil"/>
            </w:tcBorders>
            <w:shd w:val="clear" w:color="FFFFFF" w:fill="FFFFFF"/>
            <w:tcMar>
              <w:left w:w="101" w:type="dxa"/>
              <w:right w:w="101" w:type="dxa"/>
            </w:tcMar>
          </w:tcPr>
          <w:p w14:paraId="1BF4B3F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15A8FC53"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38,617</w:t>
            </w:r>
          </w:p>
        </w:tc>
        <w:tc>
          <w:tcPr>
            <w:tcW w:w="1035" w:type="dxa"/>
            <w:tcBorders>
              <w:top w:val="nil"/>
              <w:left w:val="nil"/>
              <w:bottom w:val="nil"/>
              <w:right w:val="nil"/>
              <w:tl2br w:val="nil"/>
              <w:tr2bl w:val="nil"/>
            </w:tcBorders>
            <w:shd w:val="clear" w:color="FFFFFF" w:fill="FFFFFF"/>
            <w:tcMar>
              <w:left w:w="101" w:type="dxa"/>
              <w:right w:w="101" w:type="dxa"/>
            </w:tcMar>
          </w:tcPr>
          <w:p w14:paraId="0EE4BDB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38,633</w:t>
            </w:r>
          </w:p>
        </w:tc>
        <w:tc>
          <w:tcPr>
            <w:tcW w:w="1035" w:type="dxa"/>
            <w:tcBorders>
              <w:top w:val="nil"/>
              <w:left w:val="nil"/>
              <w:bottom w:val="nil"/>
              <w:right w:val="nil"/>
              <w:tl2br w:val="nil"/>
              <w:tr2bl w:val="nil"/>
            </w:tcBorders>
            <w:shd w:val="clear" w:color="FFFFFF" w:fill="FFFFFF"/>
            <w:tcMar>
              <w:left w:w="101" w:type="dxa"/>
              <w:right w:w="101" w:type="dxa"/>
            </w:tcMar>
          </w:tcPr>
          <w:p w14:paraId="784EECD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40,386</w:t>
            </w:r>
          </w:p>
        </w:tc>
      </w:tr>
      <w:tr w:rsidR="002242F3" w:rsidRPr="005E3B44" w14:paraId="70E144A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9857F2"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106,410</w:t>
            </w:r>
          </w:p>
        </w:tc>
        <w:tc>
          <w:tcPr>
            <w:tcW w:w="2385" w:type="dxa"/>
            <w:tcBorders>
              <w:top w:val="nil"/>
              <w:left w:val="nil"/>
              <w:bottom w:val="nil"/>
              <w:right w:val="nil"/>
              <w:tl2br w:val="nil"/>
              <w:tr2bl w:val="nil"/>
            </w:tcBorders>
            <w:shd w:val="clear" w:color="FFFFFF" w:fill="FFFFFF"/>
            <w:noWrap/>
            <w:tcMar>
              <w:left w:w="101" w:type="dxa"/>
              <w:right w:w="101" w:type="dxa"/>
            </w:tcMar>
          </w:tcPr>
          <w:p w14:paraId="06728163"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1DA555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105,120</w:t>
            </w:r>
          </w:p>
        </w:tc>
        <w:tc>
          <w:tcPr>
            <w:tcW w:w="1035" w:type="dxa"/>
            <w:tcBorders>
              <w:top w:val="nil"/>
              <w:left w:val="nil"/>
              <w:bottom w:val="nil"/>
              <w:right w:val="nil"/>
              <w:tl2br w:val="nil"/>
              <w:tr2bl w:val="nil"/>
            </w:tcBorders>
            <w:shd w:val="clear" w:color="FFFFFF" w:fill="FFFFFF"/>
            <w:tcMar>
              <w:left w:w="101" w:type="dxa"/>
              <w:right w:w="101" w:type="dxa"/>
            </w:tcMar>
          </w:tcPr>
          <w:p w14:paraId="60096C35"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115,457</w:t>
            </w:r>
          </w:p>
        </w:tc>
        <w:tc>
          <w:tcPr>
            <w:tcW w:w="600" w:type="dxa"/>
            <w:tcBorders>
              <w:top w:val="nil"/>
              <w:left w:val="nil"/>
              <w:bottom w:val="nil"/>
              <w:right w:val="nil"/>
              <w:tl2br w:val="nil"/>
              <w:tr2bl w:val="nil"/>
            </w:tcBorders>
            <w:shd w:val="clear" w:color="FFFFFF" w:fill="FFFFFF"/>
            <w:tcMar>
              <w:left w:w="101" w:type="dxa"/>
              <w:right w:w="101" w:type="dxa"/>
            </w:tcMar>
          </w:tcPr>
          <w:p w14:paraId="648919A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7AAAD551"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114,658</w:t>
            </w:r>
          </w:p>
        </w:tc>
        <w:tc>
          <w:tcPr>
            <w:tcW w:w="1035" w:type="dxa"/>
            <w:tcBorders>
              <w:top w:val="nil"/>
              <w:left w:val="nil"/>
              <w:bottom w:val="nil"/>
              <w:right w:val="nil"/>
              <w:tl2br w:val="nil"/>
              <w:tr2bl w:val="nil"/>
            </w:tcBorders>
            <w:shd w:val="clear" w:color="FFFFFF" w:fill="FFFFFF"/>
            <w:tcMar>
              <w:left w:w="101" w:type="dxa"/>
              <w:right w:w="101" w:type="dxa"/>
            </w:tcMar>
          </w:tcPr>
          <w:p w14:paraId="06C66B9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114,148</w:t>
            </w:r>
          </w:p>
        </w:tc>
        <w:tc>
          <w:tcPr>
            <w:tcW w:w="1035" w:type="dxa"/>
            <w:tcBorders>
              <w:top w:val="nil"/>
              <w:left w:val="nil"/>
              <w:bottom w:val="nil"/>
              <w:right w:val="nil"/>
              <w:tl2br w:val="nil"/>
              <w:tr2bl w:val="nil"/>
            </w:tcBorders>
            <w:shd w:val="clear" w:color="FFFFFF" w:fill="FFFFFF"/>
            <w:tcMar>
              <w:left w:w="101" w:type="dxa"/>
              <w:right w:w="101" w:type="dxa"/>
            </w:tcMar>
          </w:tcPr>
          <w:p w14:paraId="051AD16F"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112,705</w:t>
            </w:r>
          </w:p>
        </w:tc>
      </w:tr>
      <w:tr w:rsidR="002242F3" w:rsidRPr="005E3B44" w14:paraId="74DB4FA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1460EA"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29,057</w:t>
            </w:r>
          </w:p>
        </w:tc>
        <w:tc>
          <w:tcPr>
            <w:tcW w:w="2385" w:type="dxa"/>
            <w:tcBorders>
              <w:top w:val="nil"/>
              <w:left w:val="nil"/>
              <w:bottom w:val="nil"/>
              <w:right w:val="nil"/>
              <w:tl2br w:val="nil"/>
              <w:tr2bl w:val="nil"/>
            </w:tcBorders>
            <w:shd w:val="clear" w:color="FFFFFF" w:fill="FFFFFF"/>
            <w:noWrap/>
            <w:tcMar>
              <w:left w:w="101" w:type="dxa"/>
              <w:right w:w="101" w:type="dxa"/>
            </w:tcMar>
          </w:tcPr>
          <w:p w14:paraId="61D6B02C"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0431668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28,343</w:t>
            </w:r>
          </w:p>
        </w:tc>
        <w:tc>
          <w:tcPr>
            <w:tcW w:w="1035" w:type="dxa"/>
            <w:tcBorders>
              <w:top w:val="nil"/>
              <w:left w:val="nil"/>
              <w:bottom w:val="nil"/>
              <w:right w:val="nil"/>
              <w:tl2br w:val="nil"/>
              <w:tr2bl w:val="nil"/>
            </w:tcBorders>
            <w:shd w:val="clear" w:color="FFFFFF" w:fill="FFFFFF"/>
            <w:tcMar>
              <w:left w:w="101" w:type="dxa"/>
              <w:right w:w="101" w:type="dxa"/>
            </w:tcMar>
          </w:tcPr>
          <w:p w14:paraId="7637C52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36,262</w:t>
            </w:r>
          </w:p>
        </w:tc>
        <w:tc>
          <w:tcPr>
            <w:tcW w:w="600" w:type="dxa"/>
            <w:tcBorders>
              <w:top w:val="nil"/>
              <w:left w:val="nil"/>
              <w:bottom w:val="nil"/>
              <w:right w:val="nil"/>
              <w:tl2br w:val="nil"/>
              <w:tr2bl w:val="nil"/>
            </w:tcBorders>
            <w:shd w:val="clear" w:color="FFFFFF" w:fill="FFFFFF"/>
            <w:tcMar>
              <w:left w:w="101" w:type="dxa"/>
              <w:right w:w="101" w:type="dxa"/>
            </w:tcMar>
          </w:tcPr>
          <w:p w14:paraId="549431A7"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28 </w:t>
            </w:r>
          </w:p>
        </w:tc>
        <w:tc>
          <w:tcPr>
            <w:tcW w:w="1035" w:type="dxa"/>
            <w:tcBorders>
              <w:top w:val="nil"/>
              <w:left w:val="nil"/>
              <w:bottom w:val="nil"/>
              <w:right w:val="nil"/>
              <w:tl2br w:val="nil"/>
              <w:tr2bl w:val="nil"/>
            </w:tcBorders>
            <w:shd w:val="clear" w:color="FFFFFF" w:fill="FFFFFF"/>
            <w:tcMar>
              <w:left w:w="101" w:type="dxa"/>
              <w:right w:w="101" w:type="dxa"/>
            </w:tcMar>
          </w:tcPr>
          <w:p w14:paraId="5441B97F"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37,819</w:t>
            </w:r>
          </w:p>
        </w:tc>
        <w:tc>
          <w:tcPr>
            <w:tcW w:w="1035" w:type="dxa"/>
            <w:tcBorders>
              <w:top w:val="nil"/>
              <w:left w:val="nil"/>
              <w:bottom w:val="nil"/>
              <w:right w:val="nil"/>
              <w:tl2br w:val="nil"/>
              <w:tr2bl w:val="nil"/>
            </w:tcBorders>
            <w:shd w:val="clear" w:color="FFFFFF" w:fill="FFFFFF"/>
            <w:tcMar>
              <w:left w:w="101" w:type="dxa"/>
              <w:right w:w="101" w:type="dxa"/>
            </w:tcMar>
          </w:tcPr>
          <w:p w14:paraId="78761134"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41,668</w:t>
            </w:r>
          </w:p>
        </w:tc>
        <w:tc>
          <w:tcPr>
            <w:tcW w:w="1035" w:type="dxa"/>
            <w:tcBorders>
              <w:top w:val="nil"/>
              <w:left w:val="nil"/>
              <w:bottom w:val="nil"/>
              <w:right w:val="nil"/>
              <w:tl2br w:val="nil"/>
              <w:tr2bl w:val="nil"/>
            </w:tcBorders>
            <w:shd w:val="clear" w:color="FFFFFF" w:fill="FFFFFF"/>
            <w:tcMar>
              <w:left w:w="101" w:type="dxa"/>
              <w:right w:w="101" w:type="dxa"/>
            </w:tcMar>
          </w:tcPr>
          <w:p w14:paraId="647EF073"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42,204</w:t>
            </w:r>
          </w:p>
        </w:tc>
      </w:tr>
      <w:tr w:rsidR="002242F3" w:rsidRPr="005E3B44" w14:paraId="1C7D020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8BBEBE"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10,429</w:t>
            </w:r>
          </w:p>
        </w:tc>
        <w:tc>
          <w:tcPr>
            <w:tcW w:w="2385" w:type="dxa"/>
            <w:tcBorders>
              <w:top w:val="nil"/>
              <w:left w:val="nil"/>
              <w:bottom w:val="nil"/>
              <w:right w:val="nil"/>
              <w:tl2br w:val="nil"/>
              <w:tr2bl w:val="nil"/>
            </w:tcBorders>
            <w:shd w:val="clear" w:color="FFFFFF" w:fill="FFFFFF"/>
            <w:noWrap/>
            <w:tcMar>
              <w:left w:w="101" w:type="dxa"/>
              <w:right w:w="101" w:type="dxa"/>
            </w:tcMar>
          </w:tcPr>
          <w:p w14:paraId="38214947"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00502DB"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8,513</w:t>
            </w:r>
          </w:p>
        </w:tc>
        <w:tc>
          <w:tcPr>
            <w:tcW w:w="1035" w:type="dxa"/>
            <w:tcBorders>
              <w:top w:val="nil"/>
              <w:left w:val="nil"/>
              <w:bottom w:val="nil"/>
              <w:right w:val="nil"/>
              <w:tl2br w:val="nil"/>
              <w:tr2bl w:val="nil"/>
            </w:tcBorders>
            <w:shd w:val="clear" w:color="FFFFFF" w:fill="FFFFFF"/>
            <w:tcMar>
              <w:left w:w="101" w:type="dxa"/>
              <w:right w:w="101" w:type="dxa"/>
            </w:tcMar>
          </w:tcPr>
          <w:p w14:paraId="0B4B7224"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11,638</w:t>
            </w:r>
          </w:p>
        </w:tc>
        <w:tc>
          <w:tcPr>
            <w:tcW w:w="600" w:type="dxa"/>
            <w:tcBorders>
              <w:top w:val="nil"/>
              <w:left w:val="nil"/>
              <w:bottom w:val="nil"/>
              <w:right w:val="nil"/>
              <w:tl2br w:val="nil"/>
              <w:tr2bl w:val="nil"/>
            </w:tcBorders>
            <w:shd w:val="clear" w:color="FFFFFF" w:fill="FFFFFF"/>
            <w:tcMar>
              <w:left w:w="101" w:type="dxa"/>
              <w:right w:w="101" w:type="dxa"/>
            </w:tcMar>
          </w:tcPr>
          <w:p w14:paraId="686675D0"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3DC2A93E"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10,385</w:t>
            </w:r>
          </w:p>
        </w:tc>
        <w:tc>
          <w:tcPr>
            <w:tcW w:w="1035" w:type="dxa"/>
            <w:tcBorders>
              <w:top w:val="nil"/>
              <w:left w:val="nil"/>
              <w:bottom w:val="nil"/>
              <w:right w:val="nil"/>
              <w:tl2br w:val="nil"/>
              <w:tr2bl w:val="nil"/>
            </w:tcBorders>
            <w:shd w:val="clear" w:color="FFFFFF" w:fill="FFFFFF"/>
            <w:tcMar>
              <w:left w:w="101" w:type="dxa"/>
              <w:right w:w="101" w:type="dxa"/>
            </w:tcMar>
          </w:tcPr>
          <w:p w14:paraId="6FE392F3"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10,183</w:t>
            </w:r>
          </w:p>
        </w:tc>
        <w:tc>
          <w:tcPr>
            <w:tcW w:w="1035" w:type="dxa"/>
            <w:tcBorders>
              <w:top w:val="nil"/>
              <w:left w:val="nil"/>
              <w:bottom w:val="nil"/>
              <w:right w:val="nil"/>
              <w:tl2br w:val="nil"/>
              <w:tr2bl w:val="nil"/>
            </w:tcBorders>
            <w:shd w:val="clear" w:color="FFFFFF" w:fill="FFFFFF"/>
            <w:tcMar>
              <w:left w:w="101" w:type="dxa"/>
              <w:right w:w="101" w:type="dxa"/>
            </w:tcMar>
          </w:tcPr>
          <w:p w14:paraId="088975E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8,414</w:t>
            </w:r>
          </w:p>
        </w:tc>
      </w:tr>
      <w:tr w:rsidR="002242F3" w:rsidRPr="005E3B44" w14:paraId="6FC642A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C46C1E"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12,588</w:t>
            </w:r>
          </w:p>
        </w:tc>
        <w:tc>
          <w:tcPr>
            <w:tcW w:w="2385" w:type="dxa"/>
            <w:tcBorders>
              <w:top w:val="nil"/>
              <w:left w:val="nil"/>
              <w:bottom w:val="nil"/>
              <w:right w:val="nil"/>
              <w:tl2br w:val="nil"/>
              <w:tr2bl w:val="nil"/>
            </w:tcBorders>
            <w:shd w:val="clear" w:color="FFFFFF" w:fill="FFFFFF"/>
            <w:noWrap/>
            <w:tcMar>
              <w:left w:w="101" w:type="dxa"/>
              <w:right w:w="101" w:type="dxa"/>
            </w:tcMar>
          </w:tcPr>
          <w:p w14:paraId="447461A3"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3FD28089"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12,480</w:t>
            </w:r>
          </w:p>
        </w:tc>
        <w:tc>
          <w:tcPr>
            <w:tcW w:w="1035" w:type="dxa"/>
            <w:tcBorders>
              <w:top w:val="nil"/>
              <w:left w:val="nil"/>
              <w:bottom w:val="nil"/>
              <w:right w:val="nil"/>
              <w:tl2br w:val="nil"/>
              <w:tr2bl w:val="nil"/>
            </w:tcBorders>
            <w:shd w:val="clear" w:color="FFFFFF" w:fill="FFFFFF"/>
            <w:tcMar>
              <w:left w:w="101" w:type="dxa"/>
              <w:right w:w="101" w:type="dxa"/>
            </w:tcMar>
          </w:tcPr>
          <w:p w14:paraId="0999DBD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12,186</w:t>
            </w:r>
          </w:p>
        </w:tc>
        <w:tc>
          <w:tcPr>
            <w:tcW w:w="600" w:type="dxa"/>
            <w:tcBorders>
              <w:top w:val="nil"/>
              <w:left w:val="nil"/>
              <w:bottom w:val="nil"/>
              <w:right w:val="nil"/>
              <w:tl2br w:val="nil"/>
              <w:tr2bl w:val="nil"/>
            </w:tcBorders>
            <w:shd w:val="clear" w:color="FFFFFF" w:fill="FFFFFF"/>
            <w:tcMar>
              <w:left w:w="101" w:type="dxa"/>
              <w:right w:w="101" w:type="dxa"/>
            </w:tcMar>
          </w:tcPr>
          <w:p w14:paraId="6E93994D"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F6D02C7"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11,968</w:t>
            </w:r>
          </w:p>
        </w:tc>
        <w:tc>
          <w:tcPr>
            <w:tcW w:w="1035" w:type="dxa"/>
            <w:tcBorders>
              <w:top w:val="nil"/>
              <w:left w:val="nil"/>
              <w:bottom w:val="nil"/>
              <w:right w:val="nil"/>
              <w:tl2br w:val="nil"/>
              <w:tr2bl w:val="nil"/>
            </w:tcBorders>
            <w:shd w:val="clear" w:color="FFFFFF" w:fill="FFFFFF"/>
            <w:tcMar>
              <w:left w:w="101" w:type="dxa"/>
              <w:right w:w="101" w:type="dxa"/>
            </w:tcMar>
          </w:tcPr>
          <w:p w14:paraId="0410640A"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11,732</w:t>
            </w:r>
          </w:p>
        </w:tc>
        <w:tc>
          <w:tcPr>
            <w:tcW w:w="1035" w:type="dxa"/>
            <w:tcBorders>
              <w:top w:val="nil"/>
              <w:left w:val="nil"/>
              <w:bottom w:val="nil"/>
              <w:right w:val="nil"/>
              <w:tl2br w:val="nil"/>
              <w:tr2bl w:val="nil"/>
            </w:tcBorders>
            <w:shd w:val="clear" w:color="FFFFFF" w:fill="FFFFFF"/>
            <w:tcMar>
              <w:left w:w="101" w:type="dxa"/>
              <w:right w:w="101" w:type="dxa"/>
            </w:tcMar>
          </w:tcPr>
          <w:p w14:paraId="03DA7BA6"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11,732</w:t>
            </w:r>
          </w:p>
        </w:tc>
      </w:tr>
      <w:tr w:rsidR="002242F3" w:rsidRPr="005E3B44" w14:paraId="2E74176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F70497"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2,600</w:t>
            </w:r>
          </w:p>
        </w:tc>
        <w:tc>
          <w:tcPr>
            <w:tcW w:w="2385" w:type="dxa"/>
            <w:tcBorders>
              <w:top w:val="nil"/>
              <w:left w:val="nil"/>
              <w:bottom w:val="nil"/>
              <w:right w:val="nil"/>
              <w:tl2br w:val="nil"/>
              <w:tr2bl w:val="nil"/>
            </w:tcBorders>
            <w:shd w:val="clear" w:color="FFFFFF" w:fill="FFFFFF"/>
            <w:noWrap/>
            <w:tcMar>
              <w:left w:w="101" w:type="dxa"/>
              <w:right w:w="101" w:type="dxa"/>
            </w:tcMar>
          </w:tcPr>
          <w:p w14:paraId="5677D01F"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4D78291A"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1,846</w:t>
            </w:r>
          </w:p>
        </w:tc>
        <w:tc>
          <w:tcPr>
            <w:tcW w:w="1035" w:type="dxa"/>
            <w:tcBorders>
              <w:top w:val="nil"/>
              <w:left w:val="nil"/>
              <w:bottom w:val="nil"/>
              <w:right w:val="nil"/>
              <w:tl2br w:val="nil"/>
              <w:tr2bl w:val="nil"/>
            </w:tcBorders>
            <w:shd w:val="clear" w:color="FFFFFF" w:fill="FFFFFF"/>
            <w:tcMar>
              <w:left w:w="101" w:type="dxa"/>
              <w:right w:w="101" w:type="dxa"/>
            </w:tcMar>
          </w:tcPr>
          <w:p w14:paraId="15CD9D3E"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2,458</w:t>
            </w:r>
          </w:p>
        </w:tc>
        <w:tc>
          <w:tcPr>
            <w:tcW w:w="600" w:type="dxa"/>
            <w:tcBorders>
              <w:top w:val="nil"/>
              <w:left w:val="nil"/>
              <w:bottom w:val="nil"/>
              <w:right w:val="nil"/>
              <w:tl2br w:val="nil"/>
              <w:tr2bl w:val="nil"/>
            </w:tcBorders>
            <w:shd w:val="clear" w:color="FFFFFF" w:fill="FFFFFF"/>
            <w:tcMar>
              <w:left w:w="101" w:type="dxa"/>
              <w:right w:w="101" w:type="dxa"/>
            </w:tcMar>
          </w:tcPr>
          <w:p w14:paraId="0C16225A"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33 </w:t>
            </w:r>
          </w:p>
        </w:tc>
        <w:tc>
          <w:tcPr>
            <w:tcW w:w="1035" w:type="dxa"/>
            <w:tcBorders>
              <w:top w:val="nil"/>
              <w:left w:val="nil"/>
              <w:bottom w:val="nil"/>
              <w:right w:val="nil"/>
              <w:tl2br w:val="nil"/>
              <w:tr2bl w:val="nil"/>
            </w:tcBorders>
            <w:shd w:val="clear" w:color="FFFFFF" w:fill="FFFFFF"/>
            <w:tcMar>
              <w:left w:w="101" w:type="dxa"/>
              <w:right w:w="101" w:type="dxa"/>
            </w:tcMar>
          </w:tcPr>
          <w:p w14:paraId="48308D7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2,463</w:t>
            </w:r>
          </w:p>
        </w:tc>
        <w:tc>
          <w:tcPr>
            <w:tcW w:w="1035" w:type="dxa"/>
            <w:tcBorders>
              <w:top w:val="nil"/>
              <w:left w:val="nil"/>
              <w:bottom w:val="nil"/>
              <w:right w:val="nil"/>
              <w:tl2br w:val="nil"/>
              <w:tr2bl w:val="nil"/>
            </w:tcBorders>
            <w:shd w:val="clear" w:color="FFFFFF" w:fill="FFFFFF"/>
            <w:tcMar>
              <w:left w:w="101" w:type="dxa"/>
              <w:right w:w="101" w:type="dxa"/>
            </w:tcMar>
          </w:tcPr>
          <w:p w14:paraId="09B005F8"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2,467</w:t>
            </w:r>
          </w:p>
        </w:tc>
        <w:tc>
          <w:tcPr>
            <w:tcW w:w="1035" w:type="dxa"/>
            <w:tcBorders>
              <w:top w:val="nil"/>
              <w:left w:val="nil"/>
              <w:bottom w:val="nil"/>
              <w:right w:val="nil"/>
              <w:tl2br w:val="nil"/>
              <w:tr2bl w:val="nil"/>
            </w:tcBorders>
            <w:shd w:val="clear" w:color="FFFFFF" w:fill="FFFFFF"/>
            <w:tcMar>
              <w:left w:w="101" w:type="dxa"/>
              <w:right w:w="101" w:type="dxa"/>
            </w:tcMar>
          </w:tcPr>
          <w:p w14:paraId="40E1B89C"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2,470</w:t>
            </w:r>
          </w:p>
        </w:tc>
      </w:tr>
      <w:tr w:rsidR="002242F3" w:rsidRPr="005E3B44" w14:paraId="3B79118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B1D4DB"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F3FAF9F"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414D57"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40CFA2"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6A4933"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871114"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A70727"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CA49AC"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3F94F8B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A2D4F8"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430,701</w:t>
            </w:r>
          </w:p>
        </w:tc>
        <w:tc>
          <w:tcPr>
            <w:tcW w:w="2385" w:type="dxa"/>
            <w:tcBorders>
              <w:top w:val="nil"/>
              <w:left w:val="nil"/>
              <w:bottom w:val="nil"/>
              <w:right w:val="nil"/>
              <w:tl2br w:val="nil"/>
              <w:tr2bl w:val="nil"/>
            </w:tcBorders>
            <w:shd w:val="clear" w:color="FFFFFF" w:fill="FFFFFF"/>
            <w:noWrap/>
            <w:tcMar>
              <w:left w:w="101" w:type="dxa"/>
              <w:right w:w="101" w:type="dxa"/>
            </w:tcMar>
          </w:tcPr>
          <w:p w14:paraId="37D0EEE8"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656A18B0"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435,485</w:t>
            </w:r>
          </w:p>
        </w:tc>
        <w:tc>
          <w:tcPr>
            <w:tcW w:w="1035" w:type="dxa"/>
            <w:tcBorders>
              <w:top w:val="nil"/>
              <w:left w:val="nil"/>
              <w:bottom w:val="nil"/>
              <w:right w:val="nil"/>
              <w:tl2br w:val="nil"/>
              <w:tr2bl w:val="nil"/>
            </w:tcBorders>
            <w:shd w:val="clear" w:color="FFFFFF" w:fill="FFFFFF"/>
            <w:tcMar>
              <w:left w:w="101" w:type="dxa"/>
              <w:right w:w="101" w:type="dxa"/>
            </w:tcMar>
          </w:tcPr>
          <w:p w14:paraId="3242130C"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459,823</w:t>
            </w:r>
          </w:p>
        </w:tc>
        <w:tc>
          <w:tcPr>
            <w:tcW w:w="600" w:type="dxa"/>
            <w:tcBorders>
              <w:top w:val="nil"/>
              <w:left w:val="nil"/>
              <w:bottom w:val="nil"/>
              <w:right w:val="nil"/>
              <w:tl2br w:val="nil"/>
              <w:tr2bl w:val="nil"/>
            </w:tcBorders>
            <w:shd w:val="clear" w:color="FFFFFF" w:fill="FFFFFF"/>
            <w:tcMar>
              <w:left w:w="101" w:type="dxa"/>
              <w:right w:w="101" w:type="dxa"/>
            </w:tcMar>
          </w:tcPr>
          <w:p w14:paraId="2BE1778C"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03B3F494"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463,378</w:t>
            </w:r>
          </w:p>
        </w:tc>
        <w:tc>
          <w:tcPr>
            <w:tcW w:w="1035" w:type="dxa"/>
            <w:tcBorders>
              <w:top w:val="nil"/>
              <w:left w:val="nil"/>
              <w:bottom w:val="nil"/>
              <w:right w:val="nil"/>
              <w:tl2br w:val="nil"/>
              <w:tr2bl w:val="nil"/>
            </w:tcBorders>
            <w:shd w:val="clear" w:color="FFFFFF" w:fill="FFFFFF"/>
            <w:tcMar>
              <w:left w:w="101" w:type="dxa"/>
              <w:right w:w="101" w:type="dxa"/>
            </w:tcMar>
          </w:tcPr>
          <w:p w14:paraId="29BA8684"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470,399</w:t>
            </w:r>
          </w:p>
        </w:tc>
        <w:tc>
          <w:tcPr>
            <w:tcW w:w="1035" w:type="dxa"/>
            <w:tcBorders>
              <w:top w:val="nil"/>
              <w:left w:val="nil"/>
              <w:bottom w:val="nil"/>
              <w:right w:val="nil"/>
              <w:tl2br w:val="nil"/>
              <w:tr2bl w:val="nil"/>
            </w:tcBorders>
            <w:shd w:val="clear" w:color="FFFFFF" w:fill="FFFFFF"/>
            <w:tcMar>
              <w:left w:w="101" w:type="dxa"/>
              <w:right w:w="101" w:type="dxa"/>
            </w:tcMar>
          </w:tcPr>
          <w:p w14:paraId="73C74AFE"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472,783</w:t>
            </w:r>
          </w:p>
        </w:tc>
      </w:tr>
      <w:tr w:rsidR="002242F3" w:rsidRPr="005E3B44" w14:paraId="4819151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159968" w14:textId="77777777" w:rsidR="002242F3" w:rsidRPr="005E3B44" w:rsidRDefault="002242F3" w:rsidP="005E3B44">
            <w:pPr>
              <w:pStyle w:val="Normal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4AB1554"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5E1C97"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7BCE55" w14:textId="77777777" w:rsidR="002242F3" w:rsidRPr="005E3B44" w:rsidRDefault="002242F3" w:rsidP="005E3B44">
            <w:pPr>
              <w:pStyle w:val="Normal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A767EC"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4AA8CC"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3A487E" w14:textId="77777777" w:rsidR="002242F3" w:rsidRPr="005E3B44" w:rsidRDefault="002242F3" w:rsidP="005E3B44">
            <w:pPr>
              <w:pStyle w:val="Normal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FBCDF6" w14:textId="77777777" w:rsidR="002242F3" w:rsidRPr="005E3B44" w:rsidRDefault="002242F3" w:rsidP="005E3B44">
            <w:pPr>
              <w:pStyle w:val="Normal7"/>
              <w:rPr>
                <w:rFonts w:asciiTheme="minorHAnsi" w:eastAsia="Calibri" w:hAnsiTheme="minorHAnsi" w:cstheme="minorHAnsi"/>
                <w:color w:val="000000"/>
                <w:sz w:val="18"/>
              </w:rPr>
            </w:pPr>
          </w:p>
        </w:tc>
      </w:tr>
      <w:tr w:rsidR="002242F3" w:rsidRPr="005E3B44" w14:paraId="2FE309F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4AA1BF"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-31,310</w:t>
            </w:r>
          </w:p>
        </w:tc>
        <w:tc>
          <w:tcPr>
            <w:tcW w:w="2385" w:type="dxa"/>
            <w:tcBorders>
              <w:top w:val="nil"/>
              <w:left w:val="nil"/>
              <w:bottom w:val="nil"/>
              <w:right w:val="nil"/>
              <w:tl2br w:val="nil"/>
              <w:tr2bl w:val="nil"/>
            </w:tcBorders>
            <w:shd w:val="clear" w:color="FFFFFF" w:fill="FFFFFF"/>
            <w:noWrap/>
            <w:tcMar>
              <w:left w:w="101" w:type="dxa"/>
              <w:right w:w="101" w:type="dxa"/>
            </w:tcMar>
          </w:tcPr>
          <w:p w14:paraId="1B2BCB12"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A1A2B3B"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-49,454</w:t>
            </w:r>
          </w:p>
        </w:tc>
        <w:tc>
          <w:tcPr>
            <w:tcW w:w="1035" w:type="dxa"/>
            <w:tcBorders>
              <w:top w:val="nil"/>
              <w:left w:val="nil"/>
              <w:bottom w:val="nil"/>
              <w:right w:val="nil"/>
              <w:tl2br w:val="nil"/>
              <w:tr2bl w:val="nil"/>
            </w:tcBorders>
            <w:shd w:val="clear" w:color="FFFFFF" w:fill="FFFFFF"/>
            <w:tcMar>
              <w:left w:w="101" w:type="dxa"/>
              <w:right w:w="101" w:type="dxa"/>
            </w:tcMar>
          </w:tcPr>
          <w:p w14:paraId="58F97164"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-39,026</w:t>
            </w:r>
          </w:p>
        </w:tc>
        <w:tc>
          <w:tcPr>
            <w:tcW w:w="600" w:type="dxa"/>
            <w:tcBorders>
              <w:top w:val="nil"/>
              <w:left w:val="nil"/>
              <w:bottom w:val="nil"/>
              <w:right w:val="nil"/>
              <w:tl2br w:val="nil"/>
              <w:tr2bl w:val="nil"/>
            </w:tcBorders>
            <w:shd w:val="clear" w:color="FFFFFF" w:fill="FFFFFF"/>
            <w:tcMar>
              <w:left w:w="101" w:type="dxa"/>
              <w:right w:w="101" w:type="dxa"/>
            </w:tcMar>
          </w:tcPr>
          <w:p w14:paraId="747FE603"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w:t>
            </w:r>
          </w:p>
        </w:tc>
        <w:tc>
          <w:tcPr>
            <w:tcW w:w="1035" w:type="dxa"/>
            <w:tcBorders>
              <w:top w:val="nil"/>
              <w:left w:val="nil"/>
              <w:bottom w:val="nil"/>
              <w:right w:val="nil"/>
              <w:tl2br w:val="nil"/>
              <w:tr2bl w:val="nil"/>
            </w:tcBorders>
            <w:shd w:val="clear" w:color="FFFFFF" w:fill="FFFFFF"/>
            <w:tcMar>
              <w:left w:w="101" w:type="dxa"/>
              <w:right w:w="101" w:type="dxa"/>
            </w:tcMar>
          </w:tcPr>
          <w:p w14:paraId="69A7F560"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-39,833</w:t>
            </w:r>
          </w:p>
        </w:tc>
        <w:tc>
          <w:tcPr>
            <w:tcW w:w="1035" w:type="dxa"/>
            <w:tcBorders>
              <w:top w:val="nil"/>
              <w:left w:val="nil"/>
              <w:bottom w:val="nil"/>
              <w:right w:val="nil"/>
              <w:tl2br w:val="nil"/>
              <w:tr2bl w:val="nil"/>
            </w:tcBorders>
            <w:shd w:val="clear" w:color="FFFFFF" w:fill="FFFFFF"/>
            <w:tcMar>
              <w:left w:w="101" w:type="dxa"/>
              <w:right w:w="101" w:type="dxa"/>
            </w:tcMar>
          </w:tcPr>
          <w:p w14:paraId="6B7D607A"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-43,744</w:t>
            </w:r>
          </w:p>
        </w:tc>
        <w:tc>
          <w:tcPr>
            <w:tcW w:w="1035" w:type="dxa"/>
            <w:tcBorders>
              <w:top w:val="nil"/>
              <w:left w:val="nil"/>
              <w:bottom w:val="nil"/>
              <w:right w:val="nil"/>
              <w:tl2br w:val="nil"/>
              <w:tr2bl w:val="nil"/>
            </w:tcBorders>
            <w:shd w:val="clear" w:color="FFFFFF" w:fill="FFFFFF"/>
            <w:tcMar>
              <w:left w:w="101" w:type="dxa"/>
              <w:right w:w="101" w:type="dxa"/>
            </w:tcMar>
          </w:tcPr>
          <w:p w14:paraId="43EB2B25"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-44,337</w:t>
            </w:r>
          </w:p>
        </w:tc>
      </w:tr>
      <w:tr w:rsidR="002242F3" w:rsidRPr="005E3B44" w14:paraId="64AB5E6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028600" w14:textId="77777777" w:rsidR="002242F3" w:rsidRPr="005E3B44" w:rsidRDefault="002242F3" w:rsidP="005E3B44">
            <w:pPr>
              <w:pStyle w:val="Normal7"/>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FDB8118"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F4606C"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23B585" w14:textId="77777777" w:rsidR="002242F3" w:rsidRPr="005E3B44" w:rsidRDefault="002242F3" w:rsidP="005E3B44">
            <w:pPr>
              <w:pStyle w:val="Normal7"/>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F7A88E"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0A1617"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FE6DA3"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C0D4AA" w14:textId="77777777" w:rsidR="002242F3" w:rsidRPr="005E3B44" w:rsidRDefault="002242F3" w:rsidP="005E3B44">
            <w:pPr>
              <w:pStyle w:val="Normal7"/>
              <w:rPr>
                <w:rFonts w:asciiTheme="minorHAnsi" w:eastAsia="Calibri" w:hAnsiTheme="minorHAnsi" w:cstheme="minorHAnsi"/>
                <w:b/>
                <w:color w:val="000000"/>
                <w:sz w:val="18"/>
              </w:rPr>
            </w:pPr>
          </w:p>
        </w:tc>
      </w:tr>
      <w:tr w:rsidR="002242F3" w:rsidRPr="005E3B44" w14:paraId="20A5E4A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auto" w:fill="auto"/>
            <w:tcMar>
              <w:left w:w="101" w:type="dxa"/>
              <w:right w:w="101" w:type="dxa"/>
            </w:tcMar>
          </w:tcPr>
          <w:p w14:paraId="1D51EE7D" w14:textId="77777777" w:rsidR="002242F3" w:rsidRPr="005E3B44" w:rsidRDefault="002242F3" w:rsidP="005E3B44">
            <w:pPr>
              <w:pStyle w:val="Normal7"/>
              <w:jc w:val="right"/>
              <w:rPr>
                <w:rFonts w:asciiTheme="minorHAnsi" w:eastAsia="Calibri" w:hAnsiTheme="minorHAnsi" w:cstheme="minorHAnsi"/>
                <w:color w:val="FFFFFF"/>
                <w:sz w:val="18"/>
              </w:rPr>
            </w:pPr>
            <w:r w:rsidRPr="005E3B44">
              <w:rPr>
                <w:rFonts w:asciiTheme="minorHAnsi" w:eastAsia="Calibri" w:hAnsiTheme="minorHAnsi" w:cstheme="minorHAnsi"/>
                <w:color w:val="FFFFFF"/>
                <w:sz w:val="18"/>
              </w:rPr>
              <w:t>0</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6B36ED0D"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Other Comprehensive Income</w:t>
            </w:r>
          </w:p>
        </w:tc>
        <w:tc>
          <w:tcPr>
            <w:tcW w:w="1035" w:type="dxa"/>
            <w:tcBorders>
              <w:top w:val="nil"/>
              <w:left w:val="nil"/>
              <w:bottom w:val="nil"/>
              <w:right w:val="nil"/>
              <w:tl2br w:val="nil"/>
              <w:tr2bl w:val="nil"/>
            </w:tcBorders>
            <w:shd w:val="clear" w:color="auto" w:fill="auto"/>
            <w:tcMar>
              <w:left w:w="101" w:type="dxa"/>
              <w:right w:w="101" w:type="dxa"/>
            </w:tcMar>
          </w:tcPr>
          <w:p w14:paraId="3530FC0B" w14:textId="77777777" w:rsidR="002242F3" w:rsidRPr="005E3B44" w:rsidRDefault="002242F3" w:rsidP="005E3B44">
            <w:pPr>
              <w:pStyle w:val="Normal7"/>
              <w:jc w:val="right"/>
              <w:rPr>
                <w:rFonts w:asciiTheme="minorHAnsi" w:eastAsia="Calibri" w:hAnsiTheme="minorHAnsi" w:cstheme="minorHAnsi"/>
                <w:color w:val="FFFFFF"/>
                <w:sz w:val="18"/>
              </w:rPr>
            </w:pPr>
            <w:r w:rsidRPr="005E3B44">
              <w:rPr>
                <w:rFonts w:asciiTheme="minorHAnsi" w:eastAsia="Calibri" w:hAnsiTheme="minorHAnsi" w:cstheme="minorHAnsi"/>
                <w:color w:val="FFFFFF"/>
                <w:sz w:val="18"/>
              </w:rPr>
              <w:t>26,996</w:t>
            </w:r>
          </w:p>
        </w:tc>
        <w:tc>
          <w:tcPr>
            <w:tcW w:w="1035" w:type="dxa"/>
            <w:tcBorders>
              <w:top w:val="nil"/>
              <w:left w:val="nil"/>
              <w:bottom w:val="nil"/>
              <w:right w:val="nil"/>
              <w:tl2br w:val="nil"/>
              <w:tr2bl w:val="nil"/>
            </w:tcBorders>
            <w:shd w:val="clear" w:color="auto" w:fill="auto"/>
            <w:tcMar>
              <w:left w:w="101" w:type="dxa"/>
              <w:right w:w="101" w:type="dxa"/>
            </w:tcMar>
          </w:tcPr>
          <w:p w14:paraId="3341F043" w14:textId="77777777" w:rsidR="002242F3" w:rsidRPr="005E3B44" w:rsidRDefault="002242F3" w:rsidP="005E3B44">
            <w:pPr>
              <w:pStyle w:val="Normal7"/>
              <w:jc w:val="right"/>
              <w:rPr>
                <w:rFonts w:asciiTheme="minorHAnsi" w:eastAsia="Calibri" w:hAnsiTheme="minorHAnsi" w:cstheme="minorHAnsi"/>
                <w:color w:val="FFFFFF"/>
                <w:sz w:val="18"/>
              </w:rPr>
            </w:pPr>
            <w:r w:rsidRPr="005E3B44">
              <w:rPr>
                <w:rFonts w:asciiTheme="minorHAnsi" w:eastAsia="Calibri" w:hAnsiTheme="minorHAnsi" w:cstheme="minorHAnsi"/>
                <w:color w:val="FFFFFF"/>
                <w:sz w:val="18"/>
              </w:rPr>
              <w:t>-600</w:t>
            </w:r>
          </w:p>
        </w:tc>
        <w:tc>
          <w:tcPr>
            <w:tcW w:w="600" w:type="dxa"/>
            <w:tcBorders>
              <w:top w:val="nil"/>
              <w:left w:val="nil"/>
              <w:bottom w:val="nil"/>
              <w:right w:val="nil"/>
              <w:tl2br w:val="nil"/>
              <w:tr2bl w:val="nil"/>
            </w:tcBorders>
            <w:shd w:val="clear" w:color="auto" w:fill="auto"/>
            <w:tcMar>
              <w:left w:w="0" w:type="dxa"/>
              <w:right w:w="0" w:type="dxa"/>
            </w:tcMar>
          </w:tcPr>
          <w:p w14:paraId="03AB1203" w14:textId="77777777" w:rsidR="002242F3" w:rsidRPr="005E3B44" w:rsidRDefault="002242F3" w:rsidP="005E3B44">
            <w:pPr>
              <w:pStyle w:val="Normal7"/>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tcMar>
              <w:left w:w="101" w:type="dxa"/>
              <w:right w:w="101" w:type="dxa"/>
            </w:tcMar>
          </w:tcPr>
          <w:p w14:paraId="54DE9E22" w14:textId="77777777" w:rsidR="002242F3" w:rsidRPr="005E3B44" w:rsidRDefault="002242F3" w:rsidP="005E3B44">
            <w:pPr>
              <w:pStyle w:val="Normal7"/>
              <w:jc w:val="right"/>
              <w:rPr>
                <w:rFonts w:asciiTheme="minorHAnsi" w:eastAsia="Calibri" w:hAnsiTheme="minorHAnsi" w:cstheme="minorHAnsi"/>
                <w:color w:val="FFFFFF"/>
                <w:sz w:val="18"/>
              </w:rPr>
            </w:pPr>
            <w:r w:rsidRPr="005E3B44">
              <w:rPr>
                <w:rFonts w:asciiTheme="minorHAnsi" w:eastAsia="Calibri" w:hAnsiTheme="minorHAnsi" w:cstheme="minorHAnsi"/>
                <w:color w:val="FFFFFF"/>
                <w:sz w:val="18"/>
              </w:rPr>
              <w:t>-8,000</w:t>
            </w:r>
          </w:p>
        </w:tc>
        <w:tc>
          <w:tcPr>
            <w:tcW w:w="1035" w:type="dxa"/>
            <w:tcBorders>
              <w:top w:val="nil"/>
              <w:left w:val="nil"/>
              <w:bottom w:val="nil"/>
              <w:right w:val="nil"/>
              <w:tl2br w:val="nil"/>
              <w:tr2bl w:val="nil"/>
            </w:tcBorders>
            <w:shd w:val="clear" w:color="auto" w:fill="auto"/>
            <w:tcMar>
              <w:left w:w="101" w:type="dxa"/>
              <w:right w:w="101" w:type="dxa"/>
            </w:tcMar>
          </w:tcPr>
          <w:p w14:paraId="7B655C29" w14:textId="77777777" w:rsidR="002242F3" w:rsidRPr="005E3B44" w:rsidRDefault="002242F3" w:rsidP="005E3B44">
            <w:pPr>
              <w:pStyle w:val="Normal7"/>
              <w:jc w:val="right"/>
              <w:rPr>
                <w:rFonts w:asciiTheme="minorHAnsi" w:eastAsia="Calibri" w:hAnsiTheme="minorHAnsi" w:cstheme="minorHAnsi"/>
                <w:color w:val="FFFFFF"/>
                <w:sz w:val="18"/>
              </w:rPr>
            </w:pPr>
            <w:r w:rsidRPr="005E3B44">
              <w:rPr>
                <w:rFonts w:asciiTheme="minorHAnsi" w:eastAsia="Calibri" w:hAnsiTheme="minorHAnsi" w:cstheme="minorHAnsi"/>
                <w:color w:val="FFFFFF"/>
                <w:sz w:val="18"/>
              </w:rPr>
              <w:t>-13,550</w:t>
            </w:r>
          </w:p>
        </w:tc>
        <w:tc>
          <w:tcPr>
            <w:tcW w:w="1035" w:type="dxa"/>
            <w:tcBorders>
              <w:top w:val="nil"/>
              <w:left w:val="nil"/>
              <w:bottom w:val="nil"/>
              <w:right w:val="nil"/>
              <w:tl2br w:val="nil"/>
              <w:tr2bl w:val="nil"/>
            </w:tcBorders>
            <w:shd w:val="clear" w:color="auto" w:fill="auto"/>
            <w:tcMar>
              <w:left w:w="101" w:type="dxa"/>
              <w:right w:w="101" w:type="dxa"/>
            </w:tcMar>
          </w:tcPr>
          <w:p w14:paraId="7A8D7A9D" w14:textId="77777777" w:rsidR="002242F3" w:rsidRPr="005E3B44" w:rsidRDefault="002242F3" w:rsidP="005E3B44">
            <w:pPr>
              <w:pStyle w:val="Normal7"/>
              <w:jc w:val="right"/>
              <w:rPr>
                <w:rFonts w:asciiTheme="minorHAnsi" w:eastAsia="Calibri" w:hAnsiTheme="minorHAnsi" w:cstheme="minorHAnsi"/>
                <w:color w:val="FFFFFF"/>
                <w:sz w:val="18"/>
              </w:rPr>
            </w:pPr>
            <w:r w:rsidRPr="005E3B44">
              <w:rPr>
                <w:rFonts w:asciiTheme="minorHAnsi" w:eastAsia="Calibri" w:hAnsiTheme="minorHAnsi" w:cstheme="minorHAnsi"/>
                <w:color w:val="FFFFFF"/>
                <w:sz w:val="18"/>
              </w:rPr>
              <w:t>-13,550</w:t>
            </w:r>
          </w:p>
        </w:tc>
      </w:tr>
      <w:tr w:rsidR="002242F3" w:rsidRPr="005E3B44" w14:paraId="56A4FD7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40B741"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8C2E606" w14:textId="77777777" w:rsidR="002242F3" w:rsidRPr="005E3B44" w:rsidRDefault="002242F3" w:rsidP="005E3B44">
            <w:pPr>
              <w:pStyle w:val="Normal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57FF2A80"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26,996</w:t>
            </w:r>
          </w:p>
        </w:tc>
        <w:tc>
          <w:tcPr>
            <w:tcW w:w="1035" w:type="dxa"/>
            <w:tcBorders>
              <w:top w:val="nil"/>
              <w:left w:val="nil"/>
              <w:bottom w:val="nil"/>
              <w:right w:val="nil"/>
              <w:tl2br w:val="nil"/>
              <w:tr2bl w:val="nil"/>
            </w:tcBorders>
            <w:shd w:val="clear" w:color="FFFFFF" w:fill="FFFFFF"/>
            <w:tcMar>
              <w:left w:w="101" w:type="dxa"/>
              <w:right w:w="101" w:type="dxa"/>
            </w:tcMar>
          </w:tcPr>
          <w:p w14:paraId="730E64C9"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-600</w:t>
            </w:r>
          </w:p>
        </w:tc>
        <w:tc>
          <w:tcPr>
            <w:tcW w:w="600" w:type="dxa"/>
            <w:tcBorders>
              <w:top w:val="nil"/>
              <w:left w:val="nil"/>
              <w:bottom w:val="nil"/>
              <w:right w:val="nil"/>
              <w:tl2br w:val="nil"/>
              <w:tr2bl w:val="nil"/>
            </w:tcBorders>
            <w:shd w:val="clear" w:color="FFFFFF" w:fill="FFFFFF"/>
            <w:tcMar>
              <w:left w:w="101" w:type="dxa"/>
              <w:right w:w="101" w:type="dxa"/>
            </w:tcMar>
          </w:tcPr>
          <w:p w14:paraId="0A3D6FA1"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-102 </w:t>
            </w:r>
          </w:p>
        </w:tc>
        <w:tc>
          <w:tcPr>
            <w:tcW w:w="1035" w:type="dxa"/>
            <w:tcBorders>
              <w:top w:val="nil"/>
              <w:left w:val="nil"/>
              <w:bottom w:val="nil"/>
              <w:right w:val="nil"/>
              <w:tl2br w:val="nil"/>
              <w:tr2bl w:val="nil"/>
            </w:tcBorders>
            <w:shd w:val="clear" w:color="FFFFFF" w:fill="FFFFFF"/>
            <w:tcMar>
              <w:left w:w="101" w:type="dxa"/>
              <w:right w:w="101" w:type="dxa"/>
            </w:tcMar>
          </w:tcPr>
          <w:p w14:paraId="71F029A9"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-8,000</w:t>
            </w:r>
          </w:p>
        </w:tc>
        <w:tc>
          <w:tcPr>
            <w:tcW w:w="1035" w:type="dxa"/>
            <w:tcBorders>
              <w:top w:val="nil"/>
              <w:left w:val="nil"/>
              <w:bottom w:val="nil"/>
              <w:right w:val="nil"/>
              <w:tl2br w:val="nil"/>
              <w:tr2bl w:val="nil"/>
            </w:tcBorders>
            <w:shd w:val="clear" w:color="FFFFFF" w:fill="FFFFFF"/>
            <w:tcMar>
              <w:left w:w="101" w:type="dxa"/>
              <w:right w:w="101" w:type="dxa"/>
            </w:tcMar>
          </w:tcPr>
          <w:p w14:paraId="257B1EC0"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-13,550</w:t>
            </w:r>
          </w:p>
        </w:tc>
        <w:tc>
          <w:tcPr>
            <w:tcW w:w="1035" w:type="dxa"/>
            <w:tcBorders>
              <w:top w:val="nil"/>
              <w:left w:val="nil"/>
              <w:bottom w:val="nil"/>
              <w:right w:val="nil"/>
              <w:tl2br w:val="nil"/>
              <w:tr2bl w:val="nil"/>
            </w:tcBorders>
            <w:shd w:val="clear" w:color="FFFFFF" w:fill="FFFFFF"/>
            <w:tcMar>
              <w:left w:w="101" w:type="dxa"/>
              <w:right w:w="101" w:type="dxa"/>
            </w:tcMar>
          </w:tcPr>
          <w:p w14:paraId="7F576405" w14:textId="77777777" w:rsidR="002242F3" w:rsidRPr="005E3B44" w:rsidRDefault="002242F3" w:rsidP="005E3B44">
            <w:pPr>
              <w:pStyle w:val="Normal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-13,550</w:t>
            </w:r>
          </w:p>
        </w:tc>
      </w:tr>
      <w:tr w:rsidR="002242F3" w:rsidRPr="005E3B44" w14:paraId="082F83A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9C9C91"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D2F3474"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36FC0E73"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26,996</w:t>
            </w:r>
          </w:p>
        </w:tc>
        <w:tc>
          <w:tcPr>
            <w:tcW w:w="1035" w:type="dxa"/>
            <w:tcBorders>
              <w:top w:val="nil"/>
              <w:left w:val="nil"/>
              <w:bottom w:val="nil"/>
              <w:right w:val="nil"/>
              <w:tl2br w:val="nil"/>
              <w:tr2bl w:val="nil"/>
            </w:tcBorders>
            <w:shd w:val="clear" w:color="FFFFFF" w:fill="FFFFFF"/>
            <w:tcMar>
              <w:left w:w="101" w:type="dxa"/>
              <w:right w:w="101" w:type="dxa"/>
            </w:tcMar>
          </w:tcPr>
          <w:p w14:paraId="7EC3101D"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-600</w:t>
            </w:r>
          </w:p>
        </w:tc>
        <w:tc>
          <w:tcPr>
            <w:tcW w:w="600" w:type="dxa"/>
            <w:tcBorders>
              <w:top w:val="nil"/>
              <w:left w:val="nil"/>
              <w:bottom w:val="nil"/>
              <w:right w:val="nil"/>
              <w:tl2br w:val="nil"/>
              <w:tr2bl w:val="nil"/>
            </w:tcBorders>
            <w:shd w:val="clear" w:color="FFFFFF" w:fill="FFFFFF"/>
            <w:tcMar>
              <w:left w:w="101" w:type="dxa"/>
              <w:right w:w="101" w:type="dxa"/>
            </w:tcMar>
          </w:tcPr>
          <w:p w14:paraId="1C4E2D89"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-102</w:t>
            </w:r>
          </w:p>
        </w:tc>
        <w:tc>
          <w:tcPr>
            <w:tcW w:w="1035" w:type="dxa"/>
            <w:tcBorders>
              <w:top w:val="nil"/>
              <w:left w:val="nil"/>
              <w:bottom w:val="nil"/>
              <w:right w:val="nil"/>
              <w:tl2br w:val="nil"/>
              <w:tr2bl w:val="nil"/>
            </w:tcBorders>
            <w:shd w:val="clear" w:color="FFFFFF" w:fill="FFFFFF"/>
            <w:tcMar>
              <w:left w:w="101" w:type="dxa"/>
              <w:right w:w="101" w:type="dxa"/>
            </w:tcMar>
          </w:tcPr>
          <w:p w14:paraId="7E35A420"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-8,000</w:t>
            </w:r>
          </w:p>
        </w:tc>
        <w:tc>
          <w:tcPr>
            <w:tcW w:w="1035" w:type="dxa"/>
            <w:tcBorders>
              <w:top w:val="nil"/>
              <w:left w:val="nil"/>
              <w:bottom w:val="nil"/>
              <w:right w:val="nil"/>
              <w:tl2br w:val="nil"/>
              <w:tr2bl w:val="nil"/>
            </w:tcBorders>
            <w:shd w:val="clear" w:color="FFFFFF" w:fill="FFFFFF"/>
            <w:tcMar>
              <w:left w:w="101" w:type="dxa"/>
              <w:right w:w="101" w:type="dxa"/>
            </w:tcMar>
          </w:tcPr>
          <w:p w14:paraId="6AE66B24"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-13,550</w:t>
            </w:r>
          </w:p>
        </w:tc>
        <w:tc>
          <w:tcPr>
            <w:tcW w:w="1035" w:type="dxa"/>
            <w:tcBorders>
              <w:top w:val="nil"/>
              <w:left w:val="nil"/>
              <w:bottom w:val="nil"/>
              <w:right w:val="nil"/>
              <w:tl2br w:val="nil"/>
              <w:tr2bl w:val="nil"/>
            </w:tcBorders>
            <w:shd w:val="clear" w:color="FFFFFF" w:fill="FFFFFF"/>
            <w:tcMar>
              <w:left w:w="101" w:type="dxa"/>
              <w:right w:w="101" w:type="dxa"/>
            </w:tcMar>
          </w:tcPr>
          <w:p w14:paraId="24A92650"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-13,550</w:t>
            </w:r>
          </w:p>
        </w:tc>
      </w:tr>
      <w:tr w:rsidR="002242F3" w:rsidRPr="005E3B44" w14:paraId="78415E7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1D9BD03" w14:textId="77777777" w:rsidR="002242F3" w:rsidRPr="005E3B44" w:rsidRDefault="002242F3" w:rsidP="005E3B44">
            <w:pPr>
              <w:pStyle w:val="Normal7"/>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934E9CB"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F9D216"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FD5874" w14:textId="77777777" w:rsidR="002242F3" w:rsidRPr="005E3B44" w:rsidRDefault="002242F3" w:rsidP="005E3B44">
            <w:pPr>
              <w:pStyle w:val="Normal7"/>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373867"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7B8E39"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C137E" w14:textId="77777777" w:rsidR="002242F3" w:rsidRPr="005E3B44" w:rsidRDefault="002242F3" w:rsidP="005E3B44">
            <w:pPr>
              <w:pStyle w:val="Normal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54D377" w14:textId="77777777" w:rsidR="002242F3" w:rsidRPr="005E3B44" w:rsidRDefault="002242F3" w:rsidP="005E3B44">
            <w:pPr>
              <w:pStyle w:val="Normal7"/>
              <w:rPr>
                <w:rFonts w:asciiTheme="minorHAnsi" w:eastAsia="Calibri" w:hAnsiTheme="minorHAnsi" w:cstheme="minorHAnsi"/>
                <w:b/>
                <w:color w:val="000000"/>
                <w:sz w:val="18"/>
              </w:rPr>
            </w:pPr>
          </w:p>
        </w:tc>
      </w:tr>
      <w:tr w:rsidR="002242F3" w:rsidRPr="005E3B44" w14:paraId="4208295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D1B3B9"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-31,310</w:t>
            </w:r>
          </w:p>
        </w:tc>
        <w:tc>
          <w:tcPr>
            <w:tcW w:w="2385" w:type="dxa"/>
            <w:tcBorders>
              <w:top w:val="nil"/>
              <w:left w:val="nil"/>
              <w:bottom w:val="nil"/>
              <w:right w:val="nil"/>
              <w:tl2br w:val="nil"/>
              <w:tr2bl w:val="nil"/>
            </w:tcBorders>
            <w:shd w:val="clear" w:color="FFFFFF" w:fill="FFFFFF"/>
            <w:noWrap/>
            <w:tcMar>
              <w:left w:w="101" w:type="dxa"/>
              <w:right w:w="101" w:type="dxa"/>
            </w:tcMar>
          </w:tcPr>
          <w:p w14:paraId="4DE8BEE9" w14:textId="77777777" w:rsidR="002242F3" w:rsidRPr="005E3B44" w:rsidRDefault="002242F3" w:rsidP="005E3B44">
            <w:pPr>
              <w:pStyle w:val="Normal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74F0D07A"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-22,458</w:t>
            </w:r>
          </w:p>
        </w:tc>
        <w:tc>
          <w:tcPr>
            <w:tcW w:w="1035" w:type="dxa"/>
            <w:tcBorders>
              <w:top w:val="nil"/>
              <w:left w:val="nil"/>
              <w:bottom w:val="nil"/>
              <w:right w:val="nil"/>
              <w:tl2br w:val="nil"/>
              <w:tr2bl w:val="nil"/>
            </w:tcBorders>
            <w:shd w:val="clear" w:color="FFFFFF" w:fill="FFFFFF"/>
            <w:tcMar>
              <w:left w:w="101" w:type="dxa"/>
              <w:right w:w="101" w:type="dxa"/>
            </w:tcMar>
          </w:tcPr>
          <w:p w14:paraId="557ABE5F"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-39,626</w:t>
            </w:r>
          </w:p>
        </w:tc>
        <w:tc>
          <w:tcPr>
            <w:tcW w:w="600" w:type="dxa"/>
            <w:tcBorders>
              <w:top w:val="nil"/>
              <w:left w:val="nil"/>
              <w:bottom w:val="nil"/>
              <w:right w:val="nil"/>
              <w:tl2br w:val="nil"/>
              <w:tr2bl w:val="nil"/>
            </w:tcBorders>
            <w:shd w:val="clear" w:color="FFFFFF" w:fill="FFFFFF"/>
            <w:tcMar>
              <w:left w:w="101" w:type="dxa"/>
              <w:right w:w="101" w:type="dxa"/>
            </w:tcMar>
          </w:tcPr>
          <w:p w14:paraId="60E62BA2"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-76 </w:t>
            </w:r>
          </w:p>
        </w:tc>
        <w:tc>
          <w:tcPr>
            <w:tcW w:w="1035" w:type="dxa"/>
            <w:tcBorders>
              <w:top w:val="nil"/>
              <w:left w:val="nil"/>
              <w:bottom w:val="nil"/>
              <w:right w:val="nil"/>
              <w:tl2br w:val="nil"/>
              <w:tr2bl w:val="nil"/>
            </w:tcBorders>
            <w:shd w:val="clear" w:color="FFFFFF" w:fill="FFFFFF"/>
            <w:tcMar>
              <w:left w:w="101" w:type="dxa"/>
              <w:right w:w="101" w:type="dxa"/>
            </w:tcMar>
          </w:tcPr>
          <w:p w14:paraId="7924DFFB"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-47,833</w:t>
            </w:r>
          </w:p>
        </w:tc>
        <w:tc>
          <w:tcPr>
            <w:tcW w:w="1035" w:type="dxa"/>
            <w:tcBorders>
              <w:top w:val="nil"/>
              <w:left w:val="nil"/>
              <w:bottom w:val="nil"/>
              <w:right w:val="nil"/>
              <w:tl2br w:val="nil"/>
              <w:tr2bl w:val="nil"/>
            </w:tcBorders>
            <w:shd w:val="clear" w:color="FFFFFF" w:fill="FFFFFF"/>
            <w:tcMar>
              <w:left w:w="101" w:type="dxa"/>
              <w:right w:w="101" w:type="dxa"/>
            </w:tcMar>
          </w:tcPr>
          <w:p w14:paraId="16B1A33C"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-57,294</w:t>
            </w:r>
          </w:p>
        </w:tc>
        <w:tc>
          <w:tcPr>
            <w:tcW w:w="1035" w:type="dxa"/>
            <w:tcBorders>
              <w:top w:val="nil"/>
              <w:left w:val="nil"/>
              <w:bottom w:val="nil"/>
              <w:right w:val="nil"/>
              <w:tl2br w:val="nil"/>
              <w:tr2bl w:val="nil"/>
            </w:tcBorders>
            <w:shd w:val="clear" w:color="FFFFFF" w:fill="FFFFFF"/>
            <w:tcMar>
              <w:left w:w="101" w:type="dxa"/>
              <w:right w:w="101" w:type="dxa"/>
            </w:tcMar>
          </w:tcPr>
          <w:p w14:paraId="37D002CC" w14:textId="77777777" w:rsidR="002242F3" w:rsidRPr="005E3B44" w:rsidRDefault="002242F3" w:rsidP="005E3B44">
            <w:pPr>
              <w:pStyle w:val="Normal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-57,887</w:t>
            </w:r>
          </w:p>
        </w:tc>
      </w:tr>
    </w:tbl>
    <w:p w14:paraId="4E260721" w14:textId="2DB5ECB1" w:rsidR="002242F3" w:rsidRPr="005E3B44" w:rsidRDefault="002242F3" w:rsidP="002242F3">
      <w:pPr>
        <w:pStyle w:val="Caption"/>
        <w:pageBreakBefore/>
        <w:pBdr>
          <w:top w:val="nil"/>
          <w:left w:val="nil"/>
          <w:bottom w:val="nil"/>
          <w:right w:val="nil"/>
          <w:between w:val="nil"/>
          <w:bar w:val="nil"/>
        </w:pBdr>
        <w:outlineLvl w:val="0"/>
        <w:rPr>
          <w:rFonts w:asciiTheme="minorHAnsi" w:hAnsiTheme="minorHAnsi" w:cstheme="minorHAnsi"/>
          <w:bdr w:val="nil"/>
        </w:rPr>
      </w:pPr>
      <w:r w:rsidRPr="005E3B44">
        <w:rPr>
          <w:rFonts w:asciiTheme="minorHAnsi" w:hAnsiTheme="minorHAnsi" w:cstheme="minorHAnsi"/>
          <w:bdr w:val="nil"/>
        </w:rPr>
        <w:lastRenderedPageBreak/>
        <w:t xml:space="preserve">Table </w:t>
      </w:r>
      <w:r w:rsidR="00805234">
        <w:rPr>
          <w:rFonts w:asciiTheme="minorHAnsi" w:hAnsiTheme="minorHAnsi" w:cstheme="minorHAnsi"/>
          <w:bdr w:val="nil"/>
        </w:rPr>
        <w:t>30</w:t>
      </w:r>
      <w:r w:rsidRPr="005E3B44">
        <w:rPr>
          <w:rFonts w:asciiTheme="minorHAnsi" w:hAnsiTheme="minorHAnsi" w:cstheme="minorHAnsi"/>
          <w:bdr w:val="nil"/>
        </w:rPr>
        <w:t xml:space="preserve">: Justice and Community Safety Directorate: Balance Sheet </w:t>
      </w:r>
    </w:p>
    <w:tbl>
      <w:tblPr>
        <w:tblStyle w:val="CDMRange1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69E88AF5" w14:textId="77777777" w:rsidTr="005E3B44">
        <w:trPr>
          <w:trHeight w:val="129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3EC5CC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3DAEEA79"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7A65EAB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30/6/21 </w:t>
            </w:r>
          </w:p>
          <w:p w14:paraId="32E94DC3"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B58F401"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958CC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at 30/6/21</w:t>
            </w:r>
          </w:p>
          <w:p w14:paraId="2A45790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64165ED"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55F00126"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7368F6A7"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30/6/22 </w:t>
            </w:r>
          </w:p>
          <w:p w14:paraId="1CCB5B6F"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7F610E"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71BB249C"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785C4C"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2B79B18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769CE47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30/6/23 </w:t>
            </w:r>
          </w:p>
          <w:p w14:paraId="7BF62B5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DEA38D2"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0D92A663"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4E05CC2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30/6/24 </w:t>
            </w:r>
          </w:p>
          <w:p w14:paraId="4F74CF4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F3FAC1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58BA6A3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0288A03D"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30/6/25 </w:t>
            </w:r>
          </w:p>
          <w:p w14:paraId="4E77EDBF"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7A9D44D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927D04B" w14:textId="77777777" w:rsidR="002242F3" w:rsidRPr="005E3B44" w:rsidRDefault="002242F3" w:rsidP="005E3B44">
            <w:pPr>
              <w:pStyle w:val="Normal8"/>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76E8751"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49FF7F" w14:textId="77777777" w:rsidR="002242F3" w:rsidRPr="005E3B44" w:rsidRDefault="002242F3" w:rsidP="005E3B44">
            <w:pPr>
              <w:pStyle w:val="Normal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FDB9981" w14:textId="77777777" w:rsidR="002242F3" w:rsidRPr="005E3B44" w:rsidRDefault="002242F3" w:rsidP="005E3B44">
            <w:pPr>
              <w:pStyle w:val="Normal8"/>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69CD90E" w14:textId="77777777" w:rsidR="002242F3" w:rsidRPr="005E3B44" w:rsidRDefault="002242F3" w:rsidP="005E3B44">
            <w:pPr>
              <w:pStyle w:val="Normal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A3FDD34" w14:textId="77777777" w:rsidR="002242F3" w:rsidRPr="005E3B44" w:rsidRDefault="002242F3" w:rsidP="005E3B44">
            <w:pPr>
              <w:pStyle w:val="Normal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15FC0A" w14:textId="77777777" w:rsidR="002242F3" w:rsidRPr="005E3B44" w:rsidRDefault="002242F3" w:rsidP="005E3B44">
            <w:pPr>
              <w:pStyle w:val="Normal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972F7E7" w14:textId="77777777" w:rsidR="002242F3" w:rsidRPr="005E3B44" w:rsidRDefault="002242F3" w:rsidP="005E3B44">
            <w:pPr>
              <w:pStyle w:val="Normal8"/>
              <w:jc w:val="right"/>
              <w:rPr>
                <w:rFonts w:asciiTheme="minorHAnsi" w:eastAsia="Calibri" w:hAnsiTheme="minorHAnsi" w:cstheme="minorHAnsi"/>
                <w:b/>
                <w:i/>
                <w:color w:val="000000"/>
                <w:sz w:val="18"/>
              </w:rPr>
            </w:pPr>
          </w:p>
        </w:tc>
      </w:tr>
      <w:tr w:rsidR="002242F3" w:rsidRPr="005E3B44" w14:paraId="5CE9390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65CEFA"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2C250EC"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13A72A34"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0AD6C6"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DE212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AAA9FD"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481A1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1CB8C6"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2C5754F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3E9F9B"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10,887</w:t>
            </w:r>
          </w:p>
        </w:tc>
        <w:tc>
          <w:tcPr>
            <w:tcW w:w="2385" w:type="dxa"/>
            <w:tcBorders>
              <w:top w:val="nil"/>
              <w:left w:val="nil"/>
              <w:bottom w:val="nil"/>
              <w:right w:val="nil"/>
              <w:tl2br w:val="nil"/>
              <w:tr2bl w:val="nil"/>
            </w:tcBorders>
            <w:shd w:val="clear" w:color="auto" w:fill="auto"/>
            <w:noWrap/>
            <w:tcMar>
              <w:left w:w="101" w:type="dxa"/>
              <w:right w:w="101" w:type="dxa"/>
            </w:tcMar>
          </w:tcPr>
          <w:p w14:paraId="4F7DEF20"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D4B752B"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11,874</w:t>
            </w:r>
          </w:p>
        </w:tc>
        <w:tc>
          <w:tcPr>
            <w:tcW w:w="1035" w:type="dxa"/>
            <w:tcBorders>
              <w:top w:val="nil"/>
              <w:left w:val="nil"/>
              <w:bottom w:val="nil"/>
              <w:right w:val="nil"/>
              <w:tl2br w:val="nil"/>
              <w:tr2bl w:val="nil"/>
            </w:tcBorders>
            <w:shd w:val="clear" w:color="FFFFFF" w:fill="FFFFFF"/>
            <w:tcMar>
              <w:left w:w="101" w:type="dxa"/>
              <w:right w:w="101" w:type="dxa"/>
            </w:tcMar>
          </w:tcPr>
          <w:p w14:paraId="42DAC49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11,693</w:t>
            </w:r>
          </w:p>
        </w:tc>
        <w:tc>
          <w:tcPr>
            <w:tcW w:w="600" w:type="dxa"/>
            <w:tcBorders>
              <w:top w:val="nil"/>
              <w:left w:val="nil"/>
              <w:bottom w:val="nil"/>
              <w:right w:val="nil"/>
              <w:tl2br w:val="nil"/>
              <w:tr2bl w:val="nil"/>
            </w:tcBorders>
            <w:shd w:val="clear" w:color="FFFFFF" w:fill="FFFFFF"/>
            <w:tcMar>
              <w:left w:w="101" w:type="dxa"/>
              <w:right w:w="101" w:type="dxa"/>
            </w:tcMar>
          </w:tcPr>
          <w:p w14:paraId="5DB4CA1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BBAC500"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11,512</w:t>
            </w:r>
          </w:p>
        </w:tc>
        <w:tc>
          <w:tcPr>
            <w:tcW w:w="1035" w:type="dxa"/>
            <w:tcBorders>
              <w:top w:val="nil"/>
              <w:left w:val="nil"/>
              <w:bottom w:val="nil"/>
              <w:right w:val="nil"/>
              <w:tl2br w:val="nil"/>
              <w:tr2bl w:val="nil"/>
            </w:tcBorders>
            <w:shd w:val="clear" w:color="FFFFFF" w:fill="FFFFFF"/>
            <w:tcMar>
              <w:left w:w="101" w:type="dxa"/>
              <w:right w:w="101" w:type="dxa"/>
            </w:tcMar>
          </w:tcPr>
          <w:p w14:paraId="4724849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11,331</w:t>
            </w:r>
          </w:p>
        </w:tc>
        <w:tc>
          <w:tcPr>
            <w:tcW w:w="1035" w:type="dxa"/>
            <w:tcBorders>
              <w:top w:val="nil"/>
              <w:left w:val="nil"/>
              <w:bottom w:val="nil"/>
              <w:right w:val="nil"/>
              <w:tl2br w:val="nil"/>
              <w:tr2bl w:val="nil"/>
            </w:tcBorders>
            <w:shd w:val="clear" w:color="FFFFFF" w:fill="FFFFFF"/>
            <w:tcMar>
              <w:left w:w="101" w:type="dxa"/>
              <w:right w:w="101" w:type="dxa"/>
            </w:tcMar>
          </w:tcPr>
          <w:p w14:paraId="5F005F5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11,150</w:t>
            </w:r>
          </w:p>
        </w:tc>
      </w:tr>
      <w:tr w:rsidR="002242F3" w:rsidRPr="005E3B44" w14:paraId="26AD165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627971"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12,948</w:t>
            </w:r>
          </w:p>
        </w:tc>
        <w:tc>
          <w:tcPr>
            <w:tcW w:w="2385" w:type="dxa"/>
            <w:tcBorders>
              <w:top w:val="nil"/>
              <w:left w:val="nil"/>
              <w:bottom w:val="nil"/>
              <w:right w:val="nil"/>
              <w:tl2br w:val="nil"/>
              <w:tr2bl w:val="nil"/>
            </w:tcBorders>
            <w:shd w:val="clear" w:color="auto" w:fill="auto"/>
            <w:noWrap/>
            <w:tcMar>
              <w:left w:w="101" w:type="dxa"/>
              <w:right w:w="101" w:type="dxa"/>
            </w:tcMar>
          </w:tcPr>
          <w:p w14:paraId="35D9C05D"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7DB5813B"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12,934</w:t>
            </w:r>
          </w:p>
        </w:tc>
        <w:tc>
          <w:tcPr>
            <w:tcW w:w="1035" w:type="dxa"/>
            <w:tcBorders>
              <w:top w:val="nil"/>
              <w:left w:val="nil"/>
              <w:bottom w:val="nil"/>
              <w:right w:val="nil"/>
              <w:tl2br w:val="nil"/>
              <w:tr2bl w:val="nil"/>
            </w:tcBorders>
            <w:shd w:val="clear" w:color="FFFFFF" w:fill="FFFFFF"/>
            <w:tcMar>
              <w:left w:w="101" w:type="dxa"/>
              <w:right w:w="101" w:type="dxa"/>
            </w:tcMar>
          </w:tcPr>
          <w:p w14:paraId="372B9F4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11,971</w:t>
            </w:r>
          </w:p>
        </w:tc>
        <w:tc>
          <w:tcPr>
            <w:tcW w:w="600" w:type="dxa"/>
            <w:tcBorders>
              <w:top w:val="nil"/>
              <w:left w:val="nil"/>
              <w:bottom w:val="nil"/>
              <w:right w:val="nil"/>
              <w:tl2br w:val="nil"/>
              <w:tr2bl w:val="nil"/>
            </w:tcBorders>
            <w:shd w:val="clear" w:color="FFFFFF" w:fill="FFFFFF"/>
            <w:tcMar>
              <w:left w:w="101" w:type="dxa"/>
              <w:right w:w="101" w:type="dxa"/>
            </w:tcMar>
          </w:tcPr>
          <w:p w14:paraId="1F8A67E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1BC094C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11,008</w:t>
            </w:r>
          </w:p>
        </w:tc>
        <w:tc>
          <w:tcPr>
            <w:tcW w:w="1035" w:type="dxa"/>
            <w:tcBorders>
              <w:top w:val="nil"/>
              <w:left w:val="nil"/>
              <w:bottom w:val="nil"/>
              <w:right w:val="nil"/>
              <w:tl2br w:val="nil"/>
              <w:tr2bl w:val="nil"/>
            </w:tcBorders>
            <w:shd w:val="clear" w:color="FFFFFF" w:fill="FFFFFF"/>
            <w:tcMar>
              <w:left w:w="101" w:type="dxa"/>
              <w:right w:w="101" w:type="dxa"/>
            </w:tcMar>
          </w:tcPr>
          <w:p w14:paraId="4617A4C7"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10,045</w:t>
            </w:r>
          </w:p>
        </w:tc>
        <w:tc>
          <w:tcPr>
            <w:tcW w:w="1035" w:type="dxa"/>
            <w:tcBorders>
              <w:top w:val="nil"/>
              <w:left w:val="nil"/>
              <w:bottom w:val="nil"/>
              <w:right w:val="nil"/>
              <w:tl2br w:val="nil"/>
              <w:tr2bl w:val="nil"/>
            </w:tcBorders>
            <w:shd w:val="clear" w:color="FFFFFF" w:fill="FFFFFF"/>
            <w:tcMar>
              <w:left w:w="101" w:type="dxa"/>
              <w:right w:w="101" w:type="dxa"/>
            </w:tcMar>
          </w:tcPr>
          <w:p w14:paraId="14193904"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9,082</w:t>
            </w:r>
          </w:p>
        </w:tc>
      </w:tr>
      <w:tr w:rsidR="002242F3" w:rsidRPr="005E3B44" w14:paraId="619FA61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3DB5F4"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4,001</w:t>
            </w:r>
          </w:p>
        </w:tc>
        <w:tc>
          <w:tcPr>
            <w:tcW w:w="2385" w:type="dxa"/>
            <w:tcBorders>
              <w:top w:val="nil"/>
              <w:left w:val="nil"/>
              <w:bottom w:val="nil"/>
              <w:right w:val="nil"/>
              <w:tl2br w:val="nil"/>
              <w:tr2bl w:val="nil"/>
            </w:tcBorders>
            <w:shd w:val="clear" w:color="auto" w:fill="auto"/>
            <w:noWrap/>
            <w:tcMar>
              <w:left w:w="101" w:type="dxa"/>
              <w:right w:w="101" w:type="dxa"/>
            </w:tcMar>
          </w:tcPr>
          <w:p w14:paraId="2F7A4901"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014F6C6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4,494</w:t>
            </w:r>
          </w:p>
        </w:tc>
        <w:tc>
          <w:tcPr>
            <w:tcW w:w="1035" w:type="dxa"/>
            <w:tcBorders>
              <w:top w:val="nil"/>
              <w:left w:val="nil"/>
              <w:bottom w:val="nil"/>
              <w:right w:val="nil"/>
              <w:tl2br w:val="nil"/>
              <w:tr2bl w:val="nil"/>
            </w:tcBorders>
            <w:shd w:val="clear" w:color="FFFFFF" w:fill="FFFFFF"/>
            <w:tcMar>
              <w:left w:w="101" w:type="dxa"/>
              <w:right w:w="101" w:type="dxa"/>
            </w:tcMar>
          </w:tcPr>
          <w:p w14:paraId="5EFE785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4,494</w:t>
            </w:r>
          </w:p>
        </w:tc>
        <w:tc>
          <w:tcPr>
            <w:tcW w:w="600" w:type="dxa"/>
            <w:tcBorders>
              <w:top w:val="nil"/>
              <w:left w:val="nil"/>
              <w:bottom w:val="nil"/>
              <w:right w:val="nil"/>
              <w:tl2br w:val="nil"/>
              <w:tr2bl w:val="nil"/>
            </w:tcBorders>
            <w:shd w:val="clear" w:color="FFFFFF" w:fill="FFFFFF"/>
            <w:tcMar>
              <w:left w:w="101" w:type="dxa"/>
              <w:right w:w="101" w:type="dxa"/>
            </w:tcMar>
          </w:tcPr>
          <w:p w14:paraId="635C9CE4"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2FBCDF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4,494</w:t>
            </w:r>
          </w:p>
        </w:tc>
        <w:tc>
          <w:tcPr>
            <w:tcW w:w="1035" w:type="dxa"/>
            <w:tcBorders>
              <w:top w:val="nil"/>
              <w:left w:val="nil"/>
              <w:bottom w:val="nil"/>
              <w:right w:val="nil"/>
              <w:tl2br w:val="nil"/>
              <w:tr2bl w:val="nil"/>
            </w:tcBorders>
            <w:shd w:val="clear" w:color="FFFFFF" w:fill="FFFFFF"/>
            <w:tcMar>
              <w:left w:w="101" w:type="dxa"/>
              <w:right w:w="101" w:type="dxa"/>
            </w:tcMar>
          </w:tcPr>
          <w:p w14:paraId="41194F3A"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4,494</w:t>
            </w:r>
          </w:p>
        </w:tc>
        <w:tc>
          <w:tcPr>
            <w:tcW w:w="1035" w:type="dxa"/>
            <w:tcBorders>
              <w:top w:val="nil"/>
              <w:left w:val="nil"/>
              <w:bottom w:val="nil"/>
              <w:right w:val="nil"/>
              <w:tl2br w:val="nil"/>
              <w:tr2bl w:val="nil"/>
            </w:tcBorders>
            <w:shd w:val="clear" w:color="FFFFFF" w:fill="FFFFFF"/>
            <w:tcMar>
              <w:left w:w="101" w:type="dxa"/>
              <w:right w:w="101" w:type="dxa"/>
            </w:tcMar>
          </w:tcPr>
          <w:p w14:paraId="03013D77"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4,494</w:t>
            </w:r>
          </w:p>
        </w:tc>
      </w:tr>
      <w:tr w:rsidR="002242F3" w:rsidRPr="005E3B44" w14:paraId="367DDB0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B3B279"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CD2AEF0"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8E050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62CCB5"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541165"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2C4121"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CB8F5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46DC4B"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4BFAD70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4759D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27,836</w:t>
            </w:r>
          </w:p>
        </w:tc>
        <w:tc>
          <w:tcPr>
            <w:tcW w:w="2385" w:type="dxa"/>
            <w:tcBorders>
              <w:top w:val="nil"/>
              <w:left w:val="nil"/>
              <w:bottom w:val="nil"/>
              <w:right w:val="nil"/>
              <w:tl2br w:val="nil"/>
              <w:tr2bl w:val="nil"/>
            </w:tcBorders>
            <w:shd w:val="clear" w:color="FFFFFF" w:fill="FFFFFF"/>
            <w:tcMar>
              <w:left w:w="101" w:type="dxa"/>
              <w:right w:w="101" w:type="dxa"/>
            </w:tcMar>
          </w:tcPr>
          <w:p w14:paraId="6D4EEBA4"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07B2DE8E"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29,302</w:t>
            </w:r>
          </w:p>
        </w:tc>
        <w:tc>
          <w:tcPr>
            <w:tcW w:w="1035" w:type="dxa"/>
            <w:tcBorders>
              <w:top w:val="nil"/>
              <w:left w:val="nil"/>
              <w:bottom w:val="nil"/>
              <w:right w:val="nil"/>
              <w:tl2br w:val="nil"/>
              <w:tr2bl w:val="nil"/>
            </w:tcBorders>
            <w:shd w:val="clear" w:color="FFFFFF" w:fill="FFFFFF"/>
            <w:tcMar>
              <w:left w:w="101" w:type="dxa"/>
              <w:right w:w="101" w:type="dxa"/>
            </w:tcMar>
          </w:tcPr>
          <w:p w14:paraId="74109751"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28,158</w:t>
            </w:r>
          </w:p>
        </w:tc>
        <w:tc>
          <w:tcPr>
            <w:tcW w:w="600" w:type="dxa"/>
            <w:tcBorders>
              <w:top w:val="nil"/>
              <w:left w:val="nil"/>
              <w:bottom w:val="nil"/>
              <w:right w:val="nil"/>
              <w:tl2br w:val="nil"/>
              <w:tr2bl w:val="nil"/>
            </w:tcBorders>
            <w:shd w:val="clear" w:color="FFFFFF" w:fill="FFFFFF"/>
            <w:tcMar>
              <w:left w:w="101" w:type="dxa"/>
              <w:right w:w="101" w:type="dxa"/>
            </w:tcMar>
          </w:tcPr>
          <w:p w14:paraId="3B8A054C"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38FA0CA7"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27,014</w:t>
            </w:r>
          </w:p>
        </w:tc>
        <w:tc>
          <w:tcPr>
            <w:tcW w:w="1035" w:type="dxa"/>
            <w:tcBorders>
              <w:top w:val="nil"/>
              <w:left w:val="nil"/>
              <w:bottom w:val="nil"/>
              <w:right w:val="nil"/>
              <w:tl2br w:val="nil"/>
              <w:tr2bl w:val="nil"/>
            </w:tcBorders>
            <w:shd w:val="clear" w:color="FFFFFF" w:fill="FFFFFF"/>
            <w:tcMar>
              <w:left w:w="101" w:type="dxa"/>
              <w:right w:w="101" w:type="dxa"/>
            </w:tcMar>
          </w:tcPr>
          <w:p w14:paraId="6BC4268D"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25,870</w:t>
            </w:r>
          </w:p>
        </w:tc>
        <w:tc>
          <w:tcPr>
            <w:tcW w:w="1035" w:type="dxa"/>
            <w:tcBorders>
              <w:top w:val="nil"/>
              <w:left w:val="nil"/>
              <w:bottom w:val="nil"/>
              <w:right w:val="nil"/>
              <w:tl2br w:val="nil"/>
              <w:tr2bl w:val="nil"/>
            </w:tcBorders>
            <w:shd w:val="clear" w:color="FFFFFF" w:fill="FFFFFF"/>
            <w:tcMar>
              <w:left w:w="101" w:type="dxa"/>
              <w:right w:w="101" w:type="dxa"/>
            </w:tcMar>
          </w:tcPr>
          <w:p w14:paraId="5F07DECA"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24,726</w:t>
            </w:r>
          </w:p>
        </w:tc>
      </w:tr>
      <w:tr w:rsidR="002242F3" w:rsidRPr="005E3B44" w14:paraId="134A52D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1190E99"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951ED9A"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152E0D"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945AEC"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710466"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C28FC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128D2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BDCC10"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14FABCD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557B69A"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104FEE6" w14:textId="77777777" w:rsidR="002242F3" w:rsidRPr="005E3B44" w:rsidRDefault="002242F3" w:rsidP="005E3B44">
            <w:pPr>
              <w:pStyle w:val="Normal8"/>
              <w:rPr>
                <w:rFonts w:asciiTheme="minorHAnsi" w:eastAsia="Calibri" w:hAnsiTheme="minorHAnsi" w:cstheme="minorHAnsi"/>
                <w:b/>
                <w:color w:val="000000"/>
                <w:sz w:val="18"/>
              </w:rPr>
            </w:pP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27B385F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260D7F"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E09BA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C01953"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98862D"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606476"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28481B0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2C3463"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545,110</w:t>
            </w:r>
          </w:p>
        </w:tc>
        <w:tc>
          <w:tcPr>
            <w:tcW w:w="2385" w:type="dxa"/>
            <w:tcBorders>
              <w:top w:val="nil"/>
              <w:left w:val="nil"/>
              <w:bottom w:val="nil"/>
              <w:right w:val="nil"/>
              <w:tl2br w:val="nil"/>
              <w:tr2bl w:val="nil"/>
            </w:tcBorders>
            <w:shd w:val="clear" w:color="FFFFFF" w:fill="FFFFFF"/>
            <w:noWrap/>
            <w:tcMar>
              <w:left w:w="101" w:type="dxa"/>
              <w:right w:w="101" w:type="dxa"/>
            </w:tcMar>
          </w:tcPr>
          <w:p w14:paraId="24E2AC75"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26FECCF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550,215</w:t>
            </w:r>
          </w:p>
        </w:tc>
        <w:tc>
          <w:tcPr>
            <w:tcW w:w="1035" w:type="dxa"/>
            <w:tcBorders>
              <w:top w:val="nil"/>
              <w:left w:val="nil"/>
              <w:bottom w:val="nil"/>
              <w:right w:val="nil"/>
              <w:tl2br w:val="nil"/>
              <w:tr2bl w:val="nil"/>
            </w:tcBorders>
            <w:shd w:val="clear" w:color="FFFFFF" w:fill="FFFFFF"/>
            <w:tcMar>
              <w:left w:w="101" w:type="dxa"/>
              <w:right w:w="101" w:type="dxa"/>
            </w:tcMar>
          </w:tcPr>
          <w:p w14:paraId="1809C5A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546,060</w:t>
            </w:r>
          </w:p>
        </w:tc>
        <w:tc>
          <w:tcPr>
            <w:tcW w:w="600" w:type="dxa"/>
            <w:tcBorders>
              <w:top w:val="nil"/>
              <w:left w:val="nil"/>
              <w:bottom w:val="nil"/>
              <w:right w:val="nil"/>
              <w:tl2br w:val="nil"/>
              <w:tr2bl w:val="nil"/>
            </w:tcBorders>
            <w:shd w:val="clear" w:color="FFFFFF" w:fill="FFFFFF"/>
            <w:tcMar>
              <w:left w:w="101" w:type="dxa"/>
              <w:right w:w="101" w:type="dxa"/>
            </w:tcMar>
          </w:tcPr>
          <w:p w14:paraId="49F02155"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1C3BA44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547,058</w:t>
            </w:r>
          </w:p>
        </w:tc>
        <w:tc>
          <w:tcPr>
            <w:tcW w:w="1035" w:type="dxa"/>
            <w:tcBorders>
              <w:top w:val="nil"/>
              <w:left w:val="nil"/>
              <w:bottom w:val="nil"/>
              <w:right w:val="nil"/>
              <w:tl2br w:val="nil"/>
              <w:tr2bl w:val="nil"/>
            </w:tcBorders>
            <w:shd w:val="clear" w:color="FFFFFF" w:fill="FFFFFF"/>
            <w:tcMar>
              <w:left w:w="101" w:type="dxa"/>
              <w:right w:w="101" w:type="dxa"/>
            </w:tcMar>
          </w:tcPr>
          <w:p w14:paraId="371A0EEF"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532,754</w:t>
            </w:r>
          </w:p>
        </w:tc>
        <w:tc>
          <w:tcPr>
            <w:tcW w:w="1035" w:type="dxa"/>
            <w:tcBorders>
              <w:top w:val="nil"/>
              <w:left w:val="nil"/>
              <w:bottom w:val="nil"/>
              <w:right w:val="nil"/>
              <w:tl2br w:val="nil"/>
              <w:tr2bl w:val="nil"/>
            </w:tcBorders>
            <w:shd w:val="clear" w:color="FFFFFF" w:fill="FFFFFF"/>
            <w:tcMar>
              <w:left w:w="101" w:type="dxa"/>
              <w:right w:w="101" w:type="dxa"/>
            </w:tcMar>
          </w:tcPr>
          <w:p w14:paraId="7DBBCA2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493,303</w:t>
            </w:r>
          </w:p>
        </w:tc>
      </w:tr>
      <w:tr w:rsidR="002242F3" w:rsidRPr="005E3B44" w14:paraId="1C4CBC2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40DC89"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9,774</w:t>
            </w:r>
          </w:p>
        </w:tc>
        <w:tc>
          <w:tcPr>
            <w:tcW w:w="2385" w:type="dxa"/>
            <w:tcBorders>
              <w:top w:val="nil"/>
              <w:left w:val="nil"/>
              <w:bottom w:val="nil"/>
              <w:right w:val="nil"/>
              <w:tl2br w:val="nil"/>
              <w:tr2bl w:val="nil"/>
            </w:tcBorders>
            <w:shd w:val="clear" w:color="FFFFFF" w:fill="FFFFFF"/>
            <w:noWrap/>
            <w:tcMar>
              <w:left w:w="101" w:type="dxa"/>
              <w:right w:w="101" w:type="dxa"/>
            </w:tcMar>
          </w:tcPr>
          <w:p w14:paraId="6059788A"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6372413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8,396</w:t>
            </w:r>
          </w:p>
        </w:tc>
        <w:tc>
          <w:tcPr>
            <w:tcW w:w="1035" w:type="dxa"/>
            <w:tcBorders>
              <w:top w:val="nil"/>
              <w:left w:val="nil"/>
              <w:bottom w:val="nil"/>
              <w:right w:val="nil"/>
              <w:tl2br w:val="nil"/>
              <w:tr2bl w:val="nil"/>
            </w:tcBorders>
            <w:shd w:val="clear" w:color="FFFFFF" w:fill="FFFFFF"/>
            <w:tcMar>
              <w:left w:w="101" w:type="dxa"/>
              <w:right w:w="101" w:type="dxa"/>
            </w:tcMar>
          </w:tcPr>
          <w:p w14:paraId="313DABB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12,339</w:t>
            </w:r>
          </w:p>
        </w:tc>
        <w:tc>
          <w:tcPr>
            <w:tcW w:w="600" w:type="dxa"/>
            <w:tcBorders>
              <w:top w:val="nil"/>
              <w:left w:val="nil"/>
              <w:bottom w:val="nil"/>
              <w:right w:val="nil"/>
              <w:tl2br w:val="nil"/>
              <w:tr2bl w:val="nil"/>
            </w:tcBorders>
            <w:shd w:val="clear" w:color="FFFFFF" w:fill="FFFFFF"/>
            <w:tcMar>
              <w:left w:w="101" w:type="dxa"/>
              <w:right w:w="101" w:type="dxa"/>
            </w:tcMar>
          </w:tcPr>
          <w:p w14:paraId="25F123D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47 </w:t>
            </w:r>
          </w:p>
        </w:tc>
        <w:tc>
          <w:tcPr>
            <w:tcW w:w="1035" w:type="dxa"/>
            <w:tcBorders>
              <w:top w:val="nil"/>
              <w:left w:val="nil"/>
              <w:bottom w:val="nil"/>
              <w:right w:val="nil"/>
              <w:tl2br w:val="nil"/>
              <w:tr2bl w:val="nil"/>
            </w:tcBorders>
            <w:shd w:val="clear" w:color="FFFFFF" w:fill="FFFFFF"/>
            <w:tcMar>
              <w:left w:w="101" w:type="dxa"/>
              <w:right w:w="101" w:type="dxa"/>
            </w:tcMar>
          </w:tcPr>
          <w:p w14:paraId="2EF87D7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10,025</w:t>
            </w:r>
          </w:p>
        </w:tc>
        <w:tc>
          <w:tcPr>
            <w:tcW w:w="1035" w:type="dxa"/>
            <w:tcBorders>
              <w:top w:val="nil"/>
              <w:left w:val="nil"/>
              <w:bottom w:val="nil"/>
              <w:right w:val="nil"/>
              <w:tl2br w:val="nil"/>
              <w:tr2bl w:val="nil"/>
            </w:tcBorders>
            <w:shd w:val="clear" w:color="FFFFFF" w:fill="FFFFFF"/>
            <w:tcMar>
              <w:left w:w="101" w:type="dxa"/>
              <w:right w:w="101" w:type="dxa"/>
            </w:tcMar>
          </w:tcPr>
          <w:p w14:paraId="0DF31FD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6,454</w:t>
            </w:r>
          </w:p>
        </w:tc>
        <w:tc>
          <w:tcPr>
            <w:tcW w:w="1035" w:type="dxa"/>
            <w:tcBorders>
              <w:top w:val="nil"/>
              <w:left w:val="nil"/>
              <w:bottom w:val="nil"/>
              <w:right w:val="nil"/>
              <w:tl2br w:val="nil"/>
              <w:tr2bl w:val="nil"/>
            </w:tcBorders>
            <w:shd w:val="clear" w:color="FFFFFF" w:fill="FFFFFF"/>
            <w:tcMar>
              <w:left w:w="101" w:type="dxa"/>
              <w:right w:w="101" w:type="dxa"/>
            </w:tcMar>
          </w:tcPr>
          <w:p w14:paraId="431874FC"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2,883</w:t>
            </w:r>
          </w:p>
        </w:tc>
      </w:tr>
      <w:tr w:rsidR="002242F3" w:rsidRPr="005E3B44" w14:paraId="32BFD3C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DA8DB0"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10,366</w:t>
            </w:r>
          </w:p>
        </w:tc>
        <w:tc>
          <w:tcPr>
            <w:tcW w:w="2385" w:type="dxa"/>
            <w:tcBorders>
              <w:top w:val="nil"/>
              <w:left w:val="nil"/>
              <w:bottom w:val="nil"/>
              <w:right w:val="nil"/>
              <w:tl2br w:val="nil"/>
              <w:tr2bl w:val="nil"/>
            </w:tcBorders>
            <w:shd w:val="clear" w:color="FFFFFF" w:fill="FFFFFF"/>
            <w:noWrap/>
            <w:tcMar>
              <w:left w:w="101" w:type="dxa"/>
              <w:right w:w="101" w:type="dxa"/>
            </w:tcMar>
          </w:tcPr>
          <w:p w14:paraId="497A8642"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7C7D6C5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24,956</w:t>
            </w:r>
          </w:p>
        </w:tc>
        <w:tc>
          <w:tcPr>
            <w:tcW w:w="1035" w:type="dxa"/>
            <w:tcBorders>
              <w:top w:val="nil"/>
              <w:left w:val="nil"/>
              <w:bottom w:val="nil"/>
              <w:right w:val="nil"/>
              <w:tl2br w:val="nil"/>
              <w:tr2bl w:val="nil"/>
            </w:tcBorders>
            <w:shd w:val="clear" w:color="FFFFFF" w:fill="FFFFFF"/>
            <w:tcMar>
              <w:left w:w="101" w:type="dxa"/>
              <w:right w:w="101" w:type="dxa"/>
            </w:tcMar>
          </w:tcPr>
          <w:p w14:paraId="72B221B1"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23,606</w:t>
            </w:r>
          </w:p>
        </w:tc>
        <w:tc>
          <w:tcPr>
            <w:tcW w:w="600" w:type="dxa"/>
            <w:tcBorders>
              <w:top w:val="nil"/>
              <w:left w:val="nil"/>
              <w:bottom w:val="nil"/>
              <w:right w:val="nil"/>
              <w:tl2br w:val="nil"/>
              <w:tr2bl w:val="nil"/>
            </w:tcBorders>
            <w:shd w:val="clear" w:color="FFFFFF" w:fill="FFFFFF"/>
            <w:tcMar>
              <w:left w:w="101" w:type="dxa"/>
              <w:right w:w="101" w:type="dxa"/>
            </w:tcMar>
          </w:tcPr>
          <w:p w14:paraId="36C3664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0137B00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17,695</w:t>
            </w:r>
          </w:p>
        </w:tc>
        <w:tc>
          <w:tcPr>
            <w:tcW w:w="1035" w:type="dxa"/>
            <w:tcBorders>
              <w:top w:val="nil"/>
              <w:left w:val="nil"/>
              <w:bottom w:val="nil"/>
              <w:right w:val="nil"/>
              <w:tl2br w:val="nil"/>
              <w:tr2bl w:val="nil"/>
            </w:tcBorders>
            <w:shd w:val="clear" w:color="FFFFFF" w:fill="FFFFFF"/>
            <w:tcMar>
              <w:left w:w="101" w:type="dxa"/>
              <w:right w:w="101" w:type="dxa"/>
            </w:tcMar>
          </w:tcPr>
          <w:p w14:paraId="506998AC"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17,396</w:t>
            </w:r>
          </w:p>
        </w:tc>
        <w:tc>
          <w:tcPr>
            <w:tcW w:w="1035" w:type="dxa"/>
            <w:tcBorders>
              <w:top w:val="nil"/>
              <w:left w:val="nil"/>
              <w:bottom w:val="nil"/>
              <w:right w:val="nil"/>
              <w:tl2br w:val="nil"/>
              <w:tr2bl w:val="nil"/>
            </w:tcBorders>
            <w:shd w:val="clear" w:color="FFFFFF" w:fill="FFFFFF"/>
            <w:tcMar>
              <w:left w:w="101" w:type="dxa"/>
              <w:right w:w="101" w:type="dxa"/>
            </w:tcMar>
          </w:tcPr>
          <w:p w14:paraId="7E12CFE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17,097</w:t>
            </w:r>
          </w:p>
        </w:tc>
      </w:tr>
      <w:tr w:rsidR="002242F3" w:rsidRPr="005E3B44" w14:paraId="1C42D79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42C2594"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CAA5FA8"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246F0C"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C4EFFB"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375B1B"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AEFC5D"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1468A9"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FFCC07"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7EB59B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55E51E"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565,250</w:t>
            </w:r>
          </w:p>
        </w:tc>
        <w:tc>
          <w:tcPr>
            <w:tcW w:w="2385" w:type="dxa"/>
            <w:tcBorders>
              <w:top w:val="nil"/>
              <w:left w:val="nil"/>
              <w:bottom w:val="nil"/>
              <w:right w:val="nil"/>
              <w:tl2br w:val="nil"/>
              <w:tr2bl w:val="nil"/>
            </w:tcBorders>
            <w:shd w:val="clear" w:color="FFFFFF" w:fill="FFFFFF"/>
            <w:tcMar>
              <w:left w:w="101" w:type="dxa"/>
              <w:right w:w="101" w:type="dxa"/>
            </w:tcMar>
          </w:tcPr>
          <w:p w14:paraId="39439640"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Total </w:t>
            </w: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70E7F3B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583,567</w:t>
            </w:r>
          </w:p>
        </w:tc>
        <w:tc>
          <w:tcPr>
            <w:tcW w:w="1035" w:type="dxa"/>
            <w:tcBorders>
              <w:top w:val="nil"/>
              <w:left w:val="nil"/>
              <w:bottom w:val="nil"/>
              <w:right w:val="nil"/>
              <w:tl2br w:val="nil"/>
              <w:tr2bl w:val="nil"/>
            </w:tcBorders>
            <w:shd w:val="clear" w:color="FFFFFF" w:fill="FFFFFF"/>
            <w:tcMar>
              <w:left w:w="101" w:type="dxa"/>
              <w:right w:w="101" w:type="dxa"/>
            </w:tcMar>
          </w:tcPr>
          <w:p w14:paraId="0D7E4F03"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582,005</w:t>
            </w:r>
          </w:p>
        </w:tc>
        <w:tc>
          <w:tcPr>
            <w:tcW w:w="600" w:type="dxa"/>
            <w:tcBorders>
              <w:top w:val="nil"/>
              <w:left w:val="nil"/>
              <w:bottom w:val="nil"/>
              <w:right w:val="nil"/>
              <w:tl2br w:val="nil"/>
              <w:tr2bl w:val="nil"/>
            </w:tcBorders>
            <w:shd w:val="clear" w:color="FFFFFF" w:fill="FFFFFF"/>
            <w:tcMar>
              <w:left w:w="101" w:type="dxa"/>
              <w:right w:w="101" w:type="dxa"/>
            </w:tcMar>
          </w:tcPr>
          <w:p w14:paraId="41A9E627"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DEF4B9F"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574,778</w:t>
            </w:r>
          </w:p>
        </w:tc>
        <w:tc>
          <w:tcPr>
            <w:tcW w:w="1035" w:type="dxa"/>
            <w:tcBorders>
              <w:top w:val="nil"/>
              <w:left w:val="nil"/>
              <w:bottom w:val="nil"/>
              <w:right w:val="nil"/>
              <w:tl2br w:val="nil"/>
              <w:tr2bl w:val="nil"/>
            </w:tcBorders>
            <w:shd w:val="clear" w:color="FFFFFF" w:fill="FFFFFF"/>
            <w:tcMar>
              <w:left w:w="101" w:type="dxa"/>
              <w:right w:w="101" w:type="dxa"/>
            </w:tcMar>
          </w:tcPr>
          <w:p w14:paraId="5034EA5A"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556,604</w:t>
            </w:r>
          </w:p>
        </w:tc>
        <w:tc>
          <w:tcPr>
            <w:tcW w:w="1035" w:type="dxa"/>
            <w:tcBorders>
              <w:top w:val="nil"/>
              <w:left w:val="nil"/>
              <w:bottom w:val="nil"/>
              <w:right w:val="nil"/>
              <w:tl2br w:val="nil"/>
              <w:tr2bl w:val="nil"/>
            </w:tcBorders>
            <w:shd w:val="clear" w:color="FFFFFF" w:fill="FFFFFF"/>
            <w:tcMar>
              <w:left w:w="101" w:type="dxa"/>
              <w:right w:w="101" w:type="dxa"/>
            </w:tcMar>
          </w:tcPr>
          <w:p w14:paraId="190F658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513,283</w:t>
            </w:r>
          </w:p>
        </w:tc>
      </w:tr>
      <w:tr w:rsidR="002242F3" w:rsidRPr="005E3B44" w14:paraId="3D2036D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0AC487"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0223180"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D2001F"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5B9296"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513389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6DF5BA"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78E5DD"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1754E1"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6D8846D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E4E718"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593,086</w:t>
            </w:r>
          </w:p>
        </w:tc>
        <w:tc>
          <w:tcPr>
            <w:tcW w:w="2385" w:type="dxa"/>
            <w:tcBorders>
              <w:top w:val="nil"/>
              <w:left w:val="nil"/>
              <w:bottom w:val="nil"/>
              <w:right w:val="nil"/>
              <w:tl2br w:val="nil"/>
              <w:tr2bl w:val="nil"/>
            </w:tcBorders>
            <w:shd w:val="clear" w:color="FFFFFF" w:fill="FFFFFF"/>
            <w:tcMar>
              <w:left w:w="101" w:type="dxa"/>
              <w:right w:w="101" w:type="dxa"/>
            </w:tcMar>
          </w:tcPr>
          <w:p w14:paraId="43824967"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7846CB68"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612,869</w:t>
            </w:r>
          </w:p>
        </w:tc>
        <w:tc>
          <w:tcPr>
            <w:tcW w:w="1035" w:type="dxa"/>
            <w:tcBorders>
              <w:top w:val="nil"/>
              <w:left w:val="nil"/>
              <w:bottom w:val="nil"/>
              <w:right w:val="nil"/>
              <w:tl2br w:val="nil"/>
              <w:tr2bl w:val="nil"/>
            </w:tcBorders>
            <w:shd w:val="clear" w:color="FFFFFF" w:fill="FFFFFF"/>
            <w:tcMar>
              <w:left w:w="101" w:type="dxa"/>
              <w:right w:w="101" w:type="dxa"/>
            </w:tcMar>
          </w:tcPr>
          <w:p w14:paraId="4EF6509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610,163</w:t>
            </w:r>
          </w:p>
        </w:tc>
        <w:tc>
          <w:tcPr>
            <w:tcW w:w="600" w:type="dxa"/>
            <w:tcBorders>
              <w:top w:val="nil"/>
              <w:left w:val="nil"/>
              <w:bottom w:val="nil"/>
              <w:right w:val="nil"/>
              <w:tl2br w:val="nil"/>
              <w:tr2bl w:val="nil"/>
            </w:tcBorders>
            <w:shd w:val="clear" w:color="FFFFFF" w:fill="FFFFFF"/>
            <w:tcMar>
              <w:left w:w="101" w:type="dxa"/>
              <w:right w:w="101" w:type="dxa"/>
            </w:tcMar>
          </w:tcPr>
          <w:p w14:paraId="5A7D80D9"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BC4EB3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601,792</w:t>
            </w:r>
          </w:p>
        </w:tc>
        <w:tc>
          <w:tcPr>
            <w:tcW w:w="1035" w:type="dxa"/>
            <w:tcBorders>
              <w:top w:val="nil"/>
              <w:left w:val="nil"/>
              <w:bottom w:val="nil"/>
              <w:right w:val="nil"/>
              <w:tl2br w:val="nil"/>
              <w:tr2bl w:val="nil"/>
            </w:tcBorders>
            <w:shd w:val="clear" w:color="FFFFFF" w:fill="FFFFFF"/>
            <w:tcMar>
              <w:left w:w="101" w:type="dxa"/>
              <w:right w:w="101" w:type="dxa"/>
            </w:tcMar>
          </w:tcPr>
          <w:p w14:paraId="6C7F488E"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582,474</w:t>
            </w:r>
          </w:p>
        </w:tc>
        <w:tc>
          <w:tcPr>
            <w:tcW w:w="1035" w:type="dxa"/>
            <w:tcBorders>
              <w:top w:val="nil"/>
              <w:left w:val="nil"/>
              <w:bottom w:val="nil"/>
              <w:right w:val="nil"/>
              <w:tl2br w:val="nil"/>
              <w:tr2bl w:val="nil"/>
            </w:tcBorders>
            <w:shd w:val="clear" w:color="FFFFFF" w:fill="FFFFFF"/>
            <w:tcMar>
              <w:left w:w="101" w:type="dxa"/>
              <w:right w:w="101" w:type="dxa"/>
            </w:tcMar>
          </w:tcPr>
          <w:p w14:paraId="6A0F71A9"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538,009</w:t>
            </w:r>
          </w:p>
        </w:tc>
      </w:tr>
      <w:tr w:rsidR="002242F3" w:rsidRPr="005E3B44" w14:paraId="342DAD8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11CBBF"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5C20FC3"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E3A094"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942775"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BA773E"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7D40CA"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2B7938"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D652A7"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3EE0B43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6609B9"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08FF293"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2D59A84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987797"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30C71D"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53913B"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F75B4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757A47"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3EACDA8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6E3ADB"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8,092</w:t>
            </w:r>
          </w:p>
        </w:tc>
        <w:tc>
          <w:tcPr>
            <w:tcW w:w="2385" w:type="dxa"/>
            <w:tcBorders>
              <w:top w:val="nil"/>
              <w:left w:val="nil"/>
              <w:bottom w:val="nil"/>
              <w:right w:val="nil"/>
              <w:tl2br w:val="nil"/>
              <w:tr2bl w:val="nil"/>
            </w:tcBorders>
            <w:shd w:val="clear" w:color="FFFFFF" w:fill="FFFFFF"/>
            <w:noWrap/>
            <w:tcMar>
              <w:left w:w="101" w:type="dxa"/>
              <w:right w:w="101" w:type="dxa"/>
            </w:tcMar>
          </w:tcPr>
          <w:p w14:paraId="18D4C917"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36332F8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12,372</w:t>
            </w:r>
          </w:p>
        </w:tc>
        <w:tc>
          <w:tcPr>
            <w:tcW w:w="1035" w:type="dxa"/>
            <w:tcBorders>
              <w:top w:val="nil"/>
              <w:left w:val="nil"/>
              <w:bottom w:val="nil"/>
              <w:right w:val="nil"/>
              <w:tl2br w:val="nil"/>
              <w:tr2bl w:val="nil"/>
            </w:tcBorders>
            <w:shd w:val="clear" w:color="FFFFFF" w:fill="FFFFFF"/>
            <w:tcMar>
              <w:left w:w="101" w:type="dxa"/>
              <w:right w:w="101" w:type="dxa"/>
            </w:tcMar>
          </w:tcPr>
          <w:p w14:paraId="64B416E7"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10,623</w:t>
            </w:r>
          </w:p>
        </w:tc>
        <w:tc>
          <w:tcPr>
            <w:tcW w:w="600" w:type="dxa"/>
            <w:tcBorders>
              <w:top w:val="nil"/>
              <w:left w:val="nil"/>
              <w:bottom w:val="nil"/>
              <w:right w:val="nil"/>
              <w:tl2br w:val="nil"/>
              <w:tr2bl w:val="nil"/>
            </w:tcBorders>
            <w:shd w:val="clear" w:color="FFFFFF" w:fill="FFFFFF"/>
            <w:tcMar>
              <w:left w:w="101" w:type="dxa"/>
              <w:right w:w="101" w:type="dxa"/>
            </w:tcMar>
          </w:tcPr>
          <w:p w14:paraId="6BDF7E39"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77FA368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10,545</w:t>
            </w:r>
          </w:p>
        </w:tc>
        <w:tc>
          <w:tcPr>
            <w:tcW w:w="1035" w:type="dxa"/>
            <w:tcBorders>
              <w:top w:val="nil"/>
              <w:left w:val="nil"/>
              <w:bottom w:val="nil"/>
              <w:right w:val="nil"/>
              <w:tl2br w:val="nil"/>
              <w:tr2bl w:val="nil"/>
            </w:tcBorders>
            <w:shd w:val="clear" w:color="FFFFFF" w:fill="FFFFFF"/>
            <w:tcMar>
              <w:left w:w="101" w:type="dxa"/>
              <w:right w:w="101" w:type="dxa"/>
            </w:tcMar>
          </w:tcPr>
          <w:p w14:paraId="550AF9EA"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12,375</w:t>
            </w:r>
          </w:p>
        </w:tc>
        <w:tc>
          <w:tcPr>
            <w:tcW w:w="1035" w:type="dxa"/>
            <w:tcBorders>
              <w:top w:val="nil"/>
              <w:left w:val="nil"/>
              <w:bottom w:val="nil"/>
              <w:right w:val="nil"/>
              <w:tl2br w:val="nil"/>
              <w:tr2bl w:val="nil"/>
            </w:tcBorders>
            <w:shd w:val="clear" w:color="FFFFFF" w:fill="FFFFFF"/>
            <w:tcMar>
              <w:left w:w="101" w:type="dxa"/>
              <w:right w:w="101" w:type="dxa"/>
            </w:tcMar>
          </w:tcPr>
          <w:p w14:paraId="21225F40"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14,205</w:t>
            </w:r>
          </w:p>
        </w:tc>
      </w:tr>
      <w:tr w:rsidR="002242F3" w:rsidRPr="005E3B44" w14:paraId="62F4E4C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48B42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3,548</w:t>
            </w:r>
          </w:p>
        </w:tc>
        <w:tc>
          <w:tcPr>
            <w:tcW w:w="2385" w:type="dxa"/>
            <w:tcBorders>
              <w:top w:val="nil"/>
              <w:left w:val="nil"/>
              <w:bottom w:val="nil"/>
              <w:right w:val="nil"/>
              <w:tl2br w:val="nil"/>
              <w:tr2bl w:val="nil"/>
            </w:tcBorders>
            <w:shd w:val="clear" w:color="FFFFFF" w:fill="FFFFFF"/>
            <w:noWrap/>
            <w:tcMar>
              <w:left w:w="101" w:type="dxa"/>
              <w:right w:w="101" w:type="dxa"/>
            </w:tcMar>
          </w:tcPr>
          <w:p w14:paraId="68332137"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0C8E22E9"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3,526</w:t>
            </w:r>
          </w:p>
        </w:tc>
        <w:tc>
          <w:tcPr>
            <w:tcW w:w="1035" w:type="dxa"/>
            <w:tcBorders>
              <w:top w:val="nil"/>
              <w:left w:val="nil"/>
              <w:bottom w:val="nil"/>
              <w:right w:val="nil"/>
              <w:tl2br w:val="nil"/>
              <w:tr2bl w:val="nil"/>
            </w:tcBorders>
            <w:shd w:val="clear" w:color="FFFFFF" w:fill="FFFFFF"/>
            <w:tcMar>
              <w:left w:w="101" w:type="dxa"/>
              <w:right w:w="101" w:type="dxa"/>
            </w:tcMar>
          </w:tcPr>
          <w:p w14:paraId="43DDF5A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3,576</w:t>
            </w:r>
          </w:p>
        </w:tc>
        <w:tc>
          <w:tcPr>
            <w:tcW w:w="600" w:type="dxa"/>
            <w:tcBorders>
              <w:top w:val="nil"/>
              <w:left w:val="nil"/>
              <w:bottom w:val="nil"/>
              <w:right w:val="nil"/>
              <w:tl2br w:val="nil"/>
              <w:tr2bl w:val="nil"/>
            </w:tcBorders>
            <w:shd w:val="clear" w:color="FFFFFF" w:fill="FFFFFF"/>
            <w:tcMar>
              <w:left w:w="101" w:type="dxa"/>
              <w:right w:w="101" w:type="dxa"/>
            </w:tcMar>
          </w:tcPr>
          <w:p w14:paraId="3525B334"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025899D3"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3,477</w:t>
            </w:r>
          </w:p>
        </w:tc>
        <w:tc>
          <w:tcPr>
            <w:tcW w:w="1035" w:type="dxa"/>
            <w:tcBorders>
              <w:top w:val="nil"/>
              <w:left w:val="nil"/>
              <w:bottom w:val="nil"/>
              <w:right w:val="nil"/>
              <w:tl2br w:val="nil"/>
              <w:tr2bl w:val="nil"/>
            </w:tcBorders>
            <w:shd w:val="clear" w:color="FFFFFF" w:fill="FFFFFF"/>
            <w:tcMar>
              <w:left w:w="101" w:type="dxa"/>
              <w:right w:w="101" w:type="dxa"/>
            </w:tcMar>
          </w:tcPr>
          <w:p w14:paraId="1C11F584"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3,346</w:t>
            </w:r>
          </w:p>
        </w:tc>
        <w:tc>
          <w:tcPr>
            <w:tcW w:w="1035" w:type="dxa"/>
            <w:tcBorders>
              <w:top w:val="nil"/>
              <w:left w:val="nil"/>
              <w:bottom w:val="nil"/>
              <w:right w:val="nil"/>
              <w:tl2br w:val="nil"/>
              <w:tr2bl w:val="nil"/>
            </w:tcBorders>
            <w:shd w:val="clear" w:color="FFFFFF" w:fill="FFFFFF"/>
            <w:tcMar>
              <w:left w:w="101" w:type="dxa"/>
              <w:right w:w="101" w:type="dxa"/>
            </w:tcMar>
          </w:tcPr>
          <w:p w14:paraId="780495D4"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3,215</w:t>
            </w:r>
          </w:p>
        </w:tc>
      </w:tr>
      <w:tr w:rsidR="002242F3" w:rsidRPr="005E3B44" w14:paraId="385E174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FA267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94,322</w:t>
            </w:r>
          </w:p>
        </w:tc>
        <w:tc>
          <w:tcPr>
            <w:tcW w:w="2385" w:type="dxa"/>
            <w:tcBorders>
              <w:top w:val="nil"/>
              <w:left w:val="nil"/>
              <w:bottom w:val="nil"/>
              <w:right w:val="nil"/>
              <w:tl2br w:val="nil"/>
              <w:tr2bl w:val="nil"/>
            </w:tcBorders>
            <w:shd w:val="clear" w:color="FFFFFF" w:fill="FFFFFF"/>
            <w:noWrap/>
            <w:tcMar>
              <w:left w:w="101" w:type="dxa"/>
              <w:right w:w="101" w:type="dxa"/>
            </w:tcMar>
          </w:tcPr>
          <w:p w14:paraId="02A2CAED"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3A4F86D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99,587</w:t>
            </w:r>
          </w:p>
        </w:tc>
        <w:tc>
          <w:tcPr>
            <w:tcW w:w="1035" w:type="dxa"/>
            <w:tcBorders>
              <w:top w:val="nil"/>
              <w:left w:val="nil"/>
              <w:bottom w:val="nil"/>
              <w:right w:val="nil"/>
              <w:tl2br w:val="nil"/>
              <w:tr2bl w:val="nil"/>
            </w:tcBorders>
            <w:shd w:val="clear" w:color="FFFFFF" w:fill="FFFFFF"/>
            <w:tcMar>
              <w:left w:w="101" w:type="dxa"/>
              <w:right w:w="101" w:type="dxa"/>
            </w:tcMar>
          </w:tcPr>
          <w:p w14:paraId="17F4CE69"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100,404</w:t>
            </w:r>
          </w:p>
        </w:tc>
        <w:tc>
          <w:tcPr>
            <w:tcW w:w="600" w:type="dxa"/>
            <w:tcBorders>
              <w:top w:val="nil"/>
              <w:left w:val="nil"/>
              <w:bottom w:val="nil"/>
              <w:right w:val="nil"/>
              <w:tl2br w:val="nil"/>
              <w:tr2bl w:val="nil"/>
            </w:tcBorders>
            <w:shd w:val="clear" w:color="FFFFFF" w:fill="FFFFFF"/>
            <w:tcMar>
              <w:left w:w="101" w:type="dxa"/>
              <w:right w:w="101" w:type="dxa"/>
            </w:tcMar>
          </w:tcPr>
          <w:p w14:paraId="259F56A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CCB3913"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101,432</w:t>
            </w:r>
          </w:p>
        </w:tc>
        <w:tc>
          <w:tcPr>
            <w:tcW w:w="1035" w:type="dxa"/>
            <w:tcBorders>
              <w:top w:val="nil"/>
              <w:left w:val="nil"/>
              <w:bottom w:val="nil"/>
              <w:right w:val="nil"/>
              <w:tl2br w:val="nil"/>
              <w:tr2bl w:val="nil"/>
            </w:tcBorders>
            <w:shd w:val="clear" w:color="FFFFFF" w:fill="FFFFFF"/>
            <w:tcMar>
              <w:left w:w="101" w:type="dxa"/>
              <w:right w:w="101" w:type="dxa"/>
            </w:tcMar>
          </w:tcPr>
          <w:p w14:paraId="4B597EE5"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102,693</w:t>
            </w:r>
          </w:p>
        </w:tc>
        <w:tc>
          <w:tcPr>
            <w:tcW w:w="1035" w:type="dxa"/>
            <w:tcBorders>
              <w:top w:val="nil"/>
              <w:left w:val="nil"/>
              <w:bottom w:val="nil"/>
              <w:right w:val="nil"/>
              <w:tl2br w:val="nil"/>
              <w:tr2bl w:val="nil"/>
            </w:tcBorders>
            <w:shd w:val="clear" w:color="FFFFFF" w:fill="FFFFFF"/>
            <w:tcMar>
              <w:left w:w="101" w:type="dxa"/>
              <w:right w:w="101" w:type="dxa"/>
            </w:tcMar>
          </w:tcPr>
          <w:p w14:paraId="4365EDBC"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104,011</w:t>
            </w:r>
          </w:p>
        </w:tc>
      </w:tr>
      <w:tr w:rsidR="002242F3" w:rsidRPr="005E3B44" w14:paraId="6A6C219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AF80F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700</w:t>
            </w:r>
          </w:p>
        </w:tc>
        <w:tc>
          <w:tcPr>
            <w:tcW w:w="2385" w:type="dxa"/>
            <w:tcBorders>
              <w:top w:val="nil"/>
              <w:left w:val="nil"/>
              <w:bottom w:val="nil"/>
              <w:right w:val="nil"/>
              <w:tl2br w:val="nil"/>
              <w:tr2bl w:val="nil"/>
            </w:tcBorders>
            <w:shd w:val="clear" w:color="FFFFFF" w:fill="FFFFFF"/>
            <w:noWrap/>
            <w:tcMar>
              <w:left w:w="101" w:type="dxa"/>
              <w:right w:w="101" w:type="dxa"/>
            </w:tcMar>
          </w:tcPr>
          <w:p w14:paraId="43F367D6"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6BE349F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2,097</w:t>
            </w:r>
          </w:p>
        </w:tc>
        <w:tc>
          <w:tcPr>
            <w:tcW w:w="1035" w:type="dxa"/>
            <w:tcBorders>
              <w:top w:val="nil"/>
              <w:left w:val="nil"/>
              <w:bottom w:val="nil"/>
              <w:right w:val="nil"/>
              <w:tl2br w:val="nil"/>
              <w:tr2bl w:val="nil"/>
            </w:tcBorders>
            <w:shd w:val="clear" w:color="FFFFFF" w:fill="FFFFFF"/>
            <w:tcMar>
              <w:left w:w="101" w:type="dxa"/>
              <w:right w:w="101" w:type="dxa"/>
            </w:tcMar>
          </w:tcPr>
          <w:p w14:paraId="099A798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1,995</w:t>
            </w:r>
          </w:p>
        </w:tc>
        <w:tc>
          <w:tcPr>
            <w:tcW w:w="600" w:type="dxa"/>
            <w:tcBorders>
              <w:top w:val="nil"/>
              <w:left w:val="nil"/>
              <w:bottom w:val="nil"/>
              <w:right w:val="nil"/>
              <w:tl2br w:val="nil"/>
              <w:tr2bl w:val="nil"/>
            </w:tcBorders>
            <w:shd w:val="clear" w:color="FFFFFF" w:fill="FFFFFF"/>
            <w:tcMar>
              <w:left w:w="101" w:type="dxa"/>
              <w:right w:w="101" w:type="dxa"/>
            </w:tcMar>
          </w:tcPr>
          <w:p w14:paraId="06350B6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C027230"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1,389</w:t>
            </w:r>
          </w:p>
        </w:tc>
        <w:tc>
          <w:tcPr>
            <w:tcW w:w="1035" w:type="dxa"/>
            <w:tcBorders>
              <w:top w:val="nil"/>
              <w:left w:val="nil"/>
              <w:bottom w:val="nil"/>
              <w:right w:val="nil"/>
              <w:tl2br w:val="nil"/>
              <w:tr2bl w:val="nil"/>
            </w:tcBorders>
            <w:shd w:val="clear" w:color="FFFFFF" w:fill="FFFFFF"/>
            <w:tcMar>
              <w:left w:w="101" w:type="dxa"/>
              <w:right w:w="101" w:type="dxa"/>
            </w:tcMar>
          </w:tcPr>
          <w:p w14:paraId="44E36F2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1,289</w:t>
            </w:r>
          </w:p>
        </w:tc>
        <w:tc>
          <w:tcPr>
            <w:tcW w:w="1035" w:type="dxa"/>
            <w:tcBorders>
              <w:top w:val="nil"/>
              <w:left w:val="nil"/>
              <w:bottom w:val="nil"/>
              <w:right w:val="nil"/>
              <w:tl2br w:val="nil"/>
              <w:tr2bl w:val="nil"/>
            </w:tcBorders>
            <w:shd w:val="clear" w:color="FFFFFF" w:fill="FFFFFF"/>
            <w:tcMar>
              <w:left w:w="101" w:type="dxa"/>
              <w:right w:w="101" w:type="dxa"/>
            </w:tcMar>
          </w:tcPr>
          <w:p w14:paraId="642B4111"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1,189</w:t>
            </w:r>
          </w:p>
        </w:tc>
      </w:tr>
      <w:tr w:rsidR="002242F3" w:rsidRPr="005E3B44" w14:paraId="35200F9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514D5C"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1,495</w:t>
            </w:r>
          </w:p>
        </w:tc>
        <w:tc>
          <w:tcPr>
            <w:tcW w:w="2385" w:type="dxa"/>
            <w:tcBorders>
              <w:top w:val="nil"/>
              <w:left w:val="nil"/>
              <w:bottom w:val="nil"/>
              <w:right w:val="nil"/>
              <w:tl2br w:val="nil"/>
              <w:tr2bl w:val="nil"/>
            </w:tcBorders>
            <w:shd w:val="clear" w:color="FFFFFF" w:fill="FFFFFF"/>
            <w:noWrap/>
            <w:tcMar>
              <w:left w:w="101" w:type="dxa"/>
              <w:right w:w="101" w:type="dxa"/>
            </w:tcMar>
          </w:tcPr>
          <w:p w14:paraId="3711A268"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Contract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3A903D6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1,647</w:t>
            </w:r>
          </w:p>
        </w:tc>
        <w:tc>
          <w:tcPr>
            <w:tcW w:w="1035" w:type="dxa"/>
            <w:tcBorders>
              <w:top w:val="nil"/>
              <w:left w:val="nil"/>
              <w:bottom w:val="nil"/>
              <w:right w:val="nil"/>
              <w:tl2br w:val="nil"/>
              <w:tr2bl w:val="nil"/>
            </w:tcBorders>
            <w:shd w:val="clear" w:color="FFFFFF" w:fill="FFFFFF"/>
            <w:tcMar>
              <w:left w:w="101" w:type="dxa"/>
              <w:right w:w="101" w:type="dxa"/>
            </w:tcMar>
          </w:tcPr>
          <w:p w14:paraId="4A909F83"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1,648</w:t>
            </w:r>
          </w:p>
        </w:tc>
        <w:tc>
          <w:tcPr>
            <w:tcW w:w="600" w:type="dxa"/>
            <w:tcBorders>
              <w:top w:val="nil"/>
              <w:left w:val="nil"/>
              <w:bottom w:val="nil"/>
              <w:right w:val="nil"/>
              <w:tl2br w:val="nil"/>
              <w:tr2bl w:val="nil"/>
            </w:tcBorders>
            <w:shd w:val="clear" w:color="FFFFFF" w:fill="FFFFFF"/>
            <w:tcMar>
              <w:left w:w="101" w:type="dxa"/>
              <w:right w:w="101" w:type="dxa"/>
            </w:tcMar>
          </w:tcPr>
          <w:p w14:paraId="2944518A"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CF8D2A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1,648</w:t>
            </w:r>
          </w:p>
        </w:tc>
        <w:tc>
          <w:tcPr>
            <w:tcW w:w="1035" w:type="dxa"/>
            <w:tcBorders>
              <w:top w:val="nil"/>
              <w:left w:val="nil"/>
              <w:bottom w:val="nil"/>
              <w:right w:val="nil"/>
              <w:tl2br w:val="nil"/>
              <w:tr2bl w:val="nil"/>
            </w:tcBorders>
            <w:shd w:val="clear" w:color="FFFFFF" w:fill="FFFFFF"/>
            <w:tcMar>
              <w:left w:w="101" w:type="dxa"/>
              <w:right w:w="101" w:type="dxa"/>
            </w:tcMar>
          </w:tcPr>
          <w:p w14:paraId="30B6415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1,648</w:t>
            </w:r>
          </w:p>
        </w:tc>
        <w:tc>
          <w:tcPr>
            <w:tcW w:w="1035" w:type="dxa"/>
            <w:tcBorders>
              <w:top w:val="nil"/>
              <w:left w:val="nil"/>
              <w:bottom w:val="nil"/>
              <w:right w:val="nil"/>
              <w:tl2br w:val="nil"/>
              <w:tr2bl w:val="nil"/>
            </w:tcBorders>
            <w:shd w:val="clear" w:color="FFFFFF" w:fill="FFFFFF"/>
            <w:tcMar>
              <w:left w:w="101" w:type="dxa"/>
              <w:right w:w="101" w:type="dxa"/>
            </w:tcMar>
          </w:tcPr>
          <w:p w14:paraId="5AF64774"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1,648</w:t>
            </w:r>
          </w:p>
        </w:tc>
      </w:tr>
      <w:tr w:rsidR="002242F3" w:rsidRPr="005E3B44" w14:paraId="2AAC9FE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032DFC"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07E86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6A7DD2"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69BE0D"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ACCD9F" w14:textId="77777777" w:rsidR="002242F3" w:rsidRPr="005E3B44" w:rsidRDefault="002242F3" w:rsidP="005E3B44">
            <w:pPr>
              <w:pStyle w:val="Normal8"/>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58F885"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42E328"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112B08"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65E0BF0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B7F72E1"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108,157</w:t>
            </w:r>
          </w:p>
        </w:tc>
        <w:tc>
          <w:tcPr>
            <w:tcW w:w="2385" w:type="dxa"/>
            <w:tcBorders>
              <w:top w:val="nil"/>
              <w:left w:val="nil"/>
              <w:bottom w:val="nil"/>
              <w:right w:val="nil"/>
              <w:tl2br w:val="nil"/>
              <w:tr2bl w:val="nil"/>
            </w:tcBorders>
            <w:shd w:val="clear" w:color="FFFFFF" w:fill="FFFFFF"/>
            <w:tcMar>
              <w:left w:w="101" w:type="dxa"/>
              <w:right w:w="101" w:type="dxa"/>
            </w:tcMar>
          </w:tcPr>
          <w:p w14:paraId="2366F549"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FDCB94D"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119,229</w:t>
            </w:r>
          </w:p>
        </w:tc>
        <w:tc>
          <w:tcPr>
            <w:tcW w:w="1035" w:type="dxa"/>
            <w:tcBorders>
              <w:top w:val="nil"/>
              <w:left w:val="nil"/>
              <w:bottom w:val="nil"/>
              <w:right w:val="nil"/>
              <w:tl2br w:val="nil"/>
              <w:tr2bl w:val="nil"/>
            </w:tcBorders>
            <w:shd w:val="clear" w:color="FFFFFF" w:fill="FFFFFF"/>
            <w:noWrap/>
            <w:tcMar>
              <w:left w:w="101" w:type="dxa"/>
              <w:right w:w="101" w:type="dxa"/>
            </w:tcMar>
          </w:tcPr>
          <w:p w14:paraId="11BD9944"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118,245</w:t>
            </w:r>
          </w:p>
        </w:tc>
        <w:tc>
          <w:tcPr>
            <w:tcW w:w="600" w:type="dxa"/>
            <w:tcBorders>
              <w:top w:val="nil"/>
              <w:left w:val="nil"/>
              <w:bottom w:val="nil"/>
              <w:right w:val="nil"/>
              <w:tl2br w:val="nil"/>
              <w:tr2bl w:val="nil"/>
            </w:tcBorders>
            <w:shd w:val="clear" w:color="FFFFFF" w:fill="FFFFFF"/>
            <w:tcMar>
              <w:left w:w="101" w:type="dxa"/>
              <w:right w:w="101" w:type="dxa"/>
            </w:tcMar>
          </w:tcPr>
          <w:p w14:paraId="31AD7476"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66599387"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118,490</w:t>
            </w:r>
          </w:p>
        </w:tc>
        <w:tc>
          <w:tcPr>
            <w:tcW w:w="1035" w:type="dxa"/>
            <w:tcBorders>
              <w:top w:val="nil"/>
              <w:left w:val="nil"/>
              <w:bottom w:val="nil"/>
              <w:right w:val="nil"/>
              <w:tl2br w:val="nil"/>
              <w:tr2bl w:val="nil"/>
            </w:tcBorders>
            <w:shd w:val="clear" w:color="FFFFFF" w:fill="FFFFFF"/>
            <w:noWrap/>
            <w:tcMar>
              <w:left w:w="101" w:type="dxa"/>
              <w:right w:w="101" w:type="dxa"/>
            </w:tcMar>
          </w:tcPr>
          <w:p w14:paraId="157D98E2"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121,350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0E5ECCBA"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124,267</w:t>
            </w:r>
          </w:p>
        </w:tc>
      </w:tr>
      <w:tr w:rsidR="002242F3" w:rsidRPr="005E3B44" w14:paraId="28933DD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0C757B"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03F402"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B4C22C"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89FCD5"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EB5521E" w14:textId="77777777" w:rsidR="002242F3" w:rsidRPr="005E3B44" w:rsidRDefault="002242F3" w:rsidP="005E3B44">
            <w:pPr>
              <w:pStyle w:val="Normal8"/>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1C217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3CA08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E75421"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587E7D1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3B868BA"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4967891" w14:textId="77777777" w:rsidR="002242F3" w:rsidRPr="005E3B44" w:rsidRDefault="002242F3" w:rsidP="005E3B44">
            <w:pPr>
              <w:pStyle w:val="Normal8"/>
              <w:rPr>
                <w:rFonts w:asciiTheme="minorHAnsi" w:eastAsia="Calibri" w:hAnsiTheme="minorHAnsi" w:cstheme="minorHAnsi"/>
                <w:b/>
                <w:color w:val="000000"/>
                <w:sz w:val="18"/>
              </w:rPr>
            </w:pP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5B9C3A13"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6CDE38"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95D2B9" w14:textId="77777777" w:rsidR="002242F3" w:rsidRPr="005E3B44" w:rsidRDefault="002242F3" w:rsidP="005E3B44">
            <w:pPr>
              <w:pStyle w:val="Normal8"/>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C1EEE1"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F60841"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A76946"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68772A5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91D35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152,115</w:t>
            </w:r>
          </w:p>
        </w:tc>
        <w:tc>
          <w:tcPr>
            <w:tcW w:w="2385" w:type="dxa"/>
            <w:tcBorders>
              <w:top w:val="nil"/>
              <w:left w:val="nil"/>
              <w:bottom w:val="nil"/>
              <w:right w:val="nil"/>
              <w:tl2br w:val="nil"/>
              <w:tr2bl w:val="nil"/>
            </w:tcBorders>
            <w:shd w:val="clear" w:color="FFFFFF" w:fill="FFFFFF"/>
            <w:noWrap/>
            <w:tcMar>
              <w:left w:w="101" w:type="dxa"/>
              <w:right w:w="101" w:type="dxa"/>
            </w:tcMar>
          </w:tcPr>
          <w:p w14:paraId="00649CDA"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EE2032E" w14:textId="5B613721"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151,91</w:t>
            </w:r>
            <w:r w:rsidR="00D2496D">
              <w:rPr>
                <w:rFonts w:asciiTheme="minorHAnsi" w:eastAsia="Calibri" w:hAnsiTheme="minorHAnsi" w:cstheme="minorHAns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2FA0C717" w14:textId="45B30322"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151,1</w:t>
            </w:r>
            <w:r w:rsidR="00D2496D">
              <w:rPr>
                <w:rFonts w:asciiTheme="minorHAnsi" w:eastAsia="Calibri" w:hAnsiTheme="minorHAnsi" w:cstheme="minorHAnsi"/>
                <w:color w:val="000000"/>
                <w:sz w:val="18"/>
              </w:rPr>
              <w:t>69</w:t>
            </w:r>
          </w:p>
        </w:tc>
        <w:tc>
          <w:tcPr>
            <w:tcW w:w="600" w:type="dxa"/>
            <w:tcBorders>
              <w:top w:val="nil"/>
              <w:left w:val="nil"/>
              <w:bottom w:val="nil"/>
              <w:right w:val="nil"/>
              <w:tl2br w:val="nil"/>
              <w:tr2bl w:val="nil"/>
            </w:tcBorders>
            <w:shd w:val="clear" w:color="FFFFFF" w:fill="FFFFFF"/>
            <w:tcMar>
              <w:left w:w="101" w:type="dxa"/>
              <w:right w:w="101" w:type="dxa"/>
            </w:tcMar>
          </w:tcPr>
          <w:p w14:paraId="46029B3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D0A63DA" w14:textId="10E085F4"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152,43</w:t>
            </w:r>
            <w:r w:rsidR="00D2496D">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42A5833A" w14:textId="3D3B1D1D"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154,1</w:t>
            </w:r>
            <w:r w:rsidR="00D2496D">
              <w:rPr>
                <w:rFonts w:asciiTheme="minorHAnsi" w:eastAsia="Calibri" w:hAnsiTheme="minorHAnsi" w:cstheme="minorHAnsi"/>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62A82A99" w14:textId="76049AC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155,84</w:t>
            </w:r>
            <w:r w:rsidR="00D2496D">
              <w:rPr>
                <w:rFonts w:asciiTheme="minorHAnsi" w:eastAsia="Calibri" w:hAnsiTheme="minorHAnsi" w:cstheme="minorHAnsi"/>
                <w:color w:val="000000"/>
                <w:sz w:val="18"/>
              </w:rPr>
              <w:t>6</w:t>
            </w:r>
          </w:p>
        </w:tc>
      </w:tr>
      <w:tr w:rsidR="002242F3" w:rsidRPr="005E3B44" w14:paraId="17125FE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9F2D2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3,590</w:t>
            </w:r>
          </w:p>
        </w:tc>
        <w:tc>
          <w:tcPr>
            <w:tcW w:w="2385" w:type="dxa"/>
            <w:tcBorders>
              <w:top w:val="nil"/>
              <w:left w:val="nil"/>
              <w:bottom w:val="nil"/>
              <w:right w:val="nil"/>
              <w:tl2br w:val="nil"/>
              <w:tr2bl w:val="nil"/>
            </w:tcBorders>
            <w:shd w:val="clear" w:color="FFFFFF" w:fill="FFFFFF"/>
            <w:noWrap/>
            <w:tcMar>
              <w:left w:w="101" w:type="dxa"/>
              <w:right w:w="101" w:type="dxa"/>
            </w:tcMar>
          </w:tcPr>
          <w:p w14:paraId="7B9344AB"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5BBE53B9"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4,696</w:t>
            </w:r>
          </w:p>
        </w:tc>
        <w:tc>
          <w:tcPr>
            <w:tcW w:w="1035" w:type="dxa"/>
            <w:tcBorders>
              <w:top w:val="nil"/>
              <w:left w:val="nil"/>
              <w:bottom w:val="nil"/>
              <w:right w:val="nil"/>
              <w:tl2br w:val="nil"/>
              <w:tr2bl w:val="nil"/>
            </w:tcBorders>
            <w:shd w:val="clear" w:color="FFFFFF" w:fill="FFFFFF"/>
            <w:tcMar>
              <w:left w:w="101" w:type="dxa"/>
              <w:right w:w="101" w:type="dxa"/>
            </w:tcMar>
          </w:tcPr>
          <w:p w14:paraId="2F9EC6EF"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4,478</w:t>
            </w:r>
          </w:p>
        </w:tc>
        <w:tc>
          <w:tcPr>
            <w:tcW w:w="600" w:type="dxa"/>
            <w:tcBorders>
              <w:top w:val="nil"/>
              <w:left w:val="nil"/>
              <w:bottom w:val="nil"/>
              <w:right w:val="nil"/>
              <w:tl2br w:val="nil"/>
              <w:tr2bl w:val="nil"/>
            </w:tcBorders>
            <w:shd w:val="clear" w:color="FFFFFF" w:fill="FFFFFF"/>
            <w:tcMar>
              <w:left w:w="101" w:type="dxa"/>
              <w:right w:w="101" w:type="dxa"/>
            </w:tcMar>
          </w:tcPr>
          <w:p w14:paraId="794299C9"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0B12A17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4,260</w:t>
            </w:r>
          </w:p>
        </w:tc>
        <w:tc>
          <w:tcPr>
            <w:tcW w:w="1035" w:type="dxa"/>
            <w:tcBorders>
              <w:top w:val="nil"/>
              <w:left w:val="nil"/>
              <w:bottom w:val="nil"/>
              <w:right w:val="nil"/>
              <w:tl2br w:val="nil"/>
              <w:tr2bl w:val="nil"/>
            </w:tcBorders>
            <w:shd w:val="clear" w:color="FFFFFF" w:fill="FFFFFF"/>
            <w:tcMar>
              <w:left w:w="101" w:type="dxa"/>
              <w:right w:w="101" w:type="dxa"/>
            </w:tcMar>
          </w:tcPr>
          <w:p w14:paraId="64CA20C9"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4,042</w:t>
            </w:r>
          </w:p>
        </w:tc>
        <w:tc>
          <w:tcPr>
            <w:tcW w:w="1035" w:type="dxa"/>
            <w:tcBorders>
              <w:top w:val="nil"/>
              <w:left w:val="nil"/>
              <w:bottom w:val="nil"/>
              <w:right w:val="nil"/>
              <w:tl2br w:val="nil"/>
              <w:tr2bl w:val="nil"/>
            </w:tcBorders>
            <w:shd w:val="clear" w:color="FFFFFF" w:fill="FFFFFF"/>
            <w:tcMar>
              <w:left w:w="101" w:type="dxa"/>
              <w:right w:w="101" w:type="dxa"/>
            </w:tcMar>
          </w:tcPr>
          <w:p w14:paraId="395899D5"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3,824</w:t>
            </w:r>
          </w:p>
        </w:tc>
      </w:tr>
      <w:tr w:rsidR="002242F3" w:rsidRPr="005E3B44" w14:paraId="05E6F68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F65E30"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2,614</w:t>
            </w:r>
          </w:p>
        </w:tc>
        <w:tc>
          <w:tcPr>
            <w:tcW w:w="2385" w:type="dxa"/>
            <w:tcBorders>
              <w:top w:val="nil"/>
              <w:left w:val="nil"/>
              <w:bottom w:val="nil"/>
              <w:right w:val="nil"/>
              <w:tl2br w:val="nil"/>
              <w:tr2bl w:val="nil"/>
            </w:tcBorders>
            <w:shd w:val="clear" w:color="FFFFFF" w:fill="FFFFFF"/>
            <w:noWrap/>
            <w:tcMar>
              <w:left w:w="101" w:type="dxa"/>
              <w:right w:w="101" w:type="dxa"/>
            </w:tcMar>
          </w:tcPr>
          <w:p w14:paraId="24882A89"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16D48E1B"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11,944</w:t>
            </w:r>
          </w:p>
        </w:tc>
        <w:tc>
          <w:tcPr>
            <w:tcW w:w="1035" w:type="dxa"/>
            <w:tcBorders>
              <w:top w:val="nil"/>
              <w:left w:val="nil"/>
              <w:bottom w:val="nil"/>
              <w:right w:val="nil"/>
              <w:tl2br w:val="nil"/>
              <w:tr2bl w:val="nil"/>
            </w:tcBorders>
            <w:shd w:val="clear" w:color="FFFFFF" w:fill="FFFFFF"/>
            <w:tcMar>
              <w:left w:w="101" w:type="dxa"/>
              <w:right w:w="101" w:type="dxa"/>
            </w:tcMar>
          </w:tcPr>
          <w:p w14:paraId="735C6E75"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9,945</w:t>
            </w:r>
          </w:p>
        </w:tc>
        <w:tc>
          <w:tcPr>
            <w:tcW w:w="600" w:type="dxa"/>
            <w:tcBorders>
              <w:top w:val="nil"/>
              <w:left w:val="nil"/>
              <w:bottom w:val="nil"/>
              <w:right w:val="nil"/>
              <w:tl2br w:val="nil"/>
              <w:tr2bl w:val="nil"/>
            </w:tcBorders>
            <w:shd w:val="clear" w:color="FFFFFF" w:fill="FFFFFF"/>
            <w:tcMar>
              <w:left w:w="101" w:type="dxa"/>
              <w:right w:w="101" w:type="dxa"/>
            </w:tcMar>
          </w:tcPr>
          <w:p w14:paraId="3C0677BD"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5F2C639A"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8,149</w:t>
            </w:r>
          </w:p>
        </w:tc>
        <w:tc>
          <w:tcPr>
            <w:tcW w:w="1035" w:type="dxa"/>
            <w:tcBorders>
              <w:top w:val="nil"/>
              <w:left w:val="nil"/>
              <w:bottom w:val="nil"/>
              <w:right w:val="nil"/>
              <w:tl2br w:val="nil"/>
              <w:tr2bl w:val="nil"/>
            </w:tcBorders>
            <w:shd w:val="clear" w:color="FFFFFF" w:fill="FFFFFF"/>
            <w:tcMar>
              <w:left w:w="101" w:type="dxa"/>
              <w:right w:w="101" w:type="dxa"/>
            </w:tcMar>
          </w:tcPr>
          <w:p w14:paraId="44F5F1E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7,073</w:t>
            </w:r>
          </w:p>
        </w:tc>
        <w:tc>
          <w:tcPr>
            <w:tcW w:w="1035" w:type="dxa"/>
            <w:tcBorders>
              <w:top w:val="nil"/>
              <w:left w:val="nil"/>
              <w:bottom w:val="nil"/>
              <w:right w:val="nil"/>
              <w:tl2br w:val="nil"/>
              <w:tr2bl w:val="nil"/>
            </w:tcBorders>
            <w:shd w:val="clear" w:color="FFFFFF" w:fill="FFFFFF"/>
            <w:tcMar>
              <w:left w:w="101" w:type="dxa"/>
              <w:right w:w="101" w:type="dxa"/>
            </w:tcMar>
          </w:tcPr>
          <w:p w14:paraId="2A4DCE10"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5,997</w:t>
            </w:r>
          </w:p>
        </w:tc>
      </w:tr>
      <w:tr w:rsidR="002242F3" w:rsidRPr="005E3B44" w14:paraId="7DEB95E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8D8F04"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9B42F5F"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8A1BB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560AE7"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ED2E7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1B5574"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AA2A05"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1AC45A"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40A613A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1E367C8"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158,319</w:t>
            </w:r>
          </w:p>
        </w:tc>
        <w:tc>
          <w:tcPr>
            <w:tcW w:w="2385" w:type="dxa"/>
            <w:tcBorders>
              <w:top w:val="nil"/>
              <w:left w:val="nil"/>
              <w:bottom w:val="nil"/>
              <w:right w:val="nil"/>
              <w:tl2br w:val="nil"/>
              <w:tr2bl w:val="nil"/>
            </w:tcBorders>
            <w:shd w:val="clear" w:color="FFFFFF" w:fill="FFFFFF"/>
            <w:tcMar>
              <w:left w:w="101" w:type="dxa"/>
              <w:right w:w="101" w:type="dxa"/>
            </w:tcMar>
          </w:tcPr>
          <w:p w14:paraId="1C1156F9"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04256D6" w14:textId="21FC8CF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168,55</w:t>
            </w:r>
            <w:r w:rsidR="00D2496D">
              <w:rPr>
                <w:rFonts w:asciiTheme="minorHAnsi" w:eastAsia="Calibri" w:hAnsiTheme="minorHAnsi" w:cstheme="minorHAnsi"/>
                <w:b/>
                <w:color w:val="000000"/>
                <w:sz w:val="18"/>
              </w:rPr>
              <w:t>6</w:t>
            </w:r>
          </w:p>
        </w:tc>
        <w:tc>
          <w:tcPr>
            <w:tcW w:w="1035" w:type="dxa"/>
            <w:tcBorders>
              <w:top w:val="nil"/>
              <w:left w:val="nil"/>
              <w:bottom w:val="nil"/>
              <w:right w:val="nil"/>
              <w:tl2br w:val="nil"/>
              <w:tr2bl w:val="nil"/>
            </w:tcBorders>
            <w:shd w:val="clear" w:color="FFFFFF" w:fill="FFFFFF"/>
            <w:noWrap/>
            <w:tcMar>
              <w:left w:w="101" w:type="dxa"/>
              <w:right w:w="101" w:type="dxa"/>
            </w:tcMar>
          </w:tcPr>
          <w:p w14:paraId="6C0A3B69" w14:textId="3C4077D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165,59</w:t>
            </w:r>
            <w:r w:rsidR="00D2496D">
              <w:rPr>
                <w:rFonts w:asciiTheme="minorHAnsi" w:eastAsia="Calibri" w:hAnsiTheme="minorHAnsi" w:cstheme="minorHAnsi"/>
                <w:b/>
                <w:color w:val="000000"/>
                <w:sz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5F962C05"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F23A5D8" w14:textId="0A65C79E"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164,84</w:t>
            </w:r>
            <w:r w:rsidR="00D2496D">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359E03C5" w14:textId="5A2011F5"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165,25</w:t>
            </w:r>
            <w:r w:rsidR="00D2496D">
              <w:rPr>
                <w:rFonts w:asciiTheme="minorHAnsi" w:eastAsia="Calibri" w:hAnsiTheme="minorHAnsi" w:cstheme="minorHAns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0A036E2B" w14:textId="3DE9B520"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165,66</w:t>
            </w:r>
            <w:r w:rsidR="009A4F0B">
              <w:rPr>
                <w:rFonts w:asciiTheme="minorHAnsi" w:eastAsia="Calibri" w:hAnsiTheme="minorHAnsi" w:cstheme="minorHAnsi"/>
                <w:b/>
                <w:color w:val="000000"/>
                <w:sz w:val="18"/>
              </w:rPr>
              <w:t>7</w:t>
            </w:r>
          </w:p>
        </w:tc>
      </w:tr>
      <w:tr w:rsidR="002242F3" w:rsidRPr="005E3B44" w14:paraId="00B60F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4DCC8F"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AD5554"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AF4704"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443393"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7B8769"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06AE78"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601E03"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6C52ED"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586FFEA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36C9ECB"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266,476</w:t>
            </w:r>
          </w:p>
        </w:tc>
        <w:tc>
          <w:tcPr>
            <w:tcW w:w="2385" w:type="dxa"/>
            <w:tcBorders>
              <w:top w:val="nil"/>
              <w:left w:val="nil"/>
              <w:bottom w:val="nil"/>
              <w:right w:val="nil"/>
              <w:tl2br w:val="nil"/>
              <w:tr2bl w:val="nil"/>
            </w:tcBorders>
            <w:shd w:val="clear" w:color="FFFFFF" w:fill="FFFFFF"/>
            <w:tcMar>
              <w:left w:w="101" w:type="dxa"/>
              <w:right w:w="101" w:type="dxa"/>
            </w:tcMar>
          </w:tcPr>
          <w:p w14:paraId="5914C49C"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CC78B70" w14:textId="78EAB0C3"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287,78</w:t>
            </w:r>
            <w:r w:rsidR="00D2496D">
              <w:rPr>
                <w:rFonts w:asciiTheme="minorHAnsi" w:eastAsia="Calibri" w:hAnsiTheme="minorHAnsi" w:cstheme="minorHAnsi"/>
                <w:b/>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5E3CF757" w14:textId="5BA864E9"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283,83</w:t>
            </w:r>
            <w:r w:rsidR="00D2496D">
              <w:rPr>
                <w:rFonts w:asciiTheme="minorHAnsi" w:eastAsia="Calibri" w:hAnsiTheme="minorHAnsi" w:cstheme="minorHAnsi"/>
                <w:b/>
                <w:color w:val="000000"/>
                <w:sz w:val="18"/>
              </w:rPr>
              <w:t>7</w:t>
            </w:r>
          </w:p>
        </w:tc>
        <w:tc>
          <w:tcPr>
            <w:tcW w:w="600" w:type="dxa"/>
            <w:tcBorders>
              <w:top w:val="nil"/>
              <w:left w:val="nil"/>
              <w:bottom w:val="nil"/>
              <w:right w:val="nil"/>
              <w:tl2br w:val="nil"/>
              <w:tr2bl w:val="nil"/>
            </w:tcBorders>
            <w:shd w:val="clear" w:color="FFFFFF" w:fill="FFFFFF"/>
            <w:tcMar>
              <w:left w:w="101" w:type="dxa"/>
              <w:right w:w="101" w:type="dxa"/>
            </w:tcMar>
          </w:tcPr>
          <w:p w14:paraId="63E9B286"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1772AA6E" w14:textId="22D8B4CD"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283,33</w:t>
            </w:r>
            <w:r w:rsidR="00D2496D">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2500F915" w14:textId="7876800C"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286,60</w:t>
            </w:r>
            <w:r w:rsidR="00D2496D">
              <w:rPr>
                <w:rFonts w:asciiTheme="minorHAnsi" w:eastAsia="Calibri" w:hAnsiTheme="minorHAnsi" w:cstheme="minorHAns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31605A2B" w14:textId="42CC41E4"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289,93</w:t>
            </w:r>
            <w:r w:rsidR="009A4F0B">
              <w:rPr>
                <w:rFonts w:asciiTheme="minorHAnsi" w:eastAsia="Calibri" w:hAnsiTheme="minorHAnsi" w:cstheme="minorHAnsi"/>
                <w:b/>
                <w:color w:val="000000"/>
                <w:sz w:val="18"/>
              </w:rPr>
              <w:t>4</w:t>
            </w:r>
          </w:p>
        </w:tc>
      </w:tr>
      <w:tr w:rsidR="002242F3" w:rsidRPr="005E3B44" w14:paraId="5B99EEF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896778"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1534AC6"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686226"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8A2BF0"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DC471C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4CAB3E"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5230DA"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291866"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7547039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B71B248"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326,610</w:t>
            </w:r>
          </w:p>
        </w:tc>
        <w:tc>
          <w:tcPr>
            <w:tcW w:w="2385" w:type="dxa"/>
            <w:tcBorders>
              <w:top w:val="nil"/>
              <w:left w:val="nil"/>
              <w:bottom w:val="nil"/>
              <w:right w:val="nil"/>
              <w:tl2br w:val="nil"/>
              <w:tr2bl w:val="nil"/>
            </w:tcBorders>
            <w:shd w:val="clear" w:color="FFFFFF" w:fill="FFFFFF"/>
            <w:tcMar>
              <w:left w:w="101" w:type="dxa"/>
              <w:right w:w="101" w:type="dxa"/>
            </w:tcMar>
          </w:tcPr>
          <w:p w14:paraId="13D1363F"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5C1ACA4E" w14:textId="3F3AFD55"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325,08</w:t>
            </w:r>
            <w:r w:rsidR="00D2496D">
              <w:rPr>
                <w:rFonts w:asciiTheme="minorHAnsi" w:eastAsia="Calibri" w:hAnsiTheme="minorHAnsi" w:cstheme="minorHAns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0ACFEDC1" w14:textId="7A428032"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326,32</w:t>
            </w:r>
            <w:r w:rsidR="00D2496D">
              <w:rPr>
                <w:rFonts w:asciiTheme="minorHAnsi" w:eastAsia="Calibri" w:hAnsiTheme="minorHAnsi" w:cstheme="minorHAnsi"/>
                <w:b/>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65E0A94D"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6CBE4E8" w14:textId="076EFE2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318,4</w:t>
            </w:r>
            <w:r w:rsidR="00D2496D">
              <w:rPr>
                <w:rFonts w:asciiTheme="minorHAnsi" w:eastAsia="Calibri" w:hAnsiTheme="minorHAnsi" w:cstheme="minorHAnsi"/>
                <w:b/>
                <w:color w:val="000000"/>
                <w:sz w:val="18"/>
              </w:rPr>
              <w:t>61</w:t>
            </w:r>
          </w:p>
        </w:tc>
        <w:tc>
          <w:tcPr>
            <w:tcW w:w="1035" w:type="dxa"/>
            <w:tcBorders>
              <w:top w:val="nil"/>
              <w:left w:val="nil"/>
              <w:bottom w:val="nil"/>
              <w:right w:val="nil"/>
              <w:tl2br w:val="nil"/>
              <w:tr2bl w:val="nil"/>
            </w:tcBorders>
            <w:shd w:val="clear" w:color="FFFFFF" w:fill="FFFFFF"/>
            <w:noWrap/>
            <w:tcMar>
              <w:left w:w="101" w:type="dxa"/>
              <w:right w:w="101" w:type="dxa"/>
            </w:tcMar>
          </w:tcPr>
          <w:p w14:paraId="071994BE" w14:textId="37275396"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295,8</w:t>
            </w:r>
            <w:r w:rsidR="00D2496D">
              <w:rPr>
                <w:rFonts w:asciiTheme="minorHAnsi" w:eastAsia="Calibri" w:hAnsiTheme="minorHAnsi" w:cstheme="minorHAnsi"/>
                <w:b/>
                <w:color w:val="000000"/>
                <w:sz w:val="18"/>
              </w:rPr>
              <w:t>70</w:t>
            </w:r>
          </w:p>
        </w:tc>
        <w:tc>
          <w:tcPr>
            <w:tcW w:w="1035" w:type="dxa"/>
            <w:tcBorders>
              <w:top w:val="nil"/>
              <w:left w:val="nil"/>
              <w:bottom w:val="nil"/>
              <w:right w:val="nil"/>
              <w:tl2br w:val="nil"/>
              <w:tr2bl w:val="nil"/>
            </w:tcBorders>
            <w:shd w:val="clear" w:color="FFFFFF" w:fill="FFFFFF"/>
            <w:noWrap/>
            <w:tcMar>
              <w:left w:w="101" w:type="dxa"/>
              <w:right w:w="101" w:type="dxa"/>
            </w:tcMar>
          </w:tcPr>
          <w:p w14:paraId="7B6BE542" w14:textId="345141BB"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248,07</w:t>
            </w:r>
            <w:r w:rsidR="009A4F0B">
              <w:rPr>
                <w:rFonts w:asciiTheme="minorHAnsi" w:eastAsia="Calibri" w:hAnsiTheme="minorHAnsi" w:cstheme="minorHAnsi"/>
                <w:b/>
                <w:color w:val="000000"/>
                <w:sz w:val="18"/>
              </w:rPr>
              <w:t>5</w:t>
            </w:r>
          </w:p>
        </w:tc>
      </w:tr>
      <w:tr w:rsidR="002242F3" w:rsidRPr="005E3B44" w14:paraId="3EFBD5B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4060D5C6" w14:textId="77777777" w:rsidR="002242F3" w:rsidRPr="005E3B44" w:rsidRDefault="002242F3" w:rsidP="005E3B44">
            <w:pPr>
              <w:pStyle w:val="Normal8"/>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5DF5EFC2"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REPRESENTED BY FUNDS EMPLOYED</w:t>
            </w:r>
          </w:p>
        </w:tc>
      </w:tr>
      <w:tr w:rsidR="002242F3" w:rsidRPr="005E3B44" w14:paraId="0895A96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42D16D"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693DC8"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73ECD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50A228"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69B405"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2BF557"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6FD610"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73D3EB" w14:textId="77777777" w:rsidR="002242F3" w:rsidRPr="005E3B44" w:rsidRDefault="002242F3" w:rsidP="005E3B44">
            <w:pPr>
              <w:pStyle w:val="Normal8"/>
              <w:rPr>
                <w:rFonts w:asciiTheme="minorHAnsi" w:eastAsia="Calibri" w:hAnsiTheme="minorHAnsi" w:cstheme="minorHAnsi"/>
                <w:color w:val="000000"/>
                <w:sz w:val="18"/>
              </w:rPr>
            </w:pPr>
          </w:p>
        </w:tc>
      </w:tr>
      <w:tr w:rsidR="002242F3" w:rsidRPr="005E3B44" w14:paraId="30F367D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8FA65B"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261,414</w:t>
            </w:r>
          </w:p>
        </w:tc>
        <w:tc>
          <w:tcPr>
            <w:tcW w:w="2385" w:type="dxa"/>
            <w:tcBorders>
              <w:top w:val="nil"/>
              <w:left w:val="nil"/>
              <w:bottom w:val="nil"/>
              <w:right w:val="nil"/>
              <w:tl2br w:val="nil"/>
              <w:tr2bl w:val="nil"/>
            </w:tcBorders>
            <w:shd w:val="clear" w:color="FFFFFF" w:fill="FFFFFF"/>
            <w:noWrap/>
            <w:tcMar>
              <w:left w:w="101" w:type="dxa"/>
              <w:right w:w="101" w:type="dxa"/>
            </w:tcMar>
          </w:tcPr>
          <w:p w14:paraId="51EDF322"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309545C8"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232,892</w:t>
            </w:r>
          </w:p>
        </w:tc>
        <w:tc>
          <w:tcPr>
            <w:tcW w:w="1035" w:type="dxa"/>
            <w:tcBorders>
              <w:top w:val="nil"/>
              <w:left w:val="nil"/>
              <w:bottom w:val="nil"/>
              <w:right w:val="nil"/>
              <w:tl2br w:val="nil"/>
              <w:tr2bl w:val="nil"/>
            </w:tcBorders>
            <w:shd w:val="clear" w:color="FFFFFF" w:fill="FFFFFF"/>
            <w:tcMar>
              <w:left w:w="101" w:type="dxa"/>
              <w:right w:w="101" w:type="dxa"/>
            </w:tcMar>
          </w:tcPr>
          <w:p w14:paraId="69A2C8B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234,734</w:t>
            </w:r>
          </w:p>
        </w:tc>
        <w:tc>
          <w:tcPr>
            <w:tcW w:w="600" w:type="dxa"/>
            <w:tcBorders>
              <w:top w:val="nil"/>
              <w:left w:val="nil"/>
              <w:bottom w:val="nil"/>
              <w:right w:val="nil"/>
              <w:tl2br w:val="nil"/>
              <w:tr2bl w:val="nil"/>
            </w:tcBorders>
            <w:shd w:val="clear" w:color="FFFFFF" w:fill="FFFFFF"/>
            <w:tcMar>
              <w:left w:w="101" w:type="dxa"/>
              <w:right w:w="101" w:type="dxa"/>
            </w:tcMar>
          </w:tcPr>
          <w:p w14:paraId="24FC1EFB"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773D439E"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234,869</w:t>
            </w:r>
          </w:p>
        </w:tc>
        <w:tc>
          <w:tcPr>
            <w:tcW w:w="1035" w:type="dxa"/>
            <w:tcBorders>
              <w:top w:val="nil"/>
              <w:left w:val="nil"/>
              <w:bottom w:val="nil"/>
              <w:right w:val="nil"/>
              <w:tl2br w:val="nil"/>
              <w:tr2bl w:val="nil"/>
            </w:tcBorders>
            <w:shd w:val="clear" w:color="FFFFFF" w:fill="FFFFFF"/>
            <w:tcMar>
              <w:left w:w="101" w:type="dxa"/>
              <w:right w:w="101" w:type="dxa"/>
            </w:tcMar>
          </w:tcPr>
          <w:p w14:paraId="04580CB2"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225,828</w:t>
            </w:r>
          </w:p>
        </w:tc>
        <w:tc>
          <w:tcPr>
            <w:tcW w:w="1035" w:type="dxa"/>
            <w:tcBorders>
              <w:top w:val="nil"/>
              <w:left w:val="nil"/>
              <w:bottom w:val="nil"/>
              <w:right w:val="nil"/>
              <w:tl2br w:val="nil"/>
              <w:tr2bl w:val="nil"/>
            </w:tcBorders>
            <w:shd w:val="clear" w:color="FFFFFF" w:fill="FFFFFF"/>
            <w:tcMar>
              <w:left w:w="101" w:type="dxa"/>
              <w:right w:w="101" w:type="dxa"/>
            </w:tcMar>
          </w:tcPr>
          <w:p w14:paraId="40EBCBBA"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191,583</w:t>
            </w:r>
          </w:p>
        </w:tc>
      </w:tr>
      <w:tr w:rsidR="002242F3" w:rsidRPr="005E3B44" w14:paraId="7D94ACF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E3E267"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65,196</w:t>
            </w:r>
          </w:p>
        </w:tc>
        <w:tc>
          <w:tcPr>
            <w:tcW w:w="2385" w:type="dxa"/>
            <w:tcBorders>
              <w:top w:val="nil"/>
              <w:left w:val="nil"/>
              <w:bottom w:val="nil"/>
              <w:right w:val="nil"/>
              <w:tl2br w:val="nil"/>
              <w:tr2bl w:val="nil"/>
            </w:tcBorders>
            <w:shd w:val="clear" w:color="FFFFFF" w:fill="FFFFFF"/>
            <w:noWrap/>
            <w:tcMar>
              <w:left w:w="101" w:type="dxa"/>
              <w:right w:w="101" w:type="dxa"/>
            </w:tcMar>
          </w:tcPr>
          <w:p w14:paraId="3571327B" w14:textId="77777777" w:rsidR="002242F3" w:rsidRPr="005E3B44" w:rsidRDefault="002242F3" w:rsidP="005E3B44">
            <w:pPr>
              <w:pStyle w:val="Normal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52AA60D7"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92,192</w:t>
            </w:r>
          </w:p>
        </w:tc>
        <w:tc>
          <w:tcPr>
            <w:tcW w:w="1035" w:type="dxa"/>
            <w:tcBorders>
              <w:top w:val="nil"/>
              <w:left w:val="nil"/>
              <w:bottom w:val="nil"/>
              <w:right w:val="nil"/>
              <w:tl2br w:val="nil"/>
              <w:tr2bl w:val="nil"/>
            </w:tcBorders>
            <w:shd w:val="clear" w:color="FFFFFF" w:fill="FFFFFF"/>
            <w:tcMar>
              <w:left w:w="101" w:type="dxa"/>
              <w:right w:w="101" w:type="dxa"/>
            </w:tcMar>
          </w:tcPr>
          <w:p w14:paraId="6D51EEDF"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91,592</w:t>
            </w:r>
          </w:p>
        </w:tc>
        <w:tc>
          <w:tcPr>
            <w:tcW w:w="600" w:type="dxa"/>
            <w:tcBorders>
              <w:top w:val="nil"/>
              <w:left w:val="nil"/>
              <w:bottom w:val="nil"/>
              <w:right w:val="nil"/>
              <w:tl2br w:val="nil"/>
              <w:tr2bl w:val="nil"/>
            </w:tcBorders>
            <w:shd w:val="clear" w:color="FFFFFF" w:fill="FFFFFF"/>
            <w:tcMar>
              <w:left w:w="101" w:type="dxa"/>
              <w:right w:w="101" w:type="dxa"/>
            </w:tcMar>
          </w:tcPr>
          <w:p w14:paraId="7B45C7E3"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F123871"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83,592</w:t>
            </w:r>
          </w:p>
        </w:tc>
        <w:tc>
          <w:tcPr>
            <w:tcW w:w="1035" w:type="dxa"/>
            <w:tcBorders>
              <w:top w:val="nil"/>
              <w:left w:val="nil"/>
              <w:bottom w:val="nil"/>
              <w:right w:val="nil"/>
              <w:tl2br w:val="nil"/>
              <w:tr2bl w:val="nil"/>
            </w:tcBorders>
            <w:shd w:val="clear" w:color="FFFFFF" w:fill="FFFFFF"/>
            <w:tcMar>
              <w:left w:w="101" w:type="dxa"/>
              <w:right w:w="101" w:type="dxa"/>
            </w:tcMar>
          </w:tcPr>
          <w:p w14:paraId="390C0CF6"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70,042</w:t>
            </w:r>
          </w:p>
        </w:tc>
        <w:tc>
          <w:tcPr>
            <w:tcW w:w="1035" w:type="dxa"/>
            <w:tcBorders>
              <w:top w:val="nil"/>
              <w:left w:val="nil"/>
              <w:bottom w:val="nil"/>
              <w:right w:val="nil"/>
              <w:tl2br w:val="nil"/>
              <w:tr2bl w:val="nil"/>
            </w:tcBorders>
            <w:shd w:val="clear" w:color="FFFFFF" w:fill="FFFFFF"/>
            <w:tcMar>
              <w:left w:w="101" w:type="dxa"/>
              <w:right w:w="101" w:type="dxa"/>
            </w:tcMar>
          </w:tcPr>
          <w:p w14:paraId="1E59FEE7" w14:textId="77777777" w:rsidR="002242F3" w:rsidRPr="005E3B44" w:rsidRDefault="002242F3" w:rsidP="005E3B44">
            <w:pPr>
              <w:pStyle w:val="Normal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56,492</w:t>
            </w:r>
          </w:p>
        </w:tc>
      </w:tr>
      <w:tr w:rsidR="002242F3" w:rsidRPr="005E3B44" w14:paraId="310C9BC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BCAA1E" w14:textId="77777777" w:rsidR="002242F3" w:rsidRPr="005E3B44" w:rsidRDefault="002242F3" w:rsidP="005E3B44">
            <w:pPr>
              <w:pStyle w:val="Normal8"/>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FD71CD6"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7A12B7"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2CA935" w14:textId="77777777" w:rsidR="002242F3" w:rsidRPr="005E3B44" w:rsidRDefault="002242F3" w:rsidP="005E3B44">
            <w:pPr>
              <w:pStyle w:val="Normal8"/>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642EF8"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6ABC54"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C7D35B" w14:textId="77777777" w:rsidR="002242F3" w:rsidRPr="005E3B44" w:rsidRDefault="002242F3" w:rsidP="005E3B44">
            <w:pPr>
              <w:pStyle w:val="Normal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043908" w14:textId="77777777" w:rsidR="002242F3" w:rsidRPr="005E3B44" w:rsidRDefault="002242F3" w:rsidP="005E3B44">
            <w:pPr>
              <w:pStyle w:val="Normal8"/>
              <w:rPr>
                <w:rFonts w:asciiTheme="minorHAnsi" w:eastAsia="Calibri" w:hAnsiTheme="minorHAnsi" w:cstheme="minorHAnsi"/>
                <w:b/>
                <w:color w:val="000000"/>
                <w:sz w:val="18"/>
              </w:rPr>
            </w:pPr>
          </w:p>
        </w:tc>
      </w:tr>
      <w:tr w:rsidR="002242F3" w:rsidRPr="005E3B44" w14:paraId="3619158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BC02FA0"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326,610</w:t>
            </w:r>
          </w:p>
        </w:tc>
        <w:tc>
          <w:tcPr>
            <w:tcW w:w="2385" w:type="dxa"/>
            <w:tcBorders>
              <w:top w:val="nil"/>
              <w:left w:val="nil"/>
              <w:bottom w:val="nil"/>
              <w:right w:val="nil"/>
              <w:tl2br w:val="nil"/>
              <w:tr2bl w:val="nil"/>
            </w:tcBorders>
            <w:shd w:val="clear" w:color="FFFFFF" w:fill="FFFFFF"/>
            <w:tcMar>
              <w:left w:w="101" w:type="dxa"/>
              <w:right w:w="101" w:type="dxa"/>
            </w:tcMar>
          </w:tcPr>
          <w:p w14:paraId="26EFF846"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5F146587"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325,084</w:t>
            </w:r>
          </w:p>
        </w:tc>
        <w:tc>
          <w:tcPr>
            <w:tcW w:w="1035" w:type="dxa"/>
            <w:tcBorders>
              <w:top w:val="nil"/>
              <w:left w:val="nil"/>
              <w:bottom w:val="nil"/>
              <w:right w:val="nil"/>
              <w:tl2br w:val="nil"/>
              <w:tr2bl w:val="nil"/>
            </w:tcBorders>
            <w:shd w:val="clear" w:color="FFFFFF" w:fill="FFFFFF"/>
            <w:noWrap/>
            <w:tcMar>
              <w:left w:w="101" w:type="dxa"/>
              <w:right w:w="101" w:type="dxa"/>
            </w:tcMar>
          </w:tcPr>
          <w:p w14:paraId="2C87CC8D"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326,326</w:t>
            </w:r>
          </w:p>
        </w:tc>
        <w:tc>
          <w:tcPr>
            <w:tcW w:w="600" w:type="dxa"/>
            <w:tcBorders>
              <w:top w:val="nil"/>
              <w:left w:val="nil"/>
              <w:bottom w:val="nil"/>
              <w:right w:val="nil"/>
              <w:tl2br w:val="nil"/>
              <w:tr2bl w:val="nil"/>
            </w:tcBorders>
            <w:shd w:val="clear" w:color="FFFFFF" w:fill="FFFFFF"/>
            <w:tcMar>
              <w:left w:w="101" w:type="dxa"/>
              <w:right w:w="101" w:type="dxa"/>
            </w:tcMar>
          </w:tcPr>
          <w:p w14:paraId="70BF1543" w14:textId="77777777" w:rsidR="002242F3" w:rsidRPr="005E3B44" w:rsidRDefault="002242F3" w:rsidP="005E3B44">
            <w:pPr>
              <w:pStyle w:val="Normal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D9F9596"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318,461</w:t>
            </w:r>
          </w:p>
        </w:tc>
        <w:tc>
          <w:tcPr>
            <w:tcW w:w="1035" w:type="dxa"/>
            <w:tcBorders>
              <w:top w:val="nil"/>
              <w:left w:val="nil"/>
              <w:bottom w:val="nil"/>
              <w:right w:val="nil"/>
              <w:tl2br w:val="nil"/>
              <w:tr2bl w:val="nil"/>
            </w:tcBorders>
            <w:shd w:val="clear" w:color="FFFFFF" w:fill="FFFFFF"/>
            <w:noWrap/>
            <w:tcMar>
              <w:left w:w="101" w:type="dxa"/>
              <w:right w:w="101" w:type="dxa"/>
            </w:tcMar>
          </w:tcPr>
          <w:p w14:paraId="1E3A8B36"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295,870</w:t>
            </w:r>
          </w:p>
        </w:tc>
        <w:tc>
          <w:tcPr>
            <w:tcW w:w="1035" w:type="dxa"/>
            <w:tcBorders>
              <w:top w:val="nil"/>
              <w:left w:val="nil"/>
              <w:bottom w:val="nil"/>
              <w:right w:val="nil"/>
              <w:tl2br w:val="nil"/>
              <w:tr2bl w:val="nil"/>
            </w:tcBorders>
            <w:shd w:val="clear" w:color="FFFFFF" w:fill="FFFFFF"/>
            <w:noWrap/>
            <w:tcMar>
              <w:left w:w="101" w:type="dxa"/>
              <w:right w:w="101" w:type="dxa"/>
            </w:tcMar>
          </w:tcPr>
          <w:p w14:paraId="46FB69DD" w14:textId="77777777" w:rsidR="002242F3" w:rsidRPr="005E3B44" w:rsidRDefault="002242F3" w:rsidP="005E3B44">
            <w:pPr>
              <w:pStyle w:val="Normal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248,075</w:t>
            </w:r>
          </w:p>
        </w:tc>
      </w:tr>
      <w:tr w:rsidR="002242F3" w:rsidRPr="005E3B44" w14:paraId="17A1317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B5CD35B" w14:textId="77777777" w:rsidR="002242F3" w:rsidRPr="005E3B44" w:rsidRDefault="002242F3" w:rsidP="005E3B44">
            <w:pPr>
              <w:pStyle w:val="Normal8"/>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325440B"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B028BF"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C17FD8D" w14:textId="77777777" w:rsidR="002242F3" w:rsidRPr="005E3B44" w:rsidRDefault="002242F3" w:rsidP="005E3B44">
            <w:pPr>
              <w:pStyle w:val="Normal8"/>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F670614"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E6110D8"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CD017AC" w14:textId="77777777" w:rsidR="002242F3" w:rsidRPr="005E3B44" w:rsidRDefault="002242F3" w:rsidP="005E3B44">
            <w:pPr>
              <w:pStyle w:val="Normal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628D5DB" w14:textId="77777777" w:rsidR="002242F3" w:rsidRPr="005E3B44" w:rsidRDefault="002242F3" w:rsidP="005E3B44">
            <w:pPr>
              <w:pStyle w:val="Normal8"/>
              <w:rPr>
                <w:rFonts w:asciiTheme="minorHAnsi" w:eastAsia="Calibri" w:hAnsiTheme="minorHAnsi" w:cstheme="minorHAnsi"/>
                <w:color w:val="000000"/>
                <w:sz w:val="18"/>
              </w:rPr>
            </w:pPr>
          </w:p>
        </w:tc>
      </w:tr>
    </w:tbl>
    <w:p w14:paraId="1DF456DD" w14:textId="37461552" w:rsidR="002242F3" w:rsidRPr="005E3B44" w:rsidRDefault="002242F3" w:rsidP="002242F3">
      <w:pPr>
        <w:pStyle w:val="Caption"/>
        <w:pageBreakBefore/>
        <w:pBdr>
          <w:top w:val="nil"/>
          <w:left w:val="nil"/>
          <w:bottom w:val="nil"/>
          <w:right w:val="nil"/>
          <w:between w:val="nil"/>
          <w:bar w:val="nil"/>
        </w:pBdr>
        <w:outlineLvl w:val="0"/>
        <w:rPr>
          <w:rFonts w:asciiTheme="minorHAnsi" w:hAnsiTheme="minorHAnsi" w:cstheme="minorHAnsi"/>
          <w:bdr w:val="nil"/>
        </w:rPr>
      </w:pPr>
      <w:r w:rsidRPr="005E3B44">
        <w:rPr>
          <w:rFonts w:asciiTheme="minorHAnsi" w:hAnsiTheme="minorHAnsi" w:cstheme="minorHAnsi"/>
          <w:bdr w:val="nil"/>
        </w:rPr>
        <w:lastRenderedPageBreak/>
        <w:t>Table 3</w:t>
      </w:r>
      <w:r w:rsidR="00805234">
        <w:rPr>
          <w:rFonts w:asciiTheme="minorHAnsi" w:hAnsiTheme="minorHAnsi" w:cstheme="minorHAnsi"/>
          <w:bdr w:val="nil"/>
        </w:rPr>
        <w:t>1</w:t>
      </w:r>
      <w:r w:rsidRPr="005E3B44">
        <w:rPr>
          <w:rFonts w:asciiTheme="minorHAnsi" w:hAnsiTheme="minorHAnsi" w:cstheme="minorHAnsi"/>
          <w:bdr w:val="nil"/>
        </w:rPr>
        <w:t xml:space="preserve">: Justice and Community Safety Directorate: Statement of Changes in Equity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1FAA5591" w14:textId="77777777" w:rsidTr="005E3B44">
        <w:trPr>
          <w:trHeight w:val="120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B51694"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5B3011BE"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5E25880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30/6/21 </w:t>
            </w:r>
          </w:p>
          <w:p w14:paraId="60E064DC"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B8A307A" w14:textId="77777777" w:rsidR="002242F3" w:rsidRPr="005E3B44" w:rsidRDefault="002242F3" w:rsidP="005E3B44">
            <w:pPr>
              <w:pStyle w:val="Normal9"/>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F728905"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at 30/6/21</w:t>
            </w:r>
          </w:p>
          <w:p w14:paraId="07FF5059"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BA1D6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4706E5AA"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6EA57E2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30/6/22 </w:t>
            </w:r>
          </w:p>
          <w:p w14:paraId="5DE57E60"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82E0B68"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2978692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B66C4E1"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009B98B3"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6C3DBDE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30/6/23 </w:t>
            </w:r>
          </w:p>
          <w:p w14:paraId="17AB2D93"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D001993"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27E1E695"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2057B53A"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30/6/24 </w:t>
            </w:r>
          </w:p>
          <w:p w14:paraId="5FD0366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C4006F"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67517531"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3B09D4F5"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30/6/25 </w:t>
            </w:r>
          </w:p>
          <w:p w14:paraId="033B9406"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5B33EBC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A155AC"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C608898" w14:textId="77777777" w:rsidR="002242F3" w:rsidRPr="005E3B44" w:rsidRDefault="002242F3" w:rsidP="005E3B44">
            <w:pPr>
              <w:pStyle w:val="Normal9"/>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E64F248"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1AF7D70"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46BFDE5"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DF7E341"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9D5FCC4"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14EE855" w14:textId="77777777" w:rsidR="002242F3" w:rsidRPr="005E3B44" w:rsidRDefault="002242F3" w:rsidP="005E3B44">
            <w:pPr>
              <w:pStyle w:val="Normal9"/>
              <w:jc w:val="right"/>
              <w:rPr>
                <w:rFonts w:asciiTheme="minorHAnsi" w:eastAsia="Calibri" w:hAnsiTheme="minorHAnsi" w:cstheme="minorHAnsi"/>
                <w:b/>
                <w:i/>
                <w:color w:val="000000"/>
                <w:sz w:val="18"/>
              </w:rPr>
            </w:pPr>
          </w:p>
        </w:tc>
      </w:tr>
      <w:tr w:rsidR="002242F3" w:rsidRPr="005E3B44" w14:paraId="3977524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1E83403"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74203C51"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3B6D88E"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9E6D11"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0CB08D5"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81E9D2F"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80EAB1"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B8613E" w14:textId="77777777" w:rsidR="002242F3" w:rsidRPr="005E3B44" w:rsidRDefault="002242F3" w:rsidP="005E3B44">
            <w:pPr>
              <w:pStyle w:val="Normal9"/>
              <w:jc w:val="right"/>
              <w:rPr>
                <w:rFonts w:asciiTheme="minorHAnsi" w:eastAsia="Calibri" w:hAnsiTheme="minorHAnsi" w:cstheme="minorHAnsi"/>
                <w:b/>
                <w:i/>
                <w:color w:val="000000"/>
                <w:sz w:val="18"/>
              </w:rPr>
            </w:pPr>
          </w:p>
        </w:tc>
      </w:tr>
      <w:tr w:rsidR="002242F3" w:rsidRPr="005E3B44" w14:paraId="30626ED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19D387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261,745</w:t>
            </w:r>
          </w:p>
        </w:tc>
        <w:tc>
          <w:tcPr>
            <w:tcW w:w="2385" w:type="dxa"/>
            <w:tcBorders>
              <w:top w:val="nil"/>
              <w:left w:val="nil"/>
              <w:bottom w:val="nil"/>
              <w:right w:val="nil"/>
              <w:tl2br w:val="nil"/>
              <w:tr2bl w:val="nil"/>
            </w:tcBorders>
            <w:shd w:val="clear" w:color="auto" w:fill="auto"/>
            <w:noWrap/>
            <w:tcMar>
              <w:left w:w="101" w:type="dxa"/>
              <w:right w:w="101" w:type="dxa"/>
            </w:tcMar>
          </w:tcPr>
          <w:p w14:paraId="778B83DE"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3E4ED1A9"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261,747</w:t>
            </w:r>
          </w:p>
        </w:tc>
        <w:tc>
          <w:tcPr>
            <w:tcW w:w="1035" w:type="dxa"/>
            <w:tcBorders>
              <w:top w:val="nil"/>
              <w:left w:val="nil"/>
              <w:bottom w:val="nil"/>
              <w:right w:val="nil"/>
              <w:tl2br w:val="nil"/>
              <w:tr2bl w:val="nil"/>
            </w:tcBorders>
            <w:shd w:val="clear" w:color="FFFFFF" w:fill="FFFFFF"/>
            <w:noWrap/>
            <w:tcMar>
              <w:left w:w="101" w:type="dxa"/>
              <w:right w:w="101" w:type="dxa"/>
            </w:tcMar>
          </w:tcPr>
          <w:p w14:paraId="70CE1D87"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232,892</w:t>
            </w:r>
          </w:p>
        </w:tc>
        <w:tc>
          <w:tcPr>
            <w:tcW w:w="600" w:type="dxa"/>
            <w:tcBorders>
              <w:top w:val="nil"/>
              <w:left w:val="nil"/>
              <w:bottom w:val="nil"/>
              <w:right w:val="nil"/>
              <w:tl2br w:val="nil"/>
              <w:tr2bl w:val="nil"/>
            </w:tcBorders>
            <w:shd w:val="clear" w:color="FFFFFF" w:fill="FFFFFF"/>
            <w:noWrap/>
            <w:tcMar>
              <w:left w:w="101" w:type="dxa"/>
              <w:right w:w="101" w:type="dxa"/>
            </w:tcMar>
          </w:tcPr>
          <w:p w14:paraId="2E4FBBC8"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-11 </w:t>
            </w:r>
          </w:p>
        </w:tc>
        <w:tc>
          <w:tcPr>
            <w:tcW w:w="1035" w:type="dxa"/>
            <w:tcBorders>
              <w:top w:val="nil"/>
              <w:left w:val="nil"/>
              <w:bottom w:val="nil"/>
              <w:right w:val="nil"/>
              <w:tl2br w:val="nil"/>
              <w:tr2bl w:val="nil"/>
            </w:tcBorders>
            <w:shd w:val="clear" w:color="FFFFFF" w:fill="FFFFFF"/>
            <w:noWrap/>
            <w:tcMar>
              <w:left w:w="101" w:type="dxa"/>
              <w:right w:w="101" w:type="dxa"/>
            </w:tcMar>
          </w:tcPr>
          <w:p w14:paraId="43E3A553"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234,734</w:t>
            </w:r>
          </w:p>
        </w:tc>
        <w:tc>
          <w:tcPr>
            <w:tcW w:w="1035" w:type="dxa"/>
            <w:tcBorders>
              <w:top w:val="nil"/>
              <w:left w:val="nil"/>
              <w:bottom w:val="nil"/>
              <w:right w:val="nil"/>
              <w:tl2br w:val="nil"/>
              <w:tr2bl w:val="nil"/>
            </w:tcBorders>
            <w:shd w:val="clear" w:color="FFFFFF" w:fill="FFFFFF"/>
            <w:noWrap/>
            <w:tcMar>
              <w:left w:w="101" w:type="dxa"/>
              <w:right w:w="101" w:type="dxa"/>
            </w:tcMar>
          </w:tcPr>
          <w:p w14:paraId="0F4A2770"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234,869</w:t>
            </w:r>
          </w:p>
        </w:tc>
        <w:tc>
          <w:tcPr>
            <w:tcW w:w="1035" w:type="dxa"/>
            <w:tcBorders>
              <w:top w:val="nil"/>
              <w:left w:val="nil"/>
              <w:bottom w:val="nil"/>
              <w:right w:val="nil"/>
              <w:tl2br w:val="nil"/>
              <w:tr2bl w:val="nil"/>
            </w:tcBorders>
            <w:shd w:val="clear" w:color="FFFFFF" w:fill="FFFFFF"/>
            <w:noWrap/>
            <w:tcMar>
              <w:left w:w="101" w:type="dxa"/>
              <w:right w:w="101" w:type="dxa"/>
            </w:tcMar>
          </w:tcPr>
          <w:p w14:paraId="2AD7B5B3"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225,828</w:t>
            </w:r>
          </w:p>
        </w:tc>
      </w:tr>
      <w:tr w:rsidR="002242F3" w:rsidRPr="005E3B44" w14:paraId="1E9D2C4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B430DA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65,196</w:t>
            </w:r>
          </w:p>
        </w:tc>
        <w:tc>
          <w:tcPr>
            <w:tcW w:w="2385" w:type="dxa"/>
            <w:tcBorders>
              <w:top w:val="nil"/>
              <w:left w:val="nil"/>
              <w:bottom w:val="nil"/>
              <w:right w:val="nil"/>
              <w:tl2br w:val="nil"/>
              <w:tr2bl w:val="nil"/>
            </w:tcBorders>
            <w:shd w:val="clear" w:color="auto" w:fill="auto"/>
            <w:tcMar>
              <w:left w:w="101" w:type="dxa"/>
              <w:right w:w="101" w:type="dxa"/>
            </w:tcMar>
          </w:tcPr>
          <w:p w14:paraId="666F16C1"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4EC8E392"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65,196</w:t>
            </w:r>
          </w:p>
        </w:tc>
        <w:tc>
          <w:tcPr>
            <w:tcW w:w="1035" w:type="dxa"/>
            <w:tcBorders>
              <w:top w:val="nil"/>
              <w:left w:val="nil"/>
              <w:bottom w:val="nil"/>
              <w:right w:val="nil"/>
              <w:tl2br w:val="nil"/>
              <w:tr2bl w:val="nil"/>
            </w:tcBorders>
            <w:shd w:val="clear" w:color="FFFFFF" w:fill="FFFFFF"/>
            <w:noWrap/>
            <w:tcMar>
              <w:left w:w="101" w:type="dxa"/>
              <w:right w:w="101" w:type="dxa"/>
            </w:tcMar>
          </w:tcPr>
          <w:p w14:paraId="0BCF42BE"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92,192</w:t>
            </w:r>
          </w:p>
        </w:tc>
        <w:tc>
          <w:tcPr>
            <w:tcW w:w="600" w:type="dxa"/>
            <w:tcBorders>
              <w:top w:val="nil"/>
              <w:left w:val="nil"/>
              <w:bottom w:val="nil"/>
              <w:right w:val="nil"/>
              <w:tl2br w:val="nil"/>
              <w:tr2bl w:val="nil"/>
            </w:tcBorders>
            <w:shd w:val="clear" w:color="FFFFFF" w:fill="FFFFFF"/>
            <w:noWrap/>
            <w:tcMar>
              <w:left w:w="101" w:type="dxa"/>
              <w:right w:w="101" w:type="dxa"/>
            </w:tcMar>
          </w:tcPr>
          <w:p w14:paraId="29401950"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41 </w:t>
            </w:r>
          </w:p>
        </w:tc>
        <w:tc>
          <w:tcPr>
            <w:tcW w:w="1035" w:type="dxa"/>
            <w:tcBorders>
              <w:top w:val="nil"/>
              <w:left w:val="nil"/>
              <w:bottom w:val="nil"/>
              <w:right w:val="nil"/>
              <w:tl2br w:val="nil"/>
              <w:tr2bl w:val="nil"/>
            </w:tcBorders>
            <w:shd w:val="clear" w:color="FFFFFF" w:fill="FFFFFF"/>
            <w:noWrap/>
            <w:tcMar>
              <w:left w:w="101" w:type="dxa"/>
              <w:right w:w="101" w:type="dxa"/>
            </w:tcMar>
          </w:tcPr>
          <w:p w14:paraId="1B17E4F0"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91,592</w:t>
            </w:r>
          </w:p>
        </w:tc>
        <w:tc>
          <w:tcPr>
            <w:tcW w:w="1035" w:type="dxa"/>
            <w:tcBorders>
              <w:top w:val="nil"/>
              <w:left w:val="nil"/>
              <w:bottom w:val="nil"/>
              <w:right w:val="nil"/>
              <w:tl2br w:val="nil"/>
              <w:tr2bl w:val="nil"/>
            </w:tcBorders>
            <w:shd w:val="clear" w:color="FFFFFF" w:fill="FFFFFF"/>
            <w:noWrap/>
            <w:tcMar>
              <w:left w:w="101" w:type="dxa"/>
              <w:right w:w="101" w:type="dxa"/>
            </w:tcMar>
          </w:tcPr>
          <w:p w14:paraId="7EB67A9D"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83,592</w:t>
            </w:r>
          </w:p>
        </w:tc>
        <w:tc>
          <w:tcPr>
            <w:tcW w:w="1035" w:type="dxa"/>
            <w:tcBorders>
              <w:top w:val="nil"/>
              <w:left w:val="nil"/>
              <w:bottom w:val="nil"/>
              <w:right w:val="nil"/>
              <w:tl2br w:val="nil"/>
              <w:tr2bl w:val="nil"/>
            </w:tcBorders>
            <w:shd w:val="clear" w:color="FFFFFF" w:fill="FFFFFF"/>
            <w:noWrap/>
            <w:tcMar>
              <w:left w:w="101" w:type="dxa"/>
              <w:right w:w="101" w:type="dxa"/>
            </w:tcMar>
          </w:tcPr>
          <w:p w14:paraId="398AD86A"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70,042</w:t>
            </w:r>
          </w:p>
        </w:tc>
      </w:tr>
      <w:tr w:rsidR="002242F3" w:rsidRPr="005E3B44" w14:paraId="2ACE78C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EB799F9" w14:textId="77777777" w:rsidR="002242F3" w:rsidRPr="005E3B44" w:rsidRDefault="002242F3" w:rsidP="005E3B44">
            <w:pPr>
              <w:pStyle w:val="Normal9"/>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349AAF90"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4DF371" w14:textId="77777777" w:rsidR="002242F3" w:rsidRPr="005E3B44" w:rsidRDefault="002242F3" w:rsidP="005E3B44">
            <w:pPr>
              <w:pStyle w:val="Normal9"/>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80FE82" w14:textId="77777777" w:rsidR="002242F3" w:rsidRPr="005E3B44" w:rsidRDefault="002242F3" w:rsidP="005E3B44">
            <w:pPr>
              <w:pStyle w:val="Normal9"/>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9B08D81"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316442" w14:textId="77777777" w:rsidR="002242F3" w:rsidRPr="005E3B44" w:rsidRDefault="002242F3" w:rsidP="005E3B44">
            <w:pPr>
              <w:pStyle w:val="Normal9"/>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DFFC03" w14:textId="77777777" w:rsidR="002242F3" w:rsidRPr="005E3B44" w:rsidRDefault="002242F3" w:rsidP="005E3B44">
            <w:pPr>
              <w:pStyle w:val="Normal9"/>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D3D63C" w14:textId="77777777" w:rsidR="002242F3" w:rsidRPr="005E3B44" w:rsidRDefault="002242F3" w:rsidP="005E3B44">
            <w:pPr>
              <w:pStyle w:val="Normal9"/>
              <w:jc w:val="right"/>
              <w:rPr>
                <w:rFonts w:asciiTheme="minorHAnsi" w:eastAsia="Calibri" w:hAnsiTheme="minorHAnsi" w:cstheme="minorHAnsi"/>
                <w:b/>
                <w:color w:val="000000"/>
                <w:sz w:val="18"/>
              </w:rPr>
            </w:pPr>
          </w:p>
        </w:tc>
      </w:tr>
      <w:tr w:rsidR="002242F3" w:rsidRPr="005E3B44" w14:paraId="0BEEED2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DFCB1AD"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326,941</w:t>
            </w:r>
          </w:p>
        </w:tc>
        <w:tc>
          <w:tcPr>
            <w:tcW w:w="2385" w:type="dxa"/>
            <w:tcBorders>
              <w:top w:val="nil"/>
              <w:left w:val="nil"/>
              <w:bottom w:val="nil"/>
              <w:right w:val="nil"/>
              <w:tl2br w:val="nil"/>
              <w:tr2bl w:val="nil"/>
            </w:tcBorders>
            <w:shd w:val="clear" w:color="auto" w:fill="auto"/>
            <w:tcMar>
              <w:left w:w="101" w:type="dxa"/>
              <w:right w:w="101" w:type="dxa"/>
            </w:tcMar>
          </w:tcPr>
          <w:p w14:paraId="723920F2"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4B1E1B9"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326,943</w:t>
            </w:r>
          </w:p>
        </w:tc>
        <w:tc>
          <w:tcPr>
            <w:tcW w:w="1035" w:type="dxa"/>
            <w:tcBorders>
              <w:top w:val="nil"/>
              <w:left w:val="nil"/>
              <w:bottom w:val="nil"/>
              <w:right w:val="nil"/>
              <w:tl2br w:val="nil"/>
              <w:tr2bl w:val="nil"/>
            </w:tcBorders>
            <w:shd w:val="clear" w:color="FFFFFF" w:fill="FFFFFF"/>
            <w:noWrap/>
            <w:tcMar>
              <w:left w:w="101" w:type="dxa"/>
              <w:right w:w="101" w:type="dxa"/>
            </w:tcMar>
          </w:tcPr>
          <w:p w14:paraId="072D28CA"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325,084</w:t>
            </w:r>
          </w:p>
        </w:tc>
        <w:tc>
          <w:tcPr>
            <w:tcW w:w="600" w:type="dxa"/>
            <w:tcBorders>
              <w:top w:val="nil"/>
              <w:left w:val="nil"/>
              <w:bottom w:val="nil"/>
              <w:right w:val="nil"/>
              <w:tl2br w:val="nil"/>
              <w:tr2bl w:val="nil"/>
            </w:tcBorders>
            <w:shd w:val="clear" w:color="FFFFFF" w:fill="FFFFFF"/>
            <w:noWrap/>
            <w:tcMar>
              <w:left w:w="101" w:type="dxa"/>
              <w:right w:w="101" w:type="dxa"/>
            </w:tcMar>
          </w:tcPr>
          <w:p w14:paraId="6A8271CC"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2954839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326,326</w:t>
            </w:r>
          </w:p>
        </w:tc>
        <w:tc>
          <w:tcPr>
            <w:tcW w:w="1035" w:type="dxa"/>
            <w:tcBorders>
              <w:top w:val="nil"/>
              <w:left w:val="nil"/>
              <w:bottom w:val="nil"/>
              <w:right w:val="nil"/>
              <w:tl2br w:val="nil"/>
              <w:tr2bl w:val="nil"/>
            </w:tcBorders>
            <w:shd w:val="clear" w:color="FFFFFF" w:fill="FFFFFF"/>
            <w:noWrap/>
            <w:tcMar>
              <w:left w:w="101" w:type="dxa"/>
              <w:right w:w="101" w:type="dxa"/>
            </w:tcMar>
          </w:tcPr>
          <w:p w14:paraId="2A490196"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318,461</w:t>
            </w:r>
          </w:p>
        </w:tc>
        <w:tc>
          <w:tcPr>
            <w:tcW w:w="1035" w:type="dxa"/>
            <w:tcBorders>
              <w:top w:val="nil"/>
              <w:left w:val="nil"/>
              <w:bottom w:val="nil"/>
              <w:right w:val="nil"/>
              <w:tl2br w:val="nil"/>
              <w:tr2bl w:val="nil"/>
            </w:tcBorders>
            <w:shd w:val="clear" w:color="FFFFFF" w:fill="FFFFFF"/>
            <w:noWrap/>
            <w:tcMar>
              <w:left w:w="101" w:type="dxa"/>
              <w:right w:w="101" w:type="dxa"/>
            </w:tcMar>
          </w:tcPr>
          <w:p w14:paraId="4DCEA724"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295,870</w:t>
            </w:r>
          </w:p>
        </w:tc>
      </w:tr>
      <w:tr w:rsidR="002242F3" w:rsidRPr="005E3B44" w14:paraId="32F14CB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80C487B"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A457EAF" w14:textId="77777777" w:rsidR="002242F3" w:rsidRPr="005E3B44" w:rsidRDefault="002242F3" w:rsidP="005E3B44">
            <w:pPr>
              <w:pStyle w:val="Normal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19DDE9"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63016B"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F3A548B"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CA16D6"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DAEE60" w14:textId="77777777" w:rsidR="002242F3" w:rsidRPr="005E3B44" w:rsidRDefault="002242F3" w:rsidP="005E3B44">
            <w:pPr>
              <w:pStyle w:val="Normal9"/>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F7C299" w14:textId="77777777" w:rsidR="002242F3" w:rsidRPr="005E3B44" w:rsidRDefault="002242F3" w:rsidP="005E3B44">
            <w:pPr>
              <w:pStyle w:val="Normal9"/>
              <w:jc w:val="right"/>
              <w:rPr>
                <w:rFonts w:asciiTheme="minorHAnsi" w:eastAsia="Calibri" w:hAnsiTheme="minorHAnsi" w:cstheme="minorHAnsi"/>
                <w:b/>
                <w:i/>
                <w:color w:val="000000"/>
                <w:sz w:val="18"/>
              </w:rPr>
            </w:pPr>
          </w:p>
        </w:tc>
      </w:tr>
      <w:tr w:rsidR="002242F3" w:rsidRPr="005E3B44" w14:paraId="600D023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E19AA60"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9AA1C29"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3E073154"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FC3497"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A7A4CDC"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0E3831D"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29DEA7"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4F94D2" w14:textId="77777777" w:rsidR="002242F3" w:rsidRPr="005E3B44" w:rsidRDefault="002242F3" w:rsidP="005E3B44">
            <w:pPr>
              <w:pStyle w:val="Normal9"/>
              <w:rPr>
                <w:rFonts w:asciiTheme="minorHAnsi" w:eastAsia="Calibri" w:hAnsiTheme="minorHAnsi" w:cstheme="minorHAnsi"/>
                <w:color w:val="000000"/>
                <w:sz w:val="18"/>
              </w:rPr>
            </w:pPr>
          </w:p>
        </w:tc>
      </w:tr>
      <w:tr w:rsidR="002242F3" w:rsidRPr="005E3B44" w14:paraId="3FE9476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E1A240F"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-31,310</w:t>
            </w:r>
          </w:p>
        </w:tc>
        <w:tc>
          <w:tcPr>
            <w:tcW w:w="2385" w:type="dxa"/>
            <w:tcBorders>
              <w:top w:val="nil"/>
              <w:left w:val="nil"/>
              <w:bottom w:val="nil"/>
              <w:right w:val="nil"/>
              <w:tl2br w:val="nil"/>
              <w:tr2bl w:val="nil"/>
            </w:tcBorders>
            <w:shd w:val="clear" w:color="auto" w:fill="auto"/>
            <w:tcMar>
              <w:left w:w="101" w:type="dxa"/>
              <w:right w:w="101" w:type="dxa"/>
            </w:tcMar>
          </w:tcPr>
          <w:p w14:paraId="7BE642DD"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4BA01C62"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-49,454</w:t>
            </w:r>
          </w:p>
        </w:tc>
        <w:tc>
          <w:tcPr>
            <w:tcW w:w="1035" w:type="dxa"/>
            <w:tcBorders>
              <w:top w:val="nil"/>
              <w:left w:val="nil"/>
              <w:bottom w:val="nil"/>
              <w:right w:val="nil"/>
              <w:tl2br w:val="nil"/>
              <w:tr2bl w:val="nil"/>
            </w:tcBorders>
            <w:shd w:val="clear" w:color="FFFFFF" w:fill="FFFFFF"/>
            <w:noWrap/>
            <w:tcMar>
              <w:left w:w="101" w:type="dxa"/>
              <w:right w:w="101" w:type="dxa"/>
            </w:tcMar>
          </w:tcPr>
          <w:p w14:paraId="586DBE6E"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-39,026</w:t>
            </w:r>
          </w:p>
        </w:tc>
        <w:tc>
          <w:tcPr>
            <w:tcW w:w="600" w:type="dxa"/>
            <w:tcBorders>
              <w:top w:val="nil"/>
              <w:left w:val="nil"/>
              <w:bottom w:val="nil"/>
              <w:right w:val="nil"/>
              <w:tl2br w:val="nil"/>
              <w:tr2bl w:val="nil"/>
            </w:tcBorders>
            <w:shd w:val="clear" w:color="FFFFFF" w:fill="FFFFFF"/>
            <w:noWrap/>
            <w:tcMar>
              <w:left w:w="101" w:type="dxa"/>
              <w:right w:w="101" w:type="dxa"/>
            </w:tcMar>
          </w:tcPr>
          <w:p w14:paraId="052F7235"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21 </w:t>
            </w:r>
          </w:p>
        </w:tc>
        <w:tc>
          <w:tcPr>
            <w:tcW w:w="1035" w:type="dxa"/>
            <w:tcBorders>
              <w:top w:val="nil"/>
              <w:left w:val="nil"/>
              <w:bottom w:val="nil"/>
              <w:right w:val="nil"/>
              <w:tl2br w:val="nil"/>
              <w:tr2bl w:val="nil"/>
            </w:tcBorders>
            <w:shd w:val="clear" w:color="FFFFFF" w:fill="FFFFFF"/>
            <w:noWrap/>
            <w:tcMar>
              <w:left w:w="101" w:type="dxa"/>
              <w:right w:w="101" w:type="dxa"/>
            </w:tcMar>
          </w:tcPr>
          <w:p w14:paraId="083D127B"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-39,833</w:t>
            </w:r>
          </w:p>
        </w:tc>
        <w:tc>
          <w:tcPr>
            <w:tcW w:w="1035" w:type="dxa"/>
            <w:tcBorders>
              <w:top w:val="nil"/>
              <w:left w:val="nil"/>
              <w:bottom w:val="nil"/>
              <w:right w:val="nil"/>
              <w:tl2br w:val="nil"/>
              <w:tr2bl w:val="nil"/>
            </w:tcBorders>
            <w:shd w:val="clear" w:color="FFFFFF" w:fill="FFFFFF"/>
            <w:noWrap/>
            <w:tcMar>
              <w:left w:w="101" w:type="dxa"/>
              <w:right w:w="101" w:type="dxa"/>
            </w:tcMar>
          </w:tcPr>
          <w:p w14:paraId="29FAA72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-43,744</w:t>
            </w:r>
          </w:p>
        </w:tc>
        <w:tc>
          <w:tcPr>
            <w:tcW w:w="1035" w:type="dxa"/>
            <w:tcBorders>
              <w:top w:val="nil"/>
              <w:left w:val="nil"/>
              <w:bottom w:val="nil"/>
              <w:right w:val="nil"/>
              <w:tl2br w:val="nil"/>
              <w:tr2bl w:val="nil"/>
            </w:tcBorders>
            <w:shd w:val="clear" w:color="FFFFFF" w:fill="FFFFFF"/>
            <w:noWrap/>
            <w:tcMar>
              <w:left w:w="101" w:type="dxa"/>
              <w:right w:w="101" w:type="dxa"/>
            </w:tcMar>
          </w:tcPr>
          <w:p w14:paraId="0FEADB3C"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-44,337</w:t>
            </w:r>
          </w:p>
        </w:tc>
      </w:tr>
      <w:tr w:rsidR="002242F3" w:rsidRPr="005E3B44" w14:paraId="05A56AE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7364A2D0"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76C6FD72"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AF5F03B"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26,996</w:t>
            </w:r>
          </w:p>
        </w:tc>
        <w:tc>
          <w:tcPr>
            <w:tcW w:w="1035" w:type="dxa"/>
            <w:tcBorders>
              <w:top w:val="nil"/>
              <w:left w:val="nil"/>
              <w:bottom w:val="nil"/>
              <w:right w:val="nil"/>
              <w:tl2br w:val="nil"/>
              <w:tr2bl w:val="nil"/>
            </w:tcBorders>
            <w:shd w:val="clear" w:color="FFFFFF" w:fill="FFFFFF"/>
            <w:noWrap/>
            <w:tcMar>
              <w:left w:w="101" w:type="dxa"/>
              <w:right w:w="101" w:type="dxa"/>
            </w:tcMar>
          </w:tcPr>
          <w:p w14:paraId="580DDDFA"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-600</w:t>
            </w:r>
          </w:p>
        </w:tc>
        <w:tc>
          <w:tcPr>
            <w:tcW w:w="600" w:type="dxa"/>
            <w:tcBorders>
              <w:top w:val="nil"/>
              <w:left w:val="nil"/>
              <w:bottom w:val="nil"/>
              <w:right w:val="nil"/>
              <w:tl2br w:val="nil"/>
              <w:tr2bl w:val="nil"/>
            </w:tcBorders>
            <w:shd w:val="clear" w:color="auto" w:fill="auto"/>
            <w:noWrap/>
            <w:tcMar>
              <w:left w:w="101" w:type="dxa"/>
              <w:right w:w="101" w:type="dxa"/>
            </w:tcMar>
          </w:tcPr>
          <w:p w14:paraId="270991CB"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-102 </w:t>
            </w:r>
          </w:p>
        </w:tc>
        <w:tc>
          <w:tcPr>
            <w:tcW w:w="1035" w:type="dxa"/>
            <w:tcBorders>
              <w:top w:val="nil"/>
              <w:left w:val="nil"/>
              <w:bottom w:val="nil"/>
              <w:right w:val="nil"/>
              <w:tl2br w:val="nil"/>
              <w:tr2bl w:val="nil"/>
            </w:tcBorders>
            <w:shd w:val="clear" w:color="FFFFFF" w:fill="FFFFFF"/>
            <w:noWrap/>
            <w:tcMar>
              <w:left w:w="101" w:type="dxa"/>
              <w:right w:w="101" w:type="dxa"/>
            </w:tcMar>
          </w:tcPr>
          <w:p w14:paraId="352AE7A6"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4A05890C"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-13,550</w:t>
            </w:r>
          </w:p>
        </w:tc>
        <w:tc>
          <w:tcPr>
            <w:tcW w:w="1035" w:type="dxa"/>
            <w:tcBorders>
              <w:top w:val="nil"/>
              <w:left w:val="nil"/>
              <w:bottom w:val="nil"/>
              <w:right w:val="nil"/>
              <w:tl2br w:val="nil"/>
              <w:tr2bl w:val="nil"/>
            </w:tcBorders>
            <w:shd w:val="clear" w:color="FFFFFF" w:fill="FFFFFF"/>
            <w:noWrap/>
            <w:tcMar>
              <w:left w:w="101" w:type="dxa"/>
              <w:right w:w="101" w:type="dxa"/>
            </w:tcMar>
          </w:tcPr>
          <w:p w14:paraId="51675E9C"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-13,550</w:t>
            </w:r>
          </w:p>
        </w:tc>
      </w:tr>
      <w:tr w:rsidR="002242F3" w:rsidRPr="005E3B44" w14:paraId="4FB192E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603E149"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-31,310</w:t>
            </w:r>
          </w:p>
        </w:tc>
        <w:tc>
          <w:tcPr>
            <w:tcW w:w="2385" w:type="dxa"/>
            <w:tcBorders>
              <w:top w:val="nil"/>
              <w:left w:val="nil"/>
              <w:bottom w:val="nil"/>
              <w:right w:val="nil"/>
              <w:tl2br w:val="nil"/>
              <w:tr2bl w:val="nil"/>
            </w:tcBorders>
            <w:shd w:val="clear" w:color="FFFFFF" w:fill="FFFFFF"/>
            <w:tcMar>
              <w:left w:w="101" w:type="dxa"/>
              <w:right w:w="101" w:type="dxa"/>
            </w:tcMar>
          </w:tcPr>
          <w:p w14:paraId="4DE68988"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20370258"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-22,458</w:t>
            </w:r>
          </w:p>
        </w:tc>
        <w:tc>
          <w:tcPr>
            <w:tcW w:w="1035" w:type="dxa"/>
            <w:tcBorders>
              <w:top w:val="nil"/>
              <w:left w:val="nil"/>
              <w:bottom w:val="nil"/>
              <w:right w:val="nil"/>
              <w:tl2br w:val="nil"/>
              <w:tr2bl w:val="nil"/>
            </w:tcBorders>
            <w:shd w:val="clear" w:color="FFFFFF" w:fill="FFFFFF"/>
            <w:noWrap/>
            <w:tcMar>
              <w:left w:w="101" w:type="dxa"/>
              <w:right w:w="101" w:type="dxa"/>
            </w:tcMar>
          </w:tcPr>
          <w:p w14:paraId="7961BEEF"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-39,626</w:t>
            </w:r>
          </w:p>
        </w:tc>
        <w:tc>
          <w:tcPr>
            <w:tcW w:w="600" w:type="dxa"/>
            <w:tcBorders>
              <w:top w:val="nil"/>
              <w:left w:val="nil"/>
              <w:bottom w:val="nil"/>
              <w:right w:val="nil"/>
              <w:tl2br w:val="nil"/>
              <w:tr2bl w:val="nil"/>
            </w:tcBorders>
            <w:shd w:val="clear" w:color="FFFFFF" w:fill="FFFFFF"/>
            <w:noWrap/>
            <w:tcMar>
              <w:left w:w="101" w:type="dxa"/>
              <w:right w:w="101" w:type="dxa"/>
            </w:tcMar>
          </w:tcPr>
          <w:p w14:paraId="35E6D647"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-76 </w:t>
            </w:r>
          </w:p>
        </w:tc>
        <w:tc>
          <w:tcPr>
            <w:tcW w:w="1035" w:type="dxa"/>
            <w:tcBorders>
              <w:top w:val="nil"/>
              <w:left w:val="nil"/>
              <w:bottom w:val="nil"/>
              <w:right w:val="nil"/>
              <w:tl2br w:val="nil"/>
              <w:tr2bl w:val="nil"/>
            </w:tcBorders>
            <w:shd w:val="clear" w:color="FFFFFF" w:fill="FFFFFF"/>
            <w:noWrap/>
            <w:tcMar>
              <w:left w:w="101" w:type="dxa"/>
              <w:right w:w="101" w:type="dxa"/>
            </w:tcMar>
          </w:tcPr>
          <w:p w14:paraId="73B73A95"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-47,833</w:t>
            </w:r>
          </w:p>
        </w:tc>
        <w:tc>
          <w:tcPr>
            <w:tcW w:w="1035" w:type="dxa"/>
            <w:tcBorders>
              <w:top w:val="nil"/>
              <w:left w:val="nil"/>
              <w:bottom w:val="nil"/>
              <w:right w:val="nil"/>
              <w:tl2br w:val="nil"/>
              <w:tr2bl w:val="nil"/>
            </w:tcBorders>
            <w:shd w:val="clear" w:color="FFFFFF" w:fill="FFFFFF"/>
            <w:noWrap/>
            <w:tcMar>
              <w:left w:w="101" w:type="dxa"/>
              <w:right w:w="101" w:type="dxa"/>
            </w:tcMar>
          </w:tcPr>
          <w:p w14:paraId="574F4955"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-57,294</w:t>
            </w:r>
          </w:p>
        </w:tc>
        <w:tc>
          <w:tcPr>
            <w:tcW w:w="1035" w:type="dxa"/>
            <w:tcBorders>
              <w:top w:val="nil"/>
              <w:left w:val="nil"/>
              <w:bottom w:val="nil"/>
              <w:right w:val="nil"/>
              <w:tl2br w:val="nil"/>
              <w:tr2bl w:val="nil"/>
            </w:tcBorders>
            <w:shd w:val="clear" w:color="FFFFFF" w:fill="FFFFFF"/>
            <w:noWrap/>
            <w:tcMar>
              <w:left w:w="101" w:type="dxa"/>
              <w:right w:w="101" w:type="dxa"/>
            </w:tcMar>
          </w:tcPr>
          <w:p w14:paraId="17BD2E9A"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-57,887</w:t>
            </w:r>
          </w:p>
        </w:tc>
      </w:tr>
      <w:tr w:rsidR="002242F3" w:rsidRPr="005E3B44" w14:paraId="2E4EEED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A5E64CA"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24D794B" w14:textId="77777777" w:rsidR="002242F3" w:rsidRPr="005E3B44" w:rsidRDefault="002242F3" w:rsidP="005E3B44">
            <w:pPr>
              <w:pStyle w:val="Normal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32F8E8"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839AC6"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2D56423"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6F741F"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C6A832"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2F6553" w14:textId="77777777" w:rsidR="002242F3" w:rsidRPr="005E3B44" w:rsidRDefault="002242F3" w:rsidP="005E3B44">
            <w:pPr>
              <w:pStyle w:val="Normal9"/>
              <w:rPr>
                <w:rFonts w:asciiTheme="minorHAnsi" w:eastAsia="Calibri" w:hAnsiTheme="minorHAnsi" w:cstheme="minorHAnsi"/>
                <w:color w:val="000000"/>
                <w:sz w:val="18"/>
              </w:rPr>
            </w:pPr>
          </w:p>
        </w:tc>
      </w:tr>
      <w:tr w:rsidR="002242F3" w:rsidRPr="005E3B44" w14:paraId="28474BC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52E08E6"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2182203"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DDD1B7"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C32070"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2C0430E" w14:textId="77777777" w:rsidR="002242F3" w:rsidRPr="005E3B44" w:rsidRDefault="002242F3" w:rsidP="005E3B44">
            <w:pPr>
              <w:pStyle w:val="Normal9"/>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D925D0"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8C591C"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4348A8" w14:textId="77777777" w:rsidR="002242F3" w:rsidRPr="005E3B44" w:rsidRDefault="002242F3" w:rsidP="005E3B44">
            <w:pPr>
              <w:pStyle w:val="Normal9"/>
              <w:rPr>
                <w:rFonts w:asciiTheme="minorHAnsi" w:eastAsia="Calibri" w:hAnsiTheme="minorHAnsi" w:cstheme="minorHAnsi"/>
                <w:color w:val="000000"/>
                <w:sz w:val="18"/>
              </w:rPr>
            </w:pPr>
          </w:p>
        </w:tc>
      </w:tr>
      <w:tr w:rsidR="002242F3" w:rsidRPr="005E3B44" w14:paraId="4B0D4C3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23380C3" w14:textId="77777777" w:rsidR="002242F3" w:rsidRPr="005E3B44" w:rsidRDefault="002242F3" w:rsidP="005E3B44">
            <w:pPr>
              <w:pStyle w:val="Normal9"/>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1CDFA6C3"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Transactions Involving Owners Affecting Accumulated Funds</w:t>
            </w:r>
          </w:p>
        </w:tc>
      </w:tr>
      <w:tr w:rsidR="002242F3" w:rsidRPr="005E3B44" w14:paraId="72EF1C0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8320830"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30,979</w:t>
            </w:r>
          </w:p>
        </w:tc>
        <w:tc>
          <w:tcPr>
            <w:tcW w:w="2385" w:type="dxa"/>
            <w:tcBorders>
              <w:top w:val="nil"/>
              <w:left w:val="nil"/>
              <w:bottom w:val="nil"/>
              <w:right w:val="nil"/>
              <w:tl2br w:val="nil"/>
              <w:tr2bl w:val="nil"/>
            </w:tcBorders>
            <w:shd w:val="clear" w:color="FFFFFF" w:fill="FFFFFF"/>
            <w:tcMar>
              <w:left w:w="101" w:type="dxa"/>
              <w:right w:w="101" w:type="dxa"/>
            </w:tcMar>
          </w:tcPr>
          <w:p w14:paraId="1270FF58"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140087A5"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19,934</w:t>
            </w:r>
          </w:p>
        </w:tc>
        <w:tc>
          <w:tcPr>
            <w:tcW w:w="1035" w:type="dxa"/>
            <w:tcBorders>
              <w:top w:val="nil"/>
              <w:left w:val="nil"/>
              <w:bottom w:val="nil"/>
              <w:right w:val="nil"/>
              <w:tl2br w:val="nil"/>
              <w:tr2bl w:val="nil"/>
            </w:tcBorders>
            <w:shd w:val="clear" w:color="FFFFFF" w:fill="FFFFFF"/>
            <w:noWrap/>
            <w:tcMar>
              <w:left w:w="101" w:type="dxa"/>
              <w:right w:w="101" w:type="dxa"/>
            </w:tcMar>
          </w:tcPr>
          <w:p w14:paraId="7360930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40,868</w:t>
            </w:r>
          </w:p>
        </w:tc>
        <w:tc>
          <w:tcPr>
            <w:tcW w:w="600" w:type="dxa"/>
            <w:tcBorders>
              <w:top w:val="nil"/>
              <w:left w:val="nil"/>
              <w:bottom w:val="nil"/>
              <w:right w:val="nil"/>
              <w:tl2br w:val="nil"/>
              <w:tr2bl w:val="nil"/>
            </w:tcBorders>
            <w:shd w:val="clear" w:color="FFFFFF" w:fill="FFFFFF"/>
            <w:noWrap/>
            <w:tcMar>
              <w:left w:w="101" w:type="dxa"/>
              <w:right w:w="101" w:type="dxa"/>
            </w:tcMar>
          </w:tcPr>
          <w:p w14:paraId="5AF4E4A2"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105 </w:t>
            </w:r>
          </w:p>
        </w:tc>
        <w:tc>
          <w:tcPr>
            <w:tcW w:w="1035" w:type="dxa"/>
            <w:tcBorders>
              <w:top w:val="nil"/>
              <w:left w:val="nil"/>
              <w:bottom w:val="nil"/>
              <w:right w:val="nil"/>
              <w:tl2br w:val="nil"/>
              <w:tr2bl w:val="nil"/>
            </w:tcBorders>
            <w:shd w:val="clear" w:color="FFFFFF" w:fill="FFFFFF"/>
            <w:noWrap/>
            <w:tcMar>
              <w:left w:w="101" w:type="dxa"/>
              <w:right w:w="101" w:type="dxa"/>
            </w:tcMar>
          </w:tcPr>
          <w:p w14:paraId="7FF3EF2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39,968</w:t>
            </w:r>
          </w:p>
        </w:tc>
        <w:tc>
          <w:tcPr>
            <w:tcW w:w="1035" w:type="dxa"/>
            <w:tcBorders>
              <w:top w:val="nil"/>
              <w:left w:val="nil"/>
              <w:bottom w:val="nil"/>
              <w:right w:val="nil"/>
              <w:tl2br w:val="nil"/>
              <w:tr2bl w:val="nil"/>
            </w:tcBorders>
            <w:shd w:val="clear" w:color="FFFFFF" w:fill="FFFFFF"/>
            <w:noWrap/>
            <w:tcMar>
              <w:left w:w="101" w:type="dxa"/>
              <w:right w:w="101" w:type="dxa"/>
            </w:tcMar>
          </w:tcPr>
          <w:p w14:paraId="4C2A458B"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34,703</w:t>
            </w:r>
          </w:p>
        </w:tc>
        <w:tc>
          <w:tcPr>
            <w:tcW w:w="1035" w:type="dxa"/>
            <w:tcBorders>
              <w:top w:val="nil"/>
              <w:left w:val="nil"/>
              <w:bottom w:val="nil"/>
              <w:right w:val="nil"/>
              <w:tl2br w:val="nil"/>
              <w:tr2bl w:val="nil"/>
            </w:tcBorders>
            <w:shd w:val="clear" w:color="FFFFFF" w:fill="FFFFFF"/>
            <w:noWrap/>
            <w:tcMar>
              <w:left w:w="101" w:type="dxa"/>
              <w:right w:w="101" w:type="dxa"/>
            </w:tcMar>
          </w:tcPr>
          <w:p w14:paraId="0CBABCF1"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10,092</w:t>
            </w:r>
          </w:p>
        </w:tc>
      </w:tr>
      <w:tr w:rsidR="002242F3" w:rsidRPr="005E3B44" w14:paraId="592FCB3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A1408E5"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4DA621DE"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Inc/Dec in Net Assets due to Admin Restructure</w:t>
            </w:r>
          </w:p>
        </w:tc>
        <w:tc>
          <w:tcPr>
            <w:tcW w:w="1035" w:type="dxa"/>
            <w:tcBorders>
              <w:top w:val="nil"/>
              <w:left w:val="nil"/>
              <w:bottom w:val="nil"/>
              <w:right w:val="nil"/>
              <w:tl2br w:val="nil"/>
              <w:tr2bl w:val="nil"/>
            </w:tcBorders>
            <w:shd w:val="clear" w:color="FFFFFF" w:fill="FFFFFF"/>
            <w:noWrap/>
            <w:tcMar>
              <w:left w:w="101" w:type="dxa"/>
              <w:right w:w="101" w:type="dxa"/>
            </w:tcMar>
          </w:tcPr>
          <w:p w14:paraId="796E11F8"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665</w:t>
            </w:r>
          </w:p>
        </w:tc>
        <w:tc>
          <w:tcPr>
            <w:tcW w:w="1035" w:type="dxa"/>
            <w:tcBorders>
              <w:top w:val="nil"/>
              <w:left w:val="nil"/>
              <w:bottom w:val="nil"/>
              <w:right w:val="nil"/>
              <w:tl2br w:val="nil"/>
              <w:tr2bl w:val="nil"/>
            </w:tcBorders>
            <w:shd w:val="clear" w:color="FFFFFF" w:fill="FFFFFF"/>
            <w:noWrap/>
            <w:tcMar>
              <w:left w:w="101" w:type="dxa"/>
              <w:right w:w="101" w:type="dxa"/>
            </w:tcMar>
          </w:tcPr>
          <w:p w14:paraId="0EB44C82"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5E7E2FB"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BFB832A"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AE39CC8"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90252D0"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7045DB2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9937B56"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EF45DE"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583541"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FFF621"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391F8AC" w14:textId="77777777" w:rsidR="002242F3" w:rsidRPr="005E3B44" w:rsidRDefault="002242F3" w:rsidP="005E3B44">
            <w:pPr>
              <w:pStyle w:val="Normal9"/>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FDD088"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35A70F"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56A006" w14:textId="77777777" w:rsidR="002242F3" w:rsidRPr="005E3B44" w:rsidRDefault="002242F3" w:rsidP="005E3B44">
            <w:pPr>
              <w:pStyle w:val="Normal9"/>
              <w:rPr>
                <w:rFonts w:asciiTheme="minorHAnsi" w:eastAsia="Calibri" w:hAnsiTheme="minorHAnsi" w:cstheme="minorHAnsi"/>
                <w:color w:val="000000"/>
                <w:sz w:val="18"/>
              </w:rPr>
            </w:pPr>
          </w:p>
        </w:tc>
      </w:tr>
      <w:tr w:rsidR="002242F3" w:rsidRPr="005E3B44" w14:paraId="6E77712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42F519E5"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30,979</w:t>
            </w:r>
          </w:p>
        </w:tc>
        <w:tc>
          <w:tcPr>
            <w:tcW w:w="2385" w:type="dxa"/>
            <w:tcBorders>
              <w:top w:val="nil"/>
              <w:left w:val="nil"/>
              <w:bottom w:val="nil"/>
              <w:right w:val="nil"/>
              <w:tl2br w:val="nil"/>
              <w:tr2bl w:val="nil"/>
            </w:tcBorders>
            <w:shd w:val="clear" w:color="auto" w:fill="auto"/>
            <w:tcMar>
              <w:left w:w="101" w:type="dxa"/>
              <w:right w:w="101" w:type="dxa"/>
            </w:tcMar>
          </w:tcPr>
          <w:p w14:paraId="4FEF3EFB"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8500664"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20,599</w:t>
            </w:r>
          </w:p>
        </w:tc>
        <w:tc>
          <w:tcPr>
            <w:tcW w:w="1035" w:type="dxa"/>
            <w:tcBorders>
              <w:top w:val="nil"/>
              <w:left w:val="nil"/>
              <w:bottom w:val="nil"/>
              <w:right w:val="nil"/>
              <w:tl2br w:val="nil"/>
              <w:tr2bl w:val="nil"/>
            </w:tcBorders>
            <w:shd w:val="clear" w:color="FFFFFF" w:fill="FFFFFF"/>
            <w:noWrap/>
            <w:tcMar>
              <w:left w:w="101" w:type="dxa"/>
              <w:right w:w="101" w:type="dxa"/>
            </w:tcMar>
          </w:tcPr>
          <w:p w14:paraId="2111F0B0"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40,868</w:t>
            </w:r>
          </w:p>
        </w:tc>
        <w:tc>
          <w:tcPr>
            <w:tcW w:w="600" w:type="dxa"/>
            <w:tcBorders>
              <w:top w:val="nil"/>
              <w:left w:val="nil"/>
              <w:bottom w:val="nil"/>
              <w:right w:val="nil"/>
              <w:tl2br w:val="nil"/>
              <w:tr2bl w:val="nil"/>
            </w:tcBorders>
            <w:shd w:val="clear" w:color="FFFFFF" w:fill="FFFFFF"/>
            <w:noWrap/>
            <w:tcMar>
              <w:left w:w="101" w:type="dxa"/>
              <w:right w:w="101" w:type="dxa"/>
            </w:tcMar>
          </w:tcPr>
          <w:p w14:paraId="484B58EB"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98 </w:t>
            </w:r>
          </w:p>
        </w:tc>
        <w:tc>
          <w:tcPr>
            <w:tcW w:w="1035" w:type="dxa"/>
            <w:tcBorders>
              <w:top w:val="nil"/>
              <w:left w:val="nil"/>
              <w:bottom w:val="nil"/>
              <w:right w:val="nil"/>
              <w:tl2br w:val="nil"/>
              <w:tr2bl w:val="nil"/>
            </w:tcBorders>
            <w:shd w:val="clear" w:color="FFFFFF" w:fill="FFFFFF"/>
            <w:noWrap/>
            <w:tcMar>
              <w:left w:w="101" w:type="dxa"/>
              <w:right w:w="101" w:type="dxa"/>
            </w:tcMar>
          </w:tcPr>
          <w:p w14:paraId="0D9F0611"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39,968</w:t>
            </w:r>
          </w:p>
        </w:tc>
        <w:tc>
          <w:tcPr>
            <w:tcW w:w="1035" w:type="dxa"/>
            <w:tcBorders>
              <w:top w:val="nil"/>
              <w:left w:val="nil"/>
              <w:bottom w:val="nil"/>
              <w:right w:val="nil"/>
              <w:tl2br w:val="nil"/>
              <w:tr2bl w:val="nil"/>
            </w:tcBorders>
            <w:shd w:val="clear" w:color="FFFFFF" w:fill="FFFFFF"/>
            <w:noWrap/>
            <w:tcMar>
              <w:left w:w="101" w:type="dxa"/>
              <w:right w:w="101" w:type="dxa"/>
            </w:tcMar>
          </w:tcPr>
          <w:p w14:paraId="28B873B9"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34,703</w:t>
            </w:r>
          </w:p>
        </w:tc>
        <w:tc>
          <w:tcPr>
            <w:tcW w:w="1035" w:type="dxa"/>
            <w:tcBorders>
              <w:top w:val="nil"/>
              <w:left w:val="nil"/>
              <w:bottom w:val="nil"/>
              <w:right w:val="nil"/>
              <w:tl2br w:val="nil"/>
              <w:tr2bl w:val="nil"/>
            </w:tcBorders>
            <w:shd w:val="clear" w:color="FFFFFF" w:fill="FFFFFF"/>
            <w:noWrap/>
            <w:tcMar>
              <w:left w:w="101" w:type="dxa"/>
              <w:right w:w="101" w:type="dxa"/>
            </w:tcMar>
          </w:tcPr>
          <w:p w14:paraId="473C46DD"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10,092</w:t>
            </w:r>
          </w:p>
        </w:tc>
      </w:tr>
      <w:tr w:rsidR="002242F3" w:rsidRPr="005E3B44" w14:paraId="7BC9094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73C3848"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C482A00"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8027FA"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8A83D3"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EF025F8" w14:textId="77777777" w:rsidR="002242F3" w:rsidRPr="005E3B44" w:rsidRDefault="002242F3" w:rsidP="005E3B44">
            <w:pPr>
              <w:pStyle w:val="Normal9"/>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ED7FA6"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46D400"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73FF5E4" w14:textId="77777777" w:rsidR="002242F3" w:rsidRPr="005E3B44" w:rsidRDefault="002242F3" w:rsidP="005E3B44">
            <w:pPr>
              <w:pStyle w:val="Normal9"/>
              <w:rPr>
                <w:rFonts w:asciiTheme="minorHAnsi" w:eastAsia="Calibri" w:hAnsiTheme="minorHAnsi" w:cstheme="minorHAnsi"/>
                <w:color w:val="000000"/>
                <w:sz w:val="18"/>
              </w:rPr>
            </w:pPr>
          </w:p>
        </w:tc>
      </w:tr>
      <w:tr w:rsidR="002242F3" w:rsidRPr="005E3B44" w14:paraId="49DB9B9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A753C95"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2EA21A0A"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BCDB96B"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4EF1CC"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59EF43A" w14:textId="77777777" w:rsidR="002242F3" w:rsidRPr="005E3B44" w:rsidRDefault="002242F3" w:rsidP="005E3B44">
            <w:pPr>
              <w:pStyle w:val="Normal9"/>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0C3C18"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6A5BA1"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4A1385" w14:textId="77777777" w:rsidR="002242F3" w:rsidRPr="005E3B44" w:rsidRDefault="002242F3" w:rsidP="005E3B44">
            <w:pPr>
              <w:pStyle w:val="Normal9"/>
              <w:rPr>
                <w:rFonts w:asciiTheme="minorHAnsi" w:eastAsia="Calibri" w:hAnsiTheme="minorHAnsi" w:cstheme="minorHAnsi"/>
                <w:color w:val="000000"/>
                <w:sz w:val="18"/>
              </w:rPr>
            </w:pPr>
          </w:p>
        </w:tc>
      </w:tr>
      <w:tr w:rsidR="002242F3" w:rsidRPr="005E3B44" w14:paraId="6C03231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8ED24F6"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261,414</w:t>
            </w:r>
          </w:p>
        </w:tc>
        <w:tc>
          <w:tcPr>
            <w:tcW w:w="2385" w:type="dxa"/>
            <w:tcBorders>
              <w:top w:val="nil"/>
              <w:left w:val="nil"/>
              <w:bottom w:val="nil"/>
              <w:right w:val="nil"/>
              <w:tl2br w:val="nil"/>
              <w:tr2bl w:val="nil"/>
            </w:tcBorders>
            <w:shd w:val="clear" w:color="auto" w:fill="auto"/>
            <w:tcMar>
              <w:left w:w="101" w:type="dxa"/>
              <w:right w:w="101" w:type="dxa"/>
            </w:tcMar>
          </w:tcPr>
          <w:p w14:paraId="0CAFA5D2"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9792276"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232,892</w:t>
            </w:r>
          </w:p>
        </w:tc>
        <w:tc>
          <w:tcPr>
            <w:tcW w:w="1035" w:type="dxa"/>
            <w:tcBorders>
              <w:top w:val="nil"/>
              <w:left w:val="nil"/>
              <w:bottom w:val="nil"/>
              <w:right w:val="nil"/>
              <w:tl2br w:val="nil"/>
              <w:tr2bl w:val="nil"/>
            </w:tcBorders>
            <w:shd w:val="clear" w:color="FFFFFF" w:fill="FFFFFF"/>
            <w:noWrap/>
            <w:tcMar>
              <w:left w:w="101" w:type="dxa"/>
              <w:right w:w="101" w:type="dxa"/>
            </w:tcMar>
          </w:tcPr>
          <w:p w14:paraId="472BD30C"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234,734</w:t>
            </w:r>
          </w:p>
        </w:tc>
        <w:tc>
          <w:tcPr>
            <w:tcW w:w="600" w:type="dxa"/>
            <w:tcBorders>
              <w:top w:val="nil"/>
              <w:left w:val="nil"/>
              <w:bottom w:val="nil"/>
              <w:right w:val="nil"/>
              <w:tl2br w:val="nil"/>
              <w:tr2bl w:val="nil"/>
            </w:tcBorders>
            <w:shd w:val="clear" w:color="FFFFFF" w:fill="FFFFFF"/>
            <w:noWrap/>
            <w:tcMar>
              <w:left w:w="101" w:type="dxa"/>
              <w:right w:w="101" w:type="dxa"/>
            </w:tcMar>
          </w:tcPr>
          <w:p w14:paraId="774C467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4437BAD7"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234,869</w:t>
            </w:r>
          </w:p>
        </w:tc>
        <w:tc>
          <w:tcPr>
            <w:tcW w:w="1035" w:type="dxa"/>
            <w:tcBorders>
              <w:top w:val="nil"/>
              <w:left w:val="nil"/>
              <w:bottom w:val="nil"/>
              <w:right w:val="nil"/>
              <w:tl2br w:val="nil"/>
              <w:tr2bl w:val="nil"/>
            </w:tcBorders>
            <w:shd w:val="clear" w:color="FFFFFF" w:fill="FFFFFF"/>
            <w:noWrap/>
            <w:tcMar>
              <w:left w:w="101" w:type="dxa"/>
              <w:right w:w="101" w:type="dxa"/>
            </w:tcMar>
          </w:tcPr>
          <w:p w14:paraId="290796C2"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225,828</w:t>
            </w:r>
          </w:p>
        </w:tc>
        <w:tc>
          <w:tcPr>
            <w:tcW w:w="1035" w:type="dxa"/>
            <w:tcBorders>
              <w:top w:val="nil"/>
              <w:left w:val="nil"/>
              <w:bottom w:val="nil"/>
              <w:right w:val="nil"/>
              <w:tl2br w:val="nil"/>
              <w:tr2bl w:val="nil"/>
            </w:tcBorders>
            <w:shd w:val="clear" w:color="FFFFFF" w:fill="FFFFFF"/>
            <w:noWrap/>
            <w:tcMar>
              <w:left w:w="101" w:type="dxa"/>
              <w:right w:w="101" w:type="dxa"/>
            </w:tcMar>
          </w:tcPr>
          <w:p w14:paraId="232F6359"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191,583</w:t>
            </w:r>
          </w:p>
        </w:tc>
      </w:tr>
      <w:tr w:rsidR="002242F3" w:rsidRPr="005E3B44" w14:paraId="1671739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F675BA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65,196</w:t>
            </w:r>
          </w:p>
        </w:tc>
        <w:tc>
          <w:tcPr>
            <w:tcW w:w="2385" w:type="dxa"/>
            <w:tcBorders>
              <w:top w:val="nil"/>
              <w:left w:val="nil"/>
              <w:bottom w:val="nil"/>
              <w:right w:val="nil"/>
              <w:tl2br w:val="nil"/>
              <w:tr2bl w:val="nil"/>
            </w:tcBorders>
            <w:shd w:val="clear" w:color="auto" w:fill="auto"/>
            <w:tcMar>
              <w:left w:w="101" w:type="dxa"/>
              <w:right w:w="101" w:type="dxa"/>
            </w:tcMar>
          </w:tcPr>
          <w:p w14:paraId="4B337453" w14:textId="77777777" w:rsidR="002242F3" w:rsidRPr="005E3B44" w:rsidRDefault="002242F3" w:rsidP="005E3B44">
            <w:pPr>
              <w:pStyle w:val="Normal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10027483"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92,192</w:t>
            </w:r>
          </w:p>
        </w:tc>
        <w:tc>
          <w:tcPr>
            <w:tcW w:w="1035" w:type="dxa"/>
            <w:tcBorders>
              <w:top w:val="nil"/>
              <w:left w:val="nil"/>
              <w:bottom w:val="nil"/>
              <w:right w:val="nil"/>
              <w:tl2br w:val="nil"/>
              <w:tr2bl w:val="nil"/>
            </w:tcBorders>
            <w:shd w:val="clear" w:color="FFFFFF" w:fill="FFFFFF"/>
            <w:noWrap/>
            <w:tcMar>
              <w:left w:w="101" w:type="dxa"/>
              <w:right w:w="101" w:type="dxa"/>
            </w:tcMar>
          </w:tcPr>
          <w:p w14:paraId="493C8FB2"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91,592</w:t>
            </w:r>
          </w:p>
        </w:tc>
        <w:tc>
          <w:tcPr>
            <w:tcW w:w="600" w:type="dxa"/>
            <w:tcBorders>
              <w:top w:val="nil"/>
              <w:left w:val="nil"/>
              <w:bottom w:val="nil"/>
              <w:right w:val="nil"/>
              <w:tl2br w:val="nil"/>
              <w:tr2bl w:val="nil"/>
            </w:tcBorders>
            <w:shd w:val="clear" w:color="FFFFFF" w:fill="FFFFFF"/>
            <w:noWrap/>
            <w:tcMar>
              <w:left w:w="101" w:type="dxa"/>
              <w:right w:w="101" w:type="dxa"/>
            </w:tcMar>
          </w:tcPr>
          <w:p w14:paraId="33616BCB"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3B711334"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83,592</w:t>
            </w:r>
          </w:p>
        </w:tc>
        <w:tc>
          <w:tcPr>
            <w:tcW w:w="1035" w:type="dxa"/>
            <w:tcBorders>
              <w:top w:val="nil"/>
              <w:left w:val="nil"/>
              <w:bottom w:val="nil"/>
              <w:right w:val="nil"/>
              <w:tl2br w:val="nil"/>
              <w:tr2bl w:val="nil"/>
            </w:tcBorders>
            <w:shd w:val="clear" w:color="FFFFFF" w:fill="FFFFFF"/>
            <w:noWrap/>
            <w:tcMar>
              <w:left w:w="101" w:type="dxa"/>
              <w:right w:w="101" w:type="dxa"/>
            </w:tcMar>
          </w:tcPr>
          <w:p w14:paraId="7BFA7E2A"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70,042</w:t>
            </w:r>
          </w:p>
        </w:tc>
        <w:tc>
          <w:tcPr>
            <w:tcW w:w="1035" w:type="dxa"/>
            <w:tcBorders>
              <w:top w:val="nil"/>
              <w:left w:val="nil"/>
              <w:bottom w:val="nil"/>
              <w:right w:val="nil"/>
              <w:tl2br w:val="nil"/>
              <w:tr2bl w:val="nil"/>
            </w:tcBorders>
            <w:shd w:val="clear" w:color="FFFFFF" w:fill="FFFFFF"/>
            <w:noWrap/>
            <w:tcMar>
              <w:left w:w="101" w:type="dxa"/>
              <w:right w:w="101" w:type="dxa"/>
            </w:tcMar>
          </w:tcPr>
          <w:p w14:paraId="53C70E03" w14:textId="77777777" w:rsidR="002242F3" w:rsidRPr="005E3B44" w:rsidRDefault="002242F3" w:rsidP="005E3B44">
            <w:pPr>
              <w:pStyle w:val="Normal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56,492</w:t>
            </w:r>
          </w:p>
        </w:tc>
      </w:tr>
      <w:tr w:rsidR="002242F3" w:rsidRPr="005E3B44" w14:paraId="7F8E446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96B396D"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186C378"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05A743"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EE98EB"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D6D5892" w14:textId="77777777" w:rsidR="002242F3" w:rsidRPr="005E3B44" w:rsidRDefault="002242F3" w:rsidP="005E3B44">
            <w:pPr>
              <w:pStyle w:val="Normal9"/>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EBB3C7"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5CB1DB"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20133A" w14:textId="77777777" w:rsidR="002242F3" w:rsidRPr="005E3B44" w:rsidRDefault="002242F3" w:rsidP="005E3B44">
            <w:pPr>
              <w:pStyle w:val="Normal9"/>
              <w:rPr>
                <w:rFonts w:asciiTheme="minorHAnsi" w:eastAsia="Calibri" w:hAnsiTheme="minorHAnsi" w:cstheme="minorHAnsi"/>
                <w:color w:val="000000"/>
                <w:sz w:val="18"/>
              </w:rPr>
            </w:pPr>
          </w:p>
        </w:tc>
      </w:tr>
      <w:tr w:rsidR="002242F3" w:rsidRPr="005E3B44" w14:paraId="723D8DA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FE3F7D2"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326,610</w:t>
            </w:r>
          </w:p>
        </w:tc>
        <w:tc>
          <w:tcPr>
            <w:tcW w:w="2385" w:type="dxa"/>
            <w:tcBorders>
              <w:top w:val="nil"/>
              <w:left w:val="nil"/>
              <w:bottom w:val="nil"/>
              <w:right w:val="nil"/>
              <w:tl2br w:val="nil"/>
              <w:tr2bl w:val="nil"/>
            </w:tcBorders>
            <w:shd w:val="clear" w:color="FFFFFF" w:fill="FFFFFF"/>
            <w:tcMar>
              <w:left w:w="101" w:type="dxa"/>
              <w:right w:w="101" w:type="dxa"/>
            </w:tcMar>
          </w:tcPr>
          <w:p w14:paraId="37A6EE42"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A0F31F2"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325,084</w:t>
            </w:r>
          </w:p>
        </w:tc>
        <w:tc>
          <w:tcPr>
            <w:tcW w:w="1035" w:type="dxa"/>
            <w:tcBorders>
              <w:top w:val="nil"/>
              <w:left w:val="nil"/>
              <w:bottom w:val="nil"/>
              <w:right w:val="nil"/>
              <w:tl2br w:val="nil"/>
              <w:tr2bl w:val="nil"/>
            </w:tcBorders>
            <w:shd w:val="clear" w:color="FFFFFF" w:fill="FFFFFF"/>
            <w:noWrap/>
            <w:tcMar>
              <w:left w:w="101" w:type="dxa"/>
              <w:right w:w="101" w:type="dxa"/>
            </w:tcMar>
          </w:tcPr>
          <w:p w14:paraId="53FBCDD4"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326,326</w:t>
            </w:r>
          </w:p>
        </w:tc>
        <w:tc>
          <w:tcPr>
            <w:tcW w:w="600" w:type="dxa"/>
            <w:tcBorders>
              <w:top w:val="nil"/>
              <w:left w:val="nil"/>
              <w:bottom w:val="nil"/>
              <w:right w:val="nil"/>
              <w:tl2br w:val="nil"/>
              <w:tr2bl w:val="nil"/>
            </w:tcBorders>
            <w:shd w:val="clear" w:color="FFFFFF" w:fill="FFFFFF"/>
            <w:noWrap/>
            <w:tcMar>
              <w:left w:w="101" w:type="dxa"/>
              <w:right w:w="101" w:type="dxa"/>
            </w:tcMar>
          </w:tcPr>
          <w:p w14:paraId="7E1431B4" w14:textId="77777777" w:rsidR="002242F3" w:rsidRPr="005E3B44" w:rsidRDefault="002242F3" w:rsidP="005E3B44">
            <w:pPr>
              <w:pStyle w:val="Normal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7C3B19C"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318,461</w:t>
            </w:r>
          </w:p>
        </w:tc>
        <w:tc>
          <w:tcPr>
            <w:tcW w:w="1035" w:type="dxa"/>
            <w:tcBorders>
              <w:top w:val="nil"/>
              <w:left w:val="nil"/>
              <w:bottom w:val="nil"/>
              <w:right w:val="nil"/>
              <w:tl2br w:val="nil"/>
              <w:tr2bl w:val="nil"/>
            </w:tcBorders>
            <w:shd w:val="clear" w:color="FFFFFF" w:fill="FFFFFF"/>
            <w:noWrap/>
            <w:tcMar>
              <w:left w:w="101" w:type="dxa"/>
              <w:right w:w="101" w:type="dxa"/>
            </w:tcMar>
          </w:tcPr>
          <w:p w14:paraId="5981AB2D"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295,870</w:t>
            </w:r>
          </w:p>
        </w:tc>
        <w:tc>
          <w:tcPr>
            <w:tcW w:w="1035" w:type="dxa"/>
            <w:tcBorders>
              <w:top w:val="nil"/>
              <w:left w:val="nil"/>
              <w:bottom w:val="nil"/>
              <w:right w:val="nil"/>
              <w:tl2br w:val="nil"/>
              <w:tr2bl w:val="nil"/>
            </w:tcBorders>
            <w:shd w:val="clear" w:color="FFFFFF" w:fill="FFFFFF"/>
            <w:noWrap/>
            <w:tcMar>
              <w:left w:w="101" w:type="dxa"/>
              <w:right w:w="101" w:type="dxa"/>
            </w:tcMar>
          </w:tcPr>
          <w:p w14:paraId="5E90C0B3" w14:textId="77777777" w:rsidR="002242F3" w:rsidRPr="005E3B44" w:rsidRDefault="002242F3" w:rsidP="005E3B44">
            <w:pPr>
              <w:pStyle w:val="Normal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248,075</w:t>
            </w:r>
          </w:p>
        </w:tc>
      </w:tr>
      <w:tr w:rsidR="002242F3" w:rsidRPr="005E3B44" w14:paraId="79208F3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E7159AD" w14:textId="77777777" w:rsidR="002242F3" w:rsidRPr="005E3B44" w:rsidRDefault="002242F3" w:rsidP="005E3B44">
            <w:pPr>
              <w:pStyle w:val="Normal9"/>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D8A194B"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5F904BF"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D37FD8F" w14:textId="77777777" w:rsidR="002242F3" w:rsidRPr="005E3B44" w:rsidRDefault="002242F3" w:rsidP="005E3B44">
            <w:pPr>
              <w:pStyle w:val="Normal9"/>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8073F8C"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91DCD94"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7647A04" w14:textId="77777777" w:rsidR="002242F3" w:rsidRPr="005E3B44" w:rsidRDefault="002242F3" w:rsidP="005E3B44">
            <w:pPr>
              <w:pStyle w:val="Normal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4A9975D" w14:textId="77777777" w:rsidR="002242F3" w:rsidRPr="005E3B44" w:rsidRDefault="002242F3" w:rsidP="005E3B44">
            <w:pPr>
              <w:pStyle w:val="Normal9"/>
              <w:rPr>
                <w:rFonts w:asciiTheme="minorHAnsi" w:eastAsia="Calibri" w:hAnsiTheme="minorHAnsi" w:cstheme="minorHAnsi"/>
                <w:color w:val="000000"/>
                <w:sz w:val="18"/>
              </w:rPr>
            </w:pPr>
          </w:p>
        </w:tc>
      </w:tr>
    </w:tbl>
    <w:p w14:paraId="712244C8" w14:textId="16ACCE85" w:rsidR="002242F3" w:rsidRPr="005E3B44" w:rsidRDefault="002242F3" w:rsidP="002242F3">
      <w:pPr>
        <w:pStyle w:val="Caption"/>
        <w:pageBreakBefore/>
        <w:pBdr>
          <w:top w:val="nil"/>
          <w:left w:val="nil"/>
          <w:bottom w:val="nil"/>
          <w:right w:val="nil"/>
          <w:between w:val="nil"/>
          <w:bar w:val="nil"/>
        </w:pBdr>
        <w:outlineLvl w:val="0"/>
        <w:rPr>
          <w:rFonts w:asciiTheme="minorHAnsi" w:hAnsiTheme="minorHAnsi" w:cstheme="minorHAnsi"/>
          <w:bdr w:val="nil"/>
        </w:rPr>
      </w:pPr>
      <w:r w:rsidRPr="005E3B44">
        <w:rPr>
          <w:rFonts w:asciiTheme="minorHAnsi" w:hAnsiTheme="minorHAnsi" w:cstheme="minorHAnsi"/>
          <w:bdr w:val="nil"/>
        </w:rPr>
        <w:lastRenderedPageBreak/>
        <w:t>Table 3</w:t>
      </w:r>
      <w:r w:rsidR="00805234">
        <w:rPr>
          <w:rFonts w:asciiTheme="minorHAnsi" w:hAnsiTheme="minorHAnsi" w:cstheme="minorHAnsi"/>
          <w:bdr w:val="nil"/>
        </w:rPr>
        <w:t>2</w:t>
      </w:r>
      <w:r w:rsidRPr="005E3B44">
        <w:rPr>
          <w:rFonts w:asciiTheme="minorHAnsi" w:hAnsiTheme="minorHAnsi" w:cstheme="minorHAnsi"/>
          <w:bdr w:val="nil"/>
        </w:rPr>
        <w:t xml:space="preserve">: Justice and Community Safety Directorate: Cash Flow Statement </w:t>
      </w:r>
    </w:p>
    <w:tbl>
      <w:tblPr>
        <w:tblStyle w:val="CDMRange1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57E47D6F" w14:textId="77777777" w:rsidTr="005E3B44">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AB5A1C5"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350BD8CF" w14:textId="77777777" w:rsidR="002242F3" w:rsidRPr="005E3B44" w:rsidRDefault="002242F3" w:rsidP="005E3B44">
            <w:pPr>
              <w:pStyle w:val="Normal10"/>
              <w:jc w:val="right"/>
              <w:rPr>
                <w:rFonts w:asciiTheme="minorHAnsi" w:eastAsia="Calibri" w:hAnsiTheme="minorHAnsi" w:cstheme="minorHAnsi"/>
                <w:b/>
                <w:color w:val="000000"/>
                <w:sz w:val="18"/>
              </w:rPr>
            </w:pPr>
          </w:p>
          <w:p w14:paraId="228959AA"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A4187C8" w14:textId="77777777" w:rsidR="002242F3" w:rsidRPr="005E3B44" w:rsidRDefault="002242F3" w:rsidP="005E3B44">
            <w:pPr>
              <w:pStyle w:val="Normal10"/>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F02BFE7"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788B5E4"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Budget            </w:t>
            </w:r>
          </w:p>
          <w:p w14:paraId="52B6D5C7" w14:textId="77777777" w:rsidR="002242F3" w:rsidRPr="005E3B44" w:rsidRDefault="002242F3" w:rsidP="005E3B44">
            <w:pPr>
              <w:pStyle w:val="Normal10"/>
              <w:jc w:val="right"/>
              <w:rPr>
                <w:rFonts w:asciiTheme="minorHAnsi" w:eastAsia="Calibri" w:hAnsiTheme="minorHAnsi" w:cstheme="minorHAnsi"/>
                <w:b/>
                <w:color w:val="000000"/>
                <w:sz w:val="18"/>
              </w:rPr>
            </w:pPr>
          </w:p>
          <w:p w14:paraId="4B340723"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602AD5F"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Var </w:t>
            </w:r>
          </w:p>
          <w:p w14:paraId="4FC1DF51"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BA0FD0B"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Estimate            </w:t>
            </w:r>
          </w:p>
          <w:p w14:paraId="4A1867F0" w14:textId="77777777" w:rsidR="002242F3" w:rsidRPr="005E3B44" w:rsidRDefault="002242F3" w:rsidP="005E3B44">
            <w:pPr>
              <w:pStyle w:val="Normal10"/>
              <w:jc w:val="right"/>
              <w:rPr>
                <w:rFonts w:asciiTheme="minorHAnsi" w:eastAsia="Calibri" w:hAnsiTheme="minorHAnsi" w:cstheme="minorHAnsi"/>
                <w:b/>
                <w:color w:val="000000"/>
                <w:sz w:val="18"/>
              </w:rPr>
            </w:pPr>
          </w:p>
          <w:p w14:paraId="25582CF8"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2C1E436"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Estimate            </w:t>
            </w:r>
          </w:p>
          <w:p w14:paraId="235CB559" w14:textId="77777777" w:rsidR="002242F3" w:rsidRPr="005E3B44" w:rsidRDefault="002242F3" w:rsidP="005E3B44">
            <w:pPr>
              <w:pStyle w:val="Normal10"/>
              <w:jc w:val="right"/>
              <w:rPr>
                <w:rFonts w:asciiTheme="minorHAnsi" w:eastAsia="Calibri" w:hAnsiTheme="minorHAnsi" w:cstheme="minorHAnsi"/>
                <w:b/>
                <w:color w:val="000000"/>
                <w:sz w:val="18"/>
              </w:rPr>
            </w:pPr>
          </w:p>
          <w:p w14:paraId="36A5E6FB"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59B083F"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Estimate            </w:t>
            </w:r>
          </w:p>
          <w:p w14:paraId="7798234A" w14:textId="77777777" w:rsidR="002242F3" w:rsidRPr="005E3B44" w:rsidRDefault="002242F3" w:rsidP="005E3B44">
            <w:pPr>
              <w:pStyle w:val="Normal10"/>
              <w:jc w:val="right"/>
              <w:rPr>
                <w:rFonts w:asciiTheme="minorHAnsi" w:eastAsia="Calibri" w:hAnsiTheme="minorHAnsi" w:cstheme="minorHAnsi"/>
                <w:b/>
                <w:color w:val="000000"/>
                <w:sz w:val="18"/>
              </w:rPr>
            </w:pPr>
          </w:p>
          <w:p w14:paraId="228EB5E3"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3330270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3ACFF76" w14:textId="77777777" w:rsidR="002242F3" w:rsidRPr="005E3B44" w:rsidRDefault="002242F3" w:rsidP="005E3B44">
            <w:pPr>
              <w:pStyle w:val="Normal10"/>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4ED14089" w14:textId="77777777" w:rsidR="002242F3" w:rsidRPr="005E3B44" w:rsidRDefault="002242F3" w:rsidP="005E3B44">
            <w:pPr>
              <w:pStyle w:val="Normal10"/>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CA5AC8C" w14:textId="77777777" w:rsidR="002242F3" w:rsidRPr="005E3B44" w:rsidRDefault="002242F3" w:rsidP="005E3B44">
            <w:pPr>
              <w:pStyle w:val="Normal1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D95C77" w14:textId="77777777" w:rsidR="002242F3" w:rsidRPr="005E3B44" w:rsidRDefault="002242F3" w:rsidP="005E3B44">
            <w:pPr>
              <w:pStyle w:val="Normal10"/>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FBD0065" w14:textId="77777777" w:rsidR="002242F3" w:rsidRPr="005E3B44" w:rsidRDefault="002242F3" w:rsidP="005E3B44">
            <w:pPr>
              <w:pStyle w:val="Normal1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0C50141" w14:textId="77777777" w:rsidR="002242F3" w:rsidRPr="005E3B44" w:rsidRDefault="002242F3" w:rsidP="005E3B44">
            <w:pPr>
              <w:pStyle w:val="Normal1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0CDD6EE" w14:textId="77777777" w:rsidR="002242F3" w:rsidRPr="005E3B44" w:rsidRDefault="002242F3" w:rsidP="005E3B44">
            <w:pPr>
              <w:pStyle w:val="Normal1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3BB4AC5" w14:textId="77777777" w:rsidR="002242F3" w:rsidRPr="005E3B44" w:rsidRDefault="002242F3" w:rsidP="005E3B44">
            <w:pPr>
              <w:pStyle w:val="Normal10"/>
              <w:jc w:val="right"/>
              <w:rPr>
                <w:rFonts w:asciiTheme="minorHAnsi" w:eastAsia="Calibri" w:hAnsiTheme="minorHAnsi" w:cstheme="minorHAnsi"/>
                <w:b/>
                <w:i/>
                <w:color w:val="000000"/>
                <w:sz w:val="18"/>
              </w:rPr>
            </w:pPr>
          </w:p>
        </w:tc>
      </w:tr>
      <w:tr w:rsidR="002242F3" w:rsidRPr="005E3B44" w14:paraId="49017B4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595631F9" w14:textId="77777777" w:rsidR="002242F3" w:rsidRPr="005E3B44" w:rsidRDefault="002242F3" w:rsidP="005E3B44">
            <w:pPr>
              <w:pStyle w:val="Normal1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AC81604"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OPERATING ACTIVITIES</w:t>
            </w:r>
          </w:p>
        </w:tc>
      </w:tr>
      <w:tr w:rsidR="002242F3" w:rsidRPr="005E3B44" w14:paraId="5682F85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E26AB7"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124E339"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F2DB508"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86DE02"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FFB989"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7D8933"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05277E"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C8EEEE"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2450ADF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7E7101"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359,022</w:t>
            </w:r>
          </w:p>
        </w:tc>
        <w:tc>
          <w:tcPr>
            <w:tcW w:w="2385" w:type="dxa"/>
            <w:tcBorders>
              <w:top w:val="nil"/>
              <w:left w:val="nil"/>
              <w:bottom w:val="nil"/>
              <w:right w:val="nil"/>
              <w:tl2br w:val="nil"/>
              <w:tr2bl w:val="nil"/>
            </w:tcBorders>
            <w:shd w:val="clear" w:color="auto" w:fill="auto"/>
            <w:noWrap/>
            <w:tcMar>
              <w:left w:w="101" w:type="dxa"/>
              <w:right w:w="101" w:type="dxa"/>
            </w:tcMar>
          </w:tcPr>
          <w:p w14:paraId="02C22B2D"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6DFF21E8"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340,762</w:t>
            </w:r>
          </w:p>
        </w:tc>
        <w:tc>
          <w:tcPr>
            <w:tcW w:w="1035" w:type="dxa"/>
            <w:tcBorders>
              <w:top w:val="nil"/>
              <w:left w:val="nil"/>
              <w:bottom w:val="nil"/>
              <w:right w:val="nil"/>
              <w:tl2br w:val="nil"/>
              <w:tr2bl w:val="nil"/>
            </w:tcBorders>
            <w:shd w:val="clear" w:color="FFFFFF" w:fill="FFFFFF"/>
            <w:tcMar>
              <w:left w:w="101" w:type="dxa"/>
              <w:right w:w="101" w:type="dxa"/>
            </w:tcMar>
          </w:tcPr>
          <w:p w14:paraId="6FC4A2D6"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385,009</w:t>
            </w:r>
          </w:p>
        </w:tc>
        <w:tc>
          <w:tcPr>
            <w:tcW w:w="600" w:type="dxa"/>
            <w:tcBorders>
              <w:top w:val="nil"/>
              <w:left w:val="nil"/>
              <w:bottom w:val="nil"/>
              <w:right w:val="nil"/>
              <w:tl2br w:val="nil"/>
              <w:tr2bl w:val="nil"/>
            </w:tcBorders>
            <w:shd w:val="clear" w:color="FFFFFF" w:fill="FFFFFF"/>
            <w:tcMar>
              <w:left w:w="101" w:type="dxa"/>
              <w:right w:w="101" w:type="dxa"/>
            </w:tcMar>
          </w:tcPr>
          <w:p w14:paraId="65A7EFB0"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76A32E31"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388,130</w:t>
            </w:r>
          </w:p>
        </w:tc>
        <w:tc>
          <w:tcPr>
            <w:tcW w:w="1035" w:type="dxa"/>
            <w:tcBorders>
              <w:top w:val="nil"/>
              <w:left w:val="nil"/>
              <w:bottom w:val="nil"/>
              <w:right w:val="nil"/>
              <w:tl2br w:val="nil"/>
              <w:tr2bl w:val="nil"/>
            </w:tcBorders>
            <w:shd w:val="clear" w:color="FFFFFF" w:fill="FFFFFF"/>
            <w:tcMar>
              <w:left w:w="101" w:type="dxa"/>
              <w:right w:w="101" w:type="dxa"/>
            </w:tcMar>
          </w:tcPr>
          <w:p w14:paraId="6D300648"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390,377</w:t>
            </w:r>
          </w:p>
        </w:tc>
        <w:tc>
          <w:tcPr>
            <w:tcW w:w="1035" w:type="dxa"/>
            <w:tcBorders>
              <w:top w:val="nil"/>
              <w:left w:val="nil"/>
              <w:bottom w:val="nil"/>
              <w:right w:val="nil"/>
              <w:tl2br w:val="nil"/>
              <w:tr2bl w:val="nil"/>
            </w:tcBorders>
            <w:shd w:val="clear" w:color="FFFFFF" w:fill="FFFFFF"/>
            <w:tcMar>
              <w:left w:w="101" w:type="dxa"/>
              <w:right w:w="101" w:type="dxa"/>
            </w:tcMar>
          </w:tcPr>
          <w:p w14:paraId="666DFB5B"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391,394</w:t>
            </w:r>
          </w:p>
        </w:tc>
      </w:tr>
      <w:tr w:rsidR="002242F3" w:rsidRPr="005E3B44" w14:paraId="4797D1B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2FE49B"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18,320</w:t>
            </w:r>
          </w:p>
        </w:tc>
        <w:tc>
          <w:tcPr>
            <w:tcW w:w="2385" w:type="dxa"/>
            <w:tcBorders>
              <w:top w:val="nil"/>
              <w:left w:val="nil"/>
              <w:bottom w:val="nil"/>
              <w:right w:val="nil"/>
              <w:tl2br w:val="nil"/>
              <w:tr2bl w:val="nil"/>
            </w:tcBorders>
            <w:shd w:val="clear" w:color="auto" w:fill="auto"/>
            <w:noWrap/>
            <w:tcMar>
              <w:left w:w="101" w:type="dxa"/>
              <w:right w:w="101" w:type="dxa"/>
            </w:tcMar>
          </w:tcPr>
          <w:p w14:paraId="3661E766"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64F70CC5"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21,745</w:t>
            </w:r>
          </w:p>
        </w:tc>
        <w:tc>
          <w:tcPr>
            <w:tcW w:w="1035" w:type="dxa"/>
            <w:tcBorders>
              <w:top w:val="nil"/>
              <w:left w:val="nil"/>
              <w:bottom w:val="nil"/>
              <w:right w:val="nil"/>
              <w:tl2br w:val="nil"/>
              <w:tr2bl w:val="nil"/>
            </w:tcBorders>
            <w:shd w:val="clear" w:color="FFFFFF" w:fill="FFFFFF"/>
            <w:tcMar>
              <w:left w:w="101" w:type="dxa"/>
              <w:right w:w="101" w:type="dxa"/>
            </w:tcMar>
          </w:tcPr>
          <w:p w14:paraId="74B1BDCD"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16,607</w:t>
            </w:r>
          </w:p>
        </w:tc>
        <w:tc>
          <w:tcPr>
            <w:tcW w:w="600" w:type="dxa"/>
            <w:tcBorders>
              <w:top w:val="nil"/>
              <w:left w:val="nil"/>
              <w:bottom w:val="nil"/>
              <w:right w:val="nil"/>
              <w:tl2br w:val="nil"/>
              <w:tr2bl w:val="nil"/>
            </w:tcBorders>
            <w:shd w:val="clear" w:color="FFFFFF" w:fill="FFFFFF"/>
            <w:tcMar>
              <w:left w:w="101" w:type="dxa"/>
              <w:right w:w="101" w:type="dxa"/>
            </w:tcMar>
          </w:tcPr>
          <w:p w14:paraId="61CB5250"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5021B62E"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17,112</w:t>
            </w:r>
          </w:p>
        </w:tc>
        <w:tc>
          <w:tcPr>
            <w:tcW w:w="1035" w:type="dxa"/>
            <w:tcBorders>
              <w:top w:val="nil"/>
              <w:left w:val="nil"/>
              <w:bottom w:val="nil"/>
              <w:right w:val="nil"/>
              <w:tl2br w:val="nil"/>
              <w:tr2bl w:val="nil"/>
            </w:tcBorders>
            <w:shd w:val="clear" w:color="FFFFFF" w:fill="FFFFFF"/>
            <w:tcMar>
              <w:left w:w="101" w:type="dxa"/>
              <w:right w:w="101" w:type="dxa"/>
            </w:tcMar>
          </w:tcPr>
          <w:p w14:paraId="3856EADD"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17,621</w:t>
            </w:r>
          </w:p>
        </w:tc>
        <w:tc>
          <w:tcPr>
            <w:tcW w:w="1035" w:type="dxa"/>
            <w:tcBorders>
              <w:top w:val="nil"/>
              <w:left w:val="nil"/>
              <w:bottom w:val="nil"/>
              <w:right w:val="nil"/>
              <w:tl2br w:val="nil"/>
              <w:tr2bl w:val="nil"/>
            </w:tcBorders>
            <w:shd w:val="clear" w:color="FFFFFF" w:fill="FFFFFF"/>
            <w:tcMar>
              <w:left w:w="101" w:type="dxa"/>
              <w:right w:w="101" w:type="dxa"/>
            </w:tcMar>
          </w:tcPr>
          <w:p w14:paraId="797CE631"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18,023</w:t>
            </w:r>
          </w:p>
        </w:tc>
      </w:tr>
      <w:tr w:rsidR="002242F3" w:rsidRPr="005E3B44" w14:paraId="79F7C65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548916"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41BC84B"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08DF9AA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344</w:t>
            </w:r>
          </w:p>
        </w:tc>
        <w:tc>
          <w:tcPr>
            <w:tcW w:w="1035" w:type="dxa"/>
            <w:tcBorders>
              <w:top w:val="nil"/>
              <w:left w:val="nil"/>
              <w:bottom w:val="nil"/>
              <w:right w:val="nil"/>
              <w:tl2br w:val="nil"/>
              <w:tr2bl w:val="nil"/>
            </w:tcBorders>
            <w:shd w:val="clear" w:color="FFFFFF" w:fill="FFFFFF"/>
            <w:tcMar>
              <w:left w:w="101" w:type="dxa"/>
              <w:right w:w="101" w:type="dxa"/>
            </w:tcMar>
          </w:tcPr>
          <w:p w14:paraId="053D7F85"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351CC49"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416E47D"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D484C5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9A4FFD7"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0129036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805B95"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34,278</w:t>
            </w:r>
          </w:p>
        </w:tc>
        <w:tc>
          <w:tcPr>
            <w:tcW w:w="2385" w:type="dxa"/>
            <w:tcBorders>
              <w:top w:val="nil"/>
              <w:left w:val="nil"/>
              <w:bottom w:val="nil"/>
              <w:right w:val="nil"/>
              <w:tl2br w:val="nil"/>
              <w:tr2bl w:val="nil"/>
            </w:tcBorders>
            <w:shd w:val="clear" w:color="auto" w:fill="auto"/>
            <w:noWrap/>
            <w:tcMar>
              <w:left w:w="101" w:type="dxa"/>
              <w:right w:w="101" w:type="dxa"/>
            </w:tcMar>
          </w:tcPr>
          <w:p w14:paraId="24463FAB"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605431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31,953</w:t>
            </w:r>
          </w:p>
        </w:tc>
        <w:tc>
          <w:tcPr>
            <w:tcW w:w="1035" w:type="dxa"/>
            <w:tcBorders>
              <w:top w:val="nil"/>
              <w:left w:val="nil"/>
              <w:bottom w:val="nil"/>
              <w:right w:val="nil"/>
              <w:tl2br w:val="nil"/>
              <w:tr2bl w:val="nil"/>
            </w:tcBorders>
            <w:shd w:val="clear" w:color="FFFFFF" w:fill="FFFFFF"/>
            <w:tcMar>
              <w:left w:w="101" w:type="dxa"/>
              <w:right w:w="101" w:type="dxa"/>
            </w:tcMar>
          </w:tcPr>
          <w:p w14:paraId="02EC67A9"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31,773</w:t>
            </w:r>
          </w:p>
        </w:tc>
        <w:tc>
          <w:tcPr>
            <w:tcW w:w="600" w:type="dxa"/>
            <w:tcBorders>
              <w:top w:val="nil"/>
              <w:left w:val="nil"/>
              <w:bottom w:val="nil"/>
              <w:right w:val="nil"/>
              <w:tl2br w:val="nil"/>
              <w:tr2bl w:val="nil"/>
            </w:tcBorders>
            <w:shd w:val="clear" w:color="FFFFFF" w:fill="FFFFFF"/>
            <w:tcMar>
              <w:left w:w="101" w:type="dxa"/>
              <w:right w:w="101" w:type="dxa"/>
            </w:tcMar>
          </w:tcPr>
          <w:p w14:paraId="425173BE"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49D2267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30,897</w:t>
            </w:r>
          </w:p>
        </w:tc>
        <w:tc>
          <w:tcPr>
            <w:tcW w:w="1035" w:type="dxa"/>
            <w:tcBorders>
              <w:top w:val="nil"/>
              <w:left w:val="nil"/>
              <w:bottom w:val="nil"/>
              <w:right w:val="nil"/>
              <w:tl2br w:val="nil"/>
              <w:tr2bl w:val="nil"/>
            </w:tcBorders>
            <w:shd w:val="clear" w:color="FFFFFF" w:fill="FFFFFF"/>
            <w:tcMar>
              <w:left w:w="101" w:type="dxa"/>
              <w:right w:w="101" w:type="dxa"/>
            </w:tcMar>
          </w:tcPr>
          <w:p w14:paraId="1E1A063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31,252</w:t>
            </w:r>
          </w:p>
        </w:tc>
        <w:tc>
          <w:tcPr>
            <w:tcW w:w="1035" w:type="dxa"/>
            <w:tcBorders>
              <w:top w:val="nil"/>
              <w:left w:val="nil"/>
              <w:bottom w:val="nil"/>
              <w:right w:val="nil"/>
              <w:tl2br w:val="nil"/>
              <w:tr2bl w:val="nil"/>
            </w:tcBorders>
            <w:shd w:val="clear" w:color="FFFFFF" w:fill="FFFFFF"/>
            <w:tcMar>
              <w:left w:w="101" w:type="dxa"/>
              <w:right w:w="101" w:type="dxa"/>
            </w:tcMar>
          </w:tcPr>
          <w:p w14:paraId="676DFA52"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31,531</w:t>
            </w:r>
          </w:p>
        </w:tc>
      </w:tr>
      <w:tr w:rsidR="002242F3" w:rsidRPr="005E3B44" w14:paraId="4A4FEF7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74DB5E"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411,620</w:t>
            </w:r>
          </w:p>
        </w:tc>
        <w:tc>
          <w:tcPr>
            <w:tcW w:w="2385" w:type="dxa"/>
            <w:tcBorders>
              <w:top w:val="nil"/>
              <w:left w:val="nil"/>
              <w:bottom w:val="nil"/>
              <w:right w:val="nil"/>
              <w:tl2br w:val="nil"/>
              <w:tr2bl w:val="nil"/>
            </w:tcBorders>
            <w:shd w:val="clear" w:color="FFFFFF" w:fill="FFFFFF"/>
            <w:tcMar>
              <w:left w:w="101" w:type="dxa"/>
              <w:right w:w="101" w:type="dxa"/>
            </w:tcMar>
          </w:tcPr>
          <w:p w14:paraId="2710612B"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A6C808E"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394,804</w:t>
            </w:r>
          </w:p>
        </w:tc>
        <w:tc>
          <w:tcPr>
            <w:tcW w:w="1035" w:type="dxa"/>
            <w:tcBorders>
              <w:top w:val="nil"/>
              <w:left w:val="nil"/>
              <w:bottom w:val="nil"/>
              <w:right w:val="nil"/>
              <w:tl2br w:val="nil"/>
              <w:tr2bl w:val="nil"/>
            </w:tcBorders>
            <w:shd w:val="clear" w:color="FFFFFF" w:fill="FFFFFF"/>
            <w:tcMar>
              <w:left w:w="101" w:type="dxa"/>
              <w:right w:w="101" w:type="dxa"/>
            </w:tcMar>
          </w:tcPr>
          <w:p w14:paraId="6F8CA62E"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433,389</w:t>
            </w:r>
          </w:p>
        </w:tc>
        <w:tc>
          <w:tcPr>
            <w:tcW w:w="600" w:type="dxa"/>
            <w:tcBorders>
              <w:top w:val="nil"/>
              <w:left w:val="nil"/>
              <w:bottom w:val="nil"/>
              <w:right w:val="nil"/>
              <w:tl2br w:val="nil"/>
              <w:tr2bl w:val="nil"/>
            </w:tcBorders>
            <w:shd w:val="clear" w:color="FFFFFF" w:fill="FFFFFF"/>
            <w:tcMar>
              <w:left w:w="101" w:type="dxa"/>
              <w:right w:w="101" w:type="dxa"/>
            </w:tcMar>
          </w:tcPr>
          <w:p w14:paraId="01D02C19"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2A387873"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436,139</w:t>
            </w:r>
          </w:p>
        </w:tc>
        <w:tc>
          <w:tcPr>
            <w:tcW w:w="1035" w:type="dxa"/>
            <w:tcBorders>
              <w:top w:val="nil"/>
              <w:left w:val="nil"/>
              <w:bottom w:val="nil"/>
              <w:right w:val="nil"/>
              <w:tl2br w:val="nil"/>
              <w:tr2bl w:val="nil"/>
            </w:tcBorders>
            <w:shd w:val="clear" w:color="FFFFFF" w:fill="FFFFFF"/>
            <w:tcMar>
              <w:left w:w="101" w:type="dxa"/>
              <w:right w:w="101" w:type="dxa"/>
            </w:tcMar>
          </w:tcPr>
          <w:p w14:paraId="5371A48D"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439,250</w:t>
            </w:r>
          </w:p>
        </w:tc>
        <w:tc>
          <w:tcPr>
            <w:tcW w:w="1035" w:type="dxa"/>
            <w:tcBorders>
              <w:top w:val="nil"/>
              <w:left w:val="nil"/>
              <w:bottom w:val="nil"/>
              <w:right w:val="nil"/>
              <w:tl2br w:val="nil"/>
              <w:tr2bl w:val="nil"/>
            </w:tcBorders>
            <w:shd w:val="clear" w:color="FFFFFF" w:fill="FFFFFF"/>
            <w:tcMar>
              <w:left w:w="101" w:type="dxa"/>
              <w:right w:w="101" w:type="dxa"/>
            </w:tcMar>
          </w:tcPr>
          <w:p w14:paraId="49C29EB9"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440,948</w:t>
            </w:r>
          </w:p>
        </w:tc>
      </w:tr>
      <w:tr w:rsidR="002242F3" w:rsidRPr="005E3B44" w14:paraId="1A4F4CE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7A22395"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23C014B" w14:textId="77777777" w:rsidR="002242F3" w:rsidRPr="005E3B44" w:rsidRDefault="002242F3" w:rsidP="005E3B44">
            <w:pPr>
              <w:pStyle w:val="Normal1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0A5EF4"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E9A622"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974AFA"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2456EC"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27908D"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E12B85"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557184D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472877"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7E84D8D"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5F3D87D"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C50B14"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46C5AC"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1A354B"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7B67F8"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507A53"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535280F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01F8E7"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240,907</w:t>
            </w:r>
          </w:p>
        </w:tc>
        <w:tc>
          <w:tcPr>
            <w:tcW w:w="2385" w:type="dxa"/>
            <w:tcBorders>
              <w:top w:val="nil"/>
              <w:left w:val="nil"/>
              <w:bottom w:val="nil"/>
              <w:right w:val="nil"/>
              <w:tl2br w:val="nil"/>
              <w:tr2bl w:val="nil"/>
            </w:tcBorders>
            <w:shd w:val="clear" w:color="FFFFFF" w:fill="FFFFFF"/>
            <w:noWrap/>
            <w:tcMar>
              <w:left w:w="101" w:type="dxa"/>
              <w:right w:w="101" w:type="dxa"/>
            </w:tcMar>
          </w:tcPr>
          <w:p w14:paraId="09B6BD18" w14:textId="36F5E816"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w:t>
            </w:r>
            <w:r w:rsidR="00805234">
              <w:rPr>
                <w:rFonts w:asciiTheme="minorHAnsi" w:eastAsia="Calibri" w:hAnsiTheme="minorHAnsi" w:cstheme="minorHAnsi"/>
                <w:color w:val="000000"/>
                <w:sz w:val="18"/>
              </w:rPr>
              <w:t xml:space="preserv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280E8E8"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246,759</w:t>
            </w:r>
          </w:p>
        </w:tc>
        <w:tc>
          <w:tcPr>
            <w:tcW w:w="1035" w:type="dxa"/>
            <w:tcBorders>
              <w:top w:val="nil"/>
              <w:left w:val="nil"/>
              <w:bottom w:val="nil"/>
              <w:right w:val="nil"/>
              <w:tl2br w:val="nil"/>
              <w:tr2bl w:val="nil"/>
            </w:tcBorders>
            <w:shd w:val="clear" w:color="FFFFFF" w:fill="FFFFFF"/>
            <w:tcMar>
              <w:left w:w="101" w:type="dxa"/>
              <w:right w:w="101" w:type="dxa"/>
            </w:tcMar>
          </w:tcPr>
          <w:p w14:paraId="6673E60B"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242,398</w:t>
            </w:r>
          </w:p>
        </w:tc>
        <w:tc>
          <w:tcPr>
            <w:tcW w:w="600" w:type="dxa"/>
            <w:tcBorders>
              <w:top w:val="nil"/>
              <w:left w:val="nil"/>
              <w:bottom w:val="nil"/>
              <w:right w:val="nil"/>
              <w:tl2br w:val="nil"/>
              <w:tr2bl w:val="nil"/>
            </w:tcBorders>
            <w:shd w:val="clear" w:color="FFFFFF" w:fill="FFFFFF"/>
            <w:tcMar>
              <w:left w:w="101" w:type="dxa"/>
              <w:right w:w="101" w:type="dxa"/>
            </w:tcMar>
          </w:tcPr>
          <w:p w14:paraId="074D2511"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3593B453"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245,506</w:t>
            </w:r>
          </w:p>
        </w:tc>
        <w:tc>
          <w:tcPr>
            <w:tcW w:w="1035" w:type="dxa"/>
            <w:tcBorders>
              <w:top w:val="nil"/>
              <w:left w:val="nil"/>
              <w:bottom w:val="nil"/>
              <w:right w:val="nil"/>
              <w:tl2br w:val="nil"/>
              <w:tr2bl w:val="nil"/>
            </w:tcBorders>
            <w:shd w:val="clear" w:color="FFFFFF" w:fill="FFFFFF"/>
            <w:tcMar>
              <w:left w:w="101" w:type="dxa"/>
              <w:right w:w="101" w:type="dxa"/>
            </w:tcMar>
          </w:tcPr>
          <w:p w14:paraId="7E79A200"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249,544</w:t>
            </w:r>
          </w:p>
        </w:tc>
        <w:tc>
          <w:tcPr>
            <w:tcW w:w="1035" w:type="dxa"/>
            <w:tcBorders>
              <w:top w:val="nil"/>
              <w:left w:val="nil"/>
              <w:bottom w:val="nil"/>
              <w:right w:val="nil"/>
              <w:tl2br w:val="nil"/>
              <w:tr2bl w:val="nil"/>
            </w:tcBorders>
            <w:shd w:val="clear" w:color="FFFFFF" w:fill="FFFFFF"/>
            <w:tcMar>
              <w:left w:w="101" w:type="dxa"/>
              <w:right w:w="101" w:type="dxa"/>
            </w:tcMar>
          </w:tcPr>
          <w:p w14:paraId="1B48CFA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252,791</w:t>
            </w:r>
          </w:p>
        </w:tc>
      </w:tr>
      <w:tr w:rsidR="002242F3" w:rsidRPr="005E3B44" w14:paraId="1FF3B94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29B0DD"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35,417</w:t>
            </w:r>
          </w:p>
        </w:tc>
        <w:tc>
          <w:tcPr>
            <w:tcW w:w="2385" w:type="dxa"/>
            <w:tcBorders>
              <w:top w:val="nil"/>
              <w:left w:val="nil"/>
              <w:bottom w:val="nil"/>
              <w:right w:val="nil"/>
              <w:tl2br w:val="nil"/>
              <w:tr2bl w:val="nil"/>
            </w:tcBorders>
            <w:shd w:val="clear" w:color="FFFFFF" w:fill="FFFFFF"/>
            <w:noWrap/>
            <w:tcMar>
              <w:left w:w="101" w:type="dxa"/>
              <w:right w:w="101" w:type="dxa"/>
            </w:tcMar>
          </w:tcPr>
          <w:p w14:paraId="1D72C5CF"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571B6087"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35,775</w:t>
            </w:r>
          </w:p>
        </w:tc>
        <w:tc>
          <w:tcPr>
            <w:tcW w:w="1035" w:type="dxa"/>
            <w:tcBorders>
              <w:top w:val="nil"/>
              <w:left w:val="nil"/>
              <w:bottom w:val="nil"/>
              <w:right w:val="nil"/>
              <w:tl2br w:val="nil"/>
              <w:tr2bl w:val="nil"/>
            </w:tcBorders>
            <w:shd w:val="clear" w:color="FFFFFF" w:fill="FFFFFF"/>
            <w:tcMar>
              <w:left w:w="101" w:type="dxa"/>
              <w:right w:w="101" w:type="dxa"/>
            </w:tcMar>
          </w:tcPr>
          <w:p w14:paraId="5052FC13"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37,928</w:t>
            </w:r>
          </w:p>
        </w:tc>
        <w:tc>
          <w:tcPr>
            <w:tcW w:w="600" w:type="dxa"/>
            <w:tcBorders>
              <w:top w:val="nil"/>
              <w:left w:val="nil"/>
              <w:bottom w:val="nil"/>
              <w:right w:val="nil"/>
              <w:tl2br w:val="nil"/>
              <w:tr2bl w:val="nil"/>
            </w:tcBorders>
            <w:shd w:val="clear" w:color="FFFFFF" w:fill="FFFFFF"/>
            <w:tcMar>
              <w:left w:w="101" w:type="dxa"/>
              <w:right w:w="101" w:type="dxa"/>
            </w:tcMar>
          </w:tcPr>
          <w:p w14:paraId="1A9D475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1EC761D3"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38,616</w:t>
            </w:r>
          </w:p>
        </w:tc>
        <w:tc>
          <w:tcPr>
            <w:tcW w:w="1035" w:type="dxa"/>
            <w:tcBorders>
              <w:top w:val="nil"/>
              <w:left w:val="nil"/>
              <w:bottom w:val="nil"/>
              <w:right w:val="nil"/>
              <w:tl2br w:val="nil"/>
              <w:tr2bl w:val="nil"/>
            </w:tcBorders>
            <w:shd w:val="clear" w:color="FFFFFF" w:fill="FFFFFF"/>
            <w:tcMar>
              <w:left w:w="101" w:type="dxa"/>
              <w:right w:w="101" w:type="dxa"/>
            </w:tcMar>
          </w:tcPr>
          <w:p w14:paraId="6200A77A"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38,632</w:t>
            </w:r>
          </w:p>
        </w:tc>
        <w:tc>
          <w:tcPr>
            <w:tcW w:w="1035" w:type="dxa"/>
            <w:tcBorders>
              <w:top w:val="nil"/>
              <w:left w:val="nil"/>
              <w:bottom w:val="nil"/>
              <w:right w:val="nil"/>
              <w:tl2br w:val="nil"/>
              <w:tr2bl w:val="nil"/>
            </w:tcBorders>
            <w:shd w:val="clear" w:color="FFFFFF" w:fill="FFFFFF"/>
            <w:tcMar>
              <w:left w:w="101" w:type="dxa"/>
              <w:right w:w="101" w:type="dxa"/>
            </w:tcMar>
          </w:tcPr>
          <w:p w14:paraId="4E25ECA1"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40,385</w:t>
            </w:r>
          </w:p>
        </w:tc>
      </w:tr>
      <w:tr w:rsidR="002242F3" w:rsidRPr="005E3B44" w14:paraId="3B78623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16A12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107,522</w:t>
            </w:r>
          </w:p>
        </w:tc>
        <w:tc>
          <w:tcPr>
            <w:tcW w:w="2385" w:type="dxa"/>
            <w:tcBorders>
              <w:top w:val="nil"/>
              <w:left w:val="nil"/>
              <w:bottom w:val="nil"/>
              <w:right w:val="nil"/>
              <w:tl2br w:val="nil"/>
              <w:tr2bl w:val="nil"/>
            </w:tcBorders>
            <w:shd w:val="clear" w:color="FFFFFF" w:fill="FFFFFF"/>
            <w:noWrap/>
            <w:tcMar>
              <w:left w:w="101" w:type="dxa"/>
              <w:right w:w="101" w:type="dxa"/>
            </w:tcMar>
          </w:tcPr>
          <w:p w14:paraId="5330DA90"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43DA327"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85,358</w:t>
            </w:r>
          </w:p>
        </w:tc>
        <w:tc>
          <w:tcPr>
            <w:tcW w:w="1035" w:type="dxa"/>
            <w:tcBorders>
              <w:top w:val="nil"/>
              <w:left w:val="nil"/>
              <w:bottom w:val="nil"/>
              <w:right w:val="nil"/>
              <w:tl2br w:val="nil"/>
              <w:tr2bl w:val="nil"/>
            </w:tcBorders>
            <w:shd w:val="clear" w:color="FFFFFF" w:fill="FFFFFF"/>
            <w:tcMar>
              <w:left w:w="101" w:type="dxa"/>
              <w:right w:w="101" w:type="dxa"/>
            </w:tcMar>
          </w:tcPr>
          <w:p w14:paraId="1BA8C4AB"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113,779</w:t>
            </w:r>
          </w:p>
        </w:tc>
        <w:tc>
          <w:tcPr>
            <w:tcW w:w="600" w:type="dxa"/>
            <w:tcBorders>
              <w:top w:val="nil"/>
              <w:left w:val="nil"/>
              <w:bottom w:val="nil"/>
              <w:right w:val="nil"/>
              <w:tl2br w:val="nil"/>
              <w:tr2bl w:val="nil"/>
            </w:tcBorders>
            <w:shd w:val="clear" w:color="FFFFFF" w:fill="FFFFFF"/>
            <w:tcMar>
              <w:left w:w="101" w:type="dxa"/>
              <w:right w:w="101" w:type="dxa"/>
            </w:tcMar>
          </w:tcPr>
          <w:p w14:paraId="348DA21F"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33 </w:t>
            </w:r>
          </w:p>
        </w:tc>
        <w:tc>
          <w:tcPr>
            <w:tcW w:w="1035" w:type="dxa"/>
            <w:tcBorders>
              <w:top w:val="nil"/>
              <w:left w:val="nil"/>
              <w:bottom w:val="nil"/>
              <w:right w:val="nil"/>
              <w:tl2br w:val="nil"/>
              <w:tr2bl w:val="nil"/>
            </w:tcBorders>
            <w:shd w:val="clear" w:color="FFFFFF" w:fill="FFFFFF"/>
            <w:tcMar>
              <w:left w:w="101" w:type="dxa"/>
              <w:right w:w="101" w:type="dxa"/>
            </w:tcMar>
          </w:tcPr>
          <w:p w14:paraId="38915C79"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112,982</w:t>
            </w:r>
          </w:p>
        </w:tc>
        <w:tc>
          <w:tcPr>
            <w:tcW w:w="1035" w:type="dxa"/>
            <w:tcBorders>
              <w:top w:val="nil"/>
              <w:left w:val="nil"/>
              <w:bottom w:val="nil"/>
              <w:right w:val="nil"/>
              <w:tl2br w:val="nil"/>
              <w:tr2bl w:val="nil"/>
            </w:tcBorders>
            <w:shd w:val="clear" w:color="FFFFFF" w:fill="FFFFFF"/>
            <w:tcMar>
              <w:left w:w="101" w:type="dxa"/>
              <w:right w:w="101" w:type="dxa"/>
            </w:tcMar>
          </w:tcPr>
          <w:p w14:paraId="3B95664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112,473</w:t>
            </w:r>
          </w:p>
        </w:tc>
        <w:tc>
          <w:tcPr>
            <w:tcW w:w="1035" w:type="dxa"/>
            <w:tcBorders>
              <w:top w:val="nil"/>
              <w:left w:val="nil"/>
              <w:bottom w:val="nil"/>
              <w:right w:val="nil"/>
              <w:tl2br w:val="nil"/>
              <w:tr2bl w:val="nil"/>
            </w:tcBorders>
            <w:shd w:val="clear" w:color="FFFFFF" w:fill="FFFFFF"/>
            <w:tcMar>
              <w:left w:w="101" w:type="dxa"/>
              <w:right w:w="101" w:type="dxa"/>
            </w:tcMar>
          </w:tcPr>
          <w:p w14:paraId="6D82515E"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110,937</w:t>
            </w:r>
          </w:p>
        </w:tc>
      </w:tr>
      <w:tr w:rsidR="002242F3" w:rsidRPr="005E3B44" w14:paraId="272FC34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5D5E9B"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10,429</w:t>
            </w:r>
          </w:p>
        </w:tc>
        <w:tc>
          <w:tcPr>
            <w:tcW w:w="2385" w:type="dxa"/>
            <w:tcBorders>
              <w:top w:val="nil"/>
              <w:left w:val="nil"/>
              <w:bottom w:val="nil"/>
              <w:right w:val="nil"/>
              <w:tl2br w:val="nil"/>
              <w:tr2bl w:val="nil"/>
            </w:tcBorders>
            <w:shd w:val="clear" w:color="FFFFFF" w:fill="FFFFFF"/>
            <w:noWrap/>
            <w:tcMar>
              <w:left w:w="101" w:type="dxa"/>
              <w:right w:w="101" w:type="dxa"/>
            </w:tcMar>
          </w:tcPr>
          <w:p w14:paraId="5D032CBC"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DD80CA0"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8,513</w:t>
            </w:r>
          </w:p>
        </w:tc>
        <w:tc>
          <w:tcPr>
            <w:tcW w:w="1035" w:type="dxa"/>
            <w:tcBorders>
              <w:top w:val="nil"/>
              <w:left w:val="nil"/>
              <w:bottom w:val="nil"/>
              <w:right w:val="nil"/>
              <w:tl2br w:val="nil"/>
              <w:tr2bl w:val="nil"/>
            </w:tcBorders>
            <w:shd w:val="clear" w:color="FFFFFF" w:fill="FFFFFF"/>
            <w:tcMar>
              <w:left w:w="101" w:type="dxa"/>
              <w:right w:w="101" w:type="dxa"/>
            </w:tcMar>
          </w:tcPr>
          <w:p w14:paraId="44693848"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11,638</w:t>
            </w:r>
          </w:p>
        </w:tc>
        <w:tc>
          <w:tcPr>
            <w:tcW w:w="600" w:type="dxa"/>
            <w:tcBorders>
              <w:top w:val="nil"/>
              <w:left w:val="nil"/>
              <w:bottom w:val="nil"/>
              <w:right w:val="nil"/>
              <w:tl2br w:val="nil"/>
              <w:tr2bl w:val="nil"/>
            </w:tcBorders>
            <w:shd w:val="clear" w:color="FFFFFF" w:fill="FFFFFF"/>
            <w:tcMar>
              <w:left w:w="101" w:type="dxa"/>
              <w:right w:w="101" w:type="dxa"/>
            </w:tcMar>
          </w:tcPr>
          <w:p w14:paraId="13A0FA0D"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21A57AA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10,385</w:t>
            </w:r>
          </w:p>
        </w:tc>
        <w:tc>
          <w:tcPr>
            <w:tcW w:w="1035" w:type="dxa"/>
            <w:tcBorders>
              <w:top w:val="nil"/>
              <w:left w:val="nil"/>
              <w:bottom w:val="nil"/>
              <w:right w:val="nil"/>
              <w:tl2br w:val="nil"/>
              <w:tr2bl w:val="nil"/>
            </w:tcBorders>
            <w:shd w:val="clear" w:color="FFFFFF" w:fill="FFFFFF"/>
            <w:tcMar>
              <w:left w:w="101" w:type="dxa"/>
              <w:right w:w="101" w:type="dxa"/>
            </w:tcMar>
          </w:tcPr>
          <w:p w14:paraId="645FE9EE"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10,183</w:t>
            </w:r>
          </w:p>
        </w:tc>
        <w:tc>
          <w:tcPr>
            <w:tcW w:w="1035" w:type="dxa"/>
            <w:tcBorders>
              <w:top w:val="nil"/>
              <w:left w:val="nil"/>
              <w:bottom w:val="nil"/>
              <w:right w:val="nil"/>
              <w:tl2br w:val="nil"/>
              <w:tr2bl w:val="nil"/>
            </w:tcBorders>
            <w:shd w:val="clear" w:color="FFFFFF" w:fill="FFFFFF"/>
            <w:tcMar>
              <w:left w:w="101" w:type="dxa"/>
              <w:right w:w="101" w:type="dxa"/>
            </w:tcMar>
          </w:tcPr>
          <w:p w14:paraId="4E9E3A4F"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8,414</w:t>
            </w:r>
          </w:p>
        </w:tc>
      </w:tr>
      <w:tr w:rsidR="002242F3" w:rsidRPr="005E3B44" w14:paraId="7DED453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63B882"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12,817</w:t>
            </w:r>
          </w:p>
        </w:tc>
        <w:tc>
          <w:tcPr>
            <w:tcW w:w="2385" w:type="dxa"/>
            <w:tcBorders>
              <w:top w:val="nil"/>
              <w:left w:val="nil"/>
              <w:bottom w:val="nil"/>
              <w:right w:val="nil"/>
              <w:tl2br w:val="nil"/>
              <w:tr2bl w:val="nil"/>
            </w:tcBorders>
            <w:shd w:val="clear" w:color="FFFFFF" w:fill="FFFFFF"/>
            <w:noWrap/>
            <w:tcMar>
              <w:left w:w="101" w:type="dxa"/>
              <w:right w:w="101" w:type="dxa"/>
            </w:tcMar>
          </w:tcPr>
          <w:p w14:paraId="02AA5023"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5AD0FA66"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12,465</w:t>
            </w:r>
          </w:p>
        </w:tc>
        <w:tc>
          <w:tcPr>
            <w:tcW w:w="1035" w:type="dxa"/>
            <w:tcBorders>
              <w:top w:val="nil"/>
              <w:left w:val="nil"/>
              <w:bottom w:val="nil"/>
              <w:right w:val="nil"/>
              <w:tl2br w:val="nil"/>
              <w:tr2bl w:val="nil"/>
            </w:tcBorders>
            <w:shd w:val="clear" w:color="FFFFFF" w:fill="FFFFFF"/>
            <w:tcMar>
              <w:left w:w="101" w:type="dxa"/>
              <w:right w:w="101" w:type="dxa"/>
            </w:tcMar>
          </w:tcPr>
          <w:p w14:paraId="1E22F0ED"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12,415</w:t>
            </w:r>
          </w:p>
        </w:tc>
        <w:tc>
          <w:tcPr>
            <w:tcW w:w="600" w:type="dxa"/>
            <w:tcBorders>
              <w:top w:val="nil"/>
              <w:left w:val="nil"/>
              <w:bottom w:val="nil"/>
              <w:right w:val="nil"/>
              <w:tl2br w:val="nil"/>
              <w:tr2bl w:val="nil"/>
            </w:tcBorders>
            <w:shd w:val="clear" w:color="FFFFFF" w:fill="FFFFFF"/>
            <w:tcMar>
              <w:left w:w="101" w:type="dxa"/>
              <w:right w:w="101" w:type="dxa"/>
            </w:tcMar>
          </w:tcPr>
          <w:p w14:paraId="3D8184B9"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CCD71C5"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12,197</w:t>
            </w:r>
          </w:p>
        </w:tc>
        <w:tc>
          <w:tcPr>
            <w:tcW w:w="1035" w:type="dxa"/>
            <w:tcBorders>
              <w:top w:val="nil"/>
              <w:left w:val="nil"/>
              <w:bottom w:val="nil"/>
              <w:right w:val="nil"/>
              <w:tl2br w:val="nil"/>
              <w:tr2bl w:val="nil"/>
            </w:tcBorders>
            <w:shd w:val="clear" w:color="FFFFFF" w:fill="FFFFFF"/>
            <w:tcMar>
              <w:left w:w="101" w:type="dxa"/>
              <w:right w:w="101" w:type="dxa"/>
            </w:tcMar>
          </w:tcPr>
          <w:p w14:paraId="60924DC2"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11,961</w:t>
            </w:r>
          </w:p>
        </w:tc>
        <w:tc>
          <w:tcPr>
            <w:tcW w:w="1035" w:type="dxa"/>
            <w:tcBorders>
              <w:top w:val="nil"/>
              <w:left w:val="nil"/>
              <w:bottom w:val="nil"/>
              <w:right w:val="nil"/>
              <w:tl2br w:val="nil"/>
              <w:tr2bl w:val="nil"/>
            </w:tcBorders>
            <w:shd w:val="clear" w:color="FFFFFF" w:fill="FFFFFF"/>
            <w:tcMar>
              <w:left w:w="101" w:type="dxa"/>
              <w:right w:w="101" w:type="dxa"/>
            </w:tcMar>
          </w:tcPr>
          <w:p w14:paraId="67BDF858"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11,961</w:t>
            </w:r>
          </w:p>
        </w:tc>
      </w:tr>
      <w:tr w:rsidR="002242F3" w:rsidRPr="005E3B44" w14:paraId="694C388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8676B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15,666</w:t>
            </w:r>
          </w:p>
        </w:tc>
        <w:tc>
          <w:tcPr>
            <w:tcW w:w="2385" w:type="dxa"/>
            <w:tcBorders>
              <w:top w:val="nil"/>
              <w:left w:val="nil"/>
              <w:bottom w:val="nil"/>
              <w:right w:val="nil"/>
              <w:tl2br w:val="nil"/>
              <w:tr2bl w:val="nil"/>
            </w:tcBorders>
            <w:shd w:val="clear" w:color="FFFFFF" w:fill="FFFFFF"/>
            <w:noWrap/>
            <w:tcMar>
              <w:left w:w="101" w:type="dxa"/>
              <w:right w:w="101" w:type="dxa"/>
            </w:tcMar>
          </w:tcPr>
          <w:p w14:paraId="4B8491C2"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7D8AC6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14,443</w:t>
            </w:r>
          </w:p>
        </w:tc>
        <w:tc>
          <w:tcPr>
            <w:tcW w:w="1035" w:type="dxa"/>
            <w:tcBorders>
              <w:top w:val="nil"/>
              <w:left w:val="nil"/>
              <w:bottom w:val="nil"/>
              <w:right w:val="nil"/>
              <w:tl2br w:val="nil"/>
              <w:tr2bl w:val="nil"/>
            </w:tcBorders>
            <w:shd w:val="clear" w:color="FFFFFF" w:fill="FFFFFF"/>
            <w:tcMar>
              <w:left w:w="101" w:type="dxa"/>
              <w:right w:w="101" w:type="dxa"/>
            </w:tcMar>
          </w:tcPr>
          <w:p w14:paraId="0E5B891F"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17,216</w:t>
            </w:r>
          </w:p>
        </w:tc>
        <w:tc>
          <w:tcPr>
            <w:tcW w:w="600" w:type="dxa"/>
            <w:tcBorders>
              <w:top w:val="nil"/>
              <w:left w:val="nil"/>
              <w:bottom w:val="nil"/>
              <w:right w:val="nil"/>
              <w:tl2br w:val="nil"/>
              <w:tr2bl w:val="nil"/>
            </w:tcBorders>
            <w:shd w:val="clear" w:color="FFFFFF" w:fill="FFFFFF"/>
            <w:tcMar>
              <w:left w:w="101" w:type="dxa"/>
              <w:right w:w="101" w:type="dxa"/>
            </w:tcMar>
          </w:tcPr>
          <w:p w14:paraId="68A83497"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19 </w:t>
            </w:r>
          </w:p>
        </w:tc>
        <w:tc>
          <w:tcPr>
            <w:tcW w:w="1035" w:type="dxa"/>
            <w:tcBorders>
              <w:top w:val="nil"/>
              <w:left w:val="nil"/>
              <w:bottom w:val="nil"/>
              <w:right w:val="nil"/>
              <w:tl2br w:val="nil"/>
              <w:tr2bl w:val="nil"/>
            </w:tcBorders>
            <w:shd w:val="clear" w:color="FFFFFF" w:fill="FFFFFF"/>
            <w:tcMar>
              <w:left w:w="101" w:type="dxa"/>
              <w:right w:w="101" w:type="dxa"/>
            </w:tcMar>
          </w:tcPr>
          <w:p w14:paraId="17F665E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16,842</w:t>
            </w:r>
          </w:p>
        </w:tc>
        <w:tc>
          <w:tcPr>
            <w:tcW w:w="1035" w:type="dxa"/>
            <w:tcBorders>
              <w:top w:val="nil"/>
              <w:left w:val="nil"/>
              <w:bottom w:val="nil"/>
              <w:right w:val="nil"/>
              <w:tl2br w:val="nil"/>
              <w:tr2bl w:val="nil"/>
            </w:tcBorders>
            <w:shd w:val="clear" w:color="FFFFFF" w:fill="FFFFFF"/>
            <w:tcMar>
              <w:left w:w="101" w:type="dxa"/>
              <w:right w:w="101" w:type="dxa"/>
            </w:tcMar>
          </w:tcPr>
          <w:p w14:paraId="62AF97EB"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15,533</w:t>
            </w:r>
          </w:p>
        </w:tc>
        <w:tc>
          <w:tcPr>
            <w:tcW w:w="1035" w:type="dxa"/>
            <w:tcBorders>
              <w:top w:val="nil"/>
              <w:left w:val="nil"/>
              <w:bottom w:val="nil"/>
              <w:right w:val="nil"/>
              <w:tl2br w:val="nil"/>
              <w:tr2bl w:val="nil"/>
            </w:tcBorders>
            <w:shd w:val="clear" w:color="FFFFFF" w:fill="FFFFFF"/>
            <w:tcMar>
              <w:left w:w="101" w:type="dxa"/>
              <w:right w:w="101" w:type="dxa"/>
            </w:tcMar>
          </w:tcPr>
          <w:p w14:paraId="0564062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15,536</w:t>
            </w:r>
          </w:p>
        </w:tc>
      </w:tr>
      <w:tr w:rsidR="002242F3" w:rsidRPr="005E3B44" w14:paraId="1DD98EE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21FF71"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422,758</w:t>
            </w:r>
          </w:p>
        </w:tc>
        <w:tc>
          <w:tcPr>
            <w:tcW w:w="2385" w:type="dxa"/>
            <w:tcBorders>
              <w:top w:val="nil"/>
              <w:left w:val="nil"/>
              <w:bottom w:val="nil"/>
              <w:right w:val="nil"/>
              <w:tl2br w:val="nil"/>
              <w:tr2bl w:val="nil"/>
            </w:tcBorders>
            <w:shd w:val="clear" w:color="FFFFFF" w:fill="FFFFFF"/>
            <w:tcMar>
              <w:left w:w="101" w:type="dxa"/>
              <w:right w:w="101" w:type="dxa"/>
            </w:tcMar>
          </w:tcPr>
          <w:p w14:paraId="2F516ED0"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214F674"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403,313</w:t>
            </w:r>
          </w:p>
        </w:tc>
        <w:tc>
          <w:tcPr>
            <w:tcW w:w="1035" w:type="dxa"/>
            <w:tcBorders>
              <w:top w:val="nil"/>
              <w:left w:val="nil"/>
              <w:bottom w:val="nil"/>
              <w:right w:val="nil"/>
              <w:tl2br w:val="nil"/>
              <w:tr2bl w:val="nil"/>
            </w:tcBorders>
            <w:shd w:val="clear" w:color="FFFFFF" w:fill="FFFFFF"/>
            <w:tcMar>
              <w:left w:w="101" w:type="dxa"/>
              <w:right w:w="101" w:type="dxa"/>
            </w:tcMar>
          </w:tcPr>
          <w:p w14:paraId="593FB8A0"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435,374</w:t>
            </w:r>
          </w:p>
        </w:tc>
        <w:tc>
          <w:tcPr>
            <w:tcW w:w="600" w:type="dxa"/>
            <w:tcBorders>
              <w:top w:val="nil"/>
              <w:left w:val="nil"/>
              <w:bottom w:val="nil"/>
              <w:right w:val="nil"/>
              <w:tl2br w:val="nil"/>
              <w:tr2bl w:val="nil"/>
            </w:tcBorders>
            <w:shd w:val="clear" w:color="FFFFFF" w:fill="FFFFFF"/>
            <w:tcMar>
              <w:left w:w="101" w:type="dxa"/>
              <w:right w:w="101" w:type="dxa"/>
            </w:tcMar>
          </w:tcPr>
          <w:p w14:paraId="7C9AAEF5"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5536EF3A"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436,528</w:t>
            </w:r>
          </w:p>
        </w:tc>
        <w:tc>
          <w:tcPr>
            <w:tcW w:w="1035" w:type="dxa"/>
            <w:tcBorders>
              <w:top w:val="nil"/>
              <w:left w:val="nil"/>
              <w:bottom w:val="nil"/>
              <w:right w:val="nil"/>
              <w:tl2br w:val="nil"/>
              <w:tr2bl w:val="nil"/>
            </w:tcBorders>
            <w:shd w:val="clear" w:color="FFFFFF" w:fill="FFFFFF"/>
            <w:tcMar>
              <w:left w:w="101" w:type="dxa"/>
              <w:right w:w="101" w:type="dxa"/>
            </w:tcMar>
          </w:tcPr>
          <w:p w14:paraId="37847896"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438,326</w:t>
            </w:r>
          </w:p>
        </w:tc>
        <w:tc>
          <w:tcPr>
            <w:tcW w:w="1035" w:type="dxa"/>
            <w:tcBorders>
              <w:top w:val="nil"/>
              <w:left w:val="nil"/>
              <w:bottom w:val="nil"/>
              <w:right w:val="nil"/>
              <w:tl2br w:val="nil"/>
              <w:tr2bl w:val="nil"/>
            </w:tcBorders>
            <w:shd w:val="clear" w:color="FFFFFF" w:fill="FFFFFF"/>
            <w:tcMar>
              <w:left w:w="101" w:type="dxa"/>
              <w:right w:w="101" w:type="dxa"/>
            </w:tcMar>
          </w:tcPr>
          <w:p w14:paraId="7012D746"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440,024</w:t>
            </w:r>
          </w:p>
        </w:tc>
      </w:tr>
      <w:tr w:rsidR="002242F3" w:rsidRPr="005E3B44" w14:paraId="27E2A87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E4BA169"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67C1827" w14:textId="77777777" w:rsidR="002242F3" w:rsidRPr="005E3B44" w:rsidRDefault="002242F3" w:rsidP="005E3B44">
            <w:pPr>
              <w:pStyle w:val="Normal1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B7764C"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420B44"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B6F862"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63A8C8"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4EF120"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8524D3"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6052AB8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64BF35"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-11,138</w:t>
            </w:r>
          </w:p>
        </w:tc>
        <w:tc>
          <w:tcPr>
            <w:tcW w:w="2385" w:type="dxa"/>
            <w:tcBorders>
              <w:top w:val="nil"/>
              <w:left w:val="nil"/>
              <w:bottom w:val="nil"/>
              <w:right w:val="nil"/>
              <w:tl2br w:val="nil"/>
              <w:tr2bl w:val="nil"/>
            </w:tcBorders>
            <w:shd w:val="clear" w:color="FFFFFF" w:fill="FFFFFF"/>
            <w:noWrap/>
            <w:tcMar>
              <w:left w:w="101" w:type="dxa"/>
              <w:right w:w="101" w:type="dxa"/>
            </w:tcMar>
          </w:tcPr>
          <w:p w14:paraId="5D082B05"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D6745B2"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-8,509</w:t>
            </w:r>
          </w:p>
        </w:tc>
        <w:tc>
          <w:tcPr>
            <w:tcW w:w="1035" w:type="dxa"/>
            <w:tcBorders>
              <w:top w:val="nil"/>
              <w:left w:val="nil"/>
              <w:bottom w:val="nil"/>
              <w:right w:val="nil"/>
              <w:tl2br w:val="nil"/>
              <w:tr2bl w:val="nil"/>
            </w:tcBorders>
            <w:shd w:val="clear" w:color="FFFFFF" w:fill="FFFFFF"/>
            <w:tcMar>
              <w:left w:w="101" w:type="dxa"/>
              <w:right w:w="101" w:type="dxa"/>
            </w:tcMar>
          </w:tcPr>
          <w:p w14:paraId="1DE98034"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-1,985</w:t>
            </w:r>
          </w:p>
        </w:tc>
        <w:tc>
          <w:tcPr>
            <w:tcW w:w="600" w:type="dxa"/>
            <w:tcBorders>
              <w:top w:val="nil"/>
              <w:left w:val="nil"/>
              <w:bottom w:val="nil"/>
              <w:right w:val="nil"/>
              <w:tl2br w:val="nil"/>
              <w:tr2bl w:val="nil"/>
            </w:tcBorders>
            <w:shd w:val="clear" w:color="FFFFFF" w:fill="FFFFFF"/>
            <w:tcMar>
              <w:left w:w="101" w:type="dxa"/>
              <w:right w:w="101" w:type="dxa"/>
            </w:tcMar>
          </w:tcPr>
          <w:p w14:paraId="21E809C2"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77 </w:t>
            </w:r>
          </w:p>
        </w:tc>
        <w:tc>
          <w:tcPr>
            <w:tcW w:w="1035" w:type="dxa"/>
            <w:tcBorders>
              <w:top w:val="nil"/>
              <w:left w:val="nil"/>
              <w:bottom w:val="nil"/>
              <w:right w:val="nil"/>
              <w:tl2br w:val="nil"/>
              <w:tr2bl w:val="nil"/>
            </w:tcBorders>
            <w:shd w:val="clear" w:color="FFFFFF" w:fill="FFFFFF"/>
            <w:tcMar>
              <w:left w:w="101" w:type="dxa"/>
              <w:right w:w="101" w:type="dxa"/>
            </w:tcMar>
          </w:tcPr>
          <w:p w14:paraId="5DCB1A29"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-389</w:t>
            </w:r>
          </w:p>
        </w:tc>
        <w:tc>
          <w:tcPr>
            <w:tcW w:w="1035" w:type="dxa"/>
            <w:tcBorders>
              <w:top w:val="nil"/>
              <w:left w:val="nil"/>
              <w:bottom w:val="nil"/>
              <w:right w:val="nil"/>
              <w:tl2br w:val="nil"/>
              <w:tr2bl w:val="nil"/>
            </w:tcBorders>
            <w:shd w:val="clear" w:color="FFFFFF" w:fill="FFFFFF"/>
            <w:tcMar>
              <w:left w:w="101" w:type="dxa"/>
              <w:right w:w="101" w:type="dxa"/>
            </w:tcMar>
          </w:tcPr>
          <w:p w14:paraId="53B78A0F"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924</w:t>
            </w:r>
          </w:p>
        </w:tc>
        <w:tc>
          <w:tcPr>
            <w:tcW w:w="1035" w:type="dxa"/>
            <w:tcBorders>
              <w:top w:val="nil"/>
              <w:left w:val="nil"/>
              <w:bottom w:val="nil"/>
              <w:right w:val="nil"/>
              <w:tl2br w:val="nil"/>
              <w:tr2bl w:val="nil"/>
            </w:tcBorders>
            <w:shd w:val="clear" w:color="FFFFFF" w:fill="FFFFFF"/>
            <w:tcMar>
              <w:left w:w="101" w:type="dxa"/>
              <w:right w:w="101" w:type="dxa"/>
            </w:tcMar>
          </w:tcPr>
          <w:p w14:paraId="43384242"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924</w:t>
            </w:r>
          </w:p>
        </w:tc>
      </w:tr>
      <w:tr w:rsidR="002242F3" w:rsidRPr="005E3B44" w14:paraId="07C5B96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5E8B33CE" w14:textId="77777777" w:rsidR="002242F3" w:rsidRPr="005E3B44" w:rsidRDefault="002242F3" w:rsidP="005E3B44">
            <w:pPr>
              <w:pStyle w:val="Normal1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1D4F56E8"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INVESTING ACTIVITIES</w:t>
            </w:r>
          </w:p>
        </w:tc>
      </w:tr>
      <w:tr w:rsidR="002242F3" w:rsidRPr="005E3B44" w14:paraId="0D7B67B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677ED0"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878C0D6"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B8AB252"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E7F92A"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4E8005"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922FC3"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3F0D8D"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F7BF86"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4BB46D2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4606C8"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37F0ECE"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1C67E11C"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304</w:t>
            </w:r>
          </w:p>
        </w:tc>
        <w:tc>
          <w:tcPr>
            <w:tcW w:w="1035" w:type="dxa"/>
            <w:tcBorders>
              <w:top w:val="nil"/>
              <w:left w:val="nil"/>
              <w:bottom w:val="nil"/>
              <w:right w:val="nil"/>
              <w:tl2br w:val="nil"/>
              <w:tr2bl w:val="nil"/>
            </w:tcBorders>
            <w:shd w:val="clear" w:color="FFFFFF" w:fill="FFFFFF"/>
            <w:tcMar>
              <w:left w:w="101" w:type="dxa"/>
              <w:right w:w="101" w:type="dxa"/>
            </w:tcMar>
          </w:tcPr>
          <w:p w14:paraId="5833B4B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2A84CCF"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D977EDD"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7EA99B5"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E17A226"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1A40E4C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CBAFAE"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181F897E"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0CEA741A"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304</w:t>
            </w:r>
          </w:p>
        </w:tc>
        <w:tc>
          <w:tcPr>
            <w:tcW w:w="1035" w:type="dxa"/>
            <w:tcBorders>
              <w:top w:val="nil"/>
              <w:left w:val="nil"/>
              <w:bottom w:val="nil"/>
              <w:right w:val="nil"/>
              <w:tl2br w:val="nil"/>
              <w:tr2bl w:val="nil"/>
            </w:tcBorders>
            <w:shd w:val="clear" w:color="FFFFFF" w:fill="FFFFFF"/>
            <w:tcMar>
              <w:left w:w="101" w:type="dxa"/>
              <w:right w:w="101" w:type="dxa"/>
            </w:tcMar>
          </w:tcPr>
          <w:p w14:paraId="1974CE4F"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11B5D67"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1DB14CF"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B9FB40"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5E8ACFB"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5E3B44" w14:paraId="0F8D521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695D76C"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D76335B"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9D2431"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8248A3"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297113" w14:textId="77777777" w:rsidR="002242F3" w:rsidRPr="005E3B44" w:rsidRDefault="002242F3" w:rsidP="005E3B44">
            <w:pPr>
              <w:pStyle w:val="Normal1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E3DA45"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93FEA"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55CC59"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2314DB9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B931B97"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5964487"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0CFAC42"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10492C"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D41E16" w14:textId="77777777" w:rsidR="002242F3" w:rsidRPr="005E3B44" w:rsidRDefault="002242F3" w:rsidP="005E3B44">
            <w:pPr>
              <w:pStyle w:val="Normal1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930AA2"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BBE1E"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8979DD"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18ACF63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39148E"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24,203</w:t>
            </w:r>
          </w:p>
        </w:tc>
        <w:tc>
          <w:tcPr>
            <w:tcW w:w="2385" w:type="dxa"/>
            <w:tcBorders>
              <w:top w:val="nil"/>
              <w:left w:val="nil"/>
              <w:bottom w:val="nil"/>
              <w:right w:val="nil"/>
              <w:tl2br w:val="nil"/>
              <w:tr2bl w:val="nil"/>
            </w:tcBorders>
            <w:shd w:val="clear" w:color="FFFFFF" w:fill="FFFFFF"/>
            <w:noWrap/>
            <w:tcMar>
              <w:left w:w="101" w:type="dxa"/>
              <w:right w:w="101" w:type="dxa"/>
            </w:tcMar>
          </w:tcPr>
          <w:p w14:paraId="12D69096"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C758DDA"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13,173</w:t>
            </w:r>
          </w:p>
        </w:tc>
        <w:tc>
          <w:tcPr>
            <w:tcW w:w="1035" w:type="dxa"/>
            <w:tcBorders>
              <w:top w:val="nil"/>
              <w:left w:val="nil"/>
              <w:bottom w:val="nil"/>
              <w:right w:val="nil"/>
              <w:tl2br w:val="nil"/>
              <w:tr2bl w:val="nil"/>
            </w:tcBorders>
            <w:shd w:val="clear" w:color="FFFFFF" w:fill="FFFFFF"/>
            <w:tcMar>
              <w:left w:w="101" w:type="dxa"/>
              <w:right w:w="101" w:type="dxa"/>
            </w:tcMar>
          </w:tcPr>
          <w:p w14:paraId="54CFC959"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31,662</w:t>
            </w:r>
          </w:p>
        </w:tc>
        <w:tc>
          <w:tcPr>
            <w:tcW w:w="600" w:type="dxa"/>
            <w:tcBorders>
              <w:top w:val="nil"/>
              <w:left w:val="nil"/>
              <w:bottom w:val="nil"/>
              <w:right w:val="nil"/>
              <w:tl2br w:val="nil"/>
              <w:tr2bl w:val="nil"/>
            </w:tcBorders>
            <w:shd w:val="clear" w:color="FFFFFF" w:fill="FFFFFF"/>
            <w:tcMar>
              <w:left w:w="101" w:type="dxa"/>
              <w:right w:w="101" w:type="dxa"/>
            </w:tcMar>
          </w:tcPr>
          <w:p w14:paraId="426C3D6A"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140 </w:t>
            </w:r>
          </w:p>
        </w:tc>
        <w:tc>
          <w:tcPr>
            <w:tcW w:w="1035" w:type="dxa"/>
            <w:tcBorders>
              <w:top w:val="nil"/>
              <w:left w:val="nil"/>
              <w:bottom w:val="nil"/>
              <w:right w:val="nil"/>
              <w:tl2br w:val="nil"/>
              <w:tr2bl w:val="nil"/>
            </w:tcBorders>
            <w:shd w:val="clear" w:color="FFFFFF" w:fill="FFFFFF"/>
            <w:tcMar>
              <w:left w:w="101" w:type="dxa"/>
              <w:right w:w="101" w:type="dxa"/>
            </w:tcMar>
          </w:tcPr>
          <w:p w14:paraId="4D7CDC6E"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38,381</w:t>
            </w:r>
          </w:p>
        </w:tc>
        <w:tc>
          <w:tcPr>
            <w:tcW w:w="1035" w:type="dxa"/>
            <w:tcBorders>
              <w:top w:val="nil"/>
              <w:left w:val="nil"/>
              <w:bottom w:val="nil"/>
              <w:right w:val="nil"/>
              <w:tl2br w:val="nil"/>
              <w:tr2bl w:val="nil"/>
            </w:tcBorders>
            <w:shd w:val="clear" w:color="FFFFFF" w:fill="FFFFFF"/>
            <w:tcMar>
              <w:left w:w="101" w:type="dxa"/>
              <w:right w:w="101" w:type="dxa"/>
            </w:tcMar>
          </w:tcPr>
          <w:p w14:paraId="4A214865"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35,095</w:t>
            </w:r>
          </w:p>
        </w:tc>
        <w:tc>
          <w:tcPr>
            <w:tcW w:w="1035" w:type="dxa"/>
            <w:tcBorders>
              <w:top w:val="nil"/>
              <w:left w:val="nil"/>
              <w:bottom w:val="nil"/>
              <w:right w:val="nil"/>
              <w:tl2br w:val="nil"/>
              <w:tr2bl w:val="nil"/>
            </w:tcBorders>
            <w:shd w:val="clear" w:color="FFFFFF" w:fill="FFFFFF"/>
            <w:tcMar>
              <w:left w:w="101" w:type="dxa"/>
              <w:right w:w="101" w:type="dxa"/>
            </w:tcMar>
          </w:tcPr>
          <w:p w14:paraId="79E31BC3"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10,484</w:t>
            </w:r>
          </w:p>
        </w:tc>
      </w:tr>
      <w:tr w:rsidR="002242F3" w:rsidRPr="005E3B44" w14:paraId="01A984B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6E3E86"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3,612</w:t>
            </w:r>
          </w:p>
        </w:tc>
        <w:tc>
          <w:tcPr>
            <w:tcW w:w="2385" w:type="dxa"/>
            <w:tcBorders>
              <w:top w:val="nil"/>
              <w:left w:val="nil"/>
              <w:bottom w:val="nil"/>
              <w:right w:val="nil"/>
              <w:tl2br w:val="nil"/>
              <w:tr2bl w:val="nil"/>
            </w:tcBorders>
            <w:shd w:val="clear" w:color="FFFFFF" w:fill="FFFFFF"/>
            <w:noWrap/>
            <w:tcMar>
              <w:left w:w="101" w:type="dxa"/>
              <w:right w:w="101" w:type="dxa"/>
            </w:tcMar>
          </w:tcPr>
          <w:p w14:paraId="26616A68" w14:textId="77777777" w:rsidR="002242F3" w:rsidRPr="005E3B44" w:rsidRDefault="002242F3" w:rsidP="005E3B44">
            <w:pPr>
              <w:pStyle w:val="Normal10"/>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023BD57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78630F"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7,002</w:t>
            </w:r>
          </w:p>
        </w:tc>
        <w:tc>
          <w:tcPr>
            <w:tcW w:w="600" w:type="dxa"/>
            <w:tcBorders>
              <w:top w:val="nil"/>
              <w:left w:val="nil"/>
              <w:bottom w:val="nil"/>
              <w:right w:val="nil"/>
              <w:tl2br w:val="nil"/>
              <w:tr2bl w:val="nil"/>
            </w:tcBorders>
            <w:shd w:val="clear" w:color="FFFFFF" w:fill="FFFFFF"/>
            <w:tcMar>
              <w:left w:w="101" w:type="dxa"/>
              <w:right w:w="101" w:type="dxa"/>
            </w:tcMar>
          </w:tcPr>
          <w:p w14:paraId="417D1ED4"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8147677"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979</w:t>
            </w:r>
          </w:p>
        </w:tc>
        <w:tc>
          <w:tcPr>
            <w:tcW w:w="1035" w:type="dxa"/>
            <w:tcBorders>
              <w:top w:val="nil"/>
              <w:left w:val="nil"/>
              <w:bottom w:val="nil"/>
              <w:right w:val="nil"/>
              <w:tl2br w:val="nil"/>
              <w:tr2bl w:val="nil"/>
            </w:tcBorders>
            <w:shd w:val="clear" w:color="FFFFFF" w:fill="FFFFFF"/>
            <w:tcMar>
              <w:left w:w="101" w:type="dxa"/>
              <w:right w:w="101" w:type="dxa"/>
            </w:tcMar>
          </w:tcPr>
          <w:p w14:paraId="4411B010"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313</w:t>
            </w:r>
          </w:p>
        </w:tc>
        <w:tc>
          <w:tcPr>
            <w:tcW w:w="1035" w:type="dxa"/>
            <w:tcBorders>
              <w:top w:val="nil"/>
              <w:left w:val="nil"/>
              <w:bottom w:val="nil"/>
              <w:right w:val="nil"/>
              <w:tl2br w:val="nil"/>
              <w:tr2bl w:val="nil"/>
            </w:tcBorders>
            <w:shd w:val="clear" w:color="FFFFFF" w:fill="FFFFFF"/>
            <w:tcMar>
              <w:left w:w="101" w:type="dxa"/>
              <w:right w:w="101" w:type="dxa"/>
            </w:tcMar>
          </w:tcPr>
          <w:p w14:paraId="759C20F6" w14:textId="77777777" w:rsidR="002242F3" w:rsidRPr="005E3B44" w:rsidRDefault="002242F3" w:rsidP="005E3B44">
            <w:pPr>
              <w:pStyle w:val="Normal10"/>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313</w:t>
            </w:r>
          </w:p>
        </w:tc>
      </w:tr>
      <w:tr w:rsidR="002242F3" w:rsidRPr="005E3B44" w14:paraId="43E6D95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542F93"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27,815</w:t>
            </w:r>
          </w:p>
        </w:tc>
        <w:tc>
          <w:tcPr>
            <w:tcW w:w="2385" w:type="dxa"/>
            <w:tcBorders>
              <w:top w:val="nil"/>
              <w:left w:val="nil"/>
              <w:bottom w:val="nil"/>
              <w:right w:val="nil"/>
              <w:tl2br w:val="nil"/>
              <w:tr2bl w:val="nil"/>
            </w:tcBorders>
            <w:shd w:val="clear" w:color="FFFFFF" w:fill="FFFFFF"/>
            <w:tcMar>
              <w:left w:w="101" w:type="dxa"/>
              <w:right w:w="101" w:type="dxa"/>
            </w:tcMar>
          </w:tcPr>
          <w:p w14:paraId="3BB1F9DD"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5CB61F6"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13,173</w:t>
            </w:r>
          </w:p>
        </w:tc>
        <w:tc>
          <w:tcPr>
            <w:tcW w:w="1035" w:type="dxa"/>
            <w:tcBorders>
              <w:top w:val="nil"/>
              <w:left w:val="nil"/>
              <w:bottom w:val="nil"/>
              <w:right w:val="nil"/>
              <w:tl2br w:val="nil"/>
              <w:tr2bl w:val="nil"/>
            </w:tcBorders>
            <w:shd w:val="clear" w:color="FFFFFF" w:fill="FFFFFF"/>
            <w:tcMar>
              <w:left w:w="101" w:type="dxa"/>
              <w:right w:w="101" w:type="dxa"/>
            </w:tcMar>
          </w:tcPr>
          <w:p w14:paraId="5679E991"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38,664</w:t>
            </w:r>
          </w:p>
        </w:tc>
        <w:tc>
          <w:tcPr>
            <w:tcW w:w="600" w:type="dxa"/>
            <w:tcBorders>
              <w:top w:val="nil"/>
              <w:left w:val="nil"/>
              <w:bottom w:val="nil"/>
              <w:right w:val="nil"/>
              <w:tl2br w:val="nil"/>
              <w:tr2bl w:val="nil"/>
            </w:tcBorders>
            <w:shd w:val="clear" w:color="FFFFFF" w:fill="FFFFFF"/>
            <w:tcMar>
              <w:left w:w="101" w:type="dxa"/>
              <w:right w:w="101" w:type="dxa"/>
            </w:tcMar>
          </w:tcPr>
          <w:p w14:paraId="1E02394B"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194 </w:t>
            </w:r>
          </w:p>
        </w:tc>
        <w:tc>
          <w:tcPr>
            <w:tcW w:w="1035" w:type="dxa"/>
            <w:tcBorders>
              <w:top w:val="nil"/>
              <w:left w:val="nil"/>
              <w:bottom w:val="nil"/>
              <w:right w:val="nil"/>
              <w:tl2br w:val="nil"/>
              <w:tr2bl w:val="nil"/>
            </w:tcBorders>
            <w:shd w:val="clear" w:color="FFFFFF" w:fill="FFFFFF"/>
            <w:tcMar>
              <w:left w:w="101" w:type="dxa"/>
              <w:right w:w="101" w:type="dxa"/>
            </w:tcMar>
          </w:tcPr>
          <w:p w14:paraId="565CAF03"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39,360</w:t>
            </w:r>
          </w:p>
        </w:tc>
        <w:tc>
          <w:tcPr>
            <w:tcW w:w="1035" w:type="dxa"/>
            <w:tcBorders>
              <w:top w:val="nil"/>
              <w:left w:val="nil"/>
              <w:bottom w:val="nil"/>
              <w:right w:val="nil"/>
              <w:tl2br w:val="nil"/>
              <w:tr2bl w:val="nil"/>
            </w:tcBorders>
            <w:shd w:val="clear" w:color="FFFFFF" w:fill="FFFFFF"/>
            <w:tcMar>
              <w:left w:w="101" w:type="dxa"/>
              <w:right w:w="101" w:type="dxa"/>
            </w:tcMar>
          </w:tcPr>
          <w:p w14:paraId="3CB2EBD8"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35,408</w:t>
            </w:r>
          </w:p>
        </w:tc>
        <w:tc>
          <w:tcPr>
            <w:tcW w:w="1035" w:type="dxa"/>
            <w:tcBorders>
              <w:top w:val="nil"/>
              <w:left w:val="nil"/>
              <w:bottom w:val="nil"/>
              <w:right w:val="nil"/>
              <w:tl2br w:val="nil"/>
              <w:tr2bl w:val="nil"/>
            </w:tcBorders>
            <w:shd w:val="clear" w:color="FFFFFF" w:fill="FFFFFF"/>
            <w:tcMar>
              <w:left w:w="101" w:type="dxa"/>
              <w:right w:w="101" w:type="dxa"/>
            </w:tcMar>
          </w:tcPr>
          <w:p w14:paraId="370E8A92"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10,797</w:t>
            </w:r>
          </w:p>
        </w:tc>
      </w:tr>
      <w:tr w:rsidR="002242F3" w:rsidRPr="005E3B44" w14:paraId="130E3C3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A2D5B7E"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91BA5AD"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AF9A78"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C59F0B"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7364B4"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EB22F5"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A8FB7A"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C4556D"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345636C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281EE9"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-27,815</w:t>
            </w:r>
          </w:p>
        </w:tc>
        <w:tc>
          <w:tcPr>
            <w:tcW w:w="2385" w:type="dxa"/>
            <w:tcBorders>
              <w:top w:val="nil"/>
              <w:left w:val="nil"/>
              <w:bottom w:val="nil"/>
              <w:right w:val="nil"/>
              <w:tl2br w:val="nil"/>
              <w:tr2bl w:val="nil"/>
            </w:tcBorders>
            <w:shd w:val="clear" w:color="FFFFFF" w:fill="FFFFFF"/>
            <w:noWrap/>
            <w:tcMar>
              <w:left w:w="101" w:type="dxa"/>
              <w:right w:w="101" w:type="dxa"/>
            </w:tcMar>
          </w:tcPr>
          <w:p w14:paraId="323694D5" w14:textId="77777777" w:rsidR="002242F3" w:rsidRPr="005E3B44" w:rsidRDefault="002242F3" w:rsidP="005E3B44">
            <w:pPr>
              <w:pStyle w:val="Normal10"/>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2F86E17"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-12,869</w:t>
            </w:r>
          </w:p>
        </w:tc>
        <w:tc>
          <w:tcPr>
            <w:tcW w:w="1035" w:type="dxa"/>
            <w:tcBorders>
              <w:top w:val="nil"/>
              <w:left w:val="nil"/>
              <w:bottom w:val="nil"/>
              <w:right w:val="nil"/>
              <w:tl2br w:val="nil"/>
              <w:tr2bl w:val="nil"/>
            </w:tcBorders>
            <w:shd w:val="clear" w:color="FFFFFF" w:fill="FFFFFF"/>
            <w:tcMar>
              <w:left w:w="101" w:type="dxa"/>
              <w:right w:w="101" w:type="dxa"/>
            </w:tcMar>
          </w:tcPr>
          <w:p w14:paraId="3FA469D5"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-38,664</w:t>
            </w:r>
          </w:p>
        </w:tc>
        <w:tc>
          <w:tcPr>
            <w:tcW w:w="600" w:type="dxa"/>
            <w:tcBorders>
              <w:top w:val="nil"/>
              <w:left w:val="nil"/>
              <w:bottom w:val="nil"/>
              <w:right w:val="nil"/>
              <w:tl2br w:val="nil"/>
              <w:tr2bl w:val="nil"/>
            </w:tcBorders>
            <w:shd w:val="clear" w:color="FFFFFF" w:fill="FFFFFF"/>
            <w:tcMar>
              <w:left w:w="101" w:type="dxa"/>
              <w:right w:w="101" w:type="dxa"/>
            </w:tcMar>
          </w:tcPr>
          <w:p w14:paraId="217CE56D"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-200 </w:t>
            </w:r>
          </w:p>
        </w:tc>
        <w:tc>
          <w:tcPr>
            <w:tcW w:w="1035" w:type="dxa"/>
            <w:tcBorders>
              <w:top w:val="nil"/>
              <w:left w:val="nil"/>
              <w:bottom w:val="nil"/>
              <w:right w:val="nil"/>
              <w:tl2br w:val="nil"/>
              <w:tr2bl w:val="nil"/>
            </w:tcBorders>
            <w:shd w:val="clear" w:color="FFFFFF" w:fill="FFFFFF"/>
            <w:tcMar>
              <w:left w:w="101" w:type="dxa"/>
              <w:right w:w="101" w:type="dxa"/>
            </w:tcMar>
          </w:tcPr>
          <w:p w14:paraId="4F7A404B"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-39,360</w:t>
            </w:r>
          </w:p>
        </w:tc>
        <w:tc>
          <w:tcPr>
            <w:tcW w:w="1035" w:type="dxa"/>
            <w:tcBorders>
              <w:top w:val="nil"/>
              <w:left w:val="nil"/>
              <w:bottom w:val="nil"/>
              <w:right w:val="nil"/>
              <w:tl2br w:val="nil"/>
              <w:tr2bl w:val="nil"/>
            </w:tcBorders>
            <w:shd w:val="clear" w:color="FFFFFF" w:fill="FFFFFF"/>
            <w:tcMar>
              <w:left w:w="101" w:type="dxa"/>
              <w:right w:w="101" w:type="dxa"/>
            </w:tcMar>
          </w:tcPr>
          <w:p w14:paraId="200151D8"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-35,408</w:t>
            </w:r>
          </w:p>
        </w:tc>
        <w:tc>
          <w:tcPr>
            <w:tcW w:w="1035" w:type="dxa"/>
            <w:tcBorders>
              <w:top w:val="nil"/>
              <w:left w:val="nil"/>
              <w:bottom w:val="nil"/>
              <w:right w:val="nil"/>
              <w:tl2br w:val="nil"/>
              <w:tr2bl w:val="nil"/>
            </w:tcBorders>
            <w:shd w:val="clear" w:color="FFFFFF" w:fill="FFFFFF"/>
            <w:tcMar>
              <w:left w:w="101" w:type="dxa"/>
              <w:right w:w="101" w:type="dxa"/>
            </w:tcMar>
          </w:tcPr>
          <w:p w14:paraId="6DAD81B7" w14:textId="77777777" w:rsidR="002242F3" w:rsidRPr="005E3B44" w:rsidRDefault="002242F3" w:rsidP="005E3B44">
            <w:pPr>
              <w:pStyle w:val="Normal10"/>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-10,797</w:t>
            </w:r>
          </w:p>
        </w:tc>
      </w:tr>
      <w:tr w:rsidR="002242F3" w:rsidRPr="005E3B44" w14:paraId="5F7181E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A8130E9"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93E3DB2"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3D1DACF"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4C42EDD"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5468AD4"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E48F036"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F341192"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B92F298" w14:textId="77777777" w:rsidR="002242F3" w:rsidRPr="005E3B44" w:rsidRDefault="002242F3" w:rsidP="005E3B44">
            <w:pPr>
              <w:pStyle w:val="Normal10"/>
              <w:rPr>
                <w:rFonts w:asciiTheme="minorHAnsi" w:eastAsia="Calibri" w:hAnsiTheme="minorHAnsi" w:cstheme="minorHAnsi"/>
                <w:color w:val="000000"/>
                <w:sz w:val="18"/>
              </w:rPr>
            </w:pPr>
          </w:p>
        </w:tc>
      </w:tr>
      <w:tr w:rsidR="002242F3" w:rsidRPr="005E3B44" w14:paraId="268C1AE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091DFE7" w14:textId="77777777" w:rsidR="002242F3" w:rsidRPr="005E3B44" w:rsidRDefault="002242F3" w:rsidP="005E3B44">
            <w:pPr>
              <w:pStyle w:val="Normal10"/>
              <w:rPr>
                <w:rFonts w:asciiTheme="minorHAnsi" w:eastAsia="Calibri" w:hAnsiTheme="minorHAnsi" w:cstheme="minorHAns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74757FE"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077228"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3B33BED" w14:textId="77777777" w:rsidR="002242F3" w:rsidRPr="005E3B44" w:rsidRDefault="002242F3" w:rsidP="005E3B44">
            <w:pPr>
              <w:pStyle w:val="Normal10"/>
              <w:rPr>
                <w:rFonts w:asciiTheme="minorHAnsi" w:eastAsia="Calibri" w:hAnsiTheme="minorHAnsi" w:cstheme="minorHAns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E0ED34E"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CD39DE"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31CE17" w14:textId="77777777" w:rsidR="002242F3" w:rsidRPr="005E3B44" w:rsidRDefault="002242F3" w:rsidP="005E3B44">
            <w:pPr>
              <w:pStyle w:val="Normal10"/>
              <w:rPr>
                <w:rFonts w:asciiTheme="minorHAnsi" w:eastAsia="Calibri" w:hAnsiTheme="minorHAnsi" w:cstheme="minorHAns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EBC3D65" w14:textId="77777777" w:rsidR="002242F3" w:rsidRPr="005E3B44" w:rsidRDefault="002242F3" w:rsidP="005E3B44">
            <w:pPr>
              <w:pStyle w:val="Normal10"/>
              <w:rPr>
                <w:rFonts w:asciiTheme="minorHAnsi" w:eastAsia="Calibri" w:hAnsiTheme="minorHAnsi" w:cstheme="minorHAnsi"/>
                <w:color w:val="000000"/>
                <w:sz w:val="18"/>
              </w:rPr>
            </w:pPr>
          </w:p>
        </w:tc>
      </w:tr>
    </w:tbl>
    <w:p w14:paraId="67F07671" w14:textId="7E7B9516" w:rsidR="002242F3" w:rsidRPr="005E3B44" w:rsidRDefault="002242F3" w:rsidP="002242F3">
      <w:pPr>
        <w:pStyle w:val="Caption"/>
        <w:pageBreakBefore/>
        <w:pBdr>
          <w:top w:val="nil"/>
          <w:left w:val="nil"/>
          <w:bottom w:val="nil"/>
          <w:right w:val="nil"/>
          <w:between w:val="nil"/>
          <w:bar w:val="nil"/>
        </w:pBdr>
        <w:outlineLvl w:val="0"/>
        <w:rPr>
          <w:rFonts w:asciiTheme="minorHAnsi" w:hAnsiTheme="minorHAnsi" w:cstheme="minorHAnsi"/>
          <w:bdr w:val="nil"/>
        </w:rPr>
      </w:pPr>
      <w:r w:rsidRPr="005E3B44">
        <w:rPr>
          <w:rFonts w:asciiTheme="minorHAnsi" w:hAnsiTheme="minorHAnsi" w:cstheme="minorHAnsi"/>
          <w:bdr w:val="nil"/>
        </w:rPr>
        <w:lastRenderedPageBreak/>
        <w:t>Table 3</w:t>
      </w:r>
      <w:r w:rsidR="00805234">
        <w:rPr>
          <w:rFonts w:asciiTheme="minorHAnsi" w:hAnsiTheme="minorHAnsi" w:cstheme="minorHAnsi"/>
          <w:bdr w:val="nil"/>
        </w:rPr>
        <w:t>2</w:t>
      </w:r>
      <w:r w:rsidRPr="005E3B44">
        <w:rPr>
          <w:rFonts w:asciiTheme="minorHAnsi" w:hAnsiTheme="minorHAnsi" w:cstheme="minorHAnsi"/>
          <w:bdr w:val="nil"/>
        </w:rPr>
        <w:t>: Justice and Community Safety Directorate: Cash Flow Statement (continued)</w:t>
      </w:r>
    </w:p>
    <w:tbl>
      <w:tblPr>
        <w:tblStyle w:val="CDMRange2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55D476A1" w14:textId="77777777" w:rsidTr="005E3B44">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EFCB02F"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0EFFBA78" w14:textId="77777777" w:rsidR="002242F3" w:rsidRPr="005E3B44" w:rsidRDefault="002242F3" w:rsidP="005E3B44">
            <w:pPr>
              <w:pStyle w:val="Normal11"/>
              <w:jc w:val="right"/>
              <w:rPr>
                <w:rFonts w:asciiTheme="minorHAnsi" w:eastAsia="Calibri" w:hAnsiTheme="minorHAnsi" w:cstheme="minorHAnsi"/>
                <w:b/>
                <w:color w:val="000000"/>
                <w:sz w:val="18"/>
              </w:rPr>
            </w:pPr>
          </w:p>
          <w:p w14:paraId="03A13456"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A617732" w14:textId="77777777" w:rsidR="002242F3" w:rsidRPr="005E3B44" w:rsidRDefault="002242F3" w:rsidP="005E3B44">
            <w:pPr>
              <w:pStyle w:val="Normal11"/>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269C97"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524E7C"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Budget            </w:t>
            </w:r>
          </w:p>
          <w:p w14:paraId="6C99A7A9" w14:textId="77777777" w:rsidR="002242F3" w:rsidRPr="005E3B44" w:rsidRDefault="002242F3" w:rsidP="005E3B44">
            <w:pPr>
              <w:pStyle w:val="Normal11"/>
              <w:jc w:val="right"/>
              <w:rPr>
                <w:rFonts w:asciiTheme="minorHAnsi" w:eastAsia="Calibri" w:hAnsiTheme="minorHAnsi" w:cstheme="minorHAnsi"/>
                <w:b/>
                <w:color w:val="000000"/>
                <w:sz w:val="18"/>
              </w:rPr>
            </w:pPr>
          </w:p>
          <w:p w14:paraId="5DC1FC93"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60368BE"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Var </w:t>
            </w:r>
          </w:p>
          <w:p w14:paraId="7BD63CF4"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4ED4743"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Estimate            </w:t>
            </w:r>
          </w:p>
          <w:p w14:paraId="7DD3C175" w14:textId="77777777" w:rsidR="002242F3" w:rsidRPr="005E3B44" w:rsidRDefault="002242F3" w:rsidP="005E3B44">
            <w:pPr>
              <w:pStyle w:val="Normal11"/>
              <w:jc w:val="right"/>
              <w:rPr>
                <w:rFonts w:asciiTheme="minorHAnsi" w:eastAsia="Calibri" w:hAnsiTheme="minorHAnsi" w:cstheme="minorHAnsi"/>
                <w:b/>
                <w:color w:val="000000"/>
                <w:sz w:val="18"/>
              </w:rPr>
            </w:pPr>
          </w:p>
          <w:p w14:paraId="3FB1A9D4"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DCCFB77"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Estimate            </w:t>
            </w:r>
          </w:p>
          <w:p w14:paraId="5BD7C8B7" w14:textId="77777777" w:rsidR="002242F3" w:rsidRPr="005E3B44" w:rsidRDefault="002242F3" w:rsidP="005E3B44">
            <w:pPr>
              <w:pStyle w:val="Normal11"/>
              <w:jc w:val="right"/>
              <w:rPr>
                <w:rFonts w:asciiTheme="minorHAnsi" w:eastAsia="Calibri" w:hAnsiTheme="minorHAnsi" w:cstheme="minorHAnsi"/>
                <w:b/>
                <w:color w:val="000000"/>
                <w:sz w:val="18"/>
              </w:rPr>
            </w:pPr>
          </w:p>
          <w:p w14:paraId="003BEF13"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64F502C"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Estimate            </w:t>
            </w:r>
          </w:p>
          <w:p w14:paraId="7BC35829" w14:textId="77777777" w:rsidR="002242F3" w:rsidRPr="005E3B44" w:rsidRDefault="002242F3" w:rsidP="005E3B44">
            <w:pPr>
              <w:pStyle w:val="Normal11"/>
              <w:jc w:val="right"/>
              <w:rPr>
                <w:rFonts w:asciiTheme="minorHAnsi" w:eastAsia="Calibri" w:hAnsiTheme="minorHAnsi" w:cstheme="minorHAnsi"/>
                <w:b/>
                <w:color w:val="000000"/>
                <w:sz w:val="18"/>
              </w:rPr>
            </w:pPr>
          </w:p>
          <w:p w14:paraId="101A239A"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721B7E9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D7D45B" w14:textId="77777777" w:rsidR="002242F3" w:rsidRPr="005E3B44" w:rsidRDefault="002242F3" w:rsidP="005E3B44">
            <w:pPr>
              <w:pStyle w:val="Normal11"/>
              <w:rPr>
                <w:rFonts w:asciiTheme="minorHAnsi" w:eastAsia="Calibri" w:hAnsiTheme="minorHAnsi" w:cstheme="minorHAnsi"/>
                <w:color w:val="000000"/>
                <w:sz w:val="18"/>
              </w:rPr>
            </w:pPr>
          </w:p>
        </w:tc>
        <w:tc>
          <w:tcPr>
            <w:tcW w:w="816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3CFA870B"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FINANCING ACTIVITIES</w:t>
            </w:r>
          </w:p>
        </w:tc>
      </w:tr>
      <w:tr w:rsidR="002242F3" w:rsidRPr="005E3B44" w14:paraId="7A6F98F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D57A7F"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FC920CB"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1FBF099"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4A0A27"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745BA6"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ECD536"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BC2D4A"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226454" w14:textId="77777777" w:rsidR="002242F3" w:rsidRPr="005E3B44" w:rsidRDefault="002242F3" w:rsidP="005E3B44">
            <w:pPr>
              <w:pStyle w:val="Normal11"/>
              <w:rPr>
                <w:rFonts w:asciiTheme="minorHAnsi" w:eastAsia="Calibri" w:hAnsiTheme="minorHAnsi" w:cstheme="minorHAnsi"/>
                <w:color w:val="000000"/>
                <w:sz w:val="18"/>
              </w:rPr>
            </w:pPr>
          </w:p>
        </w:tc>
      </w:tr>
      <w:tr w:rsidR="002242F3" w:rsidRPr="005E3B44" w14:paraId="7B6072C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4C539D"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30,979</w:t>
            </w:r>
          </w:p>
        </w:tc>
        <w:tc>
          <w:tcPr>
            <w:tcW w:w="2385" w:type="dxa"/>
            <w:tcBorders>
              <w:top w:val="nil"/>
              <w:left w:val="nil"/>
              <w:bottom w:val="nil"/>
              <w:right w:val="nil"/>
              <w:tl2br w:val="nil"/>
              <w:tr2bl w:val="nil"/>
            </w:tcBorders>
            <w:shd w:val="clear" w:color="FFFFFF" w:fill="FFFFFF"/>
            <w:noWrap/>
            <w:tcMar>
              <w:left w:w="101" w:type="dxa"/>
              <w:right w:w="101" w:type="dxa"/>
            </w:tcMar>
          </w:tcPr>
          <w:p w14:paraId="593068B4" w14:textId="77777777" w:rsidR="002242F3" w:rsidRPr="005E3B44" w:rsidRDefault="002242F3" w:rsidP="005E3B44">
            <w:pPr>
              <w:pStyle w:val="Normal1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312DA3D9"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19,934</w:t>
            </w:r>
          </w:p>
        </w:tc>
        <w:tc>
          <w:tcPr>
            <w:tcW w:w="1035" w:type="dxa"/>
            <w:tcBorders>
              <w:top w:val="nil"/>
              <w:left w:val="nil"/>
              <w:bottom w:val="nil"/>
              <w:right w:val="nil"/>
              <w:tl2br w:val="nil"/>
              <w:tr2bl w:val="nil"/>
            </w:tcBorders>
            <w:shd w:val="clear" w:color="FFFFFF" w:fill="FFFFFF"/>
            <w:tcMar>
              <w:left w:w="101" w:type="dxa"/>
              <w:right w:w="101" w:type="dxa"/>
            </w:tcMar>
          </w:tcPr>
          <w:p w14:paraId="3EF3893C"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40,868</w:t>
            </w:r>
          </w:p>
        </w:tc>
        <w:tc>
          <w:tcPr>
            <w:tcW w:w="600" w:type="dxa"/>
            <w:tcBorders>
              <w:top w:val="nil"/>
              <w:left w:val="nil"/>
              <w:bottom w:val="nil"/>
              <w:right w:val="nil"/>
              <w:tl2br w:val="nil"/>
              <w:tr2bl w:val="nil"/>
            </w:tcBorders>
            <w:shd w:val="clear" w:color="FFFFFF" w:fill="FFFFFF"/>
            <w:tcMar>
              <w:left w:w="101" w:type="dxa"/>
              <w:right w:w="101" w:type="dxa"/>
            </w:tcMar>
          </w:tcPr>
          <w:p w14:paraId="1FE48EA0"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105 </w:t>
            </w:r>
          </w:p>
        </w:tc>
        <w:tc>
          <w:tcPr>
            <w:tcW w:w="1035" w:type="dxa"/>
            <w:tcBorders>
              <w:top w:val="nil"/>
              <w:left w:val="nil"/>
              <w:bottom w:val="nil"/>
              <w:right w:val="nil"/>
              <w:tl2br w:val="nil"/>
              <w:tr2bl w:val="nil"/>
            </w:tcBorders>
            <w:shd w:val="clear" w:color="FFFFFF" w:fill="FFFFFF"/>
            <w:tcMar>
              <w:left w:w="101" w:type="dxa"/>
              <w:right w:w="101" w:type="dxa"/>
            </w:tcMar>
          </w:tcPr>
          <w:p w14:paraId="1E406313"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39,968</w:t>
            </w:r>
          </w:p>
        </w:tc>
        <w:tc>
          <w:tcPr>
            <w:tcW w:w="1035" w:type="dxa"/>
            <w:tcBorders>
              <w:top w:val="nil"/>
              <w:left w:val="nil"/>
              <w:bottom w:val="nil"/>
              <w:right w:val="nil"/>
              <w:tl2br w:val="nil"/>
              <w:tr2bl w:val="nil"/>
            </w:tcBorders>
            <w:shd w:val="clear" w:color="FFFFFF" w:fill="FFFFFF"/>
            <w:tcMar>
              <w:left w:w="101" w:type="dxa"/>
              <w:right w:w="101" w:type="dxa"/>
            </w:tcMar>
          </w:tcPr>
          <w:p w14:paraId="2725864D"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34,703</w:t>
            </w:r>
          </w:p>
        </w:tc>
        <w:tc>
          <w:tcPr>
            <w:tcW w:w="1035" w:type="dxa"/>
            <w:tcBorders>
              <w:top w:val="nil"/>
              <w:left w:val="nil"/>
              <w:bottom w:val="nil"/>
              <w:right w:val="nil"/>
              <w:tl2br w:val="nil"/>
              <w:tr2bl w:val="nil"/>
            </w:tcBorders>
            <w:shd w:val="clear" w:color="FFFFFF" w:fill="FFFFFF"/>
            <w:tcMar>
              <w:left w:w="101" w:type="dxa"/>
              <w:right w:w="101" w:type="dxa"/>
            </w:tcMar>
          </w:tcPr>
          <w:p w14:paraId="659E0CDD"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10,092</w:t>
            </w:r>
          </w:p>
        </w:tc>
      </w:tr>
      <w:tr w:rsidR="002242F3" w:rsidRPr="005E3B44" w14:paraId="08B3C3A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1FCC67"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30,979</w:t>
            </w:r>
          </w:p>
        </w:tc>
        <w:tc>
          <w:tcPr>
            <w:tcW w:w="2385" w:type="dxa"/>
            <w:tcBorders>
              <w:top w:val="nil"/>
              <w:left w:val="nil"/>
              <w:bottom w:val="nil"/>
              <w:right w:val="nil"/>
              <w:tl2br w:val="nil"/>
              <w:tr2bl w:val="nil"/>
            </w:tcBorders>
            <w:shd w:val="clear" w:color="FFFFFF" w:fill="FFFFFF"/>
            <w:tcMar>
              <w:left w:w="101" w:type="dxa"/>
              <w:right w:w="101" w:type="dxa"/>
            </w:tcMar>
          </w:tcPr>
          <w:p w14:paraId="64F1675A"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C16E308"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19,934</w:t>
            </w:r>
          </w:p>
        </w:tc>
        <w:tc>
          <w:tcPr>
            <w:tcW w:w="1035" w:type="dxa"/>
            <w:tcBorders>
              <w:top w:val="nil"/>
              <w:left w:val="nil"/>
              <w:bottom w:val="nil"/>
              <w:right w:val="nil"/>
              <w:tl2br w:val="nil"/>
              <w:tr2bl w:val="nil"/>
            </w:tcBorders>
            <w:shd w:val="clear" w:color="FFFFFF" w:fill="FFFFFF"/>
            <w:tcMar>
              <w:left w:w="101" w:type="dxa"/>
              <w:right w:w="101" w:type="dxa"/>
            </w:tcMar>
          </w:tcPr>
          <w:p w14:paraId="35105CA2"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40,868</w:t>
            </w:r>
          </w:p>
        </w:tc>
        <w:tc>
          <w:tcPr>
            <w:tcW w:w="600" w:type="dxa"/>
            <w:tcBorders>
              <w:top w:val="nil"/>
              <w:left w:val="nil"/>
              <w:bottom w:val="nil"/>
              <w:right w:val="nil"/>
              <w:tl2br w:val="nil"/>
              <w:tr2bl w:val="nil"/>
            </w:tcBorders>
            <w:shd w:val="clear" w:color="FFFFFF" w:fill="FFFFFF"/>
            <w:tcMar>
              <w:left w:w="101" w:type="dxa"/>
              <w:right w:w="101" w:type="dxa"/>
            </w:tcMar>
          </w:tcPr>
          <w:p w14:paraId="4FBE8B91"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105 </w:t>
            </w:r>
          </w:p>
        </w:tc>
        <w:tc>
          <w:tcPr>
            <w:tcW w:w="1035" w:type="dxa"/>
            <w:tcBorders>
              <w:top w:val="nil"/>
              <w:left w:val="nil"/>
              <w:bottom w:val="nil"/>
              <w:right w:val="nil"/>
              <w:tl2br w:val="nil"/>
              <w:tr2bl w:val="nil"/>
            </w:tcBorders>
            <w:shd w:val="clear" w:color="FFFFFF" w:fill="FFFFFF"/>
            <w:tcMar>
              <w:left w:w="101" w:type="dxa"/>
              <w:right w:w="101" w:type="dxa"/>
            </w:tcMar>
          </w:tcPr>
          <w:p w14:paraId="5BFD15E9"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39,968</w:t>
            </w:r>
          </w:p>
        </w:tc>
        <w:tc>
          <w:tcPr>
            <w:tcW w:w="1035" w:type="dxa"/>
            <w:tcBorders>
              <w:top w:val="nil"/>
              <w:left w:val="nil"/>
              <w:bottom w:val="nil"/>
              <w:right w:val="nil"/>
              <w:tl2br w:val="nil"/>
              <w:tr2bl w:val="nil"/>
            </w:tcBorders>
            <w:shd w:val="clear" w:color="FFFFFF" w:fill="FFFFFF"/>
            <w:tcMar>
              <w:left w:w="101" w:type="dxa"/>
              <w:right w:w="101" w:type="dxa"/>
            </w:tcMar>
          </w:tcPr>
          <w:p w14:paraId="173E7C7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34,703</w:t>
            </w:r>
          </w:p>
        </w:tc>
        <w:tc>
          <w:tcPr>
            <w:tcW w:w="1035" w:type="dxa"/>
            <w:tcBorders>
              <w:top w:val="nil"/>
              <w:left w:val="nil"/>
              <w:bottom w:val="nil"/>
              <w:right w:val="nil"/>
              <w:tl2br w:val="nil"/>
              <w:tr2bl w:val="nil"/>
            </w:tcBorders>
            <w:shd w:val="clear" w:color="FFFFFF" w:fill="FFFFFF"/>
            <w:tcMar>
              <w:left w:w="101" w:type="dxa"/>
              <w:right w:w="101" w:type="dxa"/>
            </w:tcMar>
          </w:tcPr>
          <w:p w14:paraId="533A9004"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10,092</w:t>
            </w:r>
          </w:p>
        </w:tc>
      </w:tr>
      <w:tr w:rsidR="002242F3" w:rsidRPr="005E3B44" w14:paraId="4C95398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3664545"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57C5337"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91353A"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B3E084"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DB8F7E6"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0B2B7D"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03AD9"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2E418B" w14:textId="77777777" w:rsidR="002242F3" w:rsidRPr="005E3B44" w:rsidRDefault="002242F3" w:rsidP="005E3B44">
            <w:pPr>
              <w:pStyle w:val="Normal11"/>
              <w:rPr>
                <w:rFonts w:asciiTheme="minorHAnsi" w:eastAsia="Calibri" w:hAnsiTheme="minorHAnsi" w:cstheme="minorHAnsi"/>
                <w:color w:val="000000"/>
                <w:sz w:val="18"/>
              </w:rPr>
            </w:pPr>
          </w:p>
        </w:tc>
      </w:tr>
      <w:tr w:rsidR="002242F3" w:rsidRPr="005E3B44" w14:paraId="4499148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3CBD2B2"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D5EBF6C"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6E25406"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BE3017"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47A7E4"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009EE2"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DC21C3"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0811A2" w14:textId="77777777" w:rsidR="002242F3" w:rsidRPr="005E3B44" w:rsidRDefault="002242F3" w:rsidP="005E3B44">
            <w:pPr>
              <w:pStyle w:val="Normal11"/>
              <w:rPr>
                <w:rFonts w:asciiTheme="minorHAnsi" w:eastAsia="Calibri" w:hAnsiTheme="minorHAnsi" w:cstheme="minorHAnsi"/>
                <w:color w:val="000000"/>
                <w:sz w:val="18"/>
              </w:rPr>
            </w:pPr>
          </w:p>
        </w:tc>
      </w:tr>
      <w:tr w:rsidR="002242F3" w:rsidRPr="005E3B44" w14:paraId="33E7CEC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B513A6"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2385" w:type="dxa"/>
            <w:tcBorders>
              <w:top w:val="nil"/>
              <w:left w:val="nil"/>
              <w:bottom w:val="nil"/>
              <w:right w:val="nil"/>
              <w:tl2br w:val="nil"/>
              <w:tr2bl w:val="nil"/>
            </w:tcBorders>
            <w:shd w:val="clear" w:color="FFFFFF" w:fill="FFFFFF"/>
            <w:noWrap/>
            <w:tcMar>
              <w:left w:w="101" w:type="dxa"/>
              <w:right w:w="101" w:type="dxa"/>
            </w:tcMar>
          </w:tcPr>
          <w:p w14:paraId="20BF9F46" w14:textId="77777777" w:rsidR="002242F3" w:rsidRPr="005E3B44" w:rsidRDefault="002242F3" w:rsidP="005E3B44">
            <w:pPr>
              <w:pStyle w:val="Normal11"/>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724DFD58"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5,942</w:t>
            </w:r>
          </w:p>
        </w:tc>
        <w:tc>
          <w:tcPr>
            <w:tcW w:w="1035" w:type="dxa"/>
            <w:tcBorders>
              <w:top w:val="nil"/>
              <w:left w:val="nil"/>
              <w:bottom w:val="nil"/>
              <w:right w:val="nil"/>
              <w:tl2br w:val="nil"/>
              <w:tr2bl w:val="nil"/>
            </w:tcBorders>
            <w:shd w:val="clear" w:color="FFFFFF" w:fill="FFFFFF"/>
            <w:tcMar>
              <w:left w:w="101" w:type="dxa"/>
              <w:right w:w="101" w:type="dxa"/>
            </w:tcMar>
          </w:tcPr>
          <w:p w14:paraId="34FD0CA9"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600" w:type="dxa"/>
            <w:tcBorders>
              <w:top w:val="nil"/>
              <w:left w:val="nil"/>
              <w:bottom w:val="nil"/>
              <w:right w:val="nil"/>
              <w:tl2br w:val="nil"/>
              <w:tr2bl w:val="nil"/>
            </w:tcBorders>
            <w:shd w:val="clear" w:color="FFFFFF" w:fill="FFFFFF"/>
            <w:tcMar>
              <w:left w:w="101" w:type="dxa"/>
              <w:right w:w="101" w:type="dxa"/>
            </w:tcMar>
          </w:tcPr>
          <w:p w14:paraId="6ADB7440"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-93 </w:t>
            </w:r>
          </w:p>
        </w:tc>
        <w:tc>
          <w:tcPr>
            <w:tcW w:w="1035" w:type="dxa"/>
            <w:tcBorders>
              <w:top w:val="nil"/>
              <w:left w:val="nil"/>
              <w:bottom w:val="nil"/>
              <w:right w:val="nil"/>
              <w:tl2br w:val="nil"/>
              <w:tr2bl w:val="nil"/>
            </w:tcBorders>
            <w:shd w:val="clear" w:color="FFFFFF" w:fill="FFFFFF"/>
            <w:tcMar>
              <w:left w:w="101" w:type="dxa"/>
              <w:right w:w="101" w:type="dxa"/>
            </w:tcMar>
          </w:tcPr>
          <w:p w14:paraId="0007B8AF"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4344C7BF"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40AFD0BE" w14:textId="77777777" w:rsidR="002242F3" w:rsidRPr="005E3B44" w:rsidRDefault="002242F3" w:rsidP="005E3B44">
            <w:pPr>
              <w:pStyle w:val="Normal11"/>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r>
      <w:tr w:rsidR="002242F3" w:rsidRPr="005E3B44" w14:paraId="4530432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F4AC9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400</w:t>
            </w:r>
          </w:p>
        </w:tc>
        <w:tc>
          <w:tcPr>
            <w:tcW w:w="2385" w:type="dxa"/>
            <w:tcBorders>
              <w:top w:val="nil"/>
              <w:left w:val="nil"/>
              <w:bottom w:val="nil"/>
              <w:right w:val="nil"/>
              <w:tl2br w:val="nil"/>
              <w:tr2bl w:val="nil"/>
            </w:tcBorders>
            <w:shd w:val="clear" w:color="FFFFFF" w:fill="FFFFFF"/>
            <w:tcMar>
              <w:left w:w="101" w:type="dxa"/>
              <w:right w:w="101" w:type="dxa"/>
            </w:tcMar>
          </w:tcPr>
          <w:p w14:paraId="6B8EFAB1"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7345B93"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5,942</w:t>
            </w:r>
          </w:p>
        </w:tc>
        <w:tc>
          <w:tcPr>
            <w:tcW w:w="1035" w:type="dxa"/>
            <w:tcBorders>
              <w:top w:val="nil"/>
              <w:left w:val="nil"/>
              <w:bottom w:val="nil"/>
              <w:right w:val="nil"/>
              <w:tl2br w:val="nil"/>
              <w:tr2bl w:val="nil"/>
            </w:tcBorders>
            <w:shd w:val="clear" w:color="FFFFFF" w:fill="FFFFFF"/>
            <w:tcMar>
              <w:left w:w="101" w:type="dxa"/>
              <w:right w:w="101" w:type="dxa"/>
            </w:tcMar>
          </w:tcPr>
          <w:p w14:paraId="5EA9F93B"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400</w:t>
            </w:r>
          </w:p>
        </w:tc>
        <w:tc>
          <w:tcPr>
            <w:tcW w:w="600" w:type="dxa"/>
            <w:tcBorders>
              <w:top w:val="nil"/>
              <w:left w:val="nil"/>
              <w:bottom w:val="nil"/>
              <w:right w:val="nil"/>
              <w:tl2br w:val="nil"/>
              <w:tr2bl w:val="nil"/>
            </w:tcBorders>
            <w:shd w:val="clear" w:color="FFFFFF" w:fill="FFFFFF"/>
            <w:tcMar>
              <w:left w:w="101" w:type="dxa"/>
              <w:right w:w="101" w:type="dxa"/>
            </w:tcMar>
          </w:tcPr>
          <w:p w14:paraId="39CB3CA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-93 </w:t>
            </w:r>
          </w:p>
        </w:tc>
        <w:tc>
          <w:tcPr>
            <w:tcW w:w="1035" w:type="dxa"/>
            <w:tcBorders>
              <w:top w:val="nil"/>
              <w:left w:val="nil"/>
              <w:bottom w:val="nil"/>
              <w:right w:val="nil"/>
              <w:tl2br w:val="nil"/>
              <w:tr2bl w:val="nil"/>
            </w:tcBorders>
            <w:shd w:val="clear" w:color="FFFFFF" w:fill="FFFFFF"/>
            <w:tcMar>
              <w:left w:w="101" w:type="dxa"/>
              <w:right w:w="101" w:type="dxa"/>
            </w:tcMar>
          </w:tcPr>
          <w:p w14:paraId="44E3966F"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6A0EF524"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5ADF5798"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400</w:t>
            </w:r>
          </w:p>
        </w:tc>
      </w:tr>
      <w:tr w:rsidR="002242F3" w:rsidRPr="005E3B44" w14:paraId="6316C15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78DF0D5"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5D1344"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B8E328"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EF4BFF"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436701"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D36475"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C1C734"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03E28B" w14:textId="77777777" w:rsidR="002242F3" w:rsidRPr="005E3B44" w:rsidRDefault="002242F3" w:rsidP="005E3B44">
            <w:pPr>
              <w:pStyle w:val="Normal11"/>
              <w:rPr>
                <w:rFonts w:asciiTheme="minorHAnsi" w:eastAsia="Calibri" w:hAnsiTheme="minorHAnsi" w:cstheme="minorHAnsi"/>
                <w:color w:val="000000"/>
                <w:sz w:val="18"/>
              </w:rPr>
            </w:pPr>
          </w:p>
        </w:tc>
      </w:tr>
      <w:tr w:rsidR="002242F3" w:rsidRPr="005E3B44" w14:paraId="1289EE7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0508F0"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30,579</w:t>
            </w:r>
          </w:p>
        </w:tc>
        <w:tc>
          <w:tcPr>
            <w:tcW w:w="2385" w:type="dxa"/>
            <w:tcBorders>
              <w:top w:val="nil"/>
              <w:left w:val="nil"/>
              <w:bottom w:val="nil"/>
              <w:right w:val="nil"/>
              <w:tl2br w:val="nil"/>
              <w:tr2bl w:val="nil"/>
            </w:tcBorders>
            <w:shd w:val="clear" w:color="FFFFFF" w:fill="FFFFFF"/>
            <w:noWrap/>
            <w:tcMar>
              <w:left w:w="101" w:type="dxa"/>
              <w:right w:w="101" w:type="dxa"/>
            </w:tcMar>
          </w:tcPr>
          <w:p w14:paraId="0B34DE92"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64B326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13,992</w:t>
            </w:r>
          </w:p>
        </w:tc>
        <w:tc>
          <w:tcPr>
            <w:tcW w:w="1035" w:type="dxa"/>
            <w:tcBorders>
              <w:top w:val="nil"/>
              <w:left w:val="nil"/>
              <w:bottom w:val="nil"/>
              <w:right w:val="nil"/>
              <w:tl2br w:val="nil"/>
              <w:tr2bl w:val="nil"/>
            </w:tcBorders>
            <w:shd w:val="clear" w:color="FFFFFF" w:fill="FFFFFF"/>
            <w:tcMar>
              <w:left w:w="101" w:type="dxa"/>
              <w:right w:w="101" w:type="dxa"/>
            </w:tcMar>
          </w:tcPr>
          <w:p w14:paraId="0DDA3998"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40,468</w:t>
            </w:r>
          </w:p>
        </w:tc>
        <w:tc>
          <w:tcPr>
            <w:tcW w:w="600" w:type="dxa"/>
            <w:tcBorders>
              <w:top w:val="nil"/>
              <w:left w:val="nil"/>
              <w:bottom w:val="nil"/>
              <w:right w:val="nil"/>
              <w:tl2br w:val="nil"/>
              <w:tr2bl w:val="nil"/>
            </w:tcBorders>
            <w:shd w:val="clear" w:color="FFFFFF" w:fill="FFFFFF"/>
            <w:tcMar>
              <w:left w:w="101" w:type="dxa"/>
              <w:right w:w="101" w:type="dxa"/>
            </w:tcMar>
          </w:tcPr>
          <w:p w14:paraId="07E04654"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189 </w:t>
            </w:r>
          </w:p>
        </w:tc>
        <w:tc>
          <w:tcPr>
            <w:tcW w:w="1035" w:type="dxa"/>
            <w:tcBorders>
              <w:top w:val="nil"/>
              <w:left w:val="nil"/>
              <w:bottom w:val="nil"/>
              <w:right w:val="nil"/>
              <w:tl2br w:val="nil"/>
              <w:tr2bl w:val="nil"/>
            </w:tcBorders>
            <w:shd w:val="clear" w:color="FFFFFF" w:fill="FFFFFF"/>
            <w:tcMar>
              <w:left w:w="101" w:type="dxa"/>
              <w:right w:w="101" w:type="dxa"/>
            </w:tcMar>
          </w:tcPr>
          <w:p w14:paraId="41F6AA48"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39,568</w:t>
            </w:r>
          </w:p>
        </w:tc>
        <w:tc>
          <w:tcPr>
            <w:tcW w:w="1035" w:type="dxa"/>
            <w:tcBorders>
              <w:top w:val="nil"/>
              <w:left w:val="nil"/>
              <w:bottom w:val="nil"/>
              <w:right w:val="nil"/>
              <w:tl2br w:val="nil"/>
              <w:tr2bl w:val="nil"/>
            </w:tcBorders>
            <w:shd w:val="clear" w:color="FFFFFF" w:fill="FFFFFF"/>
            <w:tcMar>
              <w:left w:w="101" w:type="dxa"/>
              <w:right w:w="101" w:type="dxa"/>
            </w:tcMar>
          </w:tcPr>
          <w:p w14:paraId="2EEF549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34,303</w:t>
            </w:r>
          </w:p>
        </w:tc>
        <w:tc>
          <w:tcPr>
            <w:tcW w:w="1035" w:type="dxa"/>
            <w:tcBorders>
              <w:top w:val="nil"/>
              <w:left w:val="nil"/>
              <w:bottom w:val="nil"/>
              <w:right w:val="nil"/>
              <w:tl2br w:val="nil"/>
              <w:tr2bl w:val="nil"/>
            </w:tcBorders>
            <w:shd w:val="clear" w:color="FFFFFF" w:fill="FFFFFF"/>
            <w:tcMar>
              <w:left w:w="101" w:type="dxa"/>
              <w:right w:w="101" w:type="dxa"/>
            </w:tcMar>
          </w:tcPr>
          <w:p w14:paraId="2E8DD750"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9,692</w:t>
            </w:r>
          </w:p>
        </w:tc>
      </w:tr>
      <w:tr w:rsidR="002242F3" w:rsidRPr="005E3B44" w14:paraId="72C8DC9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8DC28A"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96CFF46"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8A03CA"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C00A50"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4588629"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1FD0B3"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963BE4"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848401" w14:textId="77777777" w:rsidR="002242F3" w:rsidRPr="005E3B44" w:rsidRDefault="002242F3" w:rsidP="005E3B44">
            <w:pPr>
              <w:pStyle w:val="Normal11"/>
              <w:rPr>
                <w:rFonts w:asciiTheme="minorHAnsi" w:eastAsia="Calibri" w:hAnsiTheme="minorHAnsi" w:cstheme="minorHAnsi"/>
                <w:color w:val="000000"/>
                <w:sz w:val="18"/>
              </w:rPr>
            </w:pPr>
          </w:p>
        </w:tc>
      </w:tr>
      <w:tr w:rsidR="002242F3" w:rsidRPr="005E3B44" w14:paraId="7013853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C3C94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-8,374</w:t>
            </w:r>
          </w:p>
        </w:tc>
        <w:tc>
          <w:tcPr>
            <w:tcW w:w="2385" w:type="dxa"/>
            <w:tcBorders>
              <w:top w:val="nil"/>
              <w:left w:val="nil"/>
              <w:bottom w:val="nil"/>
              <w:right w:val="nil"/>
              <w:tl2br w:val="nil"/>
              <w:tr2bl w:val="nil"/>
            </w:tcBorders>
            <w:shd w:val="clear" w:color="FFFFFF" w:fill="FFFFFF"/>
            <w:noWrap/>
            <w:tcMar>
              <w:left w:w="101" w:type="dxa"/>
              <w:right w:w="101" w:type="dxa"/>
            </w:tcMar>
          </w:tcPr>
          <w:p w14:paraId="580E6238"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3ADAD09E"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-7,387</w:t>
            </w:r>
          </w:p>
        </w:tc>
        <w:tc>
          <w:tcPr>
            <w:tcW w:w="1035" w:type="dxa"/>
            <w:tcBorders>
              <w:top w:val="nil"/>
              <w:left w:val="nil"/>
              <w:bottom w:val="nil"/>
              <w:right w:val="nil"/>
              <w:tl2br w:val="nil"/>
              <w:tr2bl w:val="nil"/>
            </w:tcBorders>
            <w:shd w:val="clear" w:color="FFFFFF" w:fill="FFFFFF"/>
            <w:tcMar>
              <w:left w:w="101" w:type="dxa"/>
              <w:right w:w="101" w:type="dxa"/>
            </w:tcMar>
          </w:tcPr>
          <w:p w14:paraId="778201CE"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-181</w:t>
            </w:r>
          </w:p>
        </w:tc>
        <w:tc>
          <w:tcPr>
            <w:tcW w:w="600" w:type="dxa"/>
            <w:tcBorders>
              <w:top w:val="nil"/>
              <w:left w:val="nil"/>
              <w:bottom w:val="nil"/>
              <w:right w:val="nil"/>
              <w:tl2br w:val="nil"/>
              <w:tr2bl w:val="nil"/>
            </w:tcBorders>
            <w:shd w:val="clear" w:color="FFFFFF" w:fill="FFFFFF"/>
            <w:tcMar>
              <w:left w:w="101" w:type="dxa"/>
              <w:right w:w="101" w:type="dxa"/>
            </w:tcMar>
          </w:tcPr>
          <w:p w14:paraId="518C35D2"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98 </w:t>
            </w:r>
          </w:p>
        </w:tc>
        <w:tc>
          <w:tcPr>
            <w:tcW w:w="1035" w:type="dxa"/>
            <w:tcBorders>
              <w:top w:val="nil"/>
              <w:left w:val="nil"/>
              <w:bottom w:val="nil"/>
              <w:right w:val="nil"/>
              <w:tl2br w:val="nil"/>
              <w:tr2bl w:val="nil"/>
            </w:tcBorders>
            <w:shd w:val="clear" w:color="FFFFFF" w:fill="FFFFFF"/>
            <w:tcMar>
              <w:left w:w="101" w:type="dxa"/>
              <w:right w:w="101" w:type="dxa"/>
            </w:tcMar>
          </w:tcPr>
          <w:p w14:paraId="0AF9880B"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-181</w:t>
            </w:r>
          </w:p>
        </w:tc>
        <w:tc>
          <w:tcPr>
            <w:tcW w:w="1035" w:type="dxa"/>
            <w:tcBorders>
              <w:top w:val="nil"/>
              <w:left w:val="nil"/>
              <w:bottom w:val="nil"/>
              <w:right w:val="nil"/>
              <w:tl2br w:val="nil"/>
              <w:tr2bl w:val="nil"/>
            </w:tcBorders>
            <w:shd w:val="clear" w:color="FFFFFF" w:fill="FFFFFF"/>
            <w:tcMar>
              <w:left w:w="101" w:type="dxa"/>
              <w:right w:w="101" w:type="dxa"/>
            </w:tcMar>
          </w:tcPr>
          <w:p w14:paraId="21E4BDC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-181</w:t>
            </w:r>
          </w:p>
        </w:tc>
        <w:tc>
          <w:tcPr>
            <w:tcW w:w="1035" w:type="dxa"/>
            <w:tcBorders>
              <w:top w:val="nil"/>
              <w:left w:val="nil"/>
              <w:bottom w:val="nil"/>
              <w:right w:val="nil"/>
              <w:tl2br w:val="nil"/>
              <w:tr2bl w:val="nil"/>
            </w:tcBorders>
            <w:shd w:val="clear" w:color="FFFFFF" w:fill="FFFFFF"/>
            <w:tcMar>
              <w:left w:w="101" w:type="dxa"/>
              <w:right w:w="101" w:type="dxa"/>
            </w:tcMar>
          </w:tcPr>
          <w:p w14:paraId="5F5236F7"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-181</w:t>
            </w:r>
          </w:p>
        </w:tc>
      </w:tr>
      <w:tr w:rsidR="002242F3" w:rsidRPr="005E3B44" w14:paraId="42DE7B1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EB3107"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4C4B87A"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E5FF7B"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86DF63"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349A4D"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1064CD"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F7C471"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381731" w14:textId="77777777" w:rsidR="002242F3" w:rsidRPr="005E3B44" w:rsidRDefault="002242F3" w:rsidP="005E3B44">
            <w:pPr>
              <w:pStyle w:val="Normal11"/>
              <w:rPr>
                <w:rFonts w:asciiTheme="minorHAnsi" w:eastAsia="Calibri" w:hAnsiTheme="minorHAnsi" w:cstheme="minorHAnsi"/>
                <w:color w:val="000000"/>
                <w:sz w:val="18"/>
              </w:rPr>
            </w:pPr>
          </w:p>
        </w:tc>
      </w:tr>
      <w:tr w:rsidR="002242F3" w:rsidRPr="005E3B44" w14:paraId="05811CF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259F83"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19,261</w:t>
            </w:r>
          </w:p>
        </w:tc>
        <w:tc>
          <w:tcPr>
            <w:tcW w:w="2385" w:type="dxa"/>
            <w:tcBorders>
              <w:top w:val="nil"/>
              <w:left w:val="nil"/>
              <w:bottom w:val="nil"/>
              <w:right w:val="nil"/>
              <w:tl2br w:val="nil"/>
              <w:tr2bl w:val="nil"/>
            </w:tcBorders>
            <w:shd w:val="clear" w:color="auto" w:fill="auto"/>
            <w:noWrap/>
            <w:tcMar>
              <w:left w:w="101" w:type="dxa"/>
              <w:right w:w="101" w:type="dxa"/>
            </w:tcMar>
          </w:tcPr>
          <w:p w14:paraId="7A654339"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9D0CB6F"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19,261</w:t>
            </w:r>
          </w:p>
        </w:tc>
        <w:tc>
          <w:tcPr>
            <w:tcW w:w="1035" w:type="dxa"/>
            <w:tcBorders>
              <w:top w:val="nil"/>
              <w:left w:val="nil"/>
              <w:bottom w:val="nil"/>
              <w:right w:val="nil"/>
              <w:tl2br w:val="nil"/>
              <w:tr2bl w:val="nil"/>
            </w:tcBorders>
            <w:shd w:val="clear" w:color="FFFFFF" w:fill="FFFFFF"/>
            <w:tcMar>
              <w:left w:w="101" w:type="dxa"/>
              <w:right w:w="101" w:type="dxa"/>
            </w:tcMar>
          </w:tcPr>
          <w:p w14:paraId="7A192030"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11,874</w:t>
            </w:r>
          </w:p>
        </w:tc>
        <w:tc>
          <w:tcPr>
            <w:tcW w:w="600" w:type="dxa"/>
            <w:tcBorders>
              <w:top w:val="nil"/>
              <w:left w:val="nil"/>
              <w:bottom w:val="nil"/>
              <w:right w:val="nil"/>
              <w:tl2br w:val="nil"/>
              <w:tr2bl w:val="nil"/>
            </w:tcBorders>
            <w:shd w:val="clear" w:color="FFFFFF" w:fill="FFFFFF"/>
            <w:tcMar>
              <w:left w:w="101" w:type="dxa"/>
              <w:right w:w="101" w:type="dxa"/>
            </w:tcMar>
          </w:tcPr>
          <w:p w14:paraId="30F4BA7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37A31A5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11,693</w:t>
            </w:r>
          </w:p>
        </w:tc>
        <w:tc>
          <w:tcPr>
            <w:tcW w:w="1035" w:type="dxa"/>
            <w:tcBorders>
              <w:top w:val="nil"/>
              <w:left w:val="nil"/>
              <w:bottom w:val="nil"/>
              <w:right w:val="nil"/>
              <w:tl2br w:val="nil"/>
              <w:tr2bl w:val="nil"/>
            </w:tcBorders>
            <w:shd w:val="clear" w:color="FFFFFF" w:fill="FFFFFF"/>
            <w:tcMar>
              <w:left w:w="101" w:type="dxa"/>
              <w:right w:w="101" w:type="dxa"/>
            </w:tcMar>
          </w:tcPr>
          <w:p w14:paraId="07372A2B"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11,512</w:t>
            </w:r>
          </w:p>
        </w:tc>
        <w:tc>
          <w:tcPr>
            <w:tcW w:w="1035" w:type="dxa"/>
            <w:tcBorders>
              <w:top w:val="nil"/>
              <w:left w:val="nil"/>
              <w:bottom w:val="nil"/>
              <w:right w:val="nil"/>
              <w:tl2br w:val="nil"/>
              <w:tr2bl w:val="nil"/>
            </w:tcBorders>
            <w:shd w:val="clear" w:color="FFFFFF" w:fill="FFFFFF"/>
            <w:tcMar>
              <w:left w:w="101" w:type="dxa"/>
              <w:right w:w="101" w:type="dxa"/>
            </w:tcMar>
          </w:tcPr>
          <w:p w14:paraId="6A5978ED"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11,331</w:t>
            </w:r>
          </w:p>
        </w:tc>
      </w:tr>
      <w:tr w:rsidR="002242F3" w:rsidRPr="005E3B44" w14:paraId="282C113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41667B"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79055758"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F4C2ED"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E6F6F5"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9CEE52"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6F870B"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9CA73C"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C8748C" w14:textId="77777777" w:rsidR="002242F3" w:rsidRPr="005E3B44" w:rsidRDefault="002242F3" w:rsidP="005E3B44">
            <w:pPr>
              <w:pStyle w:val="Normal11"/>
              <w:rPr>
                <w:rFonts w:asciiTheme="minorHAnsi" w:eastAsia="Calibri" w:hAnsiTheme="minorHAnsi" w:cstheme="minorHAnsi"/>
                <w:color w:val="000000"/>
                <w:sz w:val="18"/>
              </w:rPr>
            </w:pPr>
          </w:p>
        </w:tc>
      </w:tr>
      <w:tr w:rsidR="002242F3" w:rsidRPr="005E3B44" w14:paraId="45F43B8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9CB269"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10,887</w:t>
            </w:r>
          </w:p>
        </w:tc>
        <w:tc>
          <w:tcPr>
            <w:tcW w:w="2385" w:type="dxa"/>
            <w:tcBorders>
              <w:top w:val="nil"/>
              <w:left w:val="nil"/>
              <w:bottom w:val="nil"/>
              <w:right w:val="nil"/>
              <w:tl2br w:val="nil"/>
              <w:tr2bl w:val="nil"/>
            </w:tcBorders>
            <w:shd w:val="clear" w:color="auto" w:fill="auto"/>
            <w:noWrap/>
            <w:tcMar>
              <w:left w:w="101" w:type="dxa"/>
              <w:right w:w="101" w:type="dxa"/>
            </w:tcMar>
          </w:tcPr>
          <w:p w14:paraId="3F753AAA" w14:textId="77777777" w:rsidR="002242F3" w:rsidRPr="005E3B44" w:rsidRDefault="002242F3" w:rsidP="005E3B44">
            <w:pPr>
              <w:pStyle w:val="Normal11"/>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0F586167"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11,874</w:t>
            </w:r>
          </w:p>
        </w:tc>
        <w:tc>
          <w:tcPr>
            <w:tcW w:w="1035" w:type="dxa"/>
            <w:tcBorders>
              <w:top w:val="nil"/>
              <w:left w:val="nil"/>
              <w:bottom w:val="nil"/>
              <w:right w:val="nil"/>
              <w:tl2br w:val="nil"/>
              <w:tr2bl w:val="nil"/>
            </w:tcBorders>
            <w:shd w:val="clear" w:color="FFFFFF" w:fill="FFFFFF"/>
            <w:tcMar>
              <w:left w:w="101" w:type="dxa"/>
              <w:right w:w="101" w:type="dxa"/>
            </w:tcMar>
          </w:tcPr>
          <w:p w14:paraId="4C9D777F"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11,693</w:t>
            </w:r>
          </w:p>
        </w:tc>
        <w:tc>
          <w:tcPr>
            <w:tcW w:w="600" w:type="dxa"/>
            <w:tcBorders>
              <w:top w:val="nil"/>
              <w:left w:val="nil"/>
              <w:bottom w:val="nil"/>
              <w:right w:val="nil"/>
              <w:tl2br w:val="nil"/>
              <w:tr2bl w:val="nil"/>
            </w:tcBorders>
            <w:shd w:val="clear" w:color="FFFFFF" w:fill="FFFFFF"/>
            <w:tcMar>
              <w:left w:w="101" w:type="dxa"/>
              <w:right w:w="101" w:type="dxa"/>
            </w:tcMar>
          </w:tcPr>
          <w:p w14:paraId="4FFE1D20"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62B0343B"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11,512</w:t>
            </w:r>
          </w:p>
        </w:tc>
        <w:tc>
          <w:tcPr>
            <w:tcW w:w="1035" w:type="dxa"/>
            <w:tcBorders>
              <w:top w:val="nil"/>
              <w:left w:val="nil"/>
              <w:bottom w:val="nil"/>
              <w:right w:val="nil"/>
              <w:tl2br w:val="nil"/>
              <w:tr2bl w:val="nil"/>
            </w:tcBorders>
            <w:shd w:val="clear" w:color="FFFFFF" w:fill="FFFFFF"/>
            <w:tcMar>
              <w:left w:w="101" w:type="dxa"/>
              <w:right w:w="101" w:type="dxa"/>
            </w:tcMar>
          </w:tcPr>
          <w:p w14:paraId="1CD0B2F2"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11,331</w:t>
            </w:r>
          </w:p>
        </w:tc>
        <w:tc>
          <w:tcPr>
            <w:tcW w:w="1035" w:type="dxa"/>
            <w:tcBorders>
              <w:top w:val="nil"/>
              <w:left w:val="nil"/>
              <w:bottom w:val="nil"/>
              <w:right w:val="nil"/>
              <w:tl2br w:val="nil"/>
              <w:tr2bl w:val="nil"/>
            </w:tcBorders>
            <w:shd w:val="clear" w:color="FFFFFF" w:fill="FFFFFF"/>
            <w:tcMar>
              <w:left w:w="101" w:type="dxa"/>
              <w:right w:w="101" w:type="dxa"/>
            </w:tcMar>
          </w:tcPr>
          <w:p w14:paraId="0D6DBCE4" w14:textId="77777777" w:rsidR="002242F3" w:rsidRPr="005E3B44" w:rsidRDefault="002242F3" w:rsidP="005E3B44">
            <w:pPr>
              <w:pStyle w:val="Normal11"/>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11,150</w:t>
            </w:r>
          </w:p>
        </w:tc>
      </w:tr>
      <w:tr w:rsidR="002242F3" w:rsidRPr="005E3B44" w14:paraId="7769D99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59CE643" w14:textId="77777777" w:rsidR="002242F3" w:rsidRPr="005E3B44" w:rsidRDefault="002242F3" w:rsidP="005E3B44">
            <w:pPr>
              <w:pStyle w:val="Normal11"/>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F3A7CF8"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1D90DC2"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EF1B93F" w14:textId="77777777" w:rsidR="002242F3" w:rsidRPr="005E3B44" w:rsidRDefault="002242F3" w:rsidP="005E3B44">
            <w:pPr>
              <w:pStyle w:val="Normal11"/>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A5C83C7"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A380D43"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3617E02" w14:textId="77777777" w:rsidR="002242F3" w:rsidRPr="005E3B44" w:rsidRDefault="002242F3" w:rsidP="005E3B44">
            <w:pPr>
              <w:pStyle w:val="Normal11"/>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E2BF52E" w14:textId="77777777" w:rsidR="002242F3" w:rsidRPr="005E3B44" w:rsidRDefault="002242F3" w:rsidP="005E3B44">
            <w:pPr>
              <w:pStyle w:val="Normal11"/>
              <w:rPr>
                <w:rFonts w:asciiTheme="minorHAnsi" w:eastAsia="Calibri" w:hAnsiTheme="minorHAnsi" w:cstheme="minorHAnsi"/>
                <w:color w:val="000000"/>
                <w:sz w:val="18"/>
              </w:rPr>
            </w:pPr>
          </w:p>
        </w:tc>
      </w:tr>
    </w:tbl>
    <w:p w14:paraId="32CEA8F7" w14:textId="77777777" w:rsidR="002242F3" w:rsidRPr="005E3B44" w:rsidRDefault="002242F3" w:rsidP="002242F3">
      <w:pPr>
        <w:pageBreakBefore/>
        <w:pBdr>
          <w:top w:val="nil"/>
          <w:left w:val="nil"/>
          <w:bottom w:val="nil"/>
          <w:right w:val="nil"/>
          <w:between w:val="nil"/>
          <w:bar w:val="nil"/>
        </w:pBdr>
        <w:rPr>
          <w:rFonts w:asciiTheme="minorHAnsi" w:hAnsiTheme="minorHAnsi" w:cstheme="minorHAnsi"/>
          <w:b/>
          <w:bCs/>
          <w:szCs w:val="24"/>
          <w:bdr w:val="nil"/>
        </w:rPr>
      </w:pPr>
      <w:bookmarkStart w:id="25" w:name="_Hlk62809057"/>
      <w:r w:rsidRPr="005E3B44">
        <w:rPr>
          <w:rFonts w:asciiTheme="minorHAnsi" w:hAnsiTheme="minorHAnsi" w:cstheme="minorHAnsi"/>
          <w:b/>
          <w:bCs/>
          <w:szCs w:val="24"/>
          <w:bdr w:val="nil"/>
        </w:rPr>
        <w:lastRenderedPageBreak/>
        <w:t>Notes to the Controlled Budget Statements</w:t>
      </w:r>
    </w:p>
    <w:p w14:paraId="3D34DD7A" w14:textId="77777777" w:rsidR="002242F3" w:rsidRPr="005E3B44" w:rsidRDefault="002242F3" w:rsidP="002242F3">
      <w:pPr>
        <w:pBdr>
          <w:top w:val="nil"/>
          <w:left w:val="nil"/>
          <w:bottom w:val="nil"/>
          <w:right w:val="nil"/>
          <w:between w:val="nil"/>
          <w:bar w:val="nil"/>
        </w:pBdr>
        <w:rPr>
          <w:rFonts w:asciiTheme="minorHAnsi" w:hAnsiTheme="minorHAnsi" w:cstheme="minorHAnsi"/>
          <w:szCs w:val="24"/>
          <w:bdr w:val="nil"/>
        </w:rPr>
      </w:pPr>
      <w:r w:rsidRPr="005E3B44">
        <w:rPr>
          <w:rFonts w:asciiTheme="minorHAnsi" w:hAnsiTheme="minorHAnsi" w:cstheme="minorHAnsi"/>
          <w:szCs w:val="24"/>
          <w:bdr w:val="nil"/>
        </w:rPr>
        <w:t>Significant variations are as follows:</w:t>
      </w:r>
    </w:p>
    <w:p w14:paraId="302171AE" w14:textId="77777777" w:rsidR="002242F3" w:rsidRPr="005E3B44" w:rsidRDefault="002242F3" w:rsidP="002242F3">
      <w:pPr>
        <w:pBdr>
          <w:top w:val="nil"/>
          <w:left w:val="nil"/>
          <w:bottom w:val="nil"/>
          <w:right w:val="nil"/>
          <w:between w:val="nil"/>
          <w:bar w:val="nil"/>
        </w:pBdr>
        <w:spacing w:after="160" w:line="256" w:lineRule="auto"/>
        <w:rPr>
          <w:rFonts w:asciiTheme="minorHAnsi" w:hAnsiTheme="minorHAnsi" w:cstheme="minorHAnsi"/>
          <w:b/>
          <w:bCs/>
          <w:i/>
          <w:iCs/>
          <w:szCs w:val="24"/>
          <w:bdr w:val="nil"/>
        </w:rPr>
      </w:pPr>
      <w:r w:rsidRPr="005E3B44">
        <w:rPr>
          <w:rFonts w:asciiTheme="minorHAnsi" w:hAnsiTheme="minorHAnsi" w:cstheme="minorHAnsi"/>
          <w:b/>
          <w:bCs/>
          <w:i/>
          <w:iCs/>
          <w:szCs w:val="24"/>
          <w:bdr w:val="nil"/>
        </w:rPr>
        <w:t>Operating Statement</w:t>
      </w:r>
    </w:p>
    <w:p w14:paraId="0E12EA52" w14:textId="77777777" w:rsidR="002242F3" w:rsidRPr="005E3B44" w:rsidRDefault="002242F3" w:rsidP="002242F3">
      <w:pPr>
        <w:pStyle w:val="ListParagraph"/>
        <w:numPr>
          <w:ilvl w:val="0"/>
          <w:numId w:val="43"/>
        </w:numPr>
        <w:pBdr>
          <w:top w:val="nil"/>
          <w:left w:val="nil"/>
          <w:bottom w:val="nil"/>
          <w:right w:val="nil"/>
          <w:between w:val="nil"/>
          <w:bar w:val="nil"/>
        </w:pBdr>
        <w:spacing w:before="0" w:after="120"/>
        <w:ind w:left="714" w:hanging="357"/>
        <w:rPr>
          <w:rFonts w:asciiTheme="minorHAnsi" w:hAnsiTheme="minorHAnsi" w:cstheme="minorHAnsi"/>
          <w:sz w:val="24"/>
          <w:bdr w:val="nil"/>
        </w:rPr>
      </w:pPr>
      <w:r w:rsidRPr="005E3B44">
        <w:rPr>
          <w:rFonts w:asciiTheme="minorHAnsi" w:hAnsiTheme="minorHAnsi" w:cstheme="minorHAnsi"/>
          <w:sz w:val="24"/>
          <w:bdr w:val="nil"/>
        </w:rPr>
        <w:t>Controlled recurrent payments:</w:t>
      </w:r>
    </w:p>
    <w:p w14:paraId="06B3F18F" w14:textId="77777777" w:rsidR="002242F3" w:rsidRPr="005E3B44" w:rsidRDefault="002242F3" w:rsidP="002242F3">
      <w:pPr>
        <w:pStyle w:val="ListParagraph"/>
        <w:numPr>
          <w:ilvl w:val="0"/>
          <w:numId w:val="44"/>
        </w:numPr>
        <w:pBdr>
          <w:top w:val="nil"/>
          <w:left w:val="nil"/>
          <w:bottom w:val="nil"/>
          <w:right w:val="nil"/>
          <w:between w:val="nil"/>
          <w:bar w:val="nil"/>
        </w:pBdr>
        <w:spacing w:before="0" w:after="120"/>
        <w:rPr>
          <w:rFonts w:asciiTheme="minorHAnsi" w:hAnsiTheme="minorHAnsi" w:cstheme="minorHAnsi"/>
          <w:sz w:val="24"/>
          <w:bdr w:val="nil"/>
        </w:rPr>
      </w:pPr>
      <w:r w:rsidRPr="005E3B44">
        <w:rPr>
          <w:rFonts w:asciiTheme="minorHAnsi" w:hAnsiTheme="minorHAnsi" w:cstheme="minorHAnsi"/>
          <w:sz w:val="24"/>
          <w:bdr w:val="nil"/>
        </w:rPr>
        <w:t>The decrease of $18.260 million in the 2020-21 interim outcome from the 2020-21 budget is due predominantly to undrawn appropriation and other adjustments of $9.071 million; the rollover of appropriation from 2020-21 to 2021-22 for various projects totalling $4.623 million; and savings of $4.566 million relating to Magistrates Court rent which have been returned to Government following the completion of the new ACT Public Private Partnership (PPP) Courts Facilities.</w:t>
      </w:r>
    </w:p>
    <w:p w14:paraId="40469D0B" w14:textId="77777777" w:rsidR="002242F3" w:rsidRPr="005E3B44" w:rsidRDefault="002242F3" w:rsidP="002242F3">
      <w:pPr>
        <w:pStyle w:val="ListParagraph"/>
        <w:numPr>
          <w:ilvl w:val="0"/>
          <w:numId w:val="44"/>
        </w:numPr>
        <w:pBdr>
          <w:top w:val="nil"/>
          <w:left w:val="nil"/>
          <w:bottom w:val="nil"/>
          <w:right w:val="nil"/>
          <w:between w:val="nil"/>
          <w:bar w:val="nil"/>
        </w:pBdr>
        <w:spacing w:before="0" w:after="120"/>
        <w:rPr>
          <w:rFonts w:asciiTheme="minorHAnsi" w:hAnsiTheme="minorHAnsi" w:cstheme="minorHAnsi"/>
          <w:sz w:val="24"/>
          <w:bdr w:val="nil"/>
        </w:rPr>
      </w:pPr>
      <w:r w:rsidRPr="005E3B44">
        <w:rPr>
          <w:rFonts w:asciiTheme="minorHAnsi" w:hAnsiTheme="minorHAnsi" w:cstheme="minorHAnsi"/>
          <w:sz w:val="24"/>
          <w:bdr w:val="nil"/>
        </w:rPr>
        <w:t>The increase of $44.247 million in the 2021-22 budget from the 2020-21 interim outcome is mainly due to new 2021-22 budget initiatives ($27.889 million), net rollover of appropriation ($8.276 million) and impact of undrawn appropriation in 2020-21.</w:t>
      </w:r>
    </w:p>
    <w:p w14:paraId="70037B45" w14:textId="77777777" w:rsidR="002242F3" w:rsidRPr="005E3B44" w:rsidRDefault="002242F3" w:rsidP="002242F3">
      <w:pPr>
        <w:pStyle w:val="ListParagraph"/>
        <w:numPr>
          <w:ilvl w:val="0"/>
          <w:numId w:val="45"/>
        </w:numPr>
        <w:pBdr>
          <w:top w:val="nil"/>
          <w:left w:val="nil"/>
          <w:bottom w:val="nil"/>
          <w:right w:val="nil"/>
          <w:between w:val="nil"/>
          <w:bar w:val="nil"/>
        </w:pBdr>
        <w:spacing w:before="0" w:after="120"/>
        <w:rPr>
          <w:rFonts w:asciiTheme="minorHAnsi" w:hAnsiTheme="minorHAnsi" w:cstheme="minorHAnsi"/>
          <w:sz w:val="24"/>
          <w:bdr w:val="nil"/>
        </w:rPr>
      </w:pPr>
      <w:r w:rsidRPr="005E3B44">
        <w:rPr>
          <w:rFonts w:asciiTheme="minorHAnsi" w:hAnsiTheme="minorHAnsi" w:cstheme="minorHAnsi"/>
          <w:sz w:val="24"/>
          <w:bdr w:val="nil"/>
        </w:rPr>
        <w:t>Sale of Goods and Services from Contracts with Customers:</w:t>
      </w:r>
    </w:p>
    <w:p w14:paraId="509D02D2" w14:textId="77777777" w:rsidR="002242F3" w:rsidRPr="005E3B44" w:rsidRDefault="002242F3" w:rsidP="002242F3">
      <w:pPr>
        <w:pStyle w:val="ListParagraph"/>
        <w:numPr>
          <w:ilvl w:val="0"/>
          <w:numId w:val="46"/>
        </w:numPr>
        <w:pBdr>
          <w:top w:val="nil"/>
          <w:left w:val="nil"/>
          <w:bottom w:val="nil"/>
          <w:right w:val="nil"/>
          <w:between w:val="nil"/>
          <w:bar w:val="nil"/>
        </w:pBdr>
        <w:spacing w:before="0" w:after="160" w:line="256" w:lineRule="auto"/>
        <w:contextualSpacing/>
        <w:rPr>
          <w:rFonts w:asciiTheme="minorHAnsi" w:hAnsiTheme="minorHAnsi" w:cstheme="minorHAnsi"/>
          <w:sz w:val="24"/>
          <w:bdr w:val="nil"/>
        </w:rPr>
      </w:pPr>
      <w:r w:rsidRPr="005E3B44">
        <w:rPr>
          <w:rFonts w:asciiTheme="minorHAnsi" w:hAnsiTheme="minorHAnsi" w:cstheme="minorHAnsi"/>
          <w:sz w:val="24"/>
          <w:bdr w:val="nil"/>
        </w:rPr>
        <w:t xml:space="preserve">The increase of $2.396 million in the 2020-21 interim outcome from the 2020-21 budget is due to higher: client funded legal services revenue by the ACT Government Solicitor’s Office ($0.8m), Emergency Services Agency (ESA) Helicopter Charges recoveries ($0.8m), Ambulance Transport Fees and Fire Alarm Monitoring fees ($0.9m). </w:t>
      </w:r>
    </w:p>
    <w:p w14:paraId="32821CC3" w14:textId="77777777" w:rsidR="002242F3" w:rsidRPr="005E3B44" w:rsidRDefault="002242F3" w:rsidP="002242F3">
      <w:pPr>
        <w:pStyle w:val="ListParagraph"/>
        <w:numPr>
          <w:ilvl w:val="0"/>
          <w:numId w:val="46"/>
        </w:numPr>
        <w:pBdr>
          <w:top w:val="nil"/>
          <w:left w:val="nil"/>
          <w:bottom w:val="nil"/>
          <w:right w:val="nil"/>
          <w:between w:val="nil"/>
          <w:bar w:val="nil"/>
        </w:pBdr>
        <w:spacing w:before="0" w:after="160" w:line="256" w:lineRule="auto"/>
        <w:contextualSpacing/>
        <w:rPr>
          <w:rFonts w:asciiTheme="minorHAnsi" w:hAnsiTheme="minorHAnsi" w:cstheme="minorHAnsi"/>
          <w:sz w:val="24"/>
          <w:bdr w:val="nil"/>
        </w:rPr>
      </w:pPr>
      <w:r w:rsidRPr="005E3B44">
        <w:rPr>
          <w:rFonts w:asciiTheme="minorHAnsi" w:hAnsiTheme="minorHAnsi" w:cstheme="minorHAnsi"/>
          <w:sz w:val="24"/>
          <w:bdr w:val="nil"/>
        </w:rPr>
        <w:t xml:space="preserve">The decrease of $4.109 million in the 2021-22 budget from the 2020-21 interim outcome is mainly due to higher revenue in 2020-21 from government solicitor client funded services and Emergency Services Agency fees and charges.  </w:t>
      </w:r>
    </w:p>
    <w:p w14:paraId="449642F3" w14:textId="77777777" w:rsidR="002242F3" w:rsidRPr="005E3B44" w:rsidRDefault="002242F3" w:rsidP="002242F3">
      <w:pPr>
        <w:numPr>
          <w:ilvl w:val="0"/>
          <w:numId w:val="45"/>
        </w:numPr>
        <w:pBdr>
          <w:top w:val="nil"/>
          <w:left w:val="nil"/>
          <w:bottom w:val="nil"/>
          <w:right w:val="nil"/>
          <w:between w:val="nil"/>
          <w:bar w:val="nil"/>
        </w:pBdr>
        <w:spacing w:before="0" w:after="120"/>
        <w:rPr>
          <w:rFonts w:asciiTheme="minorHAnsi" w:hAnsiTheme="minorHAnsi" w:cstheme="minorHAnsi"/>
          <w:szCs w:val="24"/>
          <w:bdr w:val="nil"/>
        </w:rPr>
      </w:pPr>
      <w:r w:rsidRPr="005E3B44">
        <w:rPr>
          <w:rFonts w:asciiTheme="minorHAnsi" w:hAnsiTheme="minorHAnsi" w:cstheme="minorHAnsi"/>
          <w:szCs w:val="24"/>
          <w:bdr w:val="nil"/>
        </w:rPr>
        <w:t xml:space="preserve">Other revenue: </w:t>
      </w:r>
    </w:p>
    <w:p w14:paraId="53934383" w14:textId="77777777" w:rsidR="002242F3" w:rsidRPr="005E3B44" w:rsidRDefault="002242F3" w:rsidP="002242F3">
      <w:pPr>
        <w:pStyle w:val="ListParagraph"/>
        <w:numPr>
          <w:ilvl w:val="0"/>
          <w:numId w:val="46"/>
        </w:numPr>
        <w:pBdr>
          <w:top w:val="nil"/>
          <w:left w:val="nil"/>
          <w:bottom w:val="nil"/>
          <w:right w:val="nil"/>
          <w:between w:val="nil"/>
          <w:bar w:val="nil"/>
        </w:pBdr>
        <w:spacing w:before="0" w:after="160" w:line="256" w:lineRule="auto"/>
        <w:contextualSpacing/>
        <w:rPr>
          <w:rFonts w:asciiTheme="minorHAnsi" w:hAnsiTheme="minorHAnsi" w:cstheme="minorHAnsi"/>
          <w:sz w:val="24"/>
          <w:bdr w:val="nil"/>
        </w:rPr>
      </w:pPr>
      <w:r w:rsidRPr="005E3B44">
        <w:rPr>
          <w:rFonts w:asciiTheme="minorHAnsi" w:hAnsiTheme="minorHAnsi" w:cstheme="minorHAnsi"/>
          <w:sz w:val="24"/>
          <w:bdr w:val="nil"/>
        </w:rPr>
        <w:t>The increase of $1.626 million in the 2020-21 interim outcome from the 2020-21 budget is mainly due to higher insurance recoveries related to the Alexander Maconochie Centre (AMC) fire and hailstorm damages ($0.7 million) and part-year cost recovery from Transport Canberra and City Services (TCCS) following the restructure of Administrative Arrangement (AA) transfer ($0.9 million).</w:t>
      </w:r>
    </w:p>
    <w:p w14:paraId="5391CD42" w14:textId="77777777" w:rsidR="002242F3" w:rsidRPr="005E3B44" w:rsidRDefault="002242F3" w:rsidP="00661D65">
      <w:pPr>
        <w:pStyle w:val="ListParagraph"/>
        <w:numPr>
          <w:ilvl w:val="0"/>
          <w:numId w:val="46"/>
        </w:numPr>
        <w:pBdr>
          <w:top w:val="nil"/>
          <w:left w:val="nil"/>
          <w:bottom w:val="nil"/>
          <w:right w:val="nil"/>
          <w:between w:val="nil"/>
          <w:bar w:val="nil"/>
        </w:pBdr>
        <w:spacing w:before="0" w:after="160"/>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The decrease of $4.187 million in the 2021-22 budget from the 2020-21 interim outcome is mainly due to the impact of higher revenue in 2020-21 and return to normal trading levels in 2021-22. </w:t>
      </w:r>
    </w:p>
    <w:p w14:paraId="1B7C408F" w14:textId="77777777" w:rsidR="002242F3" w:rsidRPr="005E3B44" w:rsidRDefault="002242F3" w:rsidP="002242F3">
      <w:pPr>
        <w:pStyle w:val="ListParagraph"/>
        <w:numPr>
          <w:ilvl w:val="0"/>
          <w:numId w:val="45"/>
        </w:numPr>
        <w:pBdr>
          <w:top w:val="nil"/>
          <w:left w:val="nil"/>
          <w:bottom w:val="nil"/>
          <w:right w:val="nil"/>
          <w:between w:val="nil"/>
          <w:bar w:val="nil"/>
        </w:pBdr>
        <w:spacing w:before="0" w:after="120"/>
        <w:rPr>
          <w:rFonts w:asciiTheme="minorHAnsi" w:hAnsiTheme="minorHAnsi" w:cstheme="minorHAnsi"/>
          <w:sz w:val="24"/>
          <w:bdr w:val="nil"/>
        </w:rPr>
      </w:pPr>
      <w:r w:rsidRPr="005E3B44">
        <w:rPr>
          <w:rFonts w:asciiTheme="minorHAnsi" w:hAnsiTheme="minorHAnsi" w:cstheme="minorHAnsi"/>
          <w:sz w:val="24"/>
          <w:bdr w:val="nil"/>
        </w:rPr>
        <w:t>Supplies and Services: The increase of $10.337 million in the 2021-22 budget from the 2020-21 interim outcome is mainly due to new 2021-22 initiatives and net impact of rollovers.</w:t>
      </w:r>
    </w:p>
    <w:p w14:paraId="08C570CA" w14:textId="77777777" w:rsidR="002242F3" w:rsidRPr="005E3B44" w:rsidRDefault="002242F3" w:rsidP="00661D65">
      <w:pPr>
        <w:pStyle w:val="ListParagraph"/>
        <w:numPr>
          <w:ilvl w:val="0"/>
          <w:numId w:val="45"/>
        </w:numPr>
        <w:pBdr>
          <w:top w:val="nil"/>
          <w:left w:val="nil"/>
          <w:bottom w:val="nil"/>
          <w:right w:val="nil"/>
          <w:between w:val="nil"/>
          <w:bar w:val="nil"/>
        </w:pBdr>
        <w:spacing w:before="0" w:after="160"/>
        <w:ind w:left="714" w:hanging="357"/>
        <w:rPr>
          <w:rFonts w:asciiTheme="minorHAnsi" w:hAnsiTheme="minorHAnsi" w:cstheme="minorHAnsi"/>
          <w:sz w:val="24"/>
          <w:bdr w:val="nil"/>
        </w:rPr>
      </w:pPr>
      <w:r w:rsidRPr="005E3B44">
        <w:rPr>
          <w:rFonts w:asciiTheme="minorHAnsi" w:hAnsiTheme="minorHAnsi" w:cstheme="minorHAnsi"/>
          <w:sz w:val="24"/>
          <w:bdr w:val="nil"/>
        </w:rPr>
        <w:lastRenderedPageBreak/>
        <w:t xml:space="preserve">Depreciation and Amortisation: The increase of $7.919 million in the 2021-22 budget from the 2020-21 interim outcome is mainly due to projected completion of capital projects. </w:t>
      </w:r>
    </w:p>
    <w:p w14:paraId="1984A9C3" w14:textId="77777777" w:rsidR="002242F3" w:rsidRPr="005E3B44" w:rsidRDefault="002242F3" w:rsidP="002242F3">
      <w:pPr>
        <w:pStyle w:val="ListParagraph"/>
        <w:numPr>
          <w:ilvl w:val="0"/>
          <w:numId w:val="45"/>
        </w:numPr>
        <w:pBdr>
          <w:top w:val="nil"/>
          <w:left w:val="nil"/>
          <w:bottom w:val="nil"/>
          <w:right w:val="nil"/>
          <w:between w:val="nil"/>
          <w:bar w:val="nil"/>
        </w:pBdr>
        <w:spacing w:before="0" w:after="160"/>
        <w:contextualSpacing/>
        <w:rPr>
          <w:rFonts w:asciiTheme="minorHAnsi" w:hAnsiTheme="minorHAnsi" w:cstheme="minorHAnsi"/>
          <w:sz w:val="24"/>
          <w:bdr w:val="nil"/>
        </w:rPr>
      </w:pPr>
      <w:r w:rsidRPr="005E3B44">
        <w:rPr>
          <w:rFonts w:asciiTheme="minorHAnsi" w:hAnsiTheme="minorHAnsi" w:cstheme="minorHAnsi"/>
          <w:sz w:val="24"/>
          <w:bdr w:val="nil"/>
        </w:rPr>
        <w:t>Grants and Purchased Services:</w:t>
      </w:r>
    </w:p>
    <w:p w14:paraId="1171500C" w14:textId="77777777" w:rsidR="002242F3" w:rsidRPr="005E3B44" w:rsidRDefault="002242F3" w:rsidP="002242F3">
      <w:pPr>
        <w:pStyle w:val="ListParagraph"/>
        <w:numPr>
          <w:ilvl w:val="0"/>
          <w:numId w:val="47"/>
        </w:numPr>
        <w:pBdr>
          <w:top w:val="nil"/>
          <w:left w:val="nil"/>
          <w:bottom w:val="nil"/>
          <w:right w:val="nil"/>
          <w:between w:val="nil"/>
          <w:bar w:val="nil"/>
        </w:pBdr>
        <w:spacing w:before="0" w:after="160"/>
        <w:contextualSpacing/>
        <w:rPr>
          <w:rFonts w:asciiTheme="minorHAnsi" w:hAnsiTheme="minorHAnsi" w:cstheme="minorHAnsi"/>
          <w:sz w:val="24"/>
          <w:bdr w:val="nil"/>
        </w:rPr>
      </w:pPr>
      <w:r w:rsidRPr="005E3B44">
        <w:rPr>
          <w:rFonts w:asciiTheme="minorHAnsi" w:hAnsiTheme="minorHAnsi" w:cstheme="minorHAnsi"/>
          <w:sz w:val="24"/>
          <w:bdr w:val="nil"/>
        </w:rPr>
        <w:t xml:space="preserve">The decrease of $1.916 million in the 2020-21 interim outcome from the 2020-21 budget is mainly relating to delays in the receipt of Commonwealth Grants for Disaster Risk Reduction and Natural Disaster Resilience Program for which the funding has been transferred to 2021-22. </w:t>
      </w:r>
    </w:p>
    <w:p w14:paraId="4318844C" w14:textId="77777777" w:rsidR="002242F3" w:rsidRPr="005E3B44" w:rsidRDefault="002242F3" w:rsidP="00661D65">
      <w:pPr>
        <w:pStyle w:val="ListParagraph"/>
        <w:numPr>
          <w:ilvl w:val="0"/>
          <w:numId w:val="47"/>
        </w:numPr>
        <w:pBdr>
          <w:top w:val="nil"/>
          <w:left w:val="nil"/>
          <w:bottom w:val="nil"/>
          <w:right w:val="nil"/>
          <w:between w:val="nil"/>
          <w:bar w:val="nil"/>
        </w:pBdr>
        <w:spacing w:before="0" w:after="160"/>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The increase of $3.125 million in the 2021-22 budget from the 2020-21 interim outcome is mainly due to indexation and other accounting adjustments relating predominantly to the Justice Housing Program initiative and increased Commonwealth grants funding for Community Legal Centres.  </w:t>
      </w:r>
    </w:p>
    <w:p w14:paraId="1E982A55" w14:textId="77777777" w:rsidR="002242F3" w:rsidRPr="005E3B44" w:rsidRDefault="002242F3" w:rsidP="002242F3">
      <w:pPr>
        <w:pStyle w:val="ListParagraph"/>
        <w:numPr>
          <w:ilvl w:val="0"/>
          <w:numId w:val="48"/>
        </w:numPr>
        <w:pBdr>
          <w:top w:val="nil"/>
          <w:left w:val="nil"/>
          <w:bottom w:val="nil"/>
          <w:right w:val="nil"/>
          <w:between w:val="nil"/>
          <w:bar w:val="nil"/>
        </w:pBdr>
        <w:spacing w:before="0" w:after="160"/>
        <w:contextualSpacing/>
        <w:rPr>
          <w:rFonts w:asciiTheme="minorHAnsi" w:hAnsiTheme="minorHAnsi" w:cstheme="minorHAnsi"/>
          <w:sz w:val="24"/>
          <w:bdr w:val="nil"/>
        </w:rPr>
      </w:pPr>
      <w:r w:rsidRPr="005E3B44">
        <w:rPr>
          <w:rFonts w:asciiTheme="minorHAnsi" w:hAnsiTheme="minorHAnsi" w:cstheme="minorHAnsi"/>
          <w:sz w:val="24"/>
          <w:bdr w:val="nil"/>
        </w:rPr>
        <w:t xml:space="preserve">Asset Revaluation Surplus: the increase of $26.996 million in 2020-21 Interim outcome from the 2020-21 budget and the decrease of $27.596 million in 2021-22 budget from the 2020-21 Interim outcome is due to a revaluation of directorate’s land and building assets </w:t>
      </w:r>
      <w:proofErr w:type="gramStart"/>
      <w:r w:rsidRPr="005E3B44">
        <w:rPr>
          <w:rFonts w:asciiTheme="minorHAnsi" w:hAnsiTheme="minorHAnsi" w:cstheme="minorHAnsi"/>
          <w:sz w:val="24"/>
          <w:bdr w:val="nil"/>
        </w:rPr>
        <w:t>at</w:t>
      </w:r>
      <w:proofErr w:type="gramEnd"/>
      <w:r w:rsidRPr="005E3B44">
        <w:rPr>
          <w:rFonts w:asciiTheme="minorHAnsi" w:hAnsiTheme="minorHAnsi" w:cstheme="minorHAnsi"/>
          <w:sz w:val="24"/>
          <w:bdr w:val="nil"/>
        </w:rPr>
        <w:t xml:space="preserve"> 30 June 2021. The next valuation is scheduled as </w:t>
      </w:r>
      <w:proofErr w:type="gramStart"/>
      <w:r w:rsidRPr="005E3B44">
        <w:rPr>
          <w:rFonts w:asciiTheme="minorHAnsi" w:hAnsiTheme="minorHAnsi" w:cstheme="minorHAnsi"/>
          <w:sz w:val="24"/>
          <w:bdr w:val="nil"/>
        </w:rPr>
        <w:t>at</w:t>
      </w:r>
      <w:proofErr w:type="gramEnd"/>
      <w:r w:rsidRPr="005E3B44">
        <w:rPr>
          <w:rFonts w:asciiTheme="minorHAnsi" w:hAnsiTheme="minorHAnsi" w:cstheme="minorHAnsi"/>
          <w:sz w:val="24"/>
          <w:bdr w:val="nil"/>
        </w:rPr>
        <w:t xml:space="preserve"> 30 June 2024.</w:t>
      </w:r>
    </w:p>
    <w:p w14:paraId="4E9CC6BC" w14:textId="77777777" w:rsidR="002242F3" w:rsidRPr="005E3B44" w:rsidRDefault="002242F3" w:rsidP="002242F3">
      <w:pPr>
        <w:pBdr>
          <w:top w:val="nil"/>
          <w:left w:val="nil"/>
          <w:bottom w:val="nil"/>
          <w:right w:val="nil"/>
          <w:between w:val="nil"/>
          <w:bar w:val="nil"/>
        </w:pBdr>
        <w:spacing w:before="0" w:after="160"/>
        <w:contextualSpacing/>
        <w:rPr>
          <w:rFonts w:asciiTheme="minorHAnsi" w:hAnsiTheme="minorHAnsi" w:cstheme="minorHAnsi"/>
          <w:bdr w:val="nil"/>
        </w:rPr>
      </w:pPr>
    </w:p>
    <w:p w14:paraId="6F80FB8D" w14:textId="77777777" w:rsidR="002242F3" w:rsidRPr="005E3B44" w:rsidRDefault="002242F3" w:rsidP="002242F3">
      <w:pPr>
        <w:pBdr>
          <w:top w:val="nil"/>
          <w:left w:val="nil"/>
          <w:bottom w:val="nil"/>
          <w:right w:val="nil"/>
          <w:between w:val="nil"/>
          <w:bar w:val="nil"/>
        </w:pBdr>
        <w:rPr>
          <w:rFonts w:asciiTheme="minorHAnsi" w:hAnsiTheme="minorHAnsi" w:cstheme="minorHAnsi"/>
          <w:b/>
          <w:bCs/>
          <w:i/>
          <w:iCs/>
          <w:szCs w:val="24"/>
          <w:bdr w:val="nil"/>
        </w:rPr>
      </w:pPr>
      <w:r w:rsidRPr="005E3B44">
        <w:rPr>
          <w:rFonts w:asciiTheme="minorHAnsi" w:hAnsiTheme="minorHAnsi" w:cstheme="minorHAnsi"/>
          <w:b/>
          <w:bCs/>
          <w:i/>
          <w:iCs/>
          <w:szCs w:val="24"/>
          <w:bdr w:val="nil"/>
        </w:rPr>
        <w:t>Balance Sheet</w:t>
      </w:r>
    </w:p>
    <w:p w14:paraId="423F4795" w14:textId="77777777" w:rsidR="002242F3" w:rsidRPr="005E3B44" w:rsidRDefault="002242F3" w:rsidP="00661D65">
      <w:pPr>
        <w:pStyle w:val="ListParagraph"/>
        <w:numPr>
          <w:ilvl w:val="0"/>
          <w:numId w:val="49"/>
        </w:numPr>
        <w:pBdr>
          <w:top w:val="nil"/>
          <w:left w:val="nil"/>
          <w:bottom w:val="nil"/>
          <w:right w:val="nil"/>
          <w:between w:val="nil"/>
          <w:bar w:val="nil"/>
        </w:pBdr>
        <w:spacing w:before="0" w:after="160"/>
        <w:ind w:left="714" w:hanging="357"/>
        <w:rPr>
          <w:rFonts w:asciiTheme="minorHAnsi" w:hAnsiTheme="minorHAnsi" w:cstheme="minorHAnsi"/>
          <w:sz w:val="24"/>
          <w:bdr w:val="nil"/>
        </w:rPr>
      </w:pPr>
      <w:r w:rsidRPr="005E3B44">
        <w:rPr>
          <w:rFonts w:asciiTheme="minorHAnsi" w:hAnsiTheme="minorHAnsi" w:cstheme="minorHAnsi"/>
          <w:sz w:val="24"/>
          <w:bdr w:val="nil"/>
        </w:rPr>
        <w:t xml:space="preserve">Intangible Assets: The increase of $3.943 million in the 2021-22 budget from the 2020-21 interim outcome is mainly due to net rollovers of capital projects ($2.399 million) and new 2021-22 budget capital initiatives ($1.226 million) </w:t>
      </w:r>
      <w:proofErr w:type="gramStart"/>
      <w:r w:rsidRPr="005E3B44">
        <w:rPr>
          <w:rFonts w:asciiTheme="minorHAnsi" w:hAnsiTheme="minorHAnsi" w:cstheme="minorHAnsi"/>
          <w:sz w:val="24"/>
          <w:bdr w:val="nil"/>
        </w:rPr>
        <w:t>in particular the</w:t>
      </w:r>
      <w:proofErr w:type="gramEnd"/>
      <w:r w:rsidRPr="005E3B44">
        <w:rPr>
          <w:rFonts w:asciiTheme="minorHAnsi" w:hAnsiTheme="minorHAnsi" w:cstheme="minorHAnsi"/>
          <w:sz w:val="24"/>
          <w:bdr w:val="nil"/>
        </w:rPr>
        <w:t xml:space="preserve"> Well-prepared Emergency Services Strengthening ICT infrastructure initiative. </w:t>
      </w:r>
    </w:p>
    <w:p w14:paraId="10AA069C" w14:textId="77777777" w:rsidR="002242F3" w:rsidRPr="005E3B44" w:rsidRDefault="002242F3" w:rsidP="00661D65">
      <w:pPr>
        <w:pStyle w:val="ListParagraph"/>
        <w:numPr>
          <w:ilvl w:val="0"/>
          <w:numId w:val="49"/>
        </w:numPr>
        <w:pBdr>
          <w:top w:val="nil"/>
          <w:left w:val="nil"/>
          <w:bottom w:val="nil"/>
          <w:right w:val="nil"/>
          <w:between w:val="nil"/>
          <w:bar w:val="nil"/>
        </w:pBdr>
        <w:spacing w:before="0" w:after="160"/>
        <w:ind w:left="714" w:hanging="357"/>
        <w:rPr>
          <w:rFonts w:asciiTheme="minorHAnsi" w:hAnsiTheme="minorHAnsi" w:cstheme="minorHAnsi"/>
          <w:sz w:val="24"/>
          <w:bdr w:val="nil"/>
        </w:rPr>
      </w:pPr>
      <w:r w:rsidRPr="005E3B44">
        <w:rPr>
          <w:rFonts w:asciiTheme="minorHAnsi" w:hAnsiTheme="minorHAnsi" w:cstheme="minorHAnsi"/>
          <w:sz w:val="24"/>
          <w:bdr w:val="nil"/>
        </w:rPr>
        <w:t xml:space="preserve">Capital Works in Progress: The increase of $14.590 million in the 2020-21 interim outcome from the 2020-21 budget is mainly due to the delay in completion of capital works projects. </w:t>
      </w:r>
    </w:p>
    <w:p w14:paraId="65CC3C3A" w14:textId="77777777" w:rsidR="002242F3" w:rsidRPr="005E3B44" w:rsidRDefault="002242F3" w:rsidP="002242F3">
      <w:pPr>
        <w:pStyle w:val="ListParagraph"/>
        <w:numPr>
          <w:ilvl w:val="0"/>
          <w:numId w:val="49"/>
        </w:numPr>
        <w:pBdr>
          <w:top w:val="nil"/>
          <w:left w:val="nil"/>
          <w:bottom w:val="nil"/>
          <w:right w:val="nil"/>
          <w:between w:val="nil"/>
          <w:bar w:val="nil"/>
        </w:pBdr>
        <w:spacing w:before="0" w:after="160" w:line="256" w:lineRule="auto"/>
        <w:contextualSpacing/>
        <w:rPr>
          <w:rFonts w:asciiTheme="minorHAnsi" w:hAnsiTheme="minorHAnsi" w:cstheme="minorHAnsi"/>
          <w:sz w:val="24"/>
          <w:bdr w:val="nil"/>
        </w:rPr>
      </w:pPr>
      <w:r w:rsidRPr="005E3B44">
        <w:rPr>
          <w:rFonts w:asciiTheme="minorHAnsi" w:hAnsiTheme="minorHAnsi" w:cstheme="minorHAnsi"/>
          <w:sz w:val="24"/>
          <w:bdr w:val="nil"/>
        </w:rPr>
        <w:t>Payables:</w:t>
      </w:r>
    </w:p>
    <w:p w14:paraId="672F67B1" w14:textId="77777777" w:rsidR="002242F3" w:rsidRPr="005E3B44" w:rsidRDefault="002242F3" w:rsidP="002242F3">
      <w:pPr>
        <w:pStyle w:val="ListParagraph"/>
        <w:numPr>
          <w:ilvl w:val="0"/>
          <w:numId w:val="50"/>
        </w:numPr>
        <w:pBdr>
          <w:top w:val="nil"/>
          <w:left w:val="nil"/>
          <w:bottom w:val="nil"/>
          <w:right w:val="nil"/>
          <w:between w:val="nil"/>
          <w:bar w:val="nil"/>
        </w:pBdr>
        <w:spacing w:before="0" w:after="160" w:line="256" w:lineRule="auto"/>
        <w:contextualSpacing/>
        <w:rPr>
          <w:rFonts w:asciiTheme="minorHAnsi" w:hAnsiTheme="minorHAnsi" w:cstheme="minorHAnsi"/>
          <w:sz w:val="24"/>
          <w:bdr w:val="nil"/>
        </w:rPr>
      </w:pPr>
      <w:r w:rsidRPr="005E3B44">
        <w:rPr>
          <w:rFonts w:asciiTheme="minorHAnsi" w:hAnsiTheme="minorHAnsi" w:cstheme="minorHAnsi"/>
          <w:sz w:val="24"/>
          <w:bdr w:val="nil"/>
        </w:rPr>
        <w:t xml:space="preserve">The increase of $4.280 million in the 2020-21 interim outcome from the 2020-21 original budget is mainly due to a </w:t>
      </w:r>
      <w:proofErr w:type="gramStart"/>
      <w:r w:rsidRPr="005E3B44">
        <w:rPr>
          <w:rFonts w:asciiTheme="minorHAnsi" w:hAnsiTheme="minorHAnsi" w:cstheme="minorHAnsi"/>
          <w:sz w:val="24"/>
          <w:bdr w:val="nil"/>
        </w:rPr>
        <w:t>higher than expected</w:t>
      </w:r>
      <w:proofErr w:type="gramEnd"/>
      <w:r w:rsidRPr="005E3B44">
        <w:rPr>
          <w:rFonts w:asciiTheme="minorHAnsi" w:hAnsiTheme="minorHAnsi" w:cstheme="minorHAnsi"/>
          <w:sz w:val="24"/>
          <w:bdr w:val="nil"/>
        </w:rPr>
        <w:t xml:space="preserve"> number of outstanding invoices. </w:t>
      </w:r>
    </w:p>
    <w:p w14:paraId="20A9DD5A" w14:textId="77777777" w:rsidR="002242F3" w:rsidRPr="005E3B44" w:rsidRDefault="002242F3" w:rsidP="00661D65">
      <w:pPr>
        <w:pStyle w:val="ListParagraph"/>
        <w:numPr>
          <w:ilvl w:val="0"/>
          <w:numId w:val="50"/>
        </w:numPr>
        <w:pBdr>
          <w:top w:val="nil"/>
          <w:left w:val="nil"/>
          <w:bottom w:val="nil"/>
          <w:right w:val="nil"/>
          <w:between w:val="nil"/>
          <w:bar w:val="nil"/>
        </w:pBdr>
        <w:spacing w:before="0" w:after="160" w:line="257" w:lineRule="auto"/>
        <w:ind w:left="1434" w:hanging="357"/>
        <w:rPr>
          <w:rFonts w:asciiTheme="minorHAnsi" w:hAnsiTheme="minorHAnsi" w:cstheme="minorHAnsi"/>
          <w:sz w:val="24"/>
          <w:bdr w:val="nil"/>
        </w:rPr>
      </w:pPr>
      <w:r w:rsidRPr="005E3B44">
        <w:rPr>
          <w:rFonts w:asciiTheme="minorHAnsi" w:hAnsiTheme="minorHAnsi" w:cstheme="minorHAnsi"/>
          <w:sz w:val="24"/>
          <w:bdr w:val="nil"/>
        </w:rPr>
        <w:t xml:space="preserve">The decrease of $1.749 million in the 2021-22 budget from the 2020-21 interim outcome is mainly due to lower projected accrued expenses. </w:t>
      </w:r>
    </w:p>
    <w:p w14:paraId="2F9D7653" w14:textId="77777777" w:rsidR="002242F3" w:rsidRPr="005E3B44" w:rsidRDefault="002242F3" w:rsidP="002242F3">
      <w:pPr>
        <w:pStyle w:val="ListParagraph"/>
        <w:numPr>
          <w:ilvl w:val="0"/>
          <w:numId w:val="49"/>
        </w:numPr>
        <w:pBdr>
          <w:top w:val="nil"/>
          <w:left w:val="nil"/>
          <w:bottom w:val="nil"/>
          <w:right w:val="nil"/>
          <w:between w:val="nil"/>
          <w:bar w:val="nil"/>
        </w:pBdr>
        <w:spacing w:before="0" w:after="160" w:line="256" w:lineRule="auto"/>
        <w:contextualSpacing/>
        <w:rPr>
          <w:rFonts w:asciiTheme="minorHAnsi" w:hAnsiTheme="minorHAnsi" w:cstheme="minorHAnsi"/>
          <w:sz w:val="24"/>
          <w:bdr w:val="nil"/>
        </w:rPr>
      </w:pPr>
      <w:r w:rsidRPr="005E3B44">
        <w:rPr>
          <w:rFonts w:asciiTheme="minorHAnsi" w:hAnsiTheme="minorHAnsi" w:cstheme="minorHAnsi"/>
          <w:sz w:val="24"/>
          <w:bdr w:val="nil"/>
        </w:rPr>
        <w:t xml:space="preserve">Current and non-current other Provisions: </w:t>
      </w:r>
    </w:p>
    <w:p w14:paraId="46D12392" w14:textId="77777777" w:rsidR="002242F3" w:rsidRPr="005E3B44" w:rsidRDefault="002242F3" w:rsidP="002242F3">
      <w:pPr>
        <w:pStyle w:val="ListParagraph"/>
        <w:numPr>
          <w:ilvl w:val="0"/>
          <w:numId w:val="51"/>
        </w:numPr>
        <w:pBdr>
          <w:top w:val="nil"/>
          <w:left w:val="nil"/>
          <w:bottom w:val="nil"/>
          <w:right w:val="nil"/>
          <w:between w:val="nil"/>
          <w:bar w:val="nil"/>
        </w:pBdr>
        <w:spacing w:before="0" w:after="160" w:line="256" w:lineRule="auto"/>
        <w:contextualSpacing/>
        <w:rPr>
          <w:rFonts w:asciiTheme="minorHAnsi" w:hAnsiTheme="minorHAnsi" w:cstheme="minorHAnsi"/>
          <w:sz w:val="24"/>
          <w:bdr w:val="nil"/>
        </w:rPr>
      </w:pPr>
      <w:r w:rsidRPr="005E3B44">
        <w:rPr>
          <w:rFonts w:asciiTheme="minorHAnsi" w:hAnsiTheme="minorHAnsi" w:cstheme="minorHAnsi"/>
          <w:sz w:val="24"/>
          <w:bdr w:val="nil"/>
        </w:rPr>
        <w:t>The increase of $10.727 million in the 2020-21 interim outcome from the 2020-21 original budget is mainly due to estimated costs associated with the assessment and remediation of contaminated sites of per-and poly-fluoroalkyl substances (PFAS) and underground fuel tanks at eight current and one former Emergency Services Agency sites.</w:t>
      </w:r>
    </w:p>
    <w:p w14:paraId="2608F680" w14:textId="77777777" w:rsidR="00661D65" w:rsidRDefault="00661D65">
      <w:pPr>
        <w:spacing w:before="0" w:after="0"/>
        <w:rPr>
          <w:rFonts w:asciiTheme="minorHAnsi" w:hAnsiTheme="minorHAnsi" w:cstheme="minorHAnsi"/>
          <w:b/>
          <w:bCs/>
          <w:i/>
          <w:iCs/>
          <w:szCs w:val="24"/>
          <w:bdr w:val="nil"/>
        </w:rPr>
      </w:pPr>
      <w:r>
        <w:rPr>
          <w:rFonts w:asciiTheme="minorHAnsi" w:hAnsiTheme="minorHAnsi" w:cstheme="minorHAnsi"/>
          <w:b/>
          <w:bCs/>
          <w:i/>
          <w:iCs/>
          <w:szCs w:val="24"/>
          <w:bdr w:val="nil"/>
        </w:rPr>
        <w:br w:type="page"/>
      </w:r>
    </w:p>
    <w:p w14:paraId="604E7493" w14:textId="591216FE" w:rsidR="002242F3" w:rsidRPr="005E3B44" w:rsidRDefault="002242F3" w:rsidP="002242F3">
      <w:pPr>
        <w:pBdr>
          <w:top w:val="nil"/>
          <w:left w:val="nil"/>
          <w:bottom w:val="nil"/>
          <w:right w:val="nil"/>
          <w:between w:val="nil"/>
          <w:bar w:val="nil"/>
        </w:pBdr>
        <w:rPr>
          <w:rFonts w:asciiTheme="minorHAnsi" w:hAnsiTheme="minorHAnsi" w:cstheme="minorHAnsi"/>
          <w:b/>
          <w:bCs/>
          <w:i/>
          <w:iCs/>
          <w:szCs w:val="24"/>
          <w:bdr w:val="nil"/>
        </w:rPr>
      </w:pPr>
      <w:r w:rsidRPr="005E3B44">
        <w:rPr>
          <w:rFonts w:asciiTheme="minorHAnsi" w:hAnsiTheme="minorHAnsi" w:cstheme="minorHAnsi"/>
          <w:b/>
          <w:bCs/>
          <w:i/>
          <w:iCs/>
          <w:szCs w:val="24"/>
          <w:bdr w:val="nil"/>
        </w:rPr>
        <w:lastRenderedPageBreak/>
        <w:t>Statement of Changes in Equity</w:t>
      </w:r>
    </w:p>
    <w:p w14:paraId="3CDB11C1" w14:textId="77777777" w:rsidR="002242F3" w:rsidRPr="005E3B44" w:rsidRDefault="002242F3" w:rsidP="002242F3">
      <w:pPr>
        <w:pStyle w:val="ListParagraph"/>
        <w:numPr>
          <w:ilvl w:val="0"/>
          <w:numId w:val="49"/>
        </w:numPr>
        <w:pBdr>
          <w:top w:val="nil"/>
          <w:left w:val="nil"/>
          <w:bottom w:val="nil"/>
          <w:right w:val="nil"/>
          <w:between w:val="nil"/>
          <w:bar w:val="nil"/>
        </w:pBdr>
        <w:spacing w:before="0" w:after="120"/>
        <w:ind w:hanging="357"/>
        <w:rPr>
          <w:rFonts w:asciiTheme="minorHAnsi" w:hAnsiTheme="minorHAnsi" w:cstheme="minorHAnsi"/>
          <w:sz w:val="24"/>
          <w:bdr w:val="nil"/>
        </w:rPr>
      </w:pPr>
      <w:r w:rsidRPr="005E3B44">
        <w:rPr>
          <w:rFonts w:asciiTheme="minorHAnsi" w:hAnsiTheme="minorHAnsi" w:cstheme="minorHAnsi"/>
          <w:sz w:val="24"/>
          <w:bdr w:val="nil"/>
        </w:rPr>
        <w:t>Capital injections:</w:t>
      </w:r>
    </w:p>
    <w:p w14:paraId="3B44F799" w14:textId="77777777" w:rsidR="002242F3" w:rsidRPr="005E3B44" w:rsidRDefault="002242F3" w:rsidP="002242F3">
      <w:pPr>
        <w:pStyle w:val="ListParagraph"/>
        <w:numPr>
          <w:ilvl w:val="0"/>
          <w:numId w:val="51"/>
        </w:numPr>
        <w:pBdr>
          <w:top w:val="nil"/>
          <w:left w:val="nil"/>
          <w:bottom w:val="nil"/>
          <w:right w:val="nil"/>
          <w:between w:val="nil"/>
          <w:bar w:val="nil"/>
        </w:pBdr>
        <w:spacing w:before="0" w:after="120"/>
        <w:rPr>
          <w:rFonts w:asciiTheme="minorHAnsi" w:hAnsiTheme="minorHAnsi" w:cstheme="minorHAnsi"/>
          <w:sz w:val="24"/>
          <w:bdr w:val="nil"/>
        </w:rPr>
      </w:pPr>
      <w:r w:rsidRPr="005E3B44">
        <w:rPr>
          <w:rFonts w:asciiTheme="minorHAnsi" w:hAnsiTheme="minorHAnsi" w:cstheme="minorHAnsi"/>
          <w:sz w:val="24"/>
          <w:bdr w:val="nil"/>
        </w:rPr>
        <w:t>the decrease of $11.045 million in the 2020-21 interim outcome from the 2020-21 original budget is due to the rollover of funding for capital projects to future years.</w:t>
      </w:r>
    </w:p>
    <w:p w14:paraId="5FDB844B" w14:textId="77777777" w:rsidR="002242F3" w:rsidRPr="005E3B44" w:rsidRDefault="002242F3" w:rsidP="002242F3">
      <w:pPr>
        <w:pStyle w:val="ListParagraph"/>
        <w:numPr>
          <w:ilvl w:val="0"/>
          <w:numId w:val="51"/>
        </w:numPr>
        <w:pBdr>
          <w:top w:val="nil"/>
          <w:left w:val="nil"/>
          <w:bottom w:val="nil"/>
          <w:right w:val="nil"/>
          <w:between w:val="nil"/>
          <w:bar w:val="nil"/>
        </w:pBdr>
        <w:spacing w:before="0" w:after="120"/>
        <w:rPr>
          <w:rFonts w:asciiTheme="minorHAnsi" w:hAnsiTheme="minorHAnsi" w:cstheme="minorHAnsi"/>
          <w:sz w:val="24"/>
          <w:bdr w:val="nil"/>
        </w:rPr>
      </w:pPr>
      <w:r w:rsidRPr="005E3B44">
        <w:rPr>
          <w:rFonts w:asciiTheme="minorHAnsi" w:hAnsiTheme="minorHAnsi" w:cstheme="minorHAnsi"/>
          <w:sz w:val="24"/>
          <w:bdr w:val="nil"/>
        </w:rPr>
        <w:t xml:space="preserve">the increase of $20.934 million in 2021-22 from the 2020-21 interim outcome is mainly due to new capital initiatives and rollovers of funding from 2020-21 year. </w:t>
      </w:r>
    </w:p>
    <w:p w14:paraId="036F17AD" w14:textId="77777777" w:rsidR="002242F3" w:rsidRPr="005E3B44" w:rsidRDefault="002242F3" w:rsidP="002242F3">
      <w:pPr>
        <w:pBdr>
          <w:top w:val="nil"/>
          <w:left w:val="nil"/>
          <w:bottom w:val="nil"/>
          <w:right w:val="nil"/>
          <w:between w:val="nil"/>
          <w:bar w:val="nil"/>
        </w:pBdr>
        <w:rPr>
          <w:rFonts w:asciiTheme="minorHAnsi" w:hAnsiTheme="minorHAnsi" w:cstheme="minorHAnsi"/>
          <w:b/>
          <w:bCs/>
          <w:i/>
          <w:iCs/>
          <w:szCs w:val="24"/>
          <w:bdr w:val="nil"/>
        </w:rPr>
      </w:pPr>
      <w:r w:rsidRPr="005E3B44">
        <w:rPr>
          <w:rFonts w:asciiTheme="minorHAnsi" w:hAnsiTheme="minorHAnsi" w:cstheme="minorHAnsi"/>
          <w:b/>
          <w:bCs/>
          <w:i/>
          <w:iCs/>
          <w:szCs w:val="24"/>
          <w:bdr w:val="nil"/>
        </w:rPr>
        <w:t xml:space="preserve">Cash Flow Statement </w:t>
      </w:r>
    </w:p>
    <w:p w14:paraId="57EC06F0" w14:textId="77777777" w:rsidR="002242F3" w:rsidRPr="005E3B44" w:rsidRDefault="002242F3" w:rsidP="002242F3">
      <w:pPr>
        <w:pBdr>
          <w:top w:val="nil"/>
          <w:left w:val="nil"/>
          <w:bottom w:val="nil"/>
          <w:right w:val="nil"/>
          <w:between w:val="nil"/>
          <w:bar w:val="nil"/>
        </w:pBdr>
        <w:rPr>
          <w:rFonts w:asciiTheme="minorHAnsi" w:hAnsiTheme="minorHAnsi" w:cstheme="minorHAnsi"/>
          <w:szCs w:val="24"/>
          <w:bdr w:val="nil"/>
        </w:rPr>
      </w:pPr>
      <w:r w:rsidRPr="005E3B44">
        <w:rPr>
          <w:rFonts w:asciiTheme="minorHAnsi" w:hAnsiTheme="minorHAnsi" w:cstheme="minorHAnsi"/>
          <w:szCs w:val="24"/>
          <w:bdr w:val="nil"/>
        </w:rPr>
        <w:t>Variations in the Statement are explained in the notes above.</w:t>
      </w:r>
      <w:bookmarkEnd w:id="25"/>
    </w:p>
    <w:p w14:paraId="14D2FCC8" w14:textId="40E55960" w:rsidR="002242F3" w:rsidRPr="005E3B44" w:rsidRDefault="002242F3" w:rsidP="002242F3">
      <w:pPr>
        <w:pStyle w:val="Caption"/>
        <w:pageBreakBefor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Table 3</w:t>
      </w:r>
      <w:r w:rsidR="00805234">
        <w:rPr>
          <w:rFonts w:asciiTheme="minorHAnsi" w:hAnsiTheme="minorHAnsi" w:cstheme="minorHAnsi"/>
          <w:bdr w:val="nil"/>
        </w:rPr>
        <w:t>3</w:t>
      </w:r>
      <w:r w:rsidRPr="005E3B44">
        <w:rPr>
          <w:rFonts w:asciiTheme="minorHAnsi" w:hAnsiTheme="minorHAnsi" w:cstheme="minorHAnsi"/>
          <w:bdr w:val="nil"/>
        </w:rPr>
        <w:t xml:space="preserve">: Justice and Community Safety Directorate: Statement of Income and Expenses on behalf of the Territory </w:t>
      </w:r>
    </w:p>
    <w:tbl>
      <w:tblPr>
        <w:tblStyle w:val="CDMRange1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7BF5E834" w14:textId="77777777" w:rsidTr="005E3B44">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D384517"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72BF8BA6" w14:textId="77777777" w:rsidR="002242F3" w:rsidRPr="005E3B44" w:rsidRDefault="002242F3" w:rsidP="005E3B44">
            <w:pPr>
              <w:pStyle w:val="Normal12"/>
              <w:jc w:val="right"/>
              <w:rPr>
                <w:rFonts w:asciiTheme="minorHAnsi" w:eastAsia="Calibri" w:hAnsiTheme="minorHAnsi" w:cstheme="minorHAnsi"/>
                <w:b/>
                <w:color w:val="000000"/>
                <w:sz w:val="18"/>
              </w:rPr>
            </w:pPr>
          </w:p>
          <w:p w14:paraId="395D48BB"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ABBF74A"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80AA50E"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B6AD564"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Budget            </w:t>
            </w:r>
          </w:p>
          <w:p w14:paraId="0C8925DD" w14:textId="77777777" w:rsidR="002242F3" w:rsidRPr="005E3B44" w:rsidRDefault="002242F3" w:rsidP="005E3B44">
            <w:pPr>
              <w:pStyle w:val="Normal12"/>
              <w:jc w:val="right"/>
              <w:rPr>
                <w:rFonts w:asciiTheme="minorHAnsi" w:eastAsia="Calibri" w:hAnsiTheme="minorHAnsi" w:cstheme="minorHAnsi"/>
                <w:b/>
                <w:color w:val="000000"/>
                <w:sz w:val="18"/>
              </w:rPr>
            </w:pPr>
          </w:p>
          <w:p w14:paraId="047E3C2C"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9D70FE4"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4A89889A"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94A4FA5"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Estimate            </w:t>
            </w:r>
          </w:p>
          <w:p w14:paraId="52DE1C4C" w14:textId="77777777" w:rsidR="002242F3" w:rsidRPr="005E3B44" w:rsidRDefault="002242F3" w:rsidP="005E3B44">
            <w:pPr>
              <w:pStyle w:val="Normal12"/>
              <w:jc w:val="right"/>
              <w:rPr>
                <w:rFonts w:asciiTheme="minorHAnsi" w:eastAsia="Calibri" w:hAnsiTheme="minorHAnsi" w:cstheme="minorHAnsi"/>
                <w:b/>
                <w:color w:val="000000"/>
                <w:sz w:val="18"/>
              </w:rPr>
            </w:pPr>
          </w:p>
          <w:p w14:paraId="2DF061A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9DF3FE5"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Estimate            </w:t>
            </w:r>
          </w:p>
          <w:p w14:paraId="04A33A8B" w14:textId="77777777" w:rsidR="002242F3" w:rsidRPr="005E3B44" w:rsidRDefault="002242F3" w:rsidP="005E3B44">
            <w:pPr>
              <w:pStyle w:val="Normal12"/>
              <w:jc w:val="right"/>
              <w:rPr>
                <w:rFonts w:asciiTheme="minorHAnsi" w:eastAsia="Calibri" w:hAnsiTheme="minorHAnsi" w:cstheme="minorHAnsi"/>
                <w:b/>
                <w:color w:val="000000"/>
                <w:sz w:val="18"/>
              </w:rPr>
            </w:pPr>
          </w:p>
          <w:p w14:paraId="05098DD6"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A930C14"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Estimate            </w:t>
            </w:r>
          </w:p>
          <w:p w14:paraId="56434417" w14:textId="77777777" w:rsidR="002242F3" w:rsidRPr="005E3B44" w:rsidRDefault="002242F3" w:rsidP="005E3B44">
            <w:pPr>
              <w:pStyle w:val="Normal12"/>
              <w:jc w:val="right"/>
              <w:rPr>
                <w:rFonts w:asciiTheme="minorHAnsi" w:eastAsia="Calibri" w:hAnsiTheme="minorHAnsi" w:cstheme="minorHAnsi"/>
                <w:b/>
                <w:color w:val="000000"/>
                <w:sz w:val="18"/>
              </w:rPr>
            </w:pPr>
          </w:p>
          <w:p w14:paraId="6D98049D"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601CEB6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3DA05C2" w14:textId="77777777" w:rsidR="002242F3" w:rsidRPr="005E3B44" w:rsidRDefault="002242F3" w:rsidP="005E3B44">
            <w:pPr>
              <w:pStyle w:val="Normal12"/>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E1BA87B"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1B820E" w14:textId="77777777" w:rsidR="002242F3" w:rsidRPr="005E3B44" w:rsidRDefault="002242F3" w:rsidP="005E3B44">
            <w:pPr>
              <w:pStyle w:val="Normal12"/>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85900DD" w14:textId="77777777" w:rsidR="002242F3" w:rsidRPr="005E3B44" w:rsidRDefault="002242F3" w:rsidP="005E3B44">
            <w:pPr>
              <w:pStyle w:val="Normal12"/>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9831DD0" w14:textId="77777777" w:rsidR="002242F3" w:rsidRPr="005E3B44" w:rsidRDefault="002242F3" w:rsidP="005E3B44">
            <w:pPr>
              <w:pStyle w:val="Normal12"/>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61B943E" w14:textId="77777777" w:rsidR="002242F3" w:rsidRPr="005E3B44" w:rsidRDefault="002242F3" w:rsidP="005E3B44">
            <w:pPr>
              <w:pStyle w:val="Normal12"/>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B130D01" w14:textId="77777777" w:rsidR="002242F3" w:rsidRPr="005E3B44" w:rsidRDefault="002242F3" w:rsidP="005E3B44">
            <w:pPr>
              <w:pStyle w:val="Normal12"/>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E6AA37" w14:textId="77777777" w:rsidR="002242F3" w:rsidRPr="005E3B44" w:rsidRDefault="002242F3" w:rsidP="005E3B44">
            <w:pPr>
              <w:pStyle w:val="Normal12"/>
              <w:jc w:val="right"/>
              <w:rPr>
                <w:rFonts w:asciiTheme="minorHAnsi" w:eastAsia="Calibri" w:hAnsiTheme="minorHAnsi" w:cstheme="minorHAnsi"/>
                <w:b/>
                <w:i/>
                <w:color w:val="000000"/>
                <w:sz w:val="18"/>
              </w:rPr>
            </w:pPr>
          </w:p>
        </w:tc>
      </w:tr>
      <w:tr w:rsidR="002242F3" w:rsidRPr="005E3B44" w14:paraId="6C3A56D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80A092"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19CD10F"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280D2C5B"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6B54EF"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A61F4D"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0BBBF0"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35E6C4"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E2BB5A" w14:textId="77777777" w:rsidR="002242F3" w:rsidRPr="005E3B44" w:rsidRDefault="002242F3" w:rsidP="005E3B44">
            <w:pPr>
              <w:pStyle w:val="Normal12"/>
              <w:rPr>
                <w:rFonts w:asciiTheme="minorHAnsi" w:eastAsia="Calibri" w:hAnsiTheme="minorHAnsi" w:cstheme="minorHAnsi"/>
                <w:color w:val="000000"/>
                <w:sz w:val="18"/>
              </w:rPr>
            </w:pPr>
          </w:p>
        </w:tc>
      </w:tr>
      <w:tr w:rsidR="002242F3" w:rsidRPr="005E3B44" w14:paraId="6AE3CF6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226C92"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204,832</w:t>
            </w:r>
          </w:p>
        </w:tc>
        <w:tc>
          <w:tcPr>
            <w:tcW w:w="2385" w:type="dxa"/>
            <w:tcBorders>
              <w:top w:val="nil"/>
              <w:left w:val="nil"/>
              <w:bottom w:val="nil"/>
              <w:right w:val="nil"/>
              <w:tl2br w:val="nil"/>
              <w:tr2bl w:val="nil"/>
            </w:tcBorders>
            <w:shd w:val="clear" w:color="auto" w:fill="auto"/>
            <w:noWrap/>
            <w:tcMar>
              <w:left w:w="101" w:type="dxa"/>
              <w:right w:w="101" w:type="dxa"/>
            </w:tcMar>
          </w:tcPr>
          <w:p w14:paraId="64ABD742"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2F6DDDF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200,371</w:t>
            </w:r>
          </w:p>
        </w:tc>
        <w:tc>
          <w:tcPr>
            <w:tcW w:w="1035" w:type="dxa"/>
            <w:tcBorders>
              <w:top w:val="nil"/>
              <w:left w:val="nil"/>
              <w:bottom w:val="nil"/>
              <w:right w:val="nil"/>
              <w:tl2br w:val="nil"/>
              <w:tr2bl w:val="nil"/>
            </w:tcBorders>
            <w:shd w:val="clear" w:color="FFFFFF" w:fill="FFFFFF"/>
            <w:tcMar>
              <w:left w:w="101" w:type="dxa"/>
              <w:right w:w="101" w:type="dxa"/>
            </w:tcMar>
          </w:tcPr>
          <w:p w14:paraId="24E9F2A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220,852</w:t>
            </w:r>
          </w:p>
        </w:tc>
        <w:tc>
          <w:tcPr>
            <w:tcW w:w="600" w:type="dxa"/>
            <w:tcBorders>
              <w:top w:val="nil"/>
              <w:left w:val="nil"/>
              <w:bottom w:val="nil"/>
              <w:right w:val="nil"/>
              <w:tl2br w:val="nil"/>
              <w:tr2bl w:val="nil"/>
            </w:tcBorders>
            <w:shd w:val="clear" w:color="FFFFFF" w:fill="FFFFFF"/>
            <w:tcMar>
              <w:left w:w="101" w:type="dxa"/>
              <w:right w:w="101" w:type="dxa"/>
            </w:tcMar>
          </w:tcPr>
          <w:p w14:paraId="3E0FA06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788A5DAC"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217,019</w:t>
            </w:r>
          </w:p>
        </w:tc>
        <w:tc>
          <w:tcPr>
            <w:tcW w:w="1035" w:type="dxa"/>
            <w:tcBorders>
              <w:top w:val="nil"/>
              <w:left w:val="nil"/>
              <w:bottom w:val="nil"/>
              <w:right w:val="nil"/>
              <w:tl2br w:val="nil"/>
              <w:tr2bl w:val="nil"/>
            </w:tcBorders>
            <w:shd w:val="clear" w:color="FFFFFF" w:fill="FFFFFF"/>
            <w:tcMar>
              <w:left w:w="101" w:type="dxa"/>
              <w:right w:w="101" w:type="dxa"/>
            </w:tcMar>
          </w:tcPr>
          <w:p w14:paraId="6F3874C9"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219,892</w:t>
            </w:r>
          </w:p>
        </w:tc>
        <w:tc>
          <w:tcPr>
            <w:tcW w:w="1035" w:type="dxa"/>
            <w:tcBorders>
              <w:top w:val="nil"/>
              <w:left w:val="nil"/>
              <w:bottom w:val="nil"/>
              <w:right w:val="nil"/>
              <w:tl2br w:val="nil"/>
              <w:tr2bl w:val="nil"/>
            </w:tcBorders>
            <w:shd w:val="clear" w:color="FFFFFF" w:fill="FFFFFF"/>
            <w:tcMar>
              <w:left w:w="101" w:type="dxa"/>
              <w:right w:w="101" w:type="dxa"/>
            </w:tcMar>
          </w:tcPr>
          <w:p w14:paraId="63E53309"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219,819</w:t>
            </w:r>
          </w:p>
        </w:tc>
      </w:tr>
      <w:tr w:rsidR="002242F3" w:rsidRPr="005E3B44" w14:paraId="476D7D8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97F11E"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6,526</w:t>
            </w:r>
          </w:p>
        </w:tc>
        <w:tc>
          <w:tcPr>
            <w:tcW w:w="2385" w:type="dxa"/>
            <w:tcBorders>
              <w:top w:val="nil"/>
              <w:left w:val="nil"/>
              <w:bottom w:val="nil"/>
              <w:right w:val="nil"/>
              <w:tl2br w:val="nil"/>
              <w:tr2bl w:val="nil"/>
            </w:tcBorders>
            <w:shd w:val="clear" w:color="auto" w:fill="auto"/>
            <w:noWrap/>
            <w:tcMar>
              <w:left w:w="101" w:type="dxa"/>
              <w:right w:w="101" w:type="dxa"/>
            </w:tcMar>
          </w:tcPr>
          <w:p w14:paraId="2009D1F5"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33C8777A"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6,116</w:t>
            </w:r>
          </w:p>
        </w:tc>
        <w:tc>
          <w:tcPr>
            <w:tcW w:w="1035" w:type="dxa"/>
            <w:tcBorders>
              <w:top w:val="nil"/>
              <w:left w:val="nil"/>
              <w:bottom w:val="nil"/>
              <w:right w:val="nil"/>
              <w:tl2br w:val="nil"/>
              <w:tr2bl w:val="nil"/>
            </w:tcBorders>
            <w:shd w:val="clear" w:color="FFFFFF" w:fill="FFFFFF"/>
            <w:tcMar>
              <w:left w:w="101" w:type="dxa"/>
              <w:right w:w="101" w:type="dxa"/>
            </w:tcMar>
          </w:tcPr>
          <w:p w14:paraId="2C9C4423"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6,607</w:t>
            </w:r>
          </w:p>
        </w:tc>
        <w:tc>
          <w:tcPr>
            <w:tcW w:w="600" w:type="dxa"/>
            <w:tcBorders>
              <w:top w:val="nil"/>
              <w:left w:val="nil"/>
              <w:bottom w:val="nil"/>
              <w:right w:val="nil"/>
              <w:tl2br w:val="nil"/>
              <w:tr2bl w:val="nil"/>
            </w:tcBorders>
            <w:shd w:val="clear" w:color="FFFFFF" w:fill="FFFFFF"/>
            <w:tcMar>
              <w:left w:w="101" w:type="dxa"/>
              <w:right w:w="101" w:type="dxa"/>
            </w:tcMar>
          </w:tcPr>
          <w:p w14:paraId="01EEAAC4"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3C19CF96"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6,514</w:t>
            </w:r>
          </w:p>
        </w:tc>
        <w:tc>
          <w:tcPr>
            <w:tcW w:w="1035" w:type="dxa"/>
            <w:tcBorders>
              <w:top w:val="nil"/>
              <w:left w:val="nil"/>
              <w:bottom w:val="nil"/>
              <w:right w:val="nil"/>
              <w:tl2br w:val="nil"/>
              <w:tr2bl w:val="nil"/>
            </w:tcBorders>
            <w:shd w:val="clear" w:color="FFFFFF" w:fill="FFFFFF"/>
            <w:tcMar>
              <w:left w:w="101" w:type="dxa"/>
              <w:right w:w="101" w:type="dxa"/>
            </w:tcMar>
          </w:tcPr>
          <w:p w14:paraId="453D71AE"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6,643</w:t>
            </w:r>
          </w:p>
        </w:tc>
        <w:tc>
          <w:tcPr>
            <w:tcW w:w="1035" w:type="dxa"/>
            <w:tcBorders>
              <w:top w:val="nil"/>
              <w:left w:val="nil"/>
              <w:bottom w:val="nil"/>
              <w:right w:val="nil"/>
              <w:tl2br w:val="nil"/>
              <w:tr2bl w:val="nil"/>
            </w:tcBorders>
            <w:shd w:val="clear" w:color="FFFFFF" w:fill="FFFFFF"/>
            <w:tcMar>
              <w:left w:w="101" w:type="dxa"/>
              <w:right w:w="101" w:type="dxa"/>
            </w:tcMar>
          </w:tcPr>
          <w:p w14:paraId="613EF5E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6,783</w:t>
            </w:r>
          </w:p>
        </w:tc>
      </w:tr>
      <w:tr w:rsidR="002242F3" w:rsidRPr="005E3B44" w14:paraId="6422E93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74BA18"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2,668</w:t>
            </w:r>
          </w:p>
        </w:tc>
        <w:tc>
          <w:tcPr>
            <w:tcW w:w="2385" w:type="dxa"/>
            <w:tcBorders>
              <w:top w:val="nil"/>
              <w:left w:val="nil"/>
              <w:bottom w:val="nil"/>
              <w:right w:val="nil"/>
              <w:tl2br w:val="nil"/>
              <w:tr2bl w:val="nil"/>
            </w:tcBorders>
            <w:shd w:val="clear" w:color="auto" w:fill="auto"/>
            <w:noWrap/>
            <w:tcMar>
              <w:left w:w="101" w:type="dxa"/>
              <w:right w:w="101" w:type="dxa"/>
            </w:tcMar>
          </w:tcPr>
          <w:p w14:paraId="6F140AB3"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EEB6904"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2,460</w:t>
            </w:r>
          </w:p>
        </w:tc>
        <w:tc>
          <w:tcPr>
            <w:tcW w:w="1035" w:type="dxa"/>
            <w:tcBorders>
              <w:top w:val="nil"/>
              <w:left w:val="nil"/>
              <w:bottom w:val="nil"/>
              <w:right w:val="nil"/>
              <w:tl2br w:val="nil"/>
              <w:tr2bl w:val="nil"/>
            </w:tcBorders>
            <w:shd w:val="clear" w:color="FFFFFF" w:fill="FFFFFF"/>
            <w:tcMar>
              <w:left w:w="101" w:type="dxa"/>
              <w:right w:w="101" w:type="dxa"/>
            </w:tcMar>
          </w:tcPr>
          <w:p w14:paraId="58289F2F"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2,734</w:t>
            </w:r>
          </w:p>
        </w:tc>
        <w:tc>
          <w:tcPr>
            <w:tcW w:w="600" w:type="dxa"/>
            <w:tcBorders>
              <w:top w:val="nil"/>
              <w:left w:val="nil"/>
              <w:bottom w:val="nil"/>
              <w:right w:val="nil"/>
              <w:tl2br w:val="nil"/>
              <w:tr2bl w:val="nil"/>
            </w:tcBorders>
            <w:shd w:val="clear" w:color="FFFFFF" w:fill="FFFFFF"/>
            <w:tcMar>
              <w:left w:w="101" w:type="dxa"/>
              <w:right w:w="101" w:type="dxa"/>
            </w:tcMar>
          </w:tcPr>
          <w:p w14:paraId="296FBB19"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3E696C93"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2,735</w:t>
            </w:r>
          </w:p>
        </w:tc>
        <w:tc>
          <w:tcPr>
            <w:tcW w:w="1035" w:type="dxa"/>
            <w:tcBorders>
              <w:top w:val="nil"/>
              <w:left w:val="nil"/>
              <w:bottom w:val="nil"/>
              <w:right w:val="nil"/>
              <w:tl2br w:val="nil"/>
              <w:tr2bl w:val="nil"/>
            </w:tcBorders>
            <w:shd w:val="clear" w:color="FFFFFF" w:fill="FFFFFF"/>
            <w:tcMar>
              <w:left w:w="101" w:type="dxa"/>
              <w:right w:w="101" w:type="dxa"/>
            </w:tcMar>
          </w:tcPr>
          <w:p w14:paraId="6D77099C"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2,815</w:t>
            </w:r>
          </w:p>
        </w:tc>
        <w:tc>
          <w:tcPr>
            <w:tcW w:w="1035" w:type="dxa"/>
            <w:tcBorders>
              <w:top w:val="nil"/>
              <w:left w:val="nil"/>
              <w:bottom w:val="nil"/>
              <w:right w:val="nil"/>
              <w:tl2br w:val="nil"/>
              <w:tr2bl w:val="nil"/>
            </w:tcBorders>
            <w:shd w:val="clear" w:color="FFFFFF" w:fill="FFFFFF"/>
            <w:tcMar>
              <w:left w:w="101" w:type="dxa"/>
              <w:right w:w="101" w:type="dxa"/>
            </w:tcMar>
          </w:tcPr>
          <w:p w14:paraId="0AB88715"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2,878</w:t>
            </w:r>
          </w:p>
        </w:tc>
      </w:tr>
      <w:tr w:rsidR="002242F3" w:rsidRPr="005E3B44" w14:paraId="35630E3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5928B0"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97AB5A4"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9715EB"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309AD5"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B0BBA3"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1B4964"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DB2765"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830BA8" w14:textId="77777777" w:rsidR="002242F3" w:rsidRPr="005E3B44" w:rsidRDefault="002242F3" w:rsidP="005E3B44">
            <w:pPr>
              <w:pStyle w:val="Normal12"/>
              <w:rPr>
                <w:rFonts w:asciiTheme="minorHAnsi" w:eastAsia="Calibri" w:hAnsiTheme="minorHAnsi" w:cstheme="minorHAnsi"/>
                <w:color w:val="000000"/>
                <w:sz w:val="18"/>
              </w:rPr>
            </w:pPr>
          </w:p>
        </w:tc>
      </w:tr>
      <w:tr w:rsidR="002242F3" w:rsidRPr="005E3B44" w14:paraId="0F2067E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241F54"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214,026</w:t>
            </w:r>
          </w:p>
        </w:tc>
        <w:tc>
          <w:tcPr>
            <w:tcW w:w="2385" w:type="dxa"/>
            <w:tcBorders>
              <w:top w:val="nil"/>
              <w:left w:val="nil"/>
              <w:bottom w:val="nil"/>
              <w:right w:val="nil"/>
              <w:tl2br w:val="nil"/>
              <w:tr2bl w:val="nil"/>
            </w:tcBorders>
            <w:shd w:val="clear" w:color="FFFFFF" w:fill="FFFFFF"/>
            <w:noWrap/>
            <w:tcMar>
              <w:left w:w="101" w:type="dxa"/>
              <w:right w:w="101" w:type="dxa"/>
            </w:tcMar>
          </w:tcPr>
          <w:p w14:paraId="68D2B5D3"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6965776"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208,947</w:t>
            </w:r>
          </w:p>
        </w:tc>
        <w:tc>
          <w:tcPr>
            <w:tcW w:w="1035" w:type="dxa"/>
            <w:tcBorders>
              <w:top w:val="nil"/>
              <w:left w:val="nil"/>
              <w:bottom w:val="nil"/>
              <w:right w:val="nil"/>
              <w:tl2br w:val="nil"/>
              <w:tr2bl w:val="nil"/>
            </w:tcBorders>
            <w:shd w:val="clear" w:color="FFFFFF" w:fill="FFFFFF"/>
            <w:tcMar>
              <w:left w:w="101" w:type="dxa"/>
              <w:right w:w="101" w:type="dxa"/>
            </w:tcMar>
          </w:tcPr>
          <w:p w14:paraId="00A634B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230,193</w:t>
            </w:r>
          </w:p>
        </w:tc>
        <w:tc>
          <w:tcPr>
            <w:tcW w:w="600" w:type="dxa"/>
            <w:tcBorders>
              <w:top w:val="nil"/>
              <w:left w:val="nil"/>
              <w:bottom w:val="nil"/>
              <w:right w:val="nil"/>
              <w:tl2br w:val="nil"/>
              <w:tr2bl w:val="nil"/>
            </w:tcBorders>
            <w:shd w:val="clear" w:color="FFFFFF" w:fill="FFFFFF"/>
            <w:tcMar>
              <w:left w:w="101" w:type="dxa"/>
              <w:right w:w="101" w:type="dxa"/>
            </w:tcMar>
          </w:tcPr>
          <w:p w14:paraId="03412B39"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7623DBE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226,268</w:t>
            </w:r>
          </w:p>
        </w:tc>
        <w:tc>
          <w:tcPr>
            <w:tcW w:w="1035" w:type="dxa"/>
            <w:tcBorders>
              <w:top w:val="nil"/>
              <w:left w:val="nil"/>
              <w:bottom w:val="nil"/>
              <w:right w:val="nil"/>
              <w:tl2br w:val="nil"/>
              <w:tr2bl w:val="nil"/>
            </w:tcBorders>
            <w:shd w:val="clear" w:color="FFFFFF" w:fill="FFFFFF"/>
            <w:tcMar>
              <w:left w:w="101" w:type="dxa"/>
              <w:right w:w="101" w:type="dxa"/>
            </w:tcMar>
          </w:tcPr>
          <w:p w14:paraId="58B85371"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229,350</w:t>
            </w:r>
          </w:p>
        </w:tc>
        <w:tc>
          <w:tcPr>
            <w:tcW w:w="1035" w:type="dxa"/>
            <w:tcBorders>
              <w:top w:val="nil"/>
              <w:left w:val="nil"/>
              <w:bottom w:val="nil"/>
              <w:right w:val="nil"/>
              <w:tl2br w:val="nil"/>
              <w:tr2bl w:val="nil"/>
            </w:tcBorders>
            <w:shd w:val="clear" w:color="FFFFFF" w:fill="FFFFFF"/>
            <w:tcMar>
              <w:left w:w="101" w:type="dxa"/>
              <w:right w:w="101" w:type="dxa"/>
            </w:tcMar>
          </w:tcPr>
          <w:p w14:paraId="326606D2"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229,480</w:t>
            </w:r>
          </w:p>
        </w:tc>
      </w:tr>
      <w:tr w:rsidR="002242F3" w:rsidRPr="005E3B44" w14:paraId="11E87F3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3FCD6E"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FB8E919"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D352C1"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1A7474"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F264C6"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10E995"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DDB0F3"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DA407B" w14:textId="77777777" w:rsidR="002242F3" w:rsidRPr="005E3B44" w:rsidRDefault="002242F3" w:rsidP="005E3B44">
            <w:pPr>
              <w:pStyle w:val="Normal12"/>
              <w:rPr>
                <w:rFonts w:asciiTheme="minorHAnsi" w:eastAsia="Calibri" w:hAnsiTheme="minorHAnsi" w:cstheme="minorHAnsi"/>
                <w:color w:val="000000"/>
                <w:sz w:val="18"/>
              </w:rPr>
            </w:pPr>
          </w:p>
        </w:tc>
      </w:tr>
      <w:tr w:rsidR="002242F3" w:rsidRPr="005E3B44" w14:paraId="2C656D6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65DE64"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214,026</w:t>
            </w:r>
          </w:p>
        </w:tc>
        <w:tc>
          <w:tcPr>
            <w:tcW w:w="2385" w:type="dxa"/>
            <w:tcBorders>
              <w:top w:val="nil"/>
              <w:left w:val="nil"/>
              <w:bottom w:val="nil"/>
              <w:right w:val="nil"/>
              <w:tl2br w:val="nil"/>
              <w:tr2bl w:val="nil"/>
            </w:tcBorders>
            <w:shd w:val="clear" w:color="FFFFFF" w:fill="FFFFFF"/>
            <w:noWrap/>
            <w:tcMar>
              <w:left w:w="101" w:type="dxa"/>
              <w:right w:w="101" w:type="dxa"/>
            </w:tcMar>
          </w:tcPr>
          <w:p w14:paraId="221161A5"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0FDBBD14"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208,947</w:t>
            </w:r>
          </w:p>
        </w:tc>
        <w:tc>
          <w:tcPr>
            <w:tcW w:w="1035" w:type="dxa"/>
            <w:tcBorders>
              <w:top w:val="nil"/>
              <w:left w:val="nil"/>
              <w:bottom w:val="nil"/>
              <w:right w:val="nil"/>
              <w:tl2br w:val="nil"/>
              <w:tr2bl w:val="nil"/>
            </w:tcBorders>
            <w:shd w:val="clear" w:color="FFFFFF" w:fill="FFFFFF"/>
            <w:tcMar>
              <w:left w:w="101" w:type="dxa"/>
              <w:right w:w="101" w:type="dxa"/>
            </w:tcMar>
          </w:tcPr>
          <w:p w14:paraId="7BF15C56"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230,193</w:t>
            </w:r>
          </w:p>
        </w:tc>
        <w:tc>
          <w:tcPr>
            <w:tcW w:w="600" w:type="dxa"/>
            <w:tcBorders>
              <w:top w:val="nil"/>
              <w:left w:val="nil"/>
              <w:bottom w:val="nil"/>
              <w:right w:val="nil"/>
              <w:tl2br w:val="nil"/>
              <w:tr2bl w:val="nil"/>
            </w:tcBorders>
            <w:shd w:val="clear" w:color="FFFFFF" w:fill="FFFFFF"/>
            <w:tcMar>
              <w:left w:w="101" w:type="dxa"/>
              <w:right w:w="101" w:type="dxa"/>
            </w:tcMar>
          </w:tcPr>
          <w:p w14:paraId="757058A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72062A53"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226,268</w:t>
            </w:r>
          </w:p>
        </w:tc>
        <w:tc>
          <w:tcPr>
            <w:tcW w:w="1035" w:type="dxa"/>
            <w:tcBorders>
              <w:top w:val="nil"/>
              <w:left w:val="nil"/>
              <w:bottom w:val="nil"/>
              <w:right w:val="nil"/>
              <w:tl2br w:val="nil"/>
              <w:tr2bl w:val="nil"/>
            </w:tcBorders>
            <w:shd w:val="clear" w:color="FFFFFF" w:fill="FFFFFF"/>
            <w:tcMar>
              <w:left w:w="101" w:type="dxa"/>
              <w:right w:w="101" w:type="dxa"/>
            </w:tcMar>
          </w:tcPr>
          <w:p w14:paraId="7192B7BF"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229,350</w:t>
            </w:r>
          </w:p>
        </w:tc>
        <w:tc>
          <w:tcPr>
            <w:tcW w:w="1035" w:type="dxa"/>
            <w:tcBorders>
              <w:top w:val="nil"/>
              <w:left w:val="nil"/>
              <w:bottom w:val="nil"/>
              <w:right w:val="nil"/>
              <w:tl2br w:val="nil"/>
              <w:tr2bl w:val="nil"/>
            </w:tcBorders>
            <w:shd w:val="clear" w:color="FFFFFF" w:fill="FFFFFF"/>
            <w:tcMar>
              <w:left w:w="101" w:type="dxa"/>
              <w:right w:w="101" w:type="dxa"/>
            </w:tcMar>
          </w:tcPr>
          <w:p w14:paraId="24A0157F"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229,480</w:t>
            </w:r>
          </w:p>
        </w:tc>
      </w:tr>
      <w:tr w:rsidR="002242F3" w:rsidRPr="005E3B44" w14:paraId="570C873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22A7BD"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E89D4A7"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AFE015"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348888"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668979"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B4A60C"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52F1F3"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8DE14" w14:textId="77777777" w:rsidR="002242F3" w:rsidRPr="005E3B44" w:rsidRDefault="002242F3" w:rsidP="005E3B44">
            <w:pPr>
              <w:pStyle w:val="Normal12"/>
              <w:rPr>
                <w:rFonts w:asciiTheme="minorHAnsi" w:eastAsia="Calibri" w:hAnsiTheme="minorHAnsi" w:cstheme="minorHAnsi"/>
                <w:color w:val="000000"/>
                <w:sz w:val="18"/>
              </w:rPr>
            </w:pPr>
          </w:p>
        </w:tc>
      </w:tr>
      <w:tr w:rsidR="002242F3" w:rsidRPr="005E3B44" w14:paraId="7DB2BA7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AB7284"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A54F444"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382BA507"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66CC97"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C3AEE5"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1972B7"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52A321"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492239" w14:textId="77777777" w:rsidR="002242F3" w:rsidRPr="005E3B44" w:rsidRDefault="002242F3" w:rsidP="005E3B44">
            <w:pPr>
              <w:pStyle w:val="Normal12"/>
              <w:rPr>
                <w:rFonts w:asciiTheme="minorHAnsi" w:eastAsia="Calibri" w:hAnsiTheme="minorHAnsi" w:cstheme="minorHAnsi"/>
                <w:color w:val="000000"/>
                <w:sz w:val="18"/>
              </w:rPr>
            </w:pPr>
          </w:p>
        </w:tc>
      </w:tr>
      <w:tr w:rsidR="002242F3" w:rsidRPr="005E3B44" w14:paraId="642F5D5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A99984"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1,621</w:t>
            </w:r>
          </w:p>
        </w:tc>
        <w:tc>
          <w:tcPr>
            <w:tcW w:w="2385" w:type="dxa"/>
            <w:tcBorders>
              <w:top w:val="nil"/>
              <w:left w:val="nil"/>
              <w:bottom w:val="nil"/>
              <w:right w:val="nil"/>
              <w:tl2br w:val="nil"/>
              <w:tr2bl w:val="nil"/>
            </w:tcBorders>
            <w:shd w:val="clear" w:color="FFFFFF" w:fill="FFFFFF"/>
            <w:noWrap/>
            <w:tcMar>
              <w:left w:w="101" w:type="dxa"/>
              <w:right w:w="101" w:type="dxa"/>
            </w:tcMar>
          </w:tcPr>
          <w:p w14:paraId="21732EB4"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5AD36962"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1,150</w:t>
            </w:r>
          </w:p>
        </w:tc>
        <w:tc>
          <w:tcPr>
            <w:tcW w:w="1035" w:type="dxa"/>
            <w:tcBorders>
              <w:top w:val="nil"/>
              <w:left w:val="nil"/>
              <w:bottom w:val="nil"/>
              <w:right w:val="nil"/>
              <w:tl2br w:val="nil"/>
              <w:tr2bl w:val="nil"/>
            </w:tcBorders>
            <w:shd w:val="clear" w:color="FFFFFF" w:fill="FFFFFF"/>
            <w:tcMar>
              <w:left w:w="101" w:type="dxa"/>
              <w:right w:w="101" w:type="dxa"/>
            </w:tcMar>
          </w:tcPr>
          <w:p w14:paraId="7B7EC511"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2,449</w:t>
            </w:r>
          </w:p>
        </w:tc>
        <w:tc>
          <w:tcPr>
            <w:tcW w:w="600" w:type="dxa"/>
            <w:tcBorders>
              <w:top w:val="nil"/>
              <w:left w:val="nil"/>
              <w:bottom w:val="nil"/>
              <w:right w:val="nil"/>
              <w:tl2br w:val="nil"/>
              <w:tr2bl w:val="nil"/>
            </w:tcBorders>
            <w:shd w:val="clear" w:color="FFFFFF" w:fill="FFFFFF"/>
            <w:tcMar>
              <w:left w:w="101" w:type="dxa"/>
              <w:right w:w="101" w:type="dxa"/>
            </w:tcMar>
          </w:tcPr>
          <w:p w14:paraId="495B0FAA"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113 </w:t>
            </w:r>
          </w:p>
        </w:tc>
        <w:tc>
          <w:tcPr>
            <w:tcW w:w="1035" w:type="dxa"/>
            <w:tcBorders>
              <w:top w:val="nil"/>
              <w:left w:val="nil"/>
              <w:bottom w:val="nil"/>
              <w:right w:val="nil"/>
              <w:tl2br w:val="nil"/>
              <w:tr2bl w:val="nil"/>
            </w:tcBorders>
            <w:shd w:val="clear" w:color="FFFFFF" w:fill="FFFFFF"/>
            <w:tcMar>
              <w:left w:w="101" w:type="dxa"/>
              <w:right w:w="101" w:type="dxa"/>
            </w:tcMar>
          </w:tcPr>
          <w:p w14:paraId="4574DB94"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2,736</w:t>
            </w:r>
          </w:p>
        </w:tc>
        <w:tc>
          <w:tcPr>
            <w:tcW w:w="1035" w:type="dxa"/>
            <w:tcBorders>
              <w:top w:val="nil"/>
              <w:left w:val="nil"/>
              <w:bottom w:val="nil"/>
              <w:right w:val="nil"/>
              <w:tl2br w:val="nil"/>
              <w:tr2bl w:val="nil"/>
            </w:tcBorders>
            <w:shd w:val="clear" w:color="FFFFFF" w:fill="FFFFFF"/>
            <w:tcMar>
              <w:left w:w="101" w:type="dxa"/>
              <w:right w:w="101" w:type="dxa"/>
            </w:tcMar>
          </w:tcPr>
          <w:p w14:paraId="2F18890B"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2,765</w:t>
            </w:r>
          </w:p>
        </w:tc>
        <w:tc>
          <w:tcPr>
            <w:tcW w:w="1035" w:type="dxa"/>
            <w:tcBorders>
              <w:top w:val="nil"/>
              <w:left w:val="nil"/>
              <w:bottom w:val="nil"/>
              <w:right w:val="nil"/>
              <w:tl2br w:val="nil"/>
              <w:tr2bl w:val="nil"/>
            </w:tcBorders>
            <w:shd w:val="clear" w:color="FFFFFF" w:fill="FFFFFF"/>
            <w:tcMar>
              <w:left w:w="101" w:type="dxa"/>
              <w:right w:w="101" w:type="dxa"/>
            </w:tcMar>
          </w:tcPr>
          <w:p w14:paraId="5B4E4163"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2,794</w:t>
            </w:r>
          </w:p>
        </w:tc>
      </w:tr>
      <w:tr w:rsidR="002242F3" w:rsidRPr="005E3B44" w14:paraId="3150ED3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1D8FEE"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190,664</w:t>
            </w:r>
          </w:p>
        </w:tc>
        <w:tc>
          <w:tcPr>
            <w:tcW w:w="2385" w:type="dxa"/>
            <w:tcBorders>
              <w:top w:val="nil"/>
              <w:left w:val="nil"/>
              <w:bottom w:val="nil"/>
              <w:right w:val="nil"/>
              <w:tl2br w:val="nil"/>
              <w:tr2bl w:val="nil"/>
            </w:tcBorders>
            <w:shd w:val="clear" w:color="FFFFFF" w:fill="FFFFFF"/>
            <w:noWrap/>
            <w:tcMar>
              <w:left w:w="101" w:type="dxa"/>
              <w:right w:w="101" w:type="dxa"/>
            </w:tcMar>
          </w:tcPr>
          <w:p w14:paraId="71275A73"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DC5E870"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187,765</w:t>
            </w:r>
          </w:p>
        </w:tc>
        <w:tc>
          <w:tcPr>
            <w:tcW w:w="1035" w:type="dxa"/>
            <w:tcBorders>
              <w:top w:val="nil"/>
              <w:left w:val="nil"/>
              <w:bottom w:val="nil"/>
              <w:right w:val="nil"/>
              <w:tl2br w:val="nil"/>
              <w:tr2bl w:val="nil"/>
            </w:tcBorders>
            <w:shd w:val="clear" w:color="FFFFFF" w:fill="FFFFFF"/>
            <w:tcMar>
              <w:left w:w="101" w:type="dxa"/>
              <w:right w:w="101" w:type="dxa"/>
            </w:tcMar>
          </w:tcPr>
          <w:p w14:paraId="7C72D17F"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208,645</w:t>
            </w:r>
          </w:p>
        </w:tc>
        <w:tc>
          <w:tcPr>
            <w:tcW w:w="600" w:type="dxa"/>
            <w:tcBorders>
              <w:top w:val="nil"/>
              <w:left w:val="nil"/>
              <w:bottom w:val="nil"/>
              <w:right w:val="nil"/>
              <w:tl2br w:val="nil"/>
              <w:tr2bl w:val="nil"/>
            </w:tcBorders>
            <w:shd w:val="clear" w:color="FFFFFF" w:fill="FFFFFF"/>
            <w:tcMar>
              <w:left w:w="101" w:type="dxa"/>
              <w:right w:w="101" w:type="dxa"/>
            </w:tcMar>
          </w:tcPr>
          <w:p w14:paraId="5BDBF9E9"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210F3464"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206,185</w:t>
            </w:r>
          </w:p>
        </w:tc>
        <w:tc>
          <w:tcPr>
            <w:tcW w:w="1035" w:type="dxa"/>
            <w:tcBorders>
              <w:top w:val="nil"/>
              <w:left w:val="nil"/>
              <w:bottom w:val="nil"/>
              <w:right w:val="nil"/>
              <w:tl2br w:val="nil"/>
              <w:tr2bl w:val="nil"/>
            </w:tcBorders>
            <w:shd w:val="clear" w:color="FFFFFF" w:fill="FFFFFF"/>
            <w:tcMar>
              <w:left w:w="101" w:type="dxa"/>
              <w:right w:w="101" w:type="dxa"/>
            </w:tcMar>
          </w:tcPr>
          <w:p w14:paraId="5F59A483"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208,871</w:t>
            </w:r>
          </w:p>
        </w:tc>
        <w:tc>
          <w:tcPr>
            <w:tcW w:w="1035" w:type="dxa"/>
            <w:tcBorders>
              <w:top w:val="nil"/>
              <w:left w:val="nil"/>
              <w:bottom w:val="nil"/>
              <w:right w:val="nil"/>
              <w:tl2br w:val="nil"/>
              <w:tr2bl w:val="nil"/>
            </w:tcBorders>
            <w:shd w:val="clear" w:color="FFFFFF" w:fill="FFFFFF"/>
            <w:tcMar>
              <w:left w:w="101" w:type="dxa"/>
              <w:right w:w="101" w:type="dxa"/>
            </w:tcMar>
          </w:tcPr>
          <w:p w14:paraId="0D091AAC"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208,811</w:t>
            </w:r>
          </w:p>
        </w:tc>
      </w:tr>
      <w:tr w:rsidR="002242F3" w:rsidRPr="005E3B44" w14:paraId="5AD2328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A9EBD8"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79C97729"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40ED5ADA"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3,116</w:t>
            </w:r>
          </w:p>
        </w:tc>
        <w:tc>
          <w:tcPr>
            <w:tcW w:w="1035" w:type="dxa"/>
            <w:tcBorders>
              <w:top w:val="nil"/>
              <w:left w:val="nil"/>
              <w:bottom w:val="nil"/>
              <w:right w:val="nil"/>
              <w:tl2br w:val="nil"/>
              <w:tr2bl w:val="nil"/>
            </w:tcBorders>
            <w:shd w:val="clear" w:color="FFFFFF" w:fill="FFFFFF"/>
            <w:tcMar>
              <w:left w:w="101" w:type="dxa"/>
              <w:right w:w="101" w:type="dxa"/>
            </w:tcMar>
          </w:tcPr>
          <w:p w14:paraId="6CC339E1"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3,565</w:t>
            </w:r>
          </w:p>
        </w:tc>
        <w:tc>
          <w:tcPr>
            <w:tcW w:w="600" w:type="dxa"/>
            <w:tcBorders>
              <w:top w:val="nil"/>
              <w:left w:val="nil"/>
              <w:bottom w:val="nil"/>
              <w:right w:val="nil"/>
              <w:tl2br w:val="nil"/>
              <w:tr2bl w:val="nil"/>
            </w:tcBorders>
            <w:shd w:val="clear" w:color="FFFFFF" w:fill="FFFFFF"/>
            <w:tcMar>
              <w:left w:w="101" w:type="dxa"/>
              <w:right w:w="101" w:type="dxa"/>
            </w:tcMar>
          </w:tcPr>
          <w:p w14:paraId="18906108"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75E71FC8"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3,999</w:t>
            </w:r>
          </w:p>
        </w:tc>
        <w:tc>
          <w:tcPr>
            <w:tcW w:w="1035" w:type="dxa"/>
            <w:tcBorders>
              <w:top w:val="nil"/>
              <w:left w:val="nil"/>
              <w:bottom w:val="nil"/>
              <w:right w:val="nil"/>
              <w:tl2br w:val="nil"/>
              <w:tr2bl w:val="nil"/>
            </w:tcBorders>
            <w:shd w:val="clear" w:color="FFFFFF" w:fill="FFFFFF"/>
            <w:tcMar>
              <w:left w:w="101" w:type="dxa"/>
              <w:right w:w="101" w:type="dxa"/>
            </w:tcMar>
          </w:tcPr>
          <w:p w14:paraId="3EBB3E7B"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3,562</w:t>
            </w:r>
          </w:p>
        </w:tc>
        <w:tc>
          <w:tcPr>
            <w:tcW w:w="1035" w:type="dxa"/>
            <w:tcBorders>
              <w:top w:val="nil"/>
              <w:left w:val="nil"/>
              <w:bottom w:val="nil"/>
              <w:right w:val="nil"/>
              <w:tl2br w:val="nil"/>
              <w:tr2bl w:val="nil"/>
            </w:tcBorders>
            <w:shd w:val="clear" w:color="FFFFFF" w:fill="FFFFFF"/>
            <w:tcMar>
              <w:left w:w="101" w:type="dxa"/>
              <w:right w:w="101" w:type="dxa"/>
            </w:tcMar>
          </w:tcPr>
          <w:p w14:paraId="3058D438"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3,705</w:t>
            </w:r>
          </w:p>
        </w:tc>
      </w:tr>
      <w:tr w:rsidR="002242F3" w:rsidRPr="005E3B44" w14:paraId="17294D0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E911C6"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12,543</w:t>
            </w:r>
          </w:p>
        </w:tc>
        <w:tc>
          <w:tcPr>
            <w:tcW w:w="2385" w:type="dxa"/>
            <w:tcBorders>
              <w:top w:val="nil"/>
              <w:left w:val="nil"/>
              <w:bottom w:val="nil"/>
              <w:right w:val="nil"/>
              <w:tl2br w:val="nil"/>
              <w:tr2bl w:val="nil"/>
            </w:tcBorders>
            <w:shd w:val="clear" w:color="FFFFFF" w:fill="FFFFFF"/>
            <w:noWrap/>
            <w:tcMar>
              <w:left w:w="101" w:type="dxa"/>
              <w:right w:w="101" w:type="dxa"/>
            </w:tcMar>
          </w:tcPr>
          <w:p w14:paraId="245BC3A1"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F6CC423"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10,366</w:t>
            </w:r>
          </w:p>
        </w:tc>
        <w:tc>
          <w:tcPr>
            <w:tcW w:w="1035" w:type="dxa"/>
            <w:tcBorders>
              <w:top w:val="nil"/>
              <w:left w:val="nil"/>
              <w:bottom w:val="nil"/>
              <w:right w:val="nil"/>
              <w:tl2br w:val="nil"/>
              <w:tr2bl w:val="nil"/>
            </w:tcBorders>
            <w:shd w:val="clear" w:color="FFFFFF" w:fill="FFFFFF"/>
            <w:tcMar>
              <w:left w:w="101" w:type="dxa"/>
              <w:right w:w="101" w:type="dxa"/>
            </w:tcMar>
          </w:tcPr>
          <w:p w14:paraId="3AAD6BF3"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9,682</w:t>
            </w:r>
          </w:p>
        </w:tc>
        <w:tc>
          <w:tcPr>
            <w:tcW w:w="600" w:type="dxa"/>
            <w:tcBorders>
              <w:top w:val="nil"/>
              <w:left w:val="nil"/>
              <w:bottom w:val="nil"/>
              <w:right w:val="nil"/>
              <w:tl2br w:val="nil"/>
              <w:tr2bl w:val="nil"/>
            </w:tcBorders>
            <w:shd w:val="clear" w:color="FFFFFF" w:fill="FFFFFF"/>
            <w:tcMar>
              <w:left w:w="101" w:type="dxa"/>
              <w:right w:w="101" w:type="dxa"/>
            </w:tcMar>
          </w:tcPr>
          <w:p w14:paraId="2A131F39"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3AA18E4C"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7,927</w:t>
            </w:r>
          </w:p>
        </w:tc>
        <w:tc>
          <w:tcPr>
            <w:tcW w:w="1035" w:type="dxa"/>
            <w:tcBorders>
              <w:top w:val="nil"/>
              <w:left w:val="nil"/>
              <w:bottom w:val="nil"/>
              <w:right w:val="nil"/>
              <w:tl2br w:val="nil"/>
              <w:tr2bl w:val="nil"/>
            </w:tcBorders>
            <w:shd w:val="clear" w:color="FFFFFF" w:fill="FFFFFF"/>
            <w:tcMar>
              <w:left w:w="101" w:type="dxa"/>
              <w:right w:w="101" w:type="dxa"/>
            </w:tcMar>
          </w:tcPr>
          <w:p w14:paraId="62DCC31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8,006</w:t>
            </w:r>
          </w:p>
        </w:tc>
        <w:tc>
          <w:tcPr>
            <w:tcW w:w="1035" w:type="dxa"/>
            <w:tcBorders>
              <w:top w:val="nil"/>
              <w:left w:val="nil"/>
              <w:bottom w:val="nil"/>
              <w:right w:val="nil"/>
              <w:tl2br w:val="nil"/>
              <w:tr2bl w:val="nil"/>
            </w:tcBorders>
            <w:shd w:val="clear" w:color="FFFFFF" w:fill="FFFFFF"/>
            <w:tcMar>
              <w:left w:w="101" w:type="dxa"/>
              <w:right w:w="101" w:type="dxa"/>
            </w:tcMar>
          </w:tcPr>
          <w:p w14:paraId="4A3610A4"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8,166</w:t>
            </w:r>
          </w:p>
        </w:tc>
      </w:tr>
      <w:tr w:rsidR="002242F3" w:rsidRPr="005E3B44" w14:paraId="29C09D3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7BE8A5"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518</w:t>
            </w:r>
          </w:p>
        </w:tc>
        <w:tc>
          <w:tcPr>
            <w:tcW w:w="2385" w:type="dxa"/>
            <w:tcBorders>
              <w:top w:val="nil"/>
              <w:left w:val="nil"/>
              <w:bottom w:val="nil"/>
              <w:right w:val="nil"/>
              <w:tl2br w:val="nil"/>
              <w:tr2bl w:val="nil"/>
            </w:tcBorders>
            <w:shd w:val="clear" w:color="FFFFFF" w:fill="FFFFFF"/>
            <w:noWrap/>
            <w:tcMar>
              <w:left w:w="101" w:type="dxa"/>
              <w:right w:w="101" w:type="dxa"/>
            </w:tcMar>
          </w:tcPr>
          <w:p w14:paraId="7A98CE24"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532930D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487</w:t>
            </w:r>
          </w:p>
        </w:tc>
        <w:tc>
          <w:tcPr>
            <w:tcW w:w="1035" w:type="dxa"/>
            <w:tcBorders>
              <w:top w:val="nil"/>
              <w:left w:val="nil"/>
              <w:bottom w:val="nil"/>
              <w:right w:val="nil"/>
              <w:tl2br w:val="nil"/>
              <w:tr2bl w:val="nil"/>
            </w:tcBorders>
            <w:shd w:val="clear" w:color="FFFFFF" w:fill="FFFFFF"/>
            <w:tcMar>
              <w:left w:w="101" w:type="dxa"/>
              <w:right w:w="101" w:type="dxa"/>
            </w:tcMar>
          </w:tcPr>
          <w:p w14:paraId="6E447CC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514</w:t>
            </w:r>
          </w:p>
        </w:tc>
        <w:tc>
          <w:tcPr>
            <w:tcW w:w="600" w:type="dxa"/>
            <w:tcBorders>
              <w:top w:val="nil"/>
              <w:left w:val="nil"/>
              <w:bottom w:val="nil"/>
              <w:right w:val="nil"/>
              <w:tl2br w:val="nil"/>
              <w:tr2bl w:val="nil"/>
            </w:tcBorders>
            <w:shd w:val="clear" w:color="FFFFFF" w:fill="FFFFFF"/>
            <w:tcMar>
              <w:left w:w="101" w:type="dxa"/>
              <w:right w:w="101" w:type="dxa"/>
            </w:tcMar>
          </w:tcPr>
          <w:p w14:paraId="5474C19A"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1E3417F9"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518</w:t>
            </w:r>
          </w:p>
        </w:tc>
        <w:tc>
          <w:tcPr>
            <w:tcW w:w="1035" w:type="dxa"/>
            <w:tcBorders>
              <w:top w:val="nil"/>
              <w:left w:val="nil"/>
              <w:bottom w:val="nil"/>
              <w:right w:val="nil"/>
              <w:tl2br w:val="nil"/>
              <w:tr2bl w:val="nil"/>
            </w:tcBorders>
            <w:shd w:val="clear" w:color="FFFFFF" w:fill="FFFFFF"/>
            <w:tcMar>
              <w:left w:w="101" w:type="dxa"/>
              <w:right w:w="101" w:type="dxa"/>
            </w:tcMar>
          </w:tcPr>
          <w:p w14:paraId="4F887BEE"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518</w:t>
            </w:r>
          </w:p>
        </w:tc>
        <w:tc>
          <w:tcPr>
            <w:tcW w:w="1035" w:type="dxa"/>
            <w:tcBorders>
              <w:top w:val="nil"/>
              <w:left w:val="nil"/>
              <w:bottom w:val="nil"/>
              <w:right w:val="nil"/>
              <w:tl2br w:val="nil"/>
              <w:tr2bl w:val="nil"/>
            </w:tcBorders>
            <w:shd w:val="clear" w:color="FFFFFF" w:fill="FFFFFF"/>
            <w:tcMar>
              <w:left w:w="101" w:type="dxa"/>
              <w:right w:w="101" w:type="dxa"/>
            </w:tcMar>
          </w:tcPr>
          <w:p w14:paraId="42073672"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518</w:t>
            </w:r>
          </w:p>
        </w:tc>
      </w:tr>
      <w:tr w:rsidR="002242F3" w:rsidRPr="005E3B44" w14:paraId="366E06A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5C0CB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8,680</w:t>
            </w:r>
          </w:p>
        </w:tc>
        <w:tc>
          <w:tcPr>
            <w:tcW w:w="2385" w:type="dxa"/>
            <w:tcBorders>
              <w:top w:val="nil"/>
              <w:left w:val="nil"/>
              <w:bottom w:val="nil"/>
              <w:right w:val="nil"/>
              <w:tl2br w:val="nil"/>
              <w:tr2bl w:val="nil"/>
            </w:tcBorders>
            <w:shd w:val="clear" w:color="FFFFFF" w:fill="FFFFFF"/>
            <w:noWrap/>
            <w:tcMar>
              <w:left w:w="101" w:type="dxa"/>
              <w:right w:w="101" w:type="dxa"/>
            </w:tcMar>
          </w:tcPr>
          <w:p w14:paraId="2F618C9F"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Transfer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4C5C810F"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8,576</w:t>
            </w:r>
          </w:p>
        </w:tc>
        <w:tc>
          <w:tcPr>
            <w:tcW w:w="1035" w:type="dxa"/>
            <w:tcBorders>
              <w:top w:val="nil"/>
              <w:left w:val="nil"/>
              <w:bottom w:val="nil"/>
              <w:right w:val="nil"/>
              <w:tl2br w:val="nil"/>
              <w:tr2bl w:val="nil"/>
            </w:tcBorders>
            <w:shd w:val="clear" w:color="FFFFFF" w:fill="FFFFFF"/>
            <w:tcMar>
              <w:left w:w="101" w:type="dxa"/>
              <w:right w:w="101" w:type="dxa"/>
            </w:tcMar>
          </w:tcPr>
          <w:p w14:paraId="13CFF95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8,903</w:t>
            </w:r>
          </w:p>
        </w:tc>
        <w:tc>
          <w:tcPr>
            <w:tcW w:w="600" w:type="dxa"/>
            <w:tcBorders>
              <w:top w:val="nil"/>
              <w:left w:val="nil"/>
              <w:bottom w:val="nil"/>
              <w:right w:val="nil"/>
              <w:tl2br w:val="nil"/>
              <w:tr2bl w:val="nil"/>
            </w:tcBorders>
            <w:shd w:val="clear" w:color="FFFFFF" w:fill="FFFFFF"/>
            <w:tcMar>
              <w:left w:w="101" w:type="dxa"/>
              <w:right w:w="101" w:type="dxa"/>
            </w:tcMar>
          </w:tcPr>
          <w:p w14:paraId="2C9E2141"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496E847E"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8,902</w:t>
            </w:r>
          </w:p>
        </w:tc>
        <w:tc>
          <w:tcPr>
            <w:tcW w:w="1035" w:type="dxa"/>
            <w:tcBorders>
              <w:top w:val="nil"/>
              <w:left w:val="nil"/>
              <w:bottom w:val="nil"/>
              <w:right w:val="nil"/>
              <w:tl2br w:val="nil"/>
              <w:tr2bl w:val="nil"/>
            </w:tcBorders>
            <w:shd w:val="clear" w:color="FFFFFF" w:fill="FFFFFF"/>
            <w:tcMar>
              <w:left w:w="101" w:type="dxa"/>
              <w:right w:w="101" w:type="dxa"/>
            </w:tcMar>
          </w:tcPr>
          <w:p w14:paraId="2FDDB35C"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9,190</w:t>
            </w:r>
          </w:p>
        </w:tc>
        <w:tc>
          <w:tcPr>
            <w:tcW w:w="1035" w:type="dxa"/>
            <w:tcBorders>
              <w:top w:val="nil"/>
              <w:left w:val="nil"/>
              <w:bottom w:val="nil"/>
              <w:right w:val="nil"/>
              <w:tl2br w:val="nil"/>
              <w:tr2bl w:val="nil"/>
            </w:tcBorders>
            <w:shd w:val="clear" w:color="FFFFFF" w:fill="FFFFFF"/>
            <w:tcMar>
              <w:left w:w="101" w:type="dxa"/>
              <w:right w:w="101" w:type="dxa"/>
            </w:tcMar>
          </w:tcPr>
          <w:p w14:paraId="6736A53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9,191</w:t>
            </w:r>
          </w:p>
        </w:tc>
      </w:tr>
      <w:tr w:rsidR="002242F3" w:rsidRPr="005E3B44" w14:paraId="50046DE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02FBCE"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B82E953"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3DE6AC"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C7464D"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E0CE70"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5C900D"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0F3C1B"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81BB8B" w14:textId="77777777" w:rsidR="002242F3" w:rsidRPr="005E3B44" w:rsidRDefault="002242F3" w:rsidP="005E3B44">
            <w:pPr>
              <w:pStyle w:val="Normal12"/>
              <w:rPr>
                <w:rFonts w:asciiTheme="minorHAnsi" w:eastAsia="Calibri" w:hAnsiTheme="minorHAnsi" w:cstheme="minorHAnsi"/>
                <w:color w:val="000000"/>
                <w:sz w:val="18"/>
              </w:rPr>
            </w:pPr>
          </w:p>
        </w:tc>
      </w:tr>
      <w:tr w:rsidR="002242F3" w:rsidRPr="005E3B44" w14:paraId="04E5E1A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F92FC7"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217,188</w:t>
            </w:r>
          </w:p>
        </w:tc>
        <w:tc>
          <w:tcPr>
            <w:tcW w:w="2385" w:type="dxa"/>
            <w:tcBorders>
              <w:top w:val="nil"/>
              <w:left w:val="nil"/>
              <w:bottom w:val="nil"/>
              <w:right w:val="nil"/>
              <w:tl2br w:val="nil"/>
              <w:tr2bl w:val="nil"/>
            </w:tcBorders>
            <w:shd w:val="clear" w:color="FFFFFF" w:fill="FFFFFF"/>
            <w:noWrap/>
            <w:tcMar>
              <w:left w:w="101" w:type="dxa"/>
              <w:right w:w="101" w:type="dxa"/>
            </w:tcMar>
          </w:tcPr>
          <w:p w14:paraId="76AABE9B"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0F5F2DEF"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211,460</w:t>
            </w:r>
          </w:p>
        </w:tc>
        <w:tc>
          <w:tcPr>
            <w:tcW w:w="1035" w:type="dxa"/>
            <w:tcBorders>
              <w:top w:val="nil"/>
              <w:left w:val="nil"/>
              <w:bottom w:val="nil"/>
              <w:right w:val="nil"/>
              <w:tl2br w:val="nil"/>
              <w:tr2bl w:val="nil"/>
            </w:tcBorders>
            <w:shd w:val="clear" w:color="FFFFFF" w:fill="FFFFFF"/>
            <w:tcMar>
              <w:left w:w="101" w:type="dxa"/>
              <w:right w:w="101" w:type="dxa"/>
            </w:tcMar>
          </w:tcPr>
          <w:p w14:paraId="5171D369"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233,758</w:t>
            </w:r>
          </w:p>
        </w:tc>
        <w:tc>
          <w:tcPr>
            <w:tcW w:w="600" w:type="dxa"/>
            <w:tcBorders>
              <w:top w:val="nil"/>
              <w:left w:val="nil"/>
              <w:bottom w:val="nil"/>
              <w:right w:val="nil"/>
              <w:tl2br w:val="nil"/>
              <w:tr2bl w:val="nil"/>
            </w:tcBorders>
            <w:shd w:val="clear" w:color="FFFFFF" w:fill="FFFFFF"/>
            <w:tcMar>
              <w:left w:w="101" w:type="dxa"/>
              <w:right w:w="101" w:type="dxa"/>
            </w:tcMar>
          </w:tcPr>
          <w:p w14:paraId="16C835B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19C18DC4"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230,267</w:t>
            </w:r>
          </w:p>
        </w:tc>
        <w:tc>
          <w:tcPr>
            <w:tcW w:w="1035" w:type="dxa"/>
            <w:tcBorders>
              <w:top w:val="nil"/>
              <w:left w:val="nil"/>
              <w:bottom w:val="nil"/>
              <w:right w:val="nil"/>
              <w:tl2br w:val="nil"/>
              <w:tr2bl w:val="nil"/>
            </w:tcBorders>
            <w:shd w:val="clear" w:color="FFFFFF" w:fill="FFFFFF"/>
            <w:tcMar>
              <w:left w:w="101" w:type="dxa"/>
              <w:right w:w="101" w:type="dxa"/>
            </w:tcMar>
          </w:tcPr>
          <w:p w14:paraId="31685B57"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232,912</w:t>
            </w:r>
          </w:p>
        </w:tc>
        <w:tc>
          <w:tcPr>
            <w:tcW w:w="1035" w:type="dxa"/>
            <w:tcBorders>
              <w:top w:val="nil"/>
              <w:left w:val="nil"/>
              <w:bottom w:val="nil"/>
              <w:right w:val="nil"/>
              <w:tl2br w:val="nil"/>
              <w:tr2bl w:val="nil"/>
            </w:tcBorders>
            <w:shd w:val="clear" w:color="FFFFFF" w:fill="FFFFFF"/>
            <w:tcMar>
              <w:left w:w="101" w:type="dxa"/>
              <w:right w:w="101" w:type="dxa"/>
            </w:tcMar>
          </w:tcPr>
          <w:p w14:paraId="0B84E8DB"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233,185</w:t>
            </w:r>
          </w:p>
        </w:tc>
      </w:tr>
      <w:tr w:rsidR="002242F3" w:rsidRPr="005E3B44" w14:paraId="7993847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20E2062"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2FCEDDF"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3E6C89"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D6C386"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17B9FC"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46A4E9"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312024"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AABFF8" w14:textId="77777777" w:rsidR="002242F3" w:rsidRPr="005E3B44" w:rsidRDefault="002242F3" w:rsidP="005E3B44">
            <w:pPr>
              <w:pStyle w:val="Normal12"/>
              <w:rPr>
                <w:rFonts w:asciiTheme="minorHAnsi" w:eastAsia="Calibri" w:hAnsiTheme="minorHAnsi" w:cstheme="minorHAnsi"/>
                <w:color w:val="000000"/>
                <w:sz w:val="18"/>
              </w:rPr>
            </w:pPr>
          </w:p>
        </w:tc>
      </w:tr>
      <w:tr w:rsidR="002242F3" w:rsidRPr="005E3B44" w14:paraId="1DA40A0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4D3D8B"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4D3ECA72"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CE9662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-2,513</w:t>
            </w:r>
          </w:p>
        </w:tc>
        <w:tc>
          <w:tcPr>
            <w:tcW w:w="1035" w:type="dxa"/>
            <w:tcBorders>
              <w:top w:val="nil"/>
              <w:left w:val="nil"/>
              <w:bottom w:val="nil"/>
              <w:right w:val="nil"/>
              <w:tl2br w:val="nil"/>
              <w:tr2bl w:val="nil"/>
            </w:tcBorders>
            <w:shd w:val="clear" w:color="FFFFFF" w:fill="FFFFFF"/>
            <w:tcMar>
              <w:left w:w="101" w:type="dxa"/>
              <w:right w:w="101" w:type="dxa"/>
            </w:tcMar>
          </w:tcPr>
          <w:p w14:paraId="2100F835"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-3,565</w:t>
            </w:r>
          </w:p>
        </w:tc>
        <w:tc>
          <w:tcPr>
            <w:tcW w:w="600" w:type="dxa"/>
            <w:tcBorders>
              <w:top w:val="nil"/>
              <w:left w:val="nil"/>
              <w:bottom w:val="nil"/>
              <w:right w:val="nil"/>
              <w:tl2br w:val="nil"/>
              <w:tr2bl w:val="nil"/>
            </w:tcBorders>
            <w:shd w:val="clear" w:color="FFFFFF" w:fill="FFFFFF"/>
            <w:tcMar>
              <w:left w:w="101" w:type="dxa"/>
              <w:right w:w="101" w:type="dxa"/>
            </w:tcMar>
          </w:tcPr>
          <w:p w14:paraId="3D3EBD7B"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-42</w:t>
            </w:r>
          </w:p>
        </w:tc>
        <w:tc>
          <w:tcPr>
            <w:tcW w:w="1035" w:type="dxa"/>
            <w:tcBorders>
              <w:top w:val="nil"/>
              <w:left w:val="nil"/>
              <w:bottom w:val="nil"/>
              <w:right w:val="nil"/>
              <w:tl2br w:val="nil"/>
              <w:tr2bl w:val="nil"/>
            </w:tcBorders>
            <w:shd w:val="clear" w:color="FFFFFF" w:fill="FFFFFF"/>
            <w:tcMar>
              <w:left w:w="101" w:type="dxa"/>
              <w:right w:w="101" w:type="dxa"/>
            </w:tcMar>
          </w:tcPr>
          <w:p w14:paraId="2AF7E250"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-3,999</w:t>
            </w:r>
          </w:p>
        </w:tc>
        <w:tc>
          <w:tcPr>
            <w:tcW w:w="1035" w:type="dxa"/>
            <w:tcBorders>
              <w:top w:val="nil"/>
              <w:left w:val="nil"/>
              <w:bottom w:val="nil"/>
              <w:right w:val="nil"/>
              <w:tl2br w:val="nil"/>
              <w:tr2bl w:val="nil"/>
            </w:tcBorders>
            <w:shd w:val="clear" w:color="FFFFFF" w:fill="FFFFFF"/>
            <w:tcMar>
              <w:left w:w="101" w:type="dxa"/>
              <w:right w:w="101" w:type="dxa"/>
            </w:tcMar>
          </w:tcPr>
          <w:p w14:paraId="02B1ED9C"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-3,562</w:t>
            </w:r>
          </w:p>
        </w:tc>
        <w:tc>
          <w:tcPr>
            <w:tcW w:w="1035" w:type="dxa"/>
            <w:tcBorders>
              <w:top w:val="nil"/>
              <w:left w:val="nil"/>
              <w:bottom w:val="nil"/>
              <w:right w:val="nil"/>
              <w:tl2br w:val="nil"/>
              <w:tr2bl w:val="nil"/>
            </w:tcBorders>
            <w:shd w:val="clear" w:color="FFFFFF" w:fill="FFFFFF"/>
            <w:tcMar>
              <w:left w:w="101" w:type="dxa"/>
              <w:right w:w="101" w:type="dxa"/>
            </w:tcMar>
          </w:tcPr>
          <w:p w14:paraId="7EF52547"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-3,705</w:t>
            </w:r>
          </w:p>
        </w:tc>
      </w:tr>
      <w:tr w:rsidR="002242F3" w:rsidRPr="005E3B44" w14:paraId="2182C77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22B632" w14:textId="77777777" w:rsidR="002242F3" w:rsidRPr="005E3B44" w:rsidRDefault="002242F3" w:rsidP="005E3B44">
            <w:pPr>
              <w:pStyle w:val="Normal12"/>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3B4605A"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E11B69"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E56643" w14:textId="77777777" w:rsidR="002242F3" w:rsidRPr="005E3B44" w:rsidRDefault="002242F3" w:rsidP="005E3B44">
            <w:pPr>
              <w:pStyle w:val="Normal12"/>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90C704"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2FEAE0"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52681F"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713172" w14:textId="77777777" w:rsidR="002242F3" w:rsidRPr="005E3B44" w:rsidRDefault="002242F3" w:rsidP="005E3B44">
            <w:pPr>
              <w:pStyle w:val="Normal12"/>
              <w:rPr>
                <w:rFonts w:asciiTheme="minorHAnsi" w:eastAsia="Calibri" w:hAnsiTheme="minorHAnsi" w:cstheme="minorHAnsi"/>
                <w:b/>
                <w:color w:val="000000"/>
                <w:sz w:val="18"/>
              </w:rPr>
            </w:pPr>
          </w:p>
        </w:tc>
      </w:tr>
      <w:tr w:rsidR="002242F3" w:rsidRPr="005E3B44" w14:paraId="64305F2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2C07E3" w14:textId="77777777" w:rsidR="002242F3" w:rsidRPr="005E3B44" w:rsidRDefault="002242F3" w:rsidP="005E3B44">
            <w:pPr>
              <w:pStyle w:val="Normal12"/>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01376483"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Other 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4517AF49"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AC581E" w14:textId="77777777" w:rsidR="002242F3" w:rsidRPr="005E3B44" w:rsidRDefault="002242F3" w:rsidP="005E3B44">
            <w:pPr>
              <w:pStyle w:val="Normal12"/>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BD389C"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319DF9"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64979"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BD9600" w14:textId="77777777" w:rsidR="002242F3" w:rsidRPr="005E3B44" w:rsidRDefault="002242F3" w:rsidP="005E3B44">
            <w:pPr>
              <w:pStyle w:val="Normal12"/>
              <w:rPr>
                <w:rFonts w:asciiTheme="minorHAnsi" w:eastAsia="Calibri" w:hAnsiTheme="minorHAnsi" w:cstheme="minorHAnsi"/>
                <w:b/>
                <w:color w:val="000000"/>
                <w:sz w:val="18"/>
              </w:rPr>
            </w:pPr>
          </w:p>
        </w:tc>
      </w:tr>
      <w:tr w:rsidR="002242F3" w:rsidRPr="005E3B44" w14:paraId="4D2A9EA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C0581B" w14:textId="77777777" w:rsidR="002242F3" w:rsidRPr="005E3B44" w:rsidRDefault="002242F3" w:rsidP="005E3B44">
            <w:pPr>
              <w:pStyle w:val="Normal12"/>
              <w:rPr>
                <w:rFonts w:asciiTheme="minorHAnsi" w:eastAsia="Calibri" w:hAnsiTheme="minorHAnsi" w:cstheme="minorHAnsi"/>
                <w:b/>
                <w:color w:val="000000"/>
                <w:sz w:val="18"/>
              </w:rPr>
            </w:pPr>
          </w:p>
        </w:tc>
        <w:tc>
          <w:tcPr>
            <w:tcW w:w="8160" w:type="dxa"/>
            <w:gridSpan w:val="7"/>
            <w:tcBorders>
              <w:top w:val="nil"/>
              <w:left w:val="nil"/>
              <w:bottom w:val="nil"/>
              <w:right w:val="nil"/>
              <w:tl2br w:val="nil"/>
              <w:tr2bl w:val="nil"/>
            </w:tcBorders>
            <w:shd w:val="clear" w:color="FFFFFF" w:fill="FFFFFF"/>
            <w:tcMar>
              <w:left w:w="101" w:type="dxa"/>
              <w:right w:w="101" w:type="dxa"/>
            </w:tcMar>
          </w:tcPr>
          <w:p w14:paraId="2400C8F8" w14:textId="77777777" w:rsidR="002242F3" w:rsidRPr="005E3B44" w:rsidRDefault="002242F3" w:rsidP="005E3B44">
            <w:pPr>
              <w:pStyle w:val="Normal12"/>
              <w:rPr>
                <w:rFonts w:asciiTheme="minorHAnsi" w:eastAsia="Calibri" w:hAnsiTheme="minorHAnsi" w:cstheme="minorHAnsi"/>
                <w:i/>
                <w:color w:val="000000"/>
                <w:sz w:val="18"/>
              </w:rPr>
            </w:pPr>
            <w:r w:rsidRPr="005E3B44">
              <w:rPr>
                <w:rFonts w:asciiTheme="minorHAnsi" w:eastAsia="Calibri" w:hAnsiTheme="minorHAnsi" w:cstheme="minorHAnsi"/>
                <w:i/>
                <w:color w:val="000000"/>
                <w:sz w:val="18"/>
              </w:rPr>
              <w:t>Items that will not be Reclassified Subsequently to Profit or Loss</w:t>
            </w:r>
          </w:p>
        </w:tc>
      </w:tr>
      <w:tr w:rsidR="002242F3" w:rsidRPr="005E3B44" w14:paraId="7496D03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715F862" w14:textId="77777777" w:rsidR="002242F3" w:rsidRPr="005E3B44" w:rsidRDefault="002242F3" w:rsidP="005E3B44">
            <w:pPr>
              <w:pStyle w:val="Normal12"/>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E6C7E2" w14:textId="77777777" w:rsidR="002242F3" w:rsidRPr="005E3B44" w:rsidRDefault="002242F3" w:rsidP="005E3B44">
            <w:pPr>
              <w:pStyle w:val="Normal12"/>
              <w:rPr>
                <w:rFonts w:asciiTheme="minorHAnsi" w:eastAsia="Calibri" w:hAnsiTheme="minorHAnsi" w:cstheme="minorHAnsi"/>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8EDB61" w14:textId="77777777" w:rsidR="002242F3" w:rsidRPr="005E3B44" w:rsidRDefault="002242F3" w:rsidP="005E3B44">
            <w:pPr>
              <w:pStyle w:val="Normal12"/>
              <w:rPr>
                <w:rFonts w:asciiTheme="minorHAnsi" w:eastAsia="Calibri" w:hAnsiTheme="minorHAnsi" w:cstheme="minorHAnsi"/>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82ED82" w14:textId="77777777" w:rsidR="002242F3" w:rsidRPr="005E3B44" w:rsidRDefault="002242F3" w:rsidP="005E3B44">
            <w:pPr>
              <w:pStyle w:val="Normal12"/>
              <w:rPr>
                <w:rFonts w:asciiTheme="minorHAnsi" w:eastAsia="Calibri" w:hAnsiTheme="minorHAnsi" w:cstheme="minorHAnsi"/>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DE62D4" w14:textId="77777777" w:rsidR="002242F3" w:rsidRPr="005E3B44" w:rsidRDefault="002242F3" w:rsidP="005E3B44">
            <w:pPr>
              <w:pStyle w:val="Normal12"/>
              <w:rPr>
                <w:rFonts w:asciiTheme="minorHAnsi" w:eastAsia="Calibri" w:hAnsiTheme="minorHAnsi" w:cstheme="minorHAnsi"/>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822740" w14:textId="77777777" w:rsidR="002242F3" w:rsidRPr="005E3B44" w:rsidRDefault="002242F3" w:rsidP="005E3B44">
            <w:pPr>
              <w:pStyle w:val="Normal12"/>
              <w:rPr>
                <w:rFonts w:asciiTheme="minorHAnsi" w:eastAsia="Calibri" w:hAnsiTheme="minorHAnsi" w:cstheme="minorHAnsi"/>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2879A0" w14:textId="77777777" w:rsidR="002242F3" w:rsidRPr="005E3B44" w:rsidRDefault="002242F3" w:rsidP="005E3B44">
            <w:pPr>
              <w:pStyle w:val="Normal12"/>
              <w:rPr>
                <w:rFonts w:asciiTheme="minorHAnsi" w:eastAsia="Calibri" w:hAnsiTheme="minorHAnsi" w:cstheme="minorHAnsi"/>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CEAB84" w14:textId="77777777" w:rsidR="002242F3" w:rsidRPr="005E3B44" w:rsidRDefault="002242F3" w:rsidP="005E3B44">
            <w:pPr>
              <w:pStyle w:val="Normal12"/>
              <w:rPr>
                <w:rFonts w:asciiTheme="minorHAnsi" w:eastAsia="Calibri" w:hAnsiTheme="minorHAnsi" w:cstheme="minorHAnsi"/>
                <w:i/>
                <w:color w:val="000000"/>
                <w:sz w:val="18"/>
              </w:rPr>
            </w:pPr>
          </w:p>
        </w:tc>
      </w:tr>
      <w:tr w:rsidR="002242F3" w:rsidRPr="005E3B44" w14:paraId="13AB611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BF22C7"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7A600BD" w14:textId="77777777" w:rsidR="002242F3" w:rsidRPr="005E3B44" w:rsidRDefault="002242F3" w:rsidP="005E3B44">
            <w:pPr>
              <w:pStyle w:val="Normal1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76772155"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7,007</w:t>
            </w:r>
          </w:p>
        </w:tc>
        <w:tc>
          <w:tcPr>
            <w:tcW w:w="1035" w:type="dxa"/>
            <w:tcBorders>
              <w:top w:val="nil"/>
              <w:left w:val="nil"/>
              <w:bottom w:val="nil"/>
              <w:right w:val="nil"/>
              <w:tl2br w:val="nil"/>
              <w:tr2bl w:val="nil"/>
            </w:tcBorders>
            <w:shd w:val="clear" w:color="FFFFFF" w:fill="FFFFFF"/>
            <w:tcMar>
              <w:left w:w="101" w:type="dxa"/>
              <w:right w:w="101" w:type="dxa"/>
            </w:tcMar>
          </w:tcPr>
          <w:p w14:paraId="5346AF71"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9C55BBD"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35D4BC3"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30331C"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2586A6" w14:textId="77777777" w:rsidR="002242F3" w:rsidRPr="005E3B44" w:rsidRDefault="002242F3" w:rsidP="005E3B44">
            <w:pPr>
              <w:pStyle w:val="Normal1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3CE8E96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B8F145"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420CC134"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7E5CB942"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7,007</w:t>
            </w:r>
          </w:p>
        </w:tc>
        <w:tc>
          <w:tcPr>
            <w:tcW w:w="1035" w:type="dxa"/>
            <w:tcBorders>
              <w:top w:val="nil"/>
              <w:left w:val="nil"/>
              <w:bottom w:val="nil"/>
              <w:right w:val="nil"/>
              <w:tl2br w:val="nil"/>
              <w:tr2bl w:val="nil"/>
            </w:tcBorders>
            <w:shd w:val="clear" w:color="FFFFFF" w:fill="FFFFFF"/>
            <w:tcMar>
              <w:left w:w="101" w:type="dxa"/>
              <w:right w:w="101" w:type="dxa"/>
            </w:tcMar>
          </w:tcPr>
          <w:p w14:paraId="463C233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C1FFA22"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41CB9536"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A280E90"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C36AE7"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5E3B44" w14:paraId="75DB188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4FB557" w14:textId="77777777" w:rsidR="002242F3" w:rsidRPr="005E3B44" w:rsidRDefault="002242F3" w:rsidP="005E3B44">
            <w:pPr>
              <w:pStyle w:val="Normal12"/>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2ECB407"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C36030"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4DDDA4" w14:textId="77777777" w:rsidR="002242F3" w:rsidRPr="005E3B44" w:rsidRDefault="002242F3" w:rsidP="005E3B44">
            <w:pPr>
              <w:pStyle w:val="Normal12"/>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3CAC01"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9F6A84"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C64715" w14:textId="77777777" w:rsidR="002242F3" w:rsidRPr="005E3B44" w:rsidRDefault="002242F3" w:rsidP="005E3B44">
            <w:pPr>
              <w:pStyle w:val="Normal1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A1D7A7" w14:textId="77777777" w:rsidR="002242F3" w:rsidRPr="005E3B44" w:rsidRDefault="002242F3" w:rsidP="005E3B44">
            <w:pPr>
              <w:pStyle w:val="Normal12"/>
              <w:rPr>
                <w:rFonts w:asciiTheme="minorHAnsi" w:eastAsia="Calibri" w:hAnsiTheme="minorHAnsi" w:cstheme="minorHAnsi"/>
                <w:b/>
                <w:color w:val="000000"/>
                <w:sz w:val="18"/>
              </w:rPr>
            </w:pPr>
          </w:p>
        </w:tc>
      </w:tr>
      <w:tr w:rsidR="002242F3" w:rsidRPr="005E3B44" w14:paraId="65471F3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47E9D9"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6EE313B4" w14:textId="77777777" w:rsidR="002242F3" w:rsidRPr="005E3B44" w:rsidRDefault="002242F3" w:rsidP="005E3B44">
            <w:pPr>
              <w:pStyle w:val="Normal1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1877D38F"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4,494</w:t>
            </w:r>
          </w:p>
        </w:tc>
        <w:tc>
          <w:tcPr>
            <w:tcW w:w="1035" w:type="dxa"/>
            <w:tcBorders>
              <w:top w:val="nil"/>
              <w:left w:val="nil"/>
              <w:bottom w:val="nil"/>
              <w:right w:val="nil"/>
              <w:tl2br w:val="nil"/>
              <w:tr2bl w:val="nil"/>
            </w:tcBorders>
            <w:shd w:val="clear" w:color="FFFFFF" w:fill="FFFFFF"/>
            <w:tcMar>
              <w:left w:w="101" w:type="dxa"/>
              <w:right w:w="101" w:type="dxa"/>
            </w:tcMar>
          </w:tcPr>
          <w:p w14:paraId="47FBCF78"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-3,565</w:t>
            </w:r>
          </w:p>
        </w:tc>
        <w:tc>
          <w:tcPr>
            <w:tcW w:w="600" w:type="dxa"/>
            <w:tcBorders>
              <w:top w:val="nil"/>
              <w:left w:val="nil"/>
              <w:bottom w:val="nil"/>
              <w:right w:val="nil"/>
              <w:tl2br w:val="nil"/>
              <w:tr2bl w:val="nil"/>
            </w:tcBorders>
            <w:shd w:val="clear" w:color="FFFFFF" w:fill="FFFFFF"/>
            <w:tcMar>
              <w:left w:w="101" w:type="dxa"/>
              <w:right w:w="101" w:type="dxa"/>
            </w:tcMar>
          </w:tcPr>
          <w:p w14:paraId="2253031D"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-179 </w:t>
            </w:r>
          </w:p>
        </w:tc>
        <w:tc>
          <w:tcPr>
            <w:tcW w:w="1035" w:type="dxa"/>
            <w:tcBorders>
              <w:top w:val="nil"/>
              <w:left w:val="nil"/>
              <w:bottom w:val="nil"/>
              <w:right w:val="nil"/>
              <w:tl2br w:val="nil"/>
              <w:tr2bl w:val="nil"/>
            </w:tcBorders>
            <w:shd w:val="clear" w:color="FFFFFF" w:fill="FFFFFF"/>
            <w:tcMar>
              <w:left w:w="101" w:type="dxa"/>
              <w:right w:w="101" w:type="dxa"/>
            </w:tcMar>
          </w:tcPr>
          <w:p w14:paraId="65AB452D"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-3,999</w:t>
            </w:r>
          </w:p>
        </w:tc>
        <w:tc>
          <w:tcPr>
            <w:tcW w:w="1035" w:type="dxa"/>
            <w:tcBorders>
              <w:top w:val="nil"/>
              <w:left w:val="nil"/>
              <w:bottom w:val="nil"/>
              <w:right w:val="nil"/>
              <w:tl2br w:val="nil"/>
              <w:tr2bl w:val="nil"/>
            </w:tcBorders>
            <w:shd w:val="clear" w:color="FFFFFF" w:fill="FFFFFF"/>
            <w:tcMar>
              <w:left w:w="101" w:type="dxa"/>
              <w:right w:w="101" w:type="dxa"/>
            </w:tcMar>
          </w:tcPr>
          <w:p w14:paraId="7689C0C9"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-3,562</w:t>
            </w:r>
          </w:p>
        </w:tc>
        <w:tc>
          <w:tcPr>
            <w:tcW w:w="1035" w:type="dxa"/>
            <w:tcBorders>
              <w:top w:val="nil"/>
              <w:left w:val="nil"/>
              <w:bottom w:val="nil"/>
              <w:right w:val="nil"/>
              <w:tl2br w:val="nil"/>
              <w:tr2bl w:val="nil"/>
            </w:tcBorders>
            <w:shd w:val="clear" w:color="FFFFFF" w:fill="FFFFFF"/>
            <w:tcMar>
              <w:left w:w="101" w:type="dxa"/>
              <w:right w:w="101" w:type="dxa"/>
            </w:tcMar>
          </w:tcPr>
          <w:p w14:paraId="1DB5DF60" w14:textId="77777777" w:rsidR="002242F3" w:rsidRPr="005E3B44" w:rsidRDefault="002242F3" w:rsidP="005E3B44">
            <w:pPr>
              <w:pStyle w:val="Normal1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-3,705</w:t>
            </w:r>
          </w:p>
        </w:tc>
      </w:tr>
      <w:tr w:rsidR="002242F3" w:rsidRPr="005E3B44" w14:paraId="728FE19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4849947" w14:textId="77777777" w:rsidR="002242F3" w:rsidRPr="005E3B44" w:rsidRDefault="002242F3" w:rsidP="005E3B44">
            <w:pPr>
              <w:pStyle w:val="Normal12"/>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DF92A03"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ACD7A3F"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D7B5D4" w14:textId="77777777" w:rsidR="002242F3" w:rsidRPr="005E3B44" w:rsidRDefault="002242F3" w:rsidP="005E3B44">
            <w:pPr>
              <w:pStyle w:val="Normal12"/>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9675211"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BC43E07"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28C62F0" w14:textId="77777777" w:rsidR="002242F3" w:rsidRPr="005E3B44" w:rsidRDefault="002242F3" w:rsidP="005E3B44">
            <w:pPr>
              <w:pStyle w:val="Normal12"/>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EBC8D92" w14:textId="77777777" w:rsidR="002242F3" w:rsidRPr="005E3B44" w:rsidRDefault="002242F3" w:rsidP="005E3B44">
            <w:pPr>
              <w:pStyle w:val="Normal12"/>
              <w:rPr>
                <w:rFonts w:asciiTheme="minorHAnsi" w:eastAsia="Calibri" w:hAnsiTheme="minorHAnsi" w:cstheme="minorHAnsi"/>
                <w:color w:val="000000"/>
                <w:sz w:val="18"/>
              </w:rPr>
            </w:pPr>
          </w:p>
        </w:tc>
      </w:tr>
    </w:tbl>
    <w:p w14:paraId="14CE6FF8" w14:textId="39A29FA7" w:rsidR="002242F3" w:rsidRPr="005E3B44" w:rsidRDefault="002242F3" w:rsidP="002242F3">
      <w:pPr>
        <w:pStyle w:val="Caption"/>
        <w:pageBreakBefore/>
        <w:pBdr>
          <w:top w:val="nil"/>
          <w:left w:val="nil"/>
          <w:bottom w:val="nil"/>
          <w:right w:val="nil"/>
          <w:between w:val="nil"/>
          <w:bar w:val="nil"/>
        </w:pBdr>
        <w:outlineLvl w:val="0"/>
        <w:rPr>
          <w:rFonts w:asciiTheme="minorHAnsi" w:eastAsia="TimesNewRomanPS-ItalicMT" w:hAnsiTheme="minorHAnsi" w:cstheme="minorHAnsi"/>
          <w:bdr w:val="nil"/>
        </w:rPr>
      </w:pPr>
      <w:r w:rsidRPr="005E3B44">
        <w:rPr>
          <w:rFonts w:asciiTheme="minorHAnsi" w:hAnsiTheme="minorHAnsi" w:cstheme="minorHAnsi"/>
          <w:bdr w:val="nil"/>
        </w:rPr>
        <w:lastRenderedPageBreak/>
        <w:t>Table 3</w:t>
      </w:r>
      <w:r w:rsidR="00805234">
        <w:rPr>
          <w:rFonts w:asciiTheme="minorHAnsi" w:hAnsiTheme="minorHAnsi" w:cstheme="minorHAnsi"/>
          <w:bdr w:val="nil"/>
        </w:rPr>
        <w:t>4</w:t>
      </w:r>
      <w:r w:rsidRPr="005E3B44">
        <w:rPr>
          <w:rFonts w:asciiTheme="minorHAnsi" w:hAnsiTheme="minorHAnsi" w:cstheme="minorHAnsi"/>
          <w:bdr w:val="nil"/>
        </w:rPr>
        <w:t>: Justice and Community Safety Directorate: Statement of Assets and Liabilities on behalf of the Territory</w:t>
      </w:r>
    </w:p>
    <w:tbl>
      <w:tblPr>
        <w:tblStyle w:val="CDMRange2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79C94702" w14:textId="77777777" w:rsidTr="005E3B44">
        <w:trPr>
          <w:trHeight w:val="121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AA385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73411542"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22D97E23"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30/6/21 </w:t>
            </w:r>
          </w:p>
          <w:p w14:paraId="0CC8D39E"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F6B1225"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9A3BC55"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at 30/6/21</w:t>
            </w:r>
          </w:p>
          <w:p w14:paraId="397CC6C5"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E24EC2"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3EF41E20"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36348D91"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30/6/22 </w:t>
            </w:r>
          </w:p>
          <w:p w14:paraId="1927B949"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3FBF58C"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1407AF0A"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D2C86F"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02600DD7"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39FF9778"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30/6/23 </w:t>
            </w:r>
          </w:p>
          <w:p w14:paraId="1D62B070"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177AFF"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15D67F53"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60DF6233"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30/6/24 </w:t>
            </w:r>
          </w:p>
          <w:p w14:paraId="74C73091"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89F160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2A1DAF70"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4FE036C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30/6/25 </w:t>
            </w:r>
          </w:p>
          <w:p w14:paraId="67A32B84"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0658033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9B612AF" w14:textId="77777777" w:rsidR="002242F3" w:rsidRPr="005E3B44" w:rsidRDefault="002242F3" w:rsidP="005E3B44">
            <w:pPr>
              <w:pStyle w:val="Normal13"/>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8F7A043"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ECBF843" w14:textId="77777777" w:rsidR="002242F3" w:rsidRPr="005E3B44" w:rsidRDefault="002242F3" w:rsidP="005E3B44">
            <w:pPr>
              <w:pStyle w:val="Normal13"/>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2001EF3" w14:textId="77777777" w:rsidR="002242F3" w:rsidRPr="005E3B44" w:rsidRDefault="002242F3" w:rsidP="005E3B44">
            <w:pPr>
              <w:pStyle w:val="Normal13"/>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9B00673" w14:textId="77777777" w:rsidR="002242F3" w:rsidRPr="005E3B44" w:rsidRDefault="002242F3" w:rsidP="005E3B44">
            <w:pPr>
              <w:pStyle w:val="Normal13"/>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0F45020" w14:textId="77777777" w:rsidR="002242F3" w:rsidRPr="005E3B44" w:rsidRDefault="002242F3" w:rsidP="005E3B44">
            <w:pPr>
              <w:pStyle w:val="Normal13"/>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7B2E09F" w14:textId="77777777" w:rsidR="002242F3" w:rsidRPr="005E3B44" w:rsidRDefault="002242F3" w:rsidP="005E3B44">
            <w:pPr>
              <w:pStyle w:val="Normal13"/>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4601D7C" w14:textId="77777777" w:rsidR="002242F3" w:rsidRPr="005E3B44" w:rsidRDefault="002242F3" w:rsidP="005E3B44">
            <w:pPr>
              <w:pStyle w:val="Normal13"/>
              <w:jc w:val="right"/>
              <w:rPr>
                <w:rFonts w:asciiTheme="minorHAnsi" w:eastAsia="Calibri" w:hAnsiTheme="minorHAnsi" w:cstheme="minorHAnsi"/>
                <w:b/>
                <w:i/>
                <w:color w:val="000000"/>
                <w:sz w:val="18"/>
              </w:rPr>
            </w:pPr>
          </w:p>
        </w:tc>
      </w:tr>
      <w:tr w:rsidR="002242F3" w:rsidRPr="005E3B44" w14:paraId="44E7C24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7F9D9B"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FCE3A99"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15AAB9A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A10CBD"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729D0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FF04B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658F6B"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3BBDA9"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75BCD94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15EFDF"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699</w:t>
            </w:r>
          </w:p>
        </w:tc>
        <w:tc>
          <w:tcPr>
            <w:tcW w:w="2385" w:type="dxa"/>
            <w:tcBorders>
              <w:top w:val="nil"/>
              <w:left w:val="nil"/>
              <w:bottom w:val="nil"/>
              <w:right w:val="nil"/>
              <w:tl2br w:val="nil"/>
              <w:tr2bl w:val="nil"/>
            </w:tcBorders>
            <w:shd w:val="clear" w:color="auto" w:fill="auto"/>
            <w:noWrap/>
            <w:tcMar>
              <w:left w:w="101" w:type="dxa"/>
              <w:right w:w="101" w:type="dxa"/>
            </w:tcMar>
          </w:tcPr>
          <w:p w14:paraId="06A00712"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443BF4D6"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w:t>
            </w:r>
          </w:p>
        </w:tc>
        <w:tc>
          <w:tcPr>
            <w:tcW w:w="1035" w:type="dxa"/>
            <w:tcBorders>
              <w:top w:val="nil"/>
              <w:left w:val="nil"/>
              <w:bottom w:val="nil"/>
              <w:right w:val="nil"/>
              <w:tl2br w:val="nil"/>
              <w:tr2bl w:val="nil"/>
            </w:tcBorders>
            <w:shd w:val="clear" w:color="FFFFFF" w:fill="FFFFFF"/>
            <w:tcMar>
              <w:left w:w="101" w:type="dxa"/>
              <w:right w:w="101" w:type="dxa"/>
            </w:tcMar>
          </w:tcPr>
          <w:p w14:paraId="4B2C918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w:t>
            </w:r>
          </w:p>
        </w:tc>
        <w:tc>
          <w:tcPr>
            <w:tcW w:w="600" w:type="dxa"/>
            <w:tcBorders>
              <w:top w:val="nil"/>
              <w:left w:val="nil"/>
              <w:bottom w:val="nil"/>
              <w:right w:val="nil"/>
              <w:tl2br w:val="nil"/>
              <w:tr2bl w:val="nil"/>
            </w:tcBorders>
            <w:shd w:val="clear" w:color="FFFFFF" w:fill="FFFFFF"/>
            <w:tcMar>
              <w:left w:w="101" w:type="dxa"/>
              <w:right w:w="101" w:type="dxa"/>
            </w:tcMar>
          </w:tcPr>
          <w:p w14:paraId="07D7D571"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E240B04"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w:t>
            </w:r>
          </w:p>
        </w:tc>
        <w:tc>
          <w:tcPr>
            <w:tcW w:w="1035" w:type="dxa"/>
            <w:tcBorders>
              <w:top w:val="nil"/>
              <w:left w:val="nil"/>
              <w:bottom w:val="nil"/>
              <w:right w:val="nil"/>
              <w:tl2br w:val="nil"/>
              <w:tr2bl w:val="nil"/>
            </w:tcBorders>
            <w:shd w:val="clear" w:color="FFFFFF" w:fill="FFFFFF"/>
            <w:tcMar>
              <w:left w:w="101" w:type="dxa"/>
              <w:right w:w="101" w:type="dxa"/>
            </w:tcMar>
          </w:tcPr>
          <w:p w14:paraId="47C796C8"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w:t>
            </w:r>
          </w:p>
        </w:tc>
        <w:tc>
          <w:tcPr>
            <w:tcW w:w="1035" w:type="dxa"/>
            <w:tcBorders>
              <w:top w:val="nil"/>
              <w:left w:val="nil"/>
              <w:bottom w:val="nil"/>
              <w:right w:val="nil"/>
              <w:tl2br w:val="nil"/>
              <w:tr2bl w:val="nil"/>
            </w:tcBorders>
            <w:shd w:val="clear" w:color="FFFFFF" w:fill="FFFFFF"/>
            <w:tcMar>
              <w:left w:w="101" w:type="dxa"/>
              <w:right w:w="101" w:type="dxa"/>
            </w:tcMar>
          </w:tcPr>
          <w:p w14:paraId="4EF05A16"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224</w:t>
            </w:r>
          </w:p>
        </w:tc>
      </w:tr>
      <w:tr w:rsidR="002242F3" w:rsidRPr="005E3B44" w14:paraId="52C109A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E7759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4,931</w:t>
            </w:r>
          </w:p>
        </w:tc>
        <w:tc>
          <w:tcPr>
            <w:tcW w:w="2385" w:type="dxa"/>
            <w:tcBorders>
              <w:top w:val="nil"/>
              <w:left w:val="nil"/>
              <w:bottom w:val="nil"/>
              <w:right w:val="nil"/>
              <w:tl2br w:val="nil"/>
              <w:tr2bl w:val="nil"/>
            </w:tcBorders>
            <w:shd w:val="clear" w:color="auto" w:fill="auto"/>
            <w:noWrap/>
            <w:tcMar>
              <w:left w:w="101" w:type="dxa"/>
              <w:right w:w="101" w:type="dxa"/>
            </w:tcMar>
          </w:tcPr>
          <w:p w14:paraId="1297201D"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4AB7AE7C"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5,309</w:t>
            </w:r>
          </w:p>
        </w:tc>
        <w:tc>
          <w:tcPr>
            <w:tcW w:w="1035" w:type="dxa"/>
            <w:tcBorders>
              <w:top w:val="nil"/>
              <w:left w:val="nil"/>
              <w:bottom w:val="nil"/>
              <w:right w:val="nil"/>
              <w:tl2br w:val="nil"/>
              <w:tr2bl w:val="nil"/>
            </w:tcBorders>
            <w:shd w:val="clear" w:color="FFFFFF" w:fill="FFFFFF"/>
            <w:tcMar>
              <w:left w:w="101" w:type="dxa"/>
              <w:right w:w="101" w:type="dxa"/>
            </w:tcMar>
          </w:tcPr>
          <w:p w14:paraId="03AD9C7F"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5,309</w:t>
            </w:r>
          </w:p>
        </w:tc>
        <w:tc>
          <w:tcPr>
            <w:tcW w:w="600" w:type="dxa"/>
            <w:tcBorders>
              <w:top w:val="nil"/>
              <w:left w:val="nil"/>
              <w:bottom w:val="nil"/>
              <w:right w:val="nil"/>
              <w:tl2br w:val="nil"/>
              <w:tr2bl w:val="nil"/>
            </w:tcBorders>
            <w:shd w:val="clear" w:color="FFFFFF" w:fill="FFFFFF"/>
            <w:tcMar>
              <w:left w:w="101" w:type="dxa"/>
              <w:right w:w="101" w:type="dxa"/>
            </w:tcMar>
          </w:tcPr>
          <w:p w14:paraId="3659789F"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175465A"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5,309</w:t>
            </w:r>
          </w:p>
        </w:tc>
        <w:tc>
          <w:tcPr>
            <w:tcW w:w="1035" w:type="dxa"/>
            <w:tcBorders>
              <w:top w:val="nil"/>
              <w:left w:val="nil"/>
              <w:bottom w:val="nil"/>
              <w:right w:val="nil"/>
              <w:tl2br w:val="nil"/>
              <w:tr2bl w:val="nil"/>
            </w:tcBorders>
            <w:shd w:val="clear" w:color="FFFFFF" w:fill="FFFFFF"/>
            <w:tcMar>
              <w:left w:w="101" w:type="dxa"/>
              <w:right w:w="101" w:type="dxa"/>
            </w:tcMar>
          </w:tcPr>
          <w:p w14:paraId="2B18B553"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5,309</w:t>
            </w:r>
          </w:p>
        </w:tc>
        <w:tc>
          <w:tcPr>
            <w:tcW w:w="1035" w:type="dxa"/>
            <w:tcBorders>
              <w:top w:val="nil"/>
              <w:left w:val="nil"/>
              <w:bottom w:val="nil"/>
              <w:right w:val="nil"/>
              <w:tl2br w:val="nil"/>
              <w:tr2bl w:val="nil"/>
            </w:tcBorders>
            <w:shd w:val="clear" w:color="FFFFFF" w:fill="FFFFFF"/>
            <w:tcMar>
              <w:left w:w="101" w:type="dxa"/>
              <w:right w:w="101" w:type="dxa"/>
            </w:tcMar>
          </w:tcPr>
          <w:p w14:paraId="6DF107B1"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5,309</w:t>
            </w:r>
          </w:p>
        </w:tc>
      </w:tr>
      <w:tr w:rsidR="002242F3" w:rsidRPr="005E3B44" w14:paraId="4EA6665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9B8143"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2BAD962"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2499C"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3ECAAD"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F222FE"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354371"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68FF5F"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19B7A1"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17D605E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B1030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5,630</w:t>
            </w:r>
          </w:p>
        </w:tc>
        <w:tc>
          <w:tcPr>
            <w:tcW w:w="2385" w:type="dxa"/>
            <w:tcBorders>
              <w:top w:val="nil"/>
              <w:left w:val="nil"/>
              <w:bottom w:val="nil"/>
              <w:right w:val="nil"/>
              <w:tl2br w:val="nil"/>
              <w:tr2bl w:val="nil"/>
            </w:tcBorders>
            <w:shd w:val="clear" w:color="FFFFFF" w:fill="FFFFFF"/>
            <w:noWrap/>
            <w:tcMar>
              <w:left w:w="101" w:type="dxa"/>
              <w:right w:w="101" w:type="dxa"/>
            </w:tcMar>
          </w:tcPr>
          <w:p w14:paraId="01CEF5B3"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7BB47DAF"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5,533</w:t>
            </w:r>
          </w:p>
        </w:tc>
        <w:tc>
          <w:tcPr>
            <w:tcW w:w="1035" w:type="dxa"/>
            <w:tcBorders>
              <w:top w:val="nil"/>
              <w:left w:val="nil"/>
              <w:bottom w:val="nil"/>
              <w:right w:val="nil"/>
              <w:tl2br w:val="nil"/>
              <w:tr2bl w:val="nil"/>
            </w:tcBorders>
            <w:shd w:val="clear" w:color="FFFFFF" w:fill="FFFFFF"/>
            <w:tcMar>
              <w:left w:w="101" w:type="dxa"/>
              <w:right w:w="101" w:type="dxa"/>
            </w:tcMar>
          </w:tcPr>
          <w:p w14:paraId="5646A27A"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5,533</w:t>
            </w:r>
          </w:p>
        </w:tc>
        <w:tc>
          <w:tcPr>
            <w:tcW w:w="600" w:type="dxa"/>
            <w:tcBorders>
              <w:top w:val="nil"/>
              <w:left w:val="nil"/>
              <w:bottom w:val="nil"/>
              <w:right w:val="nil"/>
              <w:tl2br w:val="nil"/>
              <w:tr2bl w:val="nil"/>
            </w:tcBorders>
            <w:shd w:val="clear" w:color="FFFFFF" w:fill="FFFFFF"/>
            <w:tcMar>
              <w:left w:w="101" w:type="dxa"/>
              <w:right w:w="101" w:type="dxa"/>
            </w:tcMar>
          </w:tcPr>
          <w:p w14:paraId="6ED4157C"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94916DA"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5,533</w:t>
            </w:r>
          </w:p>
        </w:tc>
        <w:tc>
          <w:tcPr>
            <w:tcW w:w="1035" w:type="dxa"/>
            <w:tcBorders>
              <w:top w:val="nil"/>
              <w:left w:val="nil"/>
              <w:bottom w:val="nil"/>
              <w:right w:val="nil"/>
              <w:tl2br w:val="nil"/>
              <w:tr2bl w:val="nil"/>
            </w:tcBorders>
            <w:shd w:val="clear" w:color="FFFFFF" w:fill="FFFFFF"/>
            <w:tcMar>
              <w:left w:w="101" w:type="dxa"/>
              <w:right w:w="101" w:type="dxa"/>
            </w:tcMar>
          </w:tcPr>
          <w:p w14:paraId="63FE9D1C"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5,533</w:t>
            </w:r>
          </w:p>
        </w:tc>
        <w:tc>
          <w:tcPr>
            <w:tcW w:w="1035" w:type="dxa"/>
            <w:tcBorders>
              <w:top w:val="nil"/>
              <w:left w:val="nil"/>
              <w:bottom w:val="nil"/>
              <w:right w:val="nil"/>
              <w:tl2br w:val="nil"/>
              <w:tr2bl w:val="nil"/>
            </w:tcBorders>
            <w:shd w:val="clear" w:color="FFFFFF" w:fill="FFFFFF"/>
            <w:tcMar>
              <w:left w:w="101" w:type="dxa"/>
              <w:right w:w="101" w:type="dxa"/>
            </w:tcMar>
          </w:tcPr>
          <w:p w14:paraId="39DE14F0"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5,533</w:t>
            </w:r>
          </w:p>
        </w:tc>
      </w:tr>
      <w:tr w:rsidR="002242F3" w:rsidRPr="005E3B44" w14:paraId="5E40690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ACD958"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A1AAC74"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56D3C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0759E0"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0FC563"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1426BA"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1E9D83"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8D92A9"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22CF151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0B5477"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5B44847" w14:textId="77777777" w:rsidR="002242F3" w:rsidRPr="005E3B44" w:rsidRDefault="002242F3" w:rsidP="005E3B44">
            <w:pPr>
              <w:pStyle w:val="Normal13"/>
              <w:rPr>
                <w:rFonts w:asciiTheme="minorHAnsi" w:eastAsia="Calibri" w:hAnsiTheme="minorHAnsi" w:cstheme="minorHAnsi"/>
                <w:b/>
                <w:color w:val="000000"/>
                <w:sz w:val="18"/>
              </w:rPr>
            </w:pP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4045869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49FF10"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CAF456"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0C53D2"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F86B32"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510B7"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54DAE34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6A1B8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74,189</w:t>
            </w:r>
          </w:p>
        </w:tc>
        <w:tc>
          <w:tcPr>
            <w:tcW w:w="2385" w:type="dxa"/>
            <w:tcBorders>
              <w:top w:val="nil"/>
              <w:left w:val="nil"/>
              <w:bottom w:val="nil"/>
              <w:right w:val="nil"/>
              <w:tl2br w:val="nil"/>
              <w:tr2bl w:val="nil"/>
            </w:tcBorders>
            <w:shd w:val="clear" w:color="FFFFFF" w:fill="FFFFFF"/>
            <w:noWrap/>
            <w:tcMar>
              <w:left w:w="101" w:type="dxa"/>
              <w:right w:w="101" w:type="dxa"/>
            </w:tcMar>
          </w:tcPr>
          <w:p w14:paraId="6AAEFF01"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5679B808"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79,157</w:t>
            </w:r>
          </w:p>
        </w:tc>
        <w:tc>
          <w:tcPr>
            <w:tcW w:w="1035" w:type="dxa"/>
            <w:tcBorders>
              <w:top w:val="nil"/>
              <w:left w:val="nil"/>
              <w:bottom w:val="nil"/>
              <w:right w:val="nil"/>
              <w:tl2br w:val="nil"/>
              <w:tr2bl w:val="nil"/>
            </w:tcBorders>
            <w:shd w:val="clear" w:color="FFFFFF" w:fill="FFFFFF"/>
            <w:tcMar>
              <w:left w:w="101" w:type="dxa"/>
              <w:right w:w="101" w:type="dxa"/>
            </w:tcMar>
          </w:tcPr>
          <w:p w14:paraId="1695EF9D"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82,913</w:t>
            </w:r>
          </w:p>
        </w:tc>
        <w:tc>
          <w:tcPr>
            <w:tcW w:w="600" w:type="dxa"/>
            <w:tcBorders>
              <w:top w:val="nil"/>
              <w:left w:val="nil"/>
              <w:bottom w:val="nil"/>
              <w:right w:val="nil"/>
              <w:tl2br w:val="nil"/>
              <w:tr2bl w:val="nil"/>
            </w:tcBorders>
            <w:shd w:val="clear" w:color="FFFFFF" w:fill="FFFFFF"/>
            <w:tcMar>
              <w:left w:w="101" w:type="dxa"/>
              <w:right w:w="101" w:type="dxa"/>
            </w:tcMar>
          </w:tcPr>
          <w:p w14:paraId="1116124F"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16C923FD"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86,185</w:t>
            </w:r>
          </w:p>
        </w:tc>
        <w:tc>
          <w:tcPr>
            <w:tcW w:w="1035" w:type="dxa"/>
            <w:tcBorders>
              <w:top w:val="nil"/>
              <w:left w:val="nil"/>
              <w:bottom w:val="nil"/>
              <w:right w:val="nil"/>
              <w:tl2br w:val="nil"/>
              <w:tr2bl w:val="nil"/>
            </w:tcBorders>
            <w:shd w:val="clear" w:color="FFFFFF" w:fill="FFFFFF"/>
            <w:tcMar>
              <w:left w:w="101" w:type="dxa"/>
              <w:right w:w="101" w:type="dxa"/>
            </w:tcMar>
          </w:tcPr>
          <w:p w14:paraId="3D7658B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84,240</w:t>
            </w:r>
          </w:p>
        </w:tc>
        <w:tc>
          <w:tcPr>
            <w:tcW w:w="1035" w:type="dxa"/>
            <w:tcBorders>
              <w:top w:val="nil"/>
              <w:left w:val="nil"/>
              <w:bottom w:val="nil"/>
              <w:right w:val="nil"/>
              <w:tl2br w:val="nil"/>
              <w:tr2bl w:val="nil"/>
            </w:tcBorders>
            <w:shd w:val="clear" w:color="FFFFFF" w:fill="FFFFFF"/>
            <w:tcMar>
              <w:left w:w="101" w:type="dxa"/>
              <w:right w:w="101" w:type="dxa"/>
            </w:tcMar>
          </w:tcPr>
          <w:p w14:paraId="0036E424"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80,040</w:t>
            </w:r>
          </w:p>
        </w:tc>
      </w:tr>
      <w:tr w:rsidR="002242F3" w:rsidRPr="005E3B44" w14:paraId="7CD7CF5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4D654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6,898</w:t>
            </w:r>
          </w:p>
        </w:tc>
        <w:tc>
          <w:tcPr>
            <w:tcW w:w="2385" w:type="dxa"/>
            <w:tcBorders>
              <w:top w:val="nil"/>
              <w:left w:val="nil"/>
              <w:bottom w:val="nil"/>
              <w:right w:val="nil"/>
              <w:tl2br w:val="nil"/>
              <w:tr2bl w:val="nil"/>
            </w:tcBorders>
            <w:shd w:val="clear" w:color="FFFFFF" w:fill="FFFFFF"/>
            <w:noWrap/>
            <w:tcMar>
              <w:left w:w="101" w:type="dxa"/>
              <w:right w:w="101" w:type="dxa"/>
            </w:tcMar>
          </w:tcPr>
          <w:p w14:paraId="7033E24F"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117DD87A"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6,445</w:t>
            </w:r>
          </w:p>
        </w:tc>
        <w:tc>
          <w:tcPr>
            <w:tcW w:w="1035" w:type="dxa"/>
            <w:tcBorders>
              <w:top w:val="nil"/>
              <w:left w:val="nil"/>
              <w:bottom w:val="nil"/>
              <w:right w:val="nil"/>
              <w:tl2br w:val="nil"/>
              <w:tr2bl w:val="nil"/>
            </w:tcBorders>
            <w:shd w:val="clear" w:color="FFFFFF" w:fill="FFFFFF"/>
            <w:tcMar>
              <w:left w:w="101" w:type="dxa"/>
              <w:right w:w="101" w:type="dxa"/>
            </w:tcMar>
          </w:tcPr>
          <w:p w14:paraId="23E689D4"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7,220</w:t>
            </w:r>
          </w:p>
        </w:tc>
        <w:tc>
          <w:tcPr>
            <w:tcW w:w="600" w:type="dxa"/>
            <w:tcBorders>
              <w:top w:val="nil"/>
              <w:left w:val="nil"/>
              <w:bottom w:val="nil"/>
              <w:right w:val="nil"/>
              <w:tl2br w:val="nil"/>
              <w:tr2bl w:val="nil"/>
            </w:tcBorders>
            <w:shd w:val="clear" w:color="FFFFFF" w:fill="FFFFFF"/>
            <w:tcMar>
              <w:left w:w="101" w:type="dxa"/>
              <w:right w:w="101" w:type="dxa"/>
            </w:tcMar>
          </w:tcPr>
          <w:p w14:paraId="5E4244C2"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F54AFE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7,972</w:t>
            </w:r>
          </w:p>
        </w:tc>
        <w:tc>
          <w:tcPr>
            <w:tcW w:w="1035" w:type="dxa"/>
            <w:tcBorders>
              <w:top w:val="nil"/>
              <w:left w:val="nil"/>
              <w:bottom w:val="nil"/>
              <w:right w:val="nil"/>
              <w:tl2br w:val="nil"/>
              <w:tr2bl w:val="nil"/>
            </w:tcBorders>
            <w:shd w:val="clear" w:color="FFFFFF" w:fill="FFFFFF"/>
            <w:tcMar>
              <w:left w:w="101" w:type="dxa"/>
              <w:right w:w="101" w:type="dxa"/>
            </w:tcMar>
          </w:tcPr>
          <w:p w14:paraId="5EECFA32"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8,804</w:t>
            </w:r>
          </w:p>
        </w:tc>
        <w:tc>
          <w:tcPr>
            <w:tcW w:w="1035" w:type="dxa"/>
            <w:tcBorders>
              <w:top w:val="nil"/>
              <w:left w:val="nil"/>
              <w:bottom w:val="nil"/>
              <w:right w:val="nil"/>
              <w:tl2br w:val="nil"/>
              <w:tr2bl w:val="nil"/>
            </w:tcBorders>
            <w:shd w:val="clear" w:color="FFFFFF" w:fill="FFFFFF"/>
            <w:tcMar>
              <w:left w:w="101" w:type="dxa"/>
              <w:right w:w="101" w:type="dxa"/>
            </w:tcMar>
          </w:tcPr>
          <w:p w14:paraId="444742B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9,636</w:t>
            </w:r>
          </w:p>
        </w:tc>
      </w:tr>
      <w:tr w:rsidR="002242F3" w:rsidRPr="005E3B44" w14:paraId="609FA15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3AC493"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F94389C"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4C803A"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E01CD1"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BE5F6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5EFEAF"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5D5A9C"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6A071C"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4ADB5C9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FDCDEA"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81,087</w:t>
            </w:r>
          </w:p>
        </w:tc>
        <w:tc>
          <w:tcPr>
            <w:tcW w:w="2385" w:type="dxa"/>
            <w:tcBorders>
              <w:top w:val="nil"/>
              <w:left w:val="nil"/>
              <w:bottom w:val="nil"/>
              <w:right w:val="nil"/>
              <w:tl2br w:val="nil"/>
              <w:tr2bl w:val="nil"/>
            </w:tcBorders>
            <w:shd w:val="clear" w:color="FFFFFF" w:fill="FFFFFF"/>
            <w:noWrap/>
            <w:tcMar>
              <w:left w:w="101" w:type="dxa"/>
              <w:right w:w="101" w:type="dxa"/>
            </w:tcMar>
          </w:tcPr>
          <w:p w14:paraId="31D16A24"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Total </w:t>
            </w: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49E1C2A4"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85,602</w:t>
            </w:r>
          </w:p>
        </w:tc>
        <w:tc>
          <w:tcPr>
            <w:tcW w:w="1035" w:type="dxa"/>
            <w:tcBorders>
              <w:top w:val="nil"/>
              <w:left w:val="nil"/>
              <w:bottom w:val="nil"/>
              <w:right w:val="nil"/>
              <w:tl2br w:val="nil"/>
              <w:tr2bl w:val="nil"/>
            </w:tcBorders>
            <w:shd w:val="clear" w:color="FFFFFF" w:fill="FFFFFF"/>
            <w:tcMar>
              <w:left w:w="101" w:type="dxa"/>
              <w:right w:w="101" w:type="dxa"/>
            </w:tcMar>
          </w:tcPr>
          <w:p w14:paraId="74F4E611"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90,133</w:t>
            </w:r>
          </w:p>
        </w:tc>
        <w:tc>
          <w:tcPr>
            <w:tcW w:w="600" w:type="dxa"/>
            <w:tcBorders>
              <w:top w:val="nil"/>
              <w:left w:val="nil"/>
              <w:bottom w:val="nil"/>
              <w:right w:val="nil"/>
              <w:tl2br w:val="nil"/>
              <w:tr2bl w:val="nil"/>
            </w:tcBorders>
            <w:shd w:val="clear" w:color="FFFFFF" w:fill="FFFFFF"/>
            <w:tcMar>
              <w:left w:w="101" w:type="dxa"/>
              <w:right w:w="101" w:type="dxa"/>
            </w:tcMar>
          </w:tcPr>
          <w:p w14:paraId="722B07DE"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77D9CCDA"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94,157</w:t>
            </w:r>
          </w:p>
        </w:tc>
        <w:tc>
          <w:tcPr>
            <w:tcW w:w="1035" w:type="dxa"/>
            <w:tcBorders>
              <w:top w:val="nil"/>
              <w:left w:val="nil"/>
              <w:bottom w:val="nil"/>
              <w:right w:val="nil"/>
              <w:tl2br w:val="nil"/>
              <w:tr2bl w:val="nil"/>
            </w:tcBorders>
            <w:shd w:val="clear" w:color="FFFFFF" w:fill="FFFFFF"/>
            <w:tcMar>
              <w:left w:w="101" w:type="dxa"/>
              <w:right w:w="101" w:type="dxa"/>
            </w:tcMar>
          </w:tcPr>
          <w:p w14:paraId="7994B51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93,044</w:t>
            </w:r>
          </w:p>
        </w:tc>
        <w:tc>
          <w:tcPr>
            <w:tcW w:w="1035" w:type="dxa"/>
            <w:tcBorders>
              <w:top w:val="nil"/>
              <w:left w:val="nil"/>
              <w:bottom w:val="nil"/>
              <w:right w:val="nil"/>
              <w:tl2br w:val="nil"/>
              <w:tr2bl w:val="nil"/>
            </w:tcBorders>
            <w:shd w:val="clear" w:color="FFFFFF" w:fill="FFFFFF"/>
            <w:tcMar>
              <w:left w:w="101" w:type="dxa"/>
              <w:right w:w="101" w:type="dxa"/>
            </w:tcMar>
          </w:tcPr>
          <w:p w14:paraId="58F5055B"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89,676</w:t>
            </w:r>
          </w:p>
        </w:tc>
      </w:tr>
      <w:tr w:rsidR="002242F3" w:rsidRPr="005E3B44" w14:paraId="4F64E50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7BA8E1"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F0A9708"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50D8D6"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9B55CB"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37349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E9A1FB"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F7F046"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C9A252"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46B45C7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B40594"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86,717</w:t>
            </w:r>
          </w:p>
        </w:tc>
        <w:tc>
          <w:tcPr>
            <w:tcW w:w="2385" w:type="dxa"/>
            <w:tcBorders>
              <w:top w:val="nil"/>
              <w:left w:val="nil"/>
              <w:bottom w:val="nil"/>
              <w:right w:val="nil"/>
              <w:tl2br w:val="nil"/>
              <w:tr2bl w:val="nil"/>
            </w:tcBorders>
            <w:shd w:val="clear" w:color="FFFFFF" w:fill="FFFFFF"/>
            <w:noWrap/>
            <w:tcMar>
              <w:left w:w="101" w:type="dxa"/>
              <w:right w:w="101" w:type="dxa"/>
            </w:tcMar>
          </w:tcPr>
          <w:p w14:paraId="5146E125"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27383550"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91,135</w:t>
            </w:r>
          </w:p>
        </w:tc>
        <w:tc>
          <w:tcPr>
            <w:tcW w:w="1035" w:type="dxa"/>
            <w:tcBorders>
              <w:top w:val="nil"/>
              <w:left w:val="nil"/>
              <w:bottom w:val="nil"/>
              <w:right w:val="nil"/>
              <w:tl2br w:val="nil"/>
              <w:tr2bl w:val="nil"/>
            </w:tcBorders>
            <w:shd w:val="clear" w:color="FFFFFF" w:fill="FFFFFF"/>
            <w:tcMar>
              <w:left w:w="101" w:type="dxa"/>
              <w:right w:w="101" w:type="dxa"/>
            </w:tcMar>
          </w:tcPr>
          <w:p w14:paraId="326214FB"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95,666</w:t>
            </w:r>
          </w:p>
        </w:tc>
        <w:tc>
          <w:tcPr>
            <w:tcW w:w="600" w:type="dxa"/>
            <w:tcBorders>
              <w:top w:val="nil"/>
              <w:left w:val="nil"/>
              <w:bottom w:val="nil"/>
              <w:right w:val="nil"/>
              <w:tl2br w:val="nil"/>
              <w:tr2bl w:val="nil"/>
            </w:tcBorders>
            <w:shd w:val="clear" w:color="FFFFFF" w:fill="FFFFFF"/>
            <w:tcMar>
              <w:left w:w="101" w:type="dxa"/>
              <w:right w:w="101" w:type="dxa"/>
            </w:tcMar>
          </w:tcPr>
          <w:p w14:paraId="77CBAFA1"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5C1DBA82"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99,690</w:t>
            </w:r>
          </w:p>
        </w:tc>
        <w:tc>
          <w:tcPr>
            <w:tcW w:w="1035" w:type="dxa"/>
            <w:tcBorders>
              <w:top w:val="nil"/>
              <w:left w:val="nil"/>
              <w:bottom w:val="nil"/>
              <w:right w:val="nil"/>
              <w:tl2br w:val="nil"/>
              <w:tr2bl w:val="nil"/>
            </w:tcBorders>
            <w:shd w:val="clear" w:color="FFFFFF" w:fill="FFFFFF"/>
            <w:tcMar>
              <w:left w:w="101" w:type="dxa"/>
              <w:right w:w="101" w:type="dxa"/>
            </w:tcMar>
          </w:tcPr>
          <w:p w14:paraId="7B88F35A"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98,577</w:t>
            </w:r>
          </w:p>
        </w:tc>
        <w:tc>
          <w:tcPr>
            <w:tcW w:w="1035" w:type="dxa"/>
            <w:tcBorders>
              <w:top w:val="nil"/>
              <w:left w:val="nil"/>
              <w:bottom w:val="nil"/>
              <w:right w:val="nil"/>
              <w:tl2br w:val="nil"/>
              <w:tr2bl w:val="nil"/>
            </w:tcBorders>
            <w:shd w:val="clear" w:color="FFFFFF" w:fill="FFFFFF"/>
            <w:tcMar>
              <w:left w:w="101" w:type="dxa"/>
              <w:right w:w="101" w:type="dxa"/>
            </w:tcMar>
          </w:tcPr>
          <w:p w14:paraId="4FECB3A3"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95,209</w:t>
            </w:r>
          </w:p>
        </w:tc>
      </w:tr>
      <w:tr w:rsidR="002242F3" w:rsidRPr="005E3B44" w14:paraId="310CBD3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4B27EE"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E4796E0"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73D8CF"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5130F9"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D0AE01"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B0256C"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98578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62D831"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4176520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C3087F"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529C81A"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EEE70BB"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675CE5"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63A86A"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40C1A7"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51E0A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2487B1"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4009354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362112"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5,379</w:t>
            </w:r>
          </w:p>
        </w:tc>
        <w:tc>
          <w:tcPr>
            <w:tcW w:w="2385" w:type="dxa"/>
            <w:tcBorders>
              <w:top w:val="nil"/>
              <w:left w:val="nil"/>
              <w:bottom w:val="nil"/>
              <w:right w:val="nil"/>
              <w:tl2br w:val="nil"/>
              <w:tr2bl w:val="nil"/>
            </w:tcBorders>
            <w:shd w:val="clear" w:color="FFFFFF" w:fill="FFFFFF"/>
            <w:noWrap/>
            <w:tcMar>
              <w:left w:w="101" w:type="dxa"/>
              <w:right w:w="101" w:type="dxa"/>
            </w:tcMar>
          </w:tcPr>
          <w:p w14:paraId="7E9FAEC4"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4F007F8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6,497</w:t>
            </w:r>
          </w:p>
        </w:tc>
        <w:tc>
          <w:tcPr>
            <w:tcW w:w="1035" w:type="dxa"/>
            <w:tcBorders>
              <w:top w:val="nil"/>
              <w:left w:val="nil"/>
              <w:bottom w:val="nil"/>
              <w:right w:val="nil"/>
              <w:tl2br w:val="nil"/>
              <w:tr2bl w:val="nil"/>
            </w:tcBorders>
            <w:shd w:val="clear" w:color="FFFFFF" w:fill="FFFFFF"/>
            <w:tcMar>
              <w:left w:w="101" w:type="dxa"/>
              <w:right w:w="101" w:type="dxa"/>
            </w:tcMar>
          </w:tcPr>
          <w:p w14:paraId="61292E4A" w14:textId="1AB2A06C"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6,49</w:t>
            </w:r>
            <w:r w:rsidR="009A4F0B">
              <w:rPr>
                <w:rFonts w:asciiTheme="minorHAnsi" w:eastAsia="Calibri" w:hAnsiTheme="minorHAnsi" w:cstheme="minorHAnsi"/>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03E1BB55"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5DC5551" w14:textId="6B3135D8"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6,49</w:t>
            </w:r>
            <w:r w:rsidR="009A4F0B">
              <w:rPr>
                <w:rFonts w:asciiTheme="minorHAnsi" w:eastAsia="Calibri" w:hAnsiTheme="minorHAnsi" w:cstheme="minorHAns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70C1C90F" w14:textId="40590CA9"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6,49</w:t>
            </w:r>
            <w:r w:rsidR="009A4F0B">
              <w:rPr>
                <w:rFonts w:asciiTheme="minorHAnsi" w:eastAsia="Calibri" w:hAnsiTheme="minorHAnsi" w:cstheme="minorHAns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554B2CF9" w14:textId="52068911"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6,49</w:t>
            </w:r>
            <w:r w:rsidR="009A4F0B">
              <w:rPr>
                <w:rFonts w:asciiTheme="minorHAnsi" w:eastAsia="Calibri" w:hAnsiTheme="minorHAnsi" w:cstheme="minorHAnsi"/>
                <w:color w:val="000000"/>
                <w:sz w:val="18"/>
              </w:rPr>
              <w:t>6</w:t>
            </w:r>
          </w:p>
        </w:tc>
      </w:tr>
      <w:tr w:rsidR="002242F3" w:rsidRPr="005E3B44" w14:paraId="35F29E1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4DE96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54</w:t>
            </w:r>
          </w:p>
        </w:tc>
        <w:tc>
          <w:tcPr>
            <w:tcW w:w="2385" w:type="dxa"/>
            <w:tcBorders>
              <w:top w:val="nil"/>
              <w:left w:val="nil"/>
              <w:bottom w:val="nil"/>
              <w:right w:val="nil"/>
              <w:tl2br w:val="nil"/>
              <w:tr2bl w:val="nil"/>
            </w:tcBorders>
            <w:shd w:val="clear" w:color="FFFFFF" w:fill="FFFFFF"/>
            <w:noWrap/>
            <w:tcMar>
              <w:left w:w="101" w:type="dxa"/>
              <w:right w:w="101" w:type="dxa"/>
            </w:tcMar>
          </w:tcPr>
          <w:p w14:paraId="140074AE"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708903A3"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w:t>
            </w:r>
          </w:p>
        </w:tc>
        <w:tc>
          <w:tcPr>
            <w:tcW w:w="1035" w:type="dxa"/>
            <w:tcBorders>
              <w:top w:val="nil"/>
              <w:left w:val="nil"/>
              <w:bottom w:val="nil"/>
              <w:right w:val="nil"/>
              <w:tl2br w:val="nil"/>
              <w:tr2bl w:val="nil"/>
            </w:tcBorders>
            <w:shd w:val="clear" w:color="FFFFFF" w:fill="FFFFFF"/>
            <w:tcMar>
              <w:left w:w="101" w:type="dxa"/>
              <w:right w:w="101" w:type="dxa"/>
            </w:tcMar>
          </w:tcPr>
          <w:p w14:paraId="535D688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w:t>
            </w:r>
          </w:p>
        </w:tc>
        <w:tc>
          <w:tcPr>
            <w:tcW w:w="600" w:type="dxa"/>
            <w:tcBorders>
              <w:top w:val="nil"/>
              <w:left w:val="nil"/>
              <w:bottom w:val="nil"/>
              <w:right w:val="nil"/>
              <w:tl2br w:val="nil"/>
              <w:tr2bl w:val="nil"/>
            </w:tcBorders>
            <w:shd w:val="clear" w:color="FFFFFF" w:fill="FFFFFF"/>
            <w:tcMar>
              <w:left w:w="101" w:type="dxa"/>
              <w:right w:w="101" w:type="dxa"/>
            </w:tcMar>
          </w:tcPr>
          <w:p w14:paraId="41807EBA"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98A846D"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w:t>
            </w:r>
          </w:p>
        </w:tc>
        <w:tc>
          <w:tcPr>
            <w:tcW w:w="1035" w:type="dxa"/>
            <w:tcBorders>
              <w:top w:val="nil"/>
              <w:left w:val="nil"/>
              <w:bottom w:val="nil"/>
              <w:right w:val="nil"/>
              <w:tl2br w:val="nil"/>
              <w:tr2bl w:val="nil"/>
            </w:tcBorders>
            <w:shd w:val="clear" w:color="FFFFFF" w:fill="FFFFFF"/>
            <w:tcMar>
              <w:left w:w="101" w:type="dxa"/>
              <w:right w:w="101" w:type="dxa"/>
            </w:tcMar>
          </w:tcPr>
          <w:p w14:paraId="5207482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w:t>
            </w:r>
          </w:p>
        </w:tc>
        <w:tc>
          <w:tcPr>
            <w:tcW w:w="1035" w:type="dxa"/>
            <w:tcBorders>
              <w:top w:val="nil"/>
              <w:left w:val="nil"/>
              <w:bottom w:val="nil"/>
              <w:right w:val="nil"/>
              <w:tl2br w:val="nil"/>
              <w:tr2bl w:val="nil"/>
            </w:tcBorders>
            <w:shd w:val="clear" w:color="FFFFFF" w:fill="FFFFFF"/>
            <w:tcMar>
              <w:left w:w="101" w:type="dxa"/>
              <w:right w:w="101" w:type="dxa"/>
            </w:tcMar>
          </w:tcPr>
          <w:p w14:paraId="7C67D210"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w:t>
            </w:r>
          </w:p>
        </w:tc>
      </w:tr>
      <w:tr w:rsidR="002242F3" w:rsidRPr="005E3B44" w14:paraId="5989BD7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A85A09"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w:t>
            </w:r>
          </w:p>
        </w:tc>
        <w:tc>
          <w:tcPr>
            <w:tcW w:w="2385" w:type="dxa"/>
            <w:tcBorders>
              <w:top w:val="nil"/>
              <w:left w:val="nil"/>
              <w:bottom w:val="nil"/>
              <w:right w:val="nil"/>
              <w:tl2br w:val="nil"/>
              <w:tr2bl w:val="nil"/>
            </w:tcBorders>
            <w:shd w:val="clear" w:color="FFFFFF" w:fill="FFFFFF"/>
            <w:noWrap/>
            <w:tcMar>
              <w:left w:w="101" w:type="dxa"/>
              <w:right w:w="101" w:type="dxa"/>
            </w:tcMar>
          </w:tcPr>
          <w:p w14:paraId="5092D825"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2C7AEB38"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029E8CC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w:t>
            </w:r>
          </w:p>
        </w:tc>
        <w:tc>
          <w:tcPr>
            <w:tcW w:w="600" w:type="dxa"/>
            <w:tcBorders>
              <w:top w:val="nil"/>
              <w:left w:val="nil"/>
              <w:bottom w:val="nil"/>
              <w:right w:val="nil"/>
              <w:tl2br w:val="nil"/>
              <w:tr2bl w:val="nil"/>
            </w:tcBorders>
            <w:shd w:val="clear" w:color="FFFFFF" w:fill="FFFFFF"/>
            <w:tcMar>
              <w:left w:w="101" w:type="dxa"/>
              <w:right w:w="101" w:type="dxa"/>
            </w:tcMar>
          </w:tcPr>
          <w:p w14:paraId="178B6212"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93E13B9"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3D87801E"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124AC58F"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w:t>
            </w:r>
          </w:p>
        </w:tc>
      </w:tr>
      <w:tr w:rsidR="002242F3" w:rsidRPr="005E3B44" w14:paraId="00F095F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355E43"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175</w:t>
            </w:r>
          </w:p>
        </w:tc>
        <w:tc>
          <w:tcPr>
            <w:tcW w:w="2385" w:type="dxa"/>
            <w:tcBorders>
              <w:top w:val="nil"/>
              <w:left w:val="nil"/>
              <w:bottom w:val="nil"/>
              <w:right w:val="nil"/>
              <w:tl2br w:val="nil"/>
              <w:tr2bl w:val="nil"/>
            </w:tcBorders>
            <w:shd w:val="clear" w:color="FFFFFF" w:fill="FFFFFF"/>
            <w:noWrap/>
            <w:tcMar>
              <w:left w:w="101" w:type="dxa"/>
              <w:right w:w="101" w:type="dxa"/>
            </w:tcMar>
          </w:tcPr>
          <w:p w14:paraId="5E6DEB62"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39EBED89"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1,732</w:t>
            </w:r>
          </w:p>
        </w:tc>
        <w:tc>
          <w:tcPr>
            <w:tcW w:w="1035" w:type="dxa"/>
            <w:tcBorders>
              <w:top w:val="nil"/>
              <w:left w:val="nil"/>
              <w:bottom w:val="nil"/>
              <w:right w:val="nil"/>
              <w:tl2br w:val="nil"/>
              <w:tr2bl w:val="nil"/>
            </w:tcBorders>
            <w:shd w:val="clear" w:color="FFFFFF" w:fill="FFFFFF"/>
            <w:tcMar>
              <w:left w:w="101" w:type="dxa"/>
              <w:right w:w="101" w:type="dxa"/>
            </w:tcMar>
          </w:tcPr>
          <w:p w14:paraId="2B047FEE"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1,732</w:t>
            </w:r>
          </w:p>
        </w:tc>
        <w:tc>
          <w:tcPr>
            <w:tcW w:w="600" w:type="dxa"/>
            <w:tcBorders>
              <w:top w:val="nil"/>
              <w:left w:val="nil"/>
              <w:bottom w:val="nil"/>
              <w:right w:val="nil"/>
              <w:tl2br w:val="nil"/>
              <w:tr2bl w:val="nil"/>
            </w:tcBorders>
            <w:shd w:val="clear" w:color="FFFFFF" w:fill="FFFFFF"/>
            <w:tcMar>
              <w:left w:w="101" w:type="dxa"/>
              <w:right w:w="101" w:type="dxa"/>
            </w:tcMar>
          </w:tcPr>
          <w:p w14:paraId="66AC9B29"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6C95B99"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1,732</w:t>
            </w:r>
          </w:p>
        </w:tc>
        <w:tc>
          <w:tcPr>
            <w:tcW w:w="1035" w:type="dxa"/>
            <w:tcBorders>
              <w:top w:val="nil"/>
              <w:left w:val="nil"/>
              <w:bottom w:val="nil"/>
              <w:right w:val="nil"/>
              <w:tl2br w:val="nil"/>
              <w:tr2bl w:val="nil"/>
            </w:tcBorders>
            <w:shd w:val="clear" w:color="FFFFFF" w:fill="FFFFFF"/>
            <w:tcMar>
              <w:left w:w="101" w:type="dxa"/>
              <w:right w:w="101" w:type="dxa"/>
            </w:tcMar>
          </w:tcPr>
          <w:p w14:paraId="75CBBF0A"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1,732</w:t>
            </w:r>
          </w:p>
        </w:tc>
        <w:tc>
          <w:tcPr>
            <w:tcW w:w="1035" w:type="dxa"/>
            <w:tcBorders>
              <w:top w:val="nil"/>
              <w:left w:val="nil"/>
              <w:bottom w:val="nil"/>
              <w:right w:val="nil"/>
              <w:tl2br w:val="nil"/>
              <w:tr2bl w:val="nil"/>
            </w:tcBorders>
            <w:shd w:val="clear" w:color="FFFFFF" w:fill="FFFFFF"/>
            <w:tcMar>
              <w:left w:w="101" w:type="dxa"/>
              <w:right w:w="101" w:type="dxa"/>
            </w:tcMar>
          </w:tcPr>
          <w:p w14:paraId="246CE742"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1,732</w:t>
            </w:r>
          </w:p>
        </w:tc>
      </w:tr>
      <w:tr w:rsidR="002242F3" w:rsidRPr="005E3B44" w14:paraId="4AF8A92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B4CC31"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B0A2987"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Contract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0FE7E81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4EBF7373"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238</w:t>
            </w:r>
          </w:p>
        </w:tc>
        <w:tc>
          <w:tcPr>
            <w:tcW w:w="600" w:type="dxa"/>
            <w:tcBorders>
              <w:top w:val="nil"/>
              <w:left w:val="nil"/>
              <w:bottom w:val="nil"/>
              <w:right w:val="nil"/>
              <w:tl2br w:val="nil"/>
              <w:tr2bl w:val="nil"/>
            </w:tcBorders>
            <w:shd w:val="clear" w:color="FFFFFF" w:fill="FFFFFF"/>
            <w:tcMar>
              <w:left w:w="101" w:type="dxa"/>
              <w:right w:w="101" w:type="dxa"/>
            </w:tcMar>
          </w:tcPr>
          <w:p w14:paraId="21BCEC5A"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7C40FE9"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67A347F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7E0CC543"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238</w:t>
            </w:r>
          </w:p>
        </w:tc>
      </w:tr>
      <w:tr w:rsidR="002242F3" w:rsidRPr="005E3B44" w14:paraId="46B613D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7F1DB5"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7A373FB"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A54C1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65A58A"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8C7107" w14:textId="77777777" w:rsidR="002242F3" w:rsidRPr="005E3B44" w:rsidRDefault="002242F3" w:rsidP="005E3B44">
            <w:pPr>
              <w:pStyle w:val="Normal1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D907D6"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0E84F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0FEAF8"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5289389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2251B71"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5,628</w:t>
            </w:r>
          </w:p>
        </w:tc>
        <w:tc>
          <w:tcPr>
            <w:tcW w:w="2385" w:type="dxa"/>
            <w:tcBorders>
              <w:top w:val="nil"/>
              <w:left w:val="nil"/>
              <w:bottom w:val="nil"/>
              <w:right w:val="nil"/>
              <w:tl2br w:val="nil"/>
              <w:tr2bl w:val="nil"/>
            </w:tcBorders>
            <w:shd w:val="clear" w:color="FFFFFF" w:fill="FFFFFF"/>
            <w:noWrap/>
            <w:tcMar>
              <w:left w:w="101" w:type="dxa"/>
              <w:right w:w="101" w:type="dxa"/>
            </w:tcMar>
          </w:tcPr>
          <w:p w14:paraId="749A9830"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9CD56FB"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8,554</w:t>
            </w:r>
          </w:p>
        </w:tc>
        <w:tc>
          <w:tcPr>
            <w:tcW w:w="1035" w:type="dxa"/>
            <w:tcBorders>
              <w:top w:val="nil"/>
              <w:left w:val="nil"/>
              <w:bottom w:val="nil"/>
              <w:right w:val="nil"/>
              <w:tl2br w:val="nil"/>
              <w:tr2bl w:val="nil"/>
            </w:tcBorders>
            <w:shd w:val="clear" w:color="FFFFFF" w:fill="FFFFFF"/>
            <w:noWrap/>
            <w:tcMar>
              <w:left w:w="101" w:type="dxa"/>
              <w:right w:w="101" w:type="dxa"/>
            </w:tcMar>
          </w:tcPr>
          <w:p w14:paraId="058ECA9B" w14:textId="76A599DC"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8,55</w:t>
            </w:r>
            <w:r w:rsidR="009A4F0B">
              <w:rPr>
                <w:rFonts w:asciiTheme="minorHAnsi" w:eastAsia="Calibri" w:hAnsiTheme="minorHAnsi" w:cstheme="minorHAnsi"/>
                <w:b/>
                <w:color w:val="000000"/>
                <w:sz w:val="18"/>
              </w:rPr>
              <w:t>3</w:t>
            </w:r>
          </w:p>
        </w:tc>
        <w:tc>
          <w:tcPr>
            <w:tcW w:w="600" w:type="dxa"/>
            <w:tcBorders>
              <w:top w:val="nil"/>
              <w:left w:val="nil"/>
              <w:bottom w:val="nil"/>
              <w:right w:val="nil"/>
              <w:tl2br w:val="nil"/>
              <w:tr2bl w:val="nil"/>
            </w:tcBorders>
            <w:shd w:val="clear" w:color="FFFFFF" w:fill="FFFFFF"/>
            <w:tcMar>
              <w:left w:w="101" w:type="dxa"/>
              <w:right w:w="101" w:type="dxa"/>
            </w:tcMar>
          </w:tcPr>
          <w:p w14:paraId="51FF539B"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B373D18" w14:textId="3F4AFBF4"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8,55</w:t>
            </w:r>
            <w:r w:rsidR="009A4F0B">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212FAF1E" w14:textId="5A54755F"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8,55</w:t>
            </w:r>
            <w:r w:rsidR="009A4F0B">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3D5DCCDE" w14:textId="2D85624B"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8,55</w:t>
            </w:r>
            <w:r w:rsidR="009A4F0B">
              <w:rPr>
                <w:rFonts w:asciiTheme="minorHAnsi" w:eastAsia="Calibri" w:hAnsiTheme="minorHAnsi" w:cstheme="minorHAnsi"/>
                <w:b/>
                <w:color w:val="000000"/>
                <w:sz w:val="18"/>
              </w:rPr>
              <w:t>3</w:t>
            </w:r>
          </w:p>
        </w:tc>
      </w:tr>
      <w:tr w:rsidR="002242F3" w:rsidRPr="005E3B44" w14:paraId="2B8223D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4DC250"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3246AC0"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2032F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505186"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545E10" w14:textId="77777777" w:rsidR="002242F3" w:rsidRPr="005E3B44" w:rsidRDefault="002242F3" w:rsidP="005E3B44">
            <w:pPr>
              <w:pStyle w:val="Normal1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A98A9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36A995"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149418"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51EA215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A53DF4"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0468D7C" w14:textId="77777777" w:rsidR="002242F3" w:rsidRPr="005E3B44" w:rsidRDefault="002242F3" w:rsidP="005E3B44">
            <w:pPr>
              <w:pStyle w:val="Normal13"/>
              <w:rPr>
                <w:rFonts w:asciiTheme="minorHAnsi" w:eastAsia="Calibri" w:hAnsiTheme="minorHAnsi" w:cstheme="minorHAnsi"/>
                <w:b/>
                <w:color w:val="000000"/>
                <w:sz w:val="18"/>
              </w:rPr>
            </w:pP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5DAEB1B3"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E41059"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553E485" w14:textId="77777777" w:rsidR="002242F3" w:rsidRPr="005E3B44" w:rsidRDefault="002242F3" w:rsidP="005E3B44">
            <w:pPr>
              <w:pStyle w:val="Normal1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72B961"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3E89D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3AE183"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0F2CC40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0E6478"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261</w:t>
            </w:r>
          </w:p>
        </w:tc>
        <w:tc>
          <w:tcPr>
            <w:tcW w:w="2385" w:type="dxa"/>
            <w:tcBorders>
              <w:top w:val="nil"/>
              <w:left w:val="nil"/>
              <w:bottom w:val="nil"/>
              <w:right w:val="nil"/>
              <w:tl2br w:val="nil"/>
              <w:tr2bl w:val="nil"/>
            </w:tcBorders>
            <w:shd w:val="clear" w:color="FFFFFF" w:fill="FFFFFF"/>
            <w:noWrap/>
            <w:tcMar>
              <w:left w:w="101" w:type="dxa"/>
              <w:right w:w="101" w:type="dxa"/>
            </w:tcMar>
          </w:tcPr>
          <w:p w14:paraId="29312337"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D20C3B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203</w:t>
            </w:r>
          </w:p>
        </w:tc>
        <w:tc>
          <w:tcPr>
            <w:tcW w:w="1035" w:type="dxa"/>
            <w:tcBorders>
              <w:top w:val="nil"/>
              <w:left w:val="nil"/>
              <w:bottom w:val="nil"/>
              <w:right w:val="nil"/>
              <w:tl2br w:val="nil"/>
              <w:tr2bl w:val="nil"/>
            </w:tcBorders>
            <w:shd w:val="clear" w:color="FFFFFF" w:fill="FFFFFF"/>
            <w:tcMar>
              <w:left w:w="101" w:type="dxa"/>
              <w:right w:w="101" w:type="dxa"/>
            </w:tcMar>
          </w:tcPr>
          <w:p w14:paraId="4D01B31A"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203</w:t>
            </w:r>
          </w:p>
        </w:tc>
        <w:tc>
          <w:tcPr>
            <w:tcW w:w="600" w:type="dxa"/>
            <w:tcBorders>
              <w:top w:val="nil"/>
              <w:left w:val="nil"/>
              <w:bottom w:val="nil"/>
              <w:right w:val="nil"/>
              <w:tl2br w:val="nil"/>
              <w:tr2bl w:val="nil"/>
            </w:tcBorders>
            <w:shd w:val="clear" w:color="FFFFFF" w:fill="FFFFFF"/>
            <w:tcMar>
              <w:left w:w="101" w:type="dxa"/>
              <w:right w:w="101" w:type="dxa"/>
            </w:tcMar>
          </w:tcPr>
          <w:p w14:paraId="5540C1F0"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05CF7B2"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203</w:t>
            </w:r>
          </w:p>
        </w:tc>
        <w:tc>
          <w:tcPr>
            <w:tcW w:w="1035" w:type="dxa"/>
            <w:tcBorders>
              <w:top w:val="nil"/>
              <w:left w:val="nil"/>
              <w:bottom w:val="nil"/>
              <w:right w:val="nil"/>
              <w:tl2br w:val="nil"/>
              <w:tr2bl w:val="nil"/>
            </w:tcBorders>
            <w:shd w:val="clear" w:color="FFFFFF" w:fill="FFFFFF"/>
            <w:tcMar>
              <w:left w:w="101" w:type="dxa"/>
              <w:right w:w="101" w:type="dxa"/>
            </w:tcMar>
          </w:tcPr>
          <w:p w14:paraId="7997238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203</w:t>
            </w:r>
          </w:p>
        </w:tc>
        <w:tc>
          <w:tcPr>
            <w:tcW w:w="1035" w:type="dxa"/>
            <w:tcBorders>
              <w:top w:val="nil"/>
              <w:left w:val="nil"/>
              <w:bottom w:val="nil"/>
              <w:right w:val="nil"/>
              <w:tl2br w:val="nil"/>
              <w:tr2bl w:val="nil"/>
            </w:tcBorders>
            <w:shd w:val="clear" w:color="FFFFFF" w:fill="FFFFFF"/>
            <w:tcMar>
              <w:left w:w="101" w:type="dxa"/>
              <w:right w:w="101" w:type="dxa"/>
            </w:tcMar>
          </w:tcPr>
          <w:p w14:paraId="363AF744"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203</w:t>
            </w:r>
          </w:p>
        </w:tc>
      </w:tr>
      <w:tr w:rsidR="002242F3" w:rsidRPr="005E3B44" w14:paraId="35C3547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69B9C1"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A080032"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2FFC6B43"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14,284</w:t>
            </w:r>
          </w:p>
        </w:tc>
        <w:tc>
          <w:tcPr>
            <w:tcW w:w="1035" w:type="dxa"/>
            <w:tcBorders>
              <w:top w:val="nil"/>
              <w:left w:val="nil"/>
              <w:bottom w:val="nil"/>
              <w:right w:val="nil"/>
              <w:tl2br w:val="nil"/>
              <w:tr2bl w:val="nil"/>
            </w:tcBorders>
            <w:shd w:val="clear" w:color="FFFFFF" w:fill="FFFFFF"/>
            <w:tcMar>
              <w:left w:w="101" w:type="dxa"/>
              <w:right w:w="101" w:type="dxa"/>
            </w:tcMar>
          </w:tcPr>
          <w:p w14:paraId="01ABAECD"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14,284</w:t>
            </w:r>
          </w:p>
        </w:tc>
        <w:tc>
          <w:tcPr>
            <w:tcW w:w="600" w:type="dxa"/>
            <w:tcBorders>
              <w:top w:val="nil"/>
              <w:left w:val="nil"/>
              <w:bottom w:val="nil"/>
              <w:right w:val="nil"/>
              <w:tl2br w:val="nil"/>
              <w:tr2bl w:val="nil"/>
            </w:tcBorders>
            <w:shd w:val="clear" w:color="FFFFFF" w:fill="FFFFFF"/>
            <w:tcMar>
              <w:left w:w="101" w:type="dxa"/>
              <w:right w:w="101" w:type="dxa"/>
            </w:tcMar>
          </w:tcPr>
          <w:p w14:paraId="325DB090"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4B3FB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14,284</w:t>
            </w:r>
          </w:p>
        </w:tc>
        <w:tc>
          <w:tcPr>
            <w:tcW w:w="1035" w:type="dxa"/>
            <w:tcBorders>
              <w:top w:val="nil"/>
              <w:left w:val="nil"/>
              <w:bottom w:val="nil"/>
              <w:right w:val="nil"/>
              <w:tl2br w:val="nil"/>
              <w:tr2bl w:val="nil"/>
            </w:tcBorders>
            <w:shd w:val="clear" w:color="FFFFFF" w:fill="FFFFFF"/>
            <w:tcMar>
              <w:left w:w="101" w:type="dxa"/>
              <w:right w:w="101" w:type="dxa"/>
            </w:tcMar>
          </w:tcPr>
          <w:p w14:paraId="14D8DB5A"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14,284</w:t>
            </w:r>
          </w:p>
        </w:tc>
        <w:tc>
          <w:tcPr>
            <w:tcW w:w="1035" w:type="dxa"/>
            <w:tcBorders>
              <w:top w:val="nil"/>
              <w:left w:val="nil"/>
              <w:bottom w:val="nil"/>
              <w:right w:val="nil"/>
              <w:tl2br w:val="nil"/>
              <w:tr2bl w:val="nil"/>
            </w:tcBorders>
            <w:shd w:val="clear" w:color="FFFFFF" w:fill="FFFFFF"/>
            <w:tcMar>
              <w:left w:w="101" w:type="dxa"/>
              <w:right w:w="101" w:type="dxa"/>
            </w:tcMar>
          </w:tcPr>
          <w:p w14:paraId="5E63CD2E"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14,284</w:t>
            </w:r>
          </w:p>
        </w:tc>
      </w:tr>
      <w:tr w:rsidR="002242F3" w:rsidRPr="005E3B44" w14:paraId="5AA57C0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18C7BFA"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57CED61"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AB679F"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B3203D"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E8D06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90C0A2"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3AFB4B"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C72A11"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363E33D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9941F0B"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261</w:t>
            </w:r>
          </w:p>
        </w:tc>
        <w:tc>
          <w:tcPr>
            <w:tcW w:w="2385" w:type="dxa"/>
            <w:tcBorders>
              <w:top w:val="nil"/>
              <w:left w:val="nil"/>
              <w:bottom w:val="nil"/>
              <w:right w:val="nil"/>
              <w:tl2br w:val="nil"/>
              <w:tr2bl w:val="nil"/>
            </w:tcBorders>
            <w:shd w:val="clear" w:color="FFFFFF" w:fill="FFFFFF"/>
            <w:noWrap/>
            <w:tcMar>
              <w:left w:w="101" w:type="dxa"/>
              <w:right w:w="101" w:type="dxa"/>
            </w:tcMar>
          </w:tcPr>
          <w:p w14:paraId="62779E32"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1FCBCA8"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14,487</w:t>
            </w:r>
          </w:p>
        </w:tc>
        <w:tc>
          <w:tcPr>
            <w:tcW w:w="1035" w:type="dxa"/>
            <w:tcBorders>
              <w:top w:val="nil"/>
              <w:left w:val="nil"/>
              <w:bottom w:val="nil"/>
              <w:right w:val="nil"/>
              <w:tl2br w:val="nil"/>
              <w:tr2bl w:val="nil"/>
            </w:tcBorders>
            <w:shd w:val="clear" w:color="FFFFFF" w:fill="FFFFFF"/>
            <w:noWrap/>
            <w:tcMar>
              <w:left w:w="101" w:type="dxa"/>
              <w:right w:w="101" w:type="dxa"/>
            </w:tcMar>
          </w:tcPr>
          <w:p w14:paraId="77DE405C"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14,487</w:t>
            </w:r>
          </w:p>
        </w:tc>
        <w:tc>
          <w:tcPr>
            <w:tcW w:w="600" w:type="dxa"/>
            <w:tcBorders>
              <w:top w:val="nil"/>
              <w:left w:val="nil"/>
              <w:bottom w:val="nil"/>
              <w:right w:val="nil"/>
              <w:tl2br w:val="nil"/>
              <w:tr2bl w:val="nil"/>
            </w:tcBorders>
            <w:shd w:val="clear" w:color="FFFFFF" w:fill="FFFFFF"/>
            <w:tcMar>
              <w:left w:w="101" w:type="dxa"/>
              <w:right w:w="101" w:type="dxa"/>
            </w:tcMar>
          </w:tcPr>
          <w:p w14:paraId="245806A1"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003160B"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14,487</w:t>
            </w:r>
          </w:p>
        </w:tc>
        <w:tc>
          <w:tcPr>
            <w:tcW w:w="1035" w:type="dxa"/>
            <w:tcBorders>
              <w:top w:val="nil"/>
              <w:left w:val="nil"/>
              <w:bottom w:val="nil"/>
              <w:right w:val="nil"/>
              <w:tl2br w:val="nil"/>
              <w:tr2bl w:val="nil"/>
            </w:tcBorders>
            <w:shd w:val="clear" w:color="FFFFFF" w:fill="FFFFFF"/>
            <w:noWrap/>
            <w:tcMar>
              <w:left w:w="101" w:type="dxa"/>
              <w:right w:w="101" w:type="dxa"/>
            </w:tcMar>
          </w:tcPr>
          <w:p w14:paraId="71718FBE"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14,487</w:t>
            </w:r>
          </w:p>
        </w:tc>
        <w:tc>
          <w:tcPr>
            <w:tcW w:w="1035" w:type="dxa"/>
            <w:tcBorders>
              <w:top w:val="nil"/>
              <w:left w:val="nil"/>
              <w:bottom w:val="nil"/>
              <w:right w:val="nil"/>
              <w:tl2br w:val="nil"/>
              <w:tr2bl w:val="nil"/>
            </w:tcBorders>
            <w:shd w:val="clear" w:color="FFFFFF" w:fill="FFFFFF"/>
            <w:noWrap/>
            <w:tcMar>
              <w:left w:w="101" w:type="dxa"/>
              <w:right w:w="101" w:type="dxa"/>
            </w:tcMar>
          </w:tcPr>
          <w:p w14:paraId="2CA44D82"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14,487</w:t>
            </w:r>
          </w:p>
        </w:tc>
      </w:tr>
      <w:tr w:rsidR="002242F3" w:rsidRPr="005E3B44" w14:paraId="52E3BC5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57A11D"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BCC9F7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0F62F7"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546E6E"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1D3D7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CCC1D8"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3568B7"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FF0808"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7E0D254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5BC9672"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5,889</w:t>
            </w:r>
          </w:p>
        </w:tc>
        <w:tc>
          <w:tcPr>
            <w:tcW w:w="2385" w:type="dxa"/>
            <w:tcBorders>
              <w:top w:val="nil"/>
              <w:left w:val="nil"/>
              <w:bottom w:val="nil"/>
              <w:right w:val="nil"/>
              <w:tl2br w:val="nil"/>
              <w:tr2bl w:val="nil"/>
            </w:tcBorders>
            <w:shd w:val="clear" w:color="FFFFFF" w:fill="FFFFFF"/>
            <w:noWrap/>
            <w:tcMar>
              <w:left w:w="101" w:type="dxa"/>
              <w:right w:w="101" w:type="dxa"/>
            </w:tcMar>
          </w:tcPr>
          <w:p w14:paraId="2EE44DA2"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7831ED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23,041</w:t>
            </w:r>
          </w:p>
        </w:tc>
        <w:tc>
          <w:tcPr>
            <w:tcW w:w="1035" w:type="dxa"/>
            <w:tcBorders>
              <w:top w:val="nil"/>
              <w:left w:val="nil"/>
              <w:bottom w:val="nil"/>
              <w:right w:val="nil"/>
              <w:tl2br w:val="nil"/>
              <w:tr2bl w:val="nil"/>
            </w:tcBorders>
            <w:shd w:val="clear" w:color="FFFFFF" w:fill="FFFFFF"/>
            <w:noWrap/>
            <w:tcMar>
              <w:left w:w="101" w:type="dxa"/>
              <w:right w:w="101" w:type="dxa"/>
            </w:tcMar>
          </w:tcPr>
          <w:p w14:paraId="4C43C40C" w14:textId="5F386ED1"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23,04</w:t>
            </w:r>
            <w:r w:rsidR="009A4F0B">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EC4F04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443A20C" w14:textId="2358FCBB"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23,04</w:t>
            </w:r>
            <w:r w:rsidR="009A4F0B">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1AC8BA9" w14:textId="0F27985B"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23,04</w:t>
            </w:r>
            <w:r w:rsidR="009A4F0B">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376C26B" w14:textId="5ABEB121"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23,04</w:t>
            </w:r>
            <w:r w:rsidR="009A4F0B">
              <w:rPr>
                <w:rFonts w:asciiTheme="minorHAnsi" w:eastAsia="Calibri" w:hAnsiTheme="minorHAnsi" w:cstheme="minorHAnsi"/>
                <w:b/>
                <w:color w:val="000000"/>
                <w:sz w:val="18"/>
              </w:rPr>
              <w:t>0</w:t>
            </w:r>
          </w:p>
        </w:tc>
      </w:tr>
      <w:tr w:rsidR="002242F3" w:rsidRPr="005E3B44" w14:paraId="22C6F39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5B637D"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2049ED5"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4E24DA"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E88003"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83AB23"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493275"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219D0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92E0CD"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11BD73E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57B9689"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80,828</w:t>
            </w:r>
          </w:p>
        </w:tc>
        <w:tc>
          <w:tcPr>
            <w:tcW w:w="2385" w:type="dxa"/>
            <w:tcBorders>
              <w:top w:val="nil"/>
              <w:left w:val="nil"/>
              <w:bottom w:val="nil"/>
              <w:right w:val="nil"/>
              <w:tl2br w:val="nil"/>
              <w:tr2bl w:val="nil"/>
            </w:tcBorders>
            <w:shd w:val="clear" w:color="FFFFFF" w:fill="FFFFFF"/>
            <w:noWrap/>
            <w:tcMar>
              <w:left w:w="101" w:type="dxa"/>
              <w:right w:w="101" w:type="dxa"/>
            </w:tcMar>
          </w:tcPr>
          <w:p w14:paraId="314AE5D4"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15FCA9D"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68,094</w:t>
            </w:r>
          </w:p>
        </w:tc>
        <w:tc>
          <w:tcPr>
            <w:tcW w:w="1035" w:type="dxa"/>
            <w:tcBorders>
              <w:top w:val="nil"/>
              <w:left w:val="nil"/>
              <w:bottom w:val="nil"/>
              <w:right w:val="nil"/>
              <w:tl2br w:val="nil"/>
              <w:tr2bl w:val="nil"/>
            </w:tcBorders>
            <w:shd w:val="clear" w:color="FFFFFF" w:fill="FFFFFF"/>
            <w:noWrap/>
            <w:tcMar>
              <w:left w:w="101" w:type="dxa"/>
              <w:right w:w="101" w:type="dxa"/>
            </w:tcMar>
          </w:tcPr>
          <w:p w14:paraId="72EC9F48" w14:textId="07304CF9"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72,62</w:t>
            </w:r>
            <w:r w:rsidR="009A4F0B">
              <w:rPr>
                <w:rFonts w:asciiTheme="minorHAnsi" w:eastAsia="Calibri" w:hAnsiTheme="minorHAnsi" w:cstheme="minorHAnsi"/>
                <w:b/>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7AA77A79"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7 </w:t>
            </w:r>
          </w:p>
        </w:tc>
        <w:tc>
          <w:tcPr>
            <w:tcW w:w="1035" w:type="dxa"/>
            <w:tcBorders>
              <w:top w:val="nil"/>
              <w:left w:val="nil"/>
              <w:bottom w:val="nil"/>
              <w:right w:val="nil"/>
              <w:tl2br w:val="nil"/>
              <w:tr2bl w:val="nil"/>
            </w:tcBorders>
            <w:shd w:val="clear" w:color="FFFFFF" w:fill="FFFFFF"/>
            <w:noWrap/>
            <w:tcMar>
              <w:left w:w="101" w:type="dxa"/>
              <w:right w:w="101" w:type="dxa"/>
            </w:tcMar>
          </w:tcPr>
          <w:p w14:paraId="061274C3" w14:textId="51657A5C"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76,6</w:t>
            </w:r>
            <w:r w:rsidR="009A4F0B">
              <w:rPr>
                <w:rFonts w:asciiTheme="minorHAnsi" w:eastAsia="Calibri" w:hAnsiTheme="minorHAnsi" w:cstheme="minorHAnsi"/>
                <w:b/>
                <w:color w:val="000000"/>
                <w:sz w:val="18"/>
              </w:rPr>
              <w:t>50</w:t>
            </w:r>
          </w:p>
        </w:tc>
        <w:tc>
          <w:tcPr>
            <w:tcW w:w="1035" w:type="dxa"/>
            <w:tcBorders>
              <w:top w:val="nil"/>
              <w:left w:val="nil"/>
              <w:bottom w:val="nil"/>
              <w:right w:val="nil"/>
              <w:tl2br w:val="nil"/>
              <w:tr2bl w:val="nil"/>
            </w:tcBorders>
            <w:shd w:val="clear" w:color="FFFFFF" w:fill="FFFFFF"/>
            <w:noWrap/>
            <w:tcMar>
              <w:left w:w="101" w:type="dxa"/>
              <w:right w:w="101" w:type="dxa"/>
            </w:tcMar>
          </w:tcPr>
          <w:p w14:paraId="0D16199C" w14:textId="675D1D13"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75,53</w:t>
            </w:r>
            <w:r w:rsidR="009A4F0B">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23E13510" w14:textId="2E3C36E5"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72,16</w:t>
            </w:r>
            <w:r w:rsidR="009A4F0B">
              <w:rPr>
                <w:rFonts w:asciiTheme="minorHAnsi" w:eastAsia="Calibri" w:hAnsiTheme="minorHAnsi" w:cstheme="minorHAnsi"/>
                <w:b/>
                <w:color w:val="000000"/>
                <w:sz w:val="18"/>
              </w:rPr>
              <w:t>9</w:t>
            </w:r>
          </w:p>
        </w:tc>
      </w:tr>
      <w:tr w:rsidR="002242F3" w:rsidRPr="005E3B44" w14:paraId="3F80856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14AE54"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0708995"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AF464"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5E8350"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E04584"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D7AE4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466F2E"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23FBD2"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6D33613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8A904B" w14:textId="77777777" w:rsidR="002242F3" w:rsidRPr="005E3B44" w:rsidRDefault="002242F3" w:rsidP="005E3B44">
            <w:pPr>
              <w:pStyle w:val="Normal13"/>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1ECE58DA"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REPRESENTED BY FUNDS EMPLOYED</w:t>
            </w:r>
          </w:p>
        </w:tc>
      </w:tr>
      <w:tr w:rsidR="002242F3" w:rsidRPr="005E3B44" w14:paraId="0D2ED25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72623EB"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D3CE894"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B3596B"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7A4E0A"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10AC41"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ACEC30"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EDDE95"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80B865" w14:textId="77777777" w:rsidR="002242F3" w:rsidRPr="005E3B44" w:rsidRDefault="002242F3" w:rsidP="005E3B44">
            <w:pPr>
              <w:pStyle w:val="Normal13"/>
              <w:rPr>
                <w:rFonts w:asciiTheme="minorHAnsi" w:eastAsia="Calibri" w:hAnsiTheme="minorHAnsi" w:cstheme="minorHAnsi"/>
                <w:color w:val="000000"/>
                <w:sz w:val="18"/>
              </w:rPr>
            </w:pPr>
          </w:p>
        </w:tc>
      </w:tr>
      <w:tr w:rsidR="002242F3" w:rsidRPr="005E3B44" w14:paraId="7484F44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48DAD4"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50,372</w:t>
            </w:r>
          </w:p>
        </w:tc>
        <w:tc>
          <w:tcPr>
            <w:tcW w:w="2385" w:type="dxa"/>
            <w:tcBorders>
              <w:top w:val="nil"/>
              <w:left w:val="nil"/>
              <w:bottom w:val="nil"/>
              <w:right w:val="nil"/>
              <w:tl2br w:val="nil"/>
              <w:tr2bl w:val="nil"/>
            </w:tcBorders>
            <w:shd w:val="clear" w:color="FFFFFF" w:fill="FFFFFF"/>
            <w:noWrap/>
            <w:tcMar>
              <w:left w:w="101" w:type="dxa"/>
              <w:right w:w="101" w:type="dxa"/>
            </w:tcMar>
          </w:tcPr>
          <w:p w14:paraId="7DFFD4D3"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5A948C60"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30,631</w:t>
            </w:r>
          </w:p>
        </w:tc>
        <w:tc>
          <w:tcPr>
            <w:tcW w:w="1035" w:type="dxa"/>
            <w:tcBorders>
              <w:top w:val="nil"/>
              <w:left w:val="nil"/>
              <w:bottom w:val="nil"/>
              <w:right w:val="nil"/>
              <w:tl2br w:val="nil"/>
              <w:tr2bl w:val="nil"/>
            </w:tcBorders>
            <w:shd w:val="clear" w:color="FFFFFF" w:fill="FFFFFF"/>
            <w:tcMar>
              <w:left w:w="101" w:type="dxa"/>
              <w:right w:w="101" w:type="dxa"/>
            </w:tcMar>
          </w:tcPr>
          <w:p w14:paraId="0FDA241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35,162</w:t>
            </w:r>
          </w:p>
        </w:tc>
        <w:tc>
          <w:tcPr>
            <w:tcW w:w="600" w:type="dxa"/>
            <w:tcBorders>
              <w:top w:val="nil"/>
              <w:left w:val="nil"/>
              <w:bottom w:val="nil"/>
              <w:right w:val="nil"/>
              <w:tl2br w:val="nil"/>
              <w:tr2bl w:val="nil"/>
            </w:tcBorders>
            <w:shd w:val="clear" w:color="FFFFFF" w:fill="FFFFFF"/>
            <w:tcMar>
              <w:left w:w="101" w:type="dxa"/>
              <w:right w:w="101" w:type="dxa"/>
            </w:tcMar>
          </w:tcPr>
          <w:p w14:paraId="3EA7E27F"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49A8EEF0"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39,186</w:t>
            </w:r>
          </w:p>
        </w:tc>
        <w:tc>
          <w:tcPr>
            <w:tcW w:w="1035" w:type="dxa"/>
            <w:tcBorders>
              <w:top w:val="nil"/>
              <w:left w:val="nil"/>
              <w:bottom w:val="nil"/>
              <w:right w:val="nil"/>
              <w:tl2br w:val="nil"/>
              <w:tr2bl w:val="nil"/>
            </w:tcBorders>
            <w:shd w:val="clear" w:color="FFFFFF" w:fill="FFFFFF"/>
            <w:tcMar>
              <w:left w:w="101" w:type="dxa"/>
              <w:right w:w="101" w:type="dxa"/>
            </w:tcMar>
          </w:tcPr>
          <w:p w14:paraId="70E34DFE"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38,073</w:t>
            </w:r>
          </w:p>
        </w:tc>
        <w:tc>
          <w:tcPr>
            <w:tcW w:w="1035" w:type="dxa"/>
            <w:tcBorders>
              <w:top w:val="nil"/>
              <w:left w:val="nil"/>
              <w:bottom w:val="nil"/>
              <w:right w:val="nil"/>
              <w:tl2br w:val="nil"/>
              <w:tr2bl w:val="nil"/>
            </w:tcBorders>
            <w:shd w:val="clear" w:color="FFFFFF" w:fill="FFFFFF"/>
            <w:tcMar>
              <w:left w:w="101" w:type="dxa"/>
              <w:right w:w="101" w:type="dxa"/>
            </w:tcMar>
          </w:tcPr>
          <w:p w14:paraId="5B33FD30"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34,705</w:t>
            </w:r>
          </w:p>
        </w:tc>
      </w:tr>
      <w:tr w:rsidR="002242F3" w:rsidRPr="005E3B44" w14:paraId="0BC6871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9C1977"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30,456</w:t>
            </w:r>
          </w:p>
        </w:tc>
        <w:tc>
          <w:tcPr>
            <w:tcW w:w="2385" w:type="dxa"/>
            <w:tcBorders>
              <w:top w:val="nil"/>
              <w:left w:val="nil"/>
              <w:bottom w:val="nil"/>
              <w:right w:val="nil"/>
              <w:tl2br w:val="nil"/>
              <w:tr2bl w:val="nil"/>
            </w:tcBorders>
            <w:shd w:val="clear" w:color="FFFFFF" w:fill="FFFFFF"/>
            <w:noWrap/>
            <w:tcMar>
              <w:left w:w="101" w:type="dxa"/>
              <w:right w:w="101" w:type="dxa"/>
            </w:tcMar>
          </w:tcPr>
          <w:p w14:paraId="1E89C3C6" w14:textId="77777777" w:rsidR="002242F3" w:rsidRPr="005E3B44" w:rsidRDefault="002242F3" w:rsidP="005E3B44">
            <w:pPr>
              <w:pStyle w:val="Normal1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262838B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tcMar>
              <w:left w:w="101" w:type="dxa"/>
              <w:right w:w="101" w:type="dxa"/>
            </w:tcMar>
          </w:tcPr>
          <w:p w14:paraId="70152171"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600" w:type="dxa"/>
            <w:tcBorders>
              <w:top w:val="nil"/>
              <w:left w:val="nil"/>
              <w:bottom w:val="nil"/>
              <w:right w:val="nil"/>
              <w:tl2br w:val="nil"/>
              <w:tr2bl w:val="nil"/>
            </w:tcBorders>
            <w:shd w:val="clear" w:color="FFFFFF" w:fill="FFFFFF"/>
            <w:tcMar>
              <w:left w:w="101" w:type="dxa"/>
              <w:right w:w="101" w:type="dxa"/>
            </w:tcMar>
          </w:tcPr>
          <w:p w14:paraId="75B0DF23"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D6D41EB"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tcMar>
              <w:left w:w="101" w:type="dxa"/>
              <w:right w:w="101" w:type="dxa"/>
            </w:tcMar>
          </w:tcPr>
          <w:p w14:paraId="0386A61F"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tcMar>
              <w:left w:w="101" w:type="dxa"/>
              <w:right w:w="101" w:type="dxa"/>
            </w:tcMar>
          </w:tcPr>
          <w:p w14:paraId="5F9FAD41" w14:textId="77777777" w:rsidR="002242F3" w:rsidRPr="005E3B44" w:rsidRDefault="002242F3" w:rsidP="005E3B44">
            <w:pPr>
              <w:pStyle w:val="Normal1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r>
      <w:tr w:rsidR="002242F3" w:rsidRPr="005E3B44" w14:paraId="0E0F54E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38FCC1" w14:textId="77777777" w:rsidR="002242F3" w:rsidRPr="005E3B44" w:rsidRDefault="002242F3" w:rsidP="005E3B44">
            <w:pPr>
              <w:pStyle w:val="Normal13"/>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74566EE"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8AAB1B"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D2DAD7" w14:textId="77777777" w:rsidR="002242F3" w:rsidRPr="005E3B44" w:rsidRDefault="002242F3" w:rsidP="005E3B44">
            <w:pPr>
              <w:pStyle w:val="Normal13"/>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222E24"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50F239"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6931B2" w14:textId="77777777" w:rsidR="002242F3" w:rsidRPr="005E3B44" w:rsidRDefault="002242F3" w:rsidP="005E3B44">
            <w:pPr>
              <w:pStyle w:val="Normal1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A47453" w14:textId="77777777" w:rsidR="002242F3" w:rsidRPr="005E3B44" w:rsidRDefault="002242F3" w:rsidP="005E3B44">
            <w:pPr>
              <w:pStyle w:val="Normal13"/>
              <w:rPr>
                <w:rFonts w:asciiTheme="minorHAnsi" w:eastAsia="Calibri" w:hAnsiTheme="minorHAnsi" w:cstheme="minorHAnsi"/>
                <w:b/>
                <w:color w:val="000000"/>
                <w:sz w:val="18"/>
              </w:rPr>
            </w:pPr>
          </w:p>
        </w:tc>
      </w:tr>
      <w:tr w:rsidR="002242F3" w:rsidRPr="005E3B44" w14:paraId="4D4F09A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D388644"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80,828</w:t>
            </w:r>
          </w:p>
        </w:tc>
        <w:tc>
          <w:tcPr>
            <w:tcW w:w="2385" w:type="dxa"/>
            <w:tcBorders>
              <w:top w:val="nil"/>
              <w:left w:val="nil"/>
              <w:bottom w:val="nil"/>
              <w:right w:val="nil"/>
              <w:tl2br w:val="nil"/>
              <w:tr2bl w:val="nil"/>
            </w:tcBorders>
            <w:shd w:val="clear" w:color="FFFFFF" w:fill="FFFFFF"/>
            <w:noWrap/>
            <w:tcMar>
              <w:left w:w="101" w:type="dxa"/>
              <w:right w:w="101" w:type="dxa"/>
            </w:tcMar>
          </w:tcPr>
          <w:p w14:paraId="7C83DDEE" w14:textId="77777777" w:rsidR="002242F3" w:rsidRPr="005E3B44" w:rsidRDefault="002242F3" w:rsidP="005E3B44">
            <w:pPr>
              <w:pStyle w:val="Normal1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69E5DDC8"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68,095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327A3845"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72,626</w:t>
            </w:r>
          </w:p>
        </w:tc>
        <w:tc>
          <w:tcPr>
            <w:tcW w:w="600" w:type="dxa"/>
            <w:tcBorders>
              <w:top w:val="nil"/>
              <w:left w:val="nil"/>
              <w:bottom w:val="nil"/>
              <w:right w:val="nil"/>
              <w:tl2br w:val="nil"/>
              <w:tr2bl w:val="nil"/>
            </w:tcBorders>
            <w:shd w:val="clear" w:color="FFFFFF" w:fill="FFFFFF"/>
            <w:tcMar>
              <w:left w:w="101" w:type="dxa"/>
              <w:right w:w="101" w:type="dxa"/>
            </w:tcMar>
          </w:tcPr>
          <w:p w14:paraId="15CD7726"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0660BC9B"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76,650</w:t>
            </w:r>
          </w:p>
        </w:tc>
        <w:tc>
          <w:tcPr>
            <w:tcW w:w="1035" w:type="dxa"/>
            <w:tcBorders>
              <w:top w:val="nil"/>
              <w:left w:val="nil"/>
              <w:bottom w:val="nil"/>
              <w:right w:val="nil"/>
              <w:tl2br w:val="nil"/>
              <w:tr2bl w:val="nil"/>
            </w:tcBorders>
            <w:shd w:val="clear" w:color="FFFFFF" w:fill="FFFFFF"/>
            <w:noWrap/>
            <w:tcMar>
              <w:left w:w="101" w:type="dxa"/>
              <w:right w:w="101" w:type="dxa"/>
            </w:tcMar>
          </w:tcPr>
          <w:p w14:paraId="48304AF1"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75,537</w:t>
            </w:r>
          </w:p>
        </w:tc>
        <w:tc>
          <w:tcPr>
            <w:tcW w:w="1035" w:type="dxa"/>
            <w:tcBorders>
              <w:top w:val="nil"/>
              <w:left w:val="nil"/>
              <w:bottom w:val="nil"/>
              <w:right w:val="nil"/>
              <w:tl2br w:val="nil"/>
              <w:tr2bl w:val="nil"/>
            </w:tcBorders>
            <w:shd w:val="clear" w:color="FFFFFF" w:fill="FFFFFF"/>
            <w:noWrap/>
            <w:tcMar>
              <w:left w:w="101" w:type="dxa"/>
              <w:right w:w="101" w:type="dxa"/>
            </w:tcMar>
          </w:tcPr>
          <w:p w14:paraId="7FB7E812" w14:textId="77777777" w:rsidR="002242F3" w:rsidRPr="005E3B44" w:rsidRDefault="002242F3" w:rsidP="005E3B44">
            <w:pPr>
              <w:pStyle w:val="Normal1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72,169</w:t>
            </w:r>
          </w:p>
        </w:tc>
      </w:tr>
      <w:tr w:rsidR="002242F3" w:rsidRPr="005E3B44" w14:paraId="7BF8D1F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C32231B" w14:textId="77777777" w:rsidR="002242F3" w:rsidRPr="005E3B44" w:rsidRDefault="002242F3" w:rsidP="005E3B44">
            <w:pPr>
              <w:pStyle w:val="Normal13"/>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A79C209"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C15BD99"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174065" w14:textId="77777777" w:rsidR="002242F3" w:rsidRPr="005E3B44" w:rsidRDefault="002242F3" w:rsidP="005E3B44">
            <w:pPr>
              <w:pStyle w:val="Normal13"/>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C0E23CE"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58069C1"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A65FBBD" w14:textId="77777777" w:rsidR="002242F3" w:rsidRPr="005E3B44" w:rsidRDefault="002242F3" w:rsidP="005E3B44">
            <w:pPr>
              <w:pStyle w:val="Normal13"/>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5774757" w14:textId="77777777" w:rsidR="002242F3" w:rsidRPr="005E3B44" w:rsidRDefault="002242F3" w:rsidP="005E3B44">
            <w:pPr>
              <w:pStyle w:val="Normal13"/>
              <w:rPr>
                <w:rFonts w:asciiTheme="minorHAnsi" w:eastAsia="Calibri" w:hAnsiTheme="minorHAnsi" w:cstheme="minorHAnsi"/>
                <w:color w:val="000000"/>
                <w:sz w:val="18"/>
              </w:rPr>
            </w:pPr>
          </w:p>
        </w:tc>
      </w:tr>
    </w:tbl>
    <w:p w14:paraId="139B9FDD" w14:textId="2ED39319" w:rsidR="002242F3" w:rsidRPr="005E3B44" w:rsidRDefault="002242F3" w:rsidP="002242F3">
      <w:pPr>
        <w:pStyle w:val="Caption"/>
        <w:pageBreakBefore/>
        <w:pBdr>
          <w:top w:val="nil"/>
          <w:left w:val="nil"/>
          <w:bottom w:val="nil"/>
          <w:right w:val="nil"/>
          <w:between w:val="nil"/>
          <w:bar w:val="nil"/>
        </w:pBdr>
        <w:outlineLvl w:val="0"/>
        <w:rPr>
          <w:rFonts w:asciiTheme="minorHAnsi" w:eastAsia="TimesNewRomanPS-ItalicMT" w:hAnsiTheme="minorHAnsi" w:cstheme="minorHAnsi"/>
          <w:bdr w:val="nil"/>
        </w:rPr>
      </w:pPr>
      <w:r w:rsidRPr="005E3B44">
        <w:rPr>
          <w:rFonts w:asciiTheme="minorHAnsi" w:hAnsiTheme="minorHAnsi" w:cstheme="minorHAnsi"/>
          <w:bdr w:val="nil"/>
        </w:rPr>
        <w:lastRenderedPageBreak/>
        <w:t>Table 3</w:t>
      </w:r>
      <w:r w:rsidR="00805234">
        <w:rPr>
          <w:rFonts w:asciiTheme="minorHAnsi" w:hAnsiTheme="minorHAnsi" w:cstheme="minorHAnsi"/>
          <w:bdr w:val="nil"/>
        </w:rPr>
        <w:t>5</w:t>
      </w:r>
      <w:r w:rsidRPr="005E3B44">
        <w:rPr>
          <w:rFonts w:asciiTheme="minorHAnsi" w:hAnsiTheme="minorHAnsi" w:cstheme="minorHAnsi"/>
          <w:bdr w:val="nil"/>
        </w:rPr>
        <w:t>: Justice and Community Safety Directorate: Statement of Changes in Equity on behalf of the Territory</w:t>
      </w:r>
    </w:p>
    <w:tbl>
      <w:tblPr>
        <w:tblStyle w:val="CDMRange1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672801BE" w14:textId="77777777" w:rsidTr="005E3B44">
        <w:trPr>
          <w:trHeight w:val="121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509E80"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33DD7DB3"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532C16C4"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30/6/21 </w:t>
            </w:r>
          </w:p>
          <w:p w14:paraId="5D7235C4"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18594DF" w14:textId="77777777" w:rsidR="002242F3" w:rsidRPr="005E3B44" w:rsidRDefault="002242F3" w:rsidP="005E3B44">
            <w:pPr>
              <w:pStyle w:val="Normal14"/>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CACDB5E"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at 30/6/21</w:t>
            </w:r>
          </w:p>
          <w:p w14:paraId="0E68935F"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CEA6A05"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27F218BC"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0DABB2C0"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30/6/22 </w:t>
            </w:r>
          </w:p>
          <w:p w14:paraId="0EF52A0C"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5ACDF9"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2C9CAB77"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6ABE30"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470EF5A1"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23F1F230"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30/6/23 </w:t>
            </w:r>
          </w:p>
          <w:p w14:paraId="13E4E6F8"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F7D6F2A"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1A1E8B82"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20DAA743"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30/6/24 </w:t>
            </w:r>
          </w:p>
          <w:p w14:paraId="7F4F6F2E"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569409B"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51E04EC1"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253A10CA"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30/6/25 </w:t>
            </w:r>
          </w:p>
          <w:p w14:paraId="3FA2E495"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2242F3" w:rsidRPr="005E3B44" w14:paraId="29EA054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D7B928"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2E6F2EB" w14:textId="77777777" w:rsidR="002242F3" w:rsidRPr="005E3B44" w:rsidRDefault="002242F3" w:rsidP="005E3B44">
            <w:pPr>
              <w:pStyle w:val="Normal14"/>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10214D6"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7E62C0F"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4351EE1"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4EE78FF"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BA4D7FA"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DFE9012" w14:textId="77777777" w:rsidR="002242F3" w:rsidRPr="005E3B44" w:rsidRDefault="002242F3" w:rsidP="005E3B44">
            <w:pPr>
              <w:pStyle w:val="Normal14"/>
              <w:jc w:val="right"/>
              <w:rPr>
                <w:rFonts w:asciiTheme="minorHAnsi" w:eastAsia="Calibri" w:hAnsiTheme="minorHAnsi" w:cstheme="minorHAnsi"/>
                <w:b/>
                <w:i/>
                <w:color w:val="000000"/>
                <w:sz w:val="18"/>
              </w:rPr>
            </w:pPr>
          </w:p>
        </w:tc>
      </w:tr>
      <w:tr w:rsidR="002242F3" w:rsidRPr="005E3B44" w14:paraId="61BEB7A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1D9C060"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69B5EA34"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02E6CA1A"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E3E890"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45DC118"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C58BF6"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9738D4"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6BFC65" w14:textId="77777777" w:rsidR="002242F3" w:rsidRPr="005E3B44" w:rsidRDefault="002242F3" w:rsidP="005E3B44">
            <w:pPr>
              <w:pStyle w:val="Normal14"/>
              <w:jc w:val="right"/>
              <w:rPr>
                <w:rFonts w:asciiTheme="minorHAnsi" w:eastAsia="Calibri" w:hAnsiTheme="minorHAnsi" w:cstheme="minorHAnsi"/>
                <w:b/>
                <w:i/>
                <w:color w:val="000000"/>
                <w:sz w:val="18"/>
              </w:rPr>
            </w:pPr>
          </w:p>
        </w:tc>
      </w:tr>
      <w:tr w:rsidR="002242F3" w:rsidRPr="005E3B44" w14:paraId="2992F6A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C98A9BB"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46,592</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37B454E2" w14:textId="77777777" w:rsidR="002242F3" w:rsidRPr="005E3B44" w:rsidRDefault="002242F3" w:rsidP="005E3B44">
            <w:pPr>
              <w:pStyle w:val="Normal14"/>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C2935F3"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29,721</w:t>
            </w:r>
          </w:p>
        </w:tc>
        <w:tc>
          <w:tcPr>
            <w:tcW w:w="1035" w:type="dxa"/>
            <w:tcBorders>
              <w:top w:val="nil"/>
              <w:left w:val="nil"/>
              <w:bottom w:val="nil"/>
              <w:right w:val="nil"/>
              <w:tl2br w:val="nil"/>
              <w:tr2bl w:val="nil"/>
            </w:tcBorders>
            <w:shd w:val="clear" w:color="FFFFFF" w:fill="FFFFFF"/>
            <w:noWrap/>
            <w:tcMar>
              <w:left w:w="101" w:type="dxa"/>
              <w:right w:w="101" w:type="dxa"/>
            </w:tcMar>
          </w:tcPr>
          <w:p w14:paraId="74076891"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30,631</w:t>
            </w:r>
          </w:p>
        </w:tc>
        <w:tc>
          <w:tcPr>
            <w:tcW w:w="600" w:type="dxa"/>
            <w:tcBorders>
              <w:top w:val="nil"/>
              <w:left w:val="nil"/>
              <w:bottom w:val="nil"/>
              <w:right w:val="nil"/>
              <w:tl2br w:val="nil"/>
              <w:tr2bl w:val="nil"/>
            </w:tcBorders>
            <w:shd w:val="clear" w:color="FFFFFF" w:fill="FFFFFF"/>
            <w:noWrap/>
            <w:tcMar>
              <w:left w:w="101" w:type="dxa"/>
              <w:right w:w="101" w:type="dxa"/>
            </w:tcMar>
          </w:tcPr>
          <w:p w14:paraId="5B4372D8"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45999F29"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35,162</w:t>
            </w:r>
          </w:p>
        </w:tc>
        <w:tc>
          <w:tcPr>
            <w:tcW w:w="1035" w:type="dxa"/>
            <w:tcBorders>
              <w:top w:val="nil"/>
              <w:left w:val="nil"/>
              <w:bottom w:val="nil"/>
              <w:right w:val="nil"/>
              <w:tl2br w:val="nil"/>
              <w:tr2bl w:val="nil"/>
            </w:tcBorders>
            <w:shd w:val="clear" w:color="FFFFFF" w:fill="FFFFFF"/>
            <w:noWrap/>
            <w:tcMar>
              <w:left w:w="101" w:type="dxa"/>
              <w:right w:w="101" w:type="dxa"/>
            </w:tcMar>
          </w:tcPr>
          <w:p w14:paraId="317BC7CE"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39,186</w:t>
            </w:r>
          </w:p>
        </w:tc>
        <w:tc>
          <w:tcPr>
            <w:tcW w:w="1035" w:type="dxa"/>
            <w:tcBorders>
              <w:top w:val="nil"/>
              <w:left w:val="nil"/>
              <w:bottom w:val="nil"/>
              <w:right w:val="nil"/>
              <w:tl2br w:val="nil"/>
              <w:tr2bl w:val="nil"/>
            </w:tcBorders>
            <w:shd w:val="clear" w:color="FFFFFF" w:fill="FFFFFF"/>
            <w:noWrap/>
            <w:tcMar>
              <w:left w:w="101" w:type="dxa"/>
              <w:right w:w="101" w:type="dxa"/>
            </w:tcMar>
          </w:tcPr>
          <w:p w14:paraId="74ACF07E"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38,073</w:t>
            </w:r>
          </w:p>
        </w:tc>
      </w:tr>
      <w:tr w:rsidR="002242F3" w:rsidRPr="005E3B44" w14:paraId="4C7C1E0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60C44DA"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30,457</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1FBA01D1" w14:textId="77777777" w:rsidR="002242F3" w:rsidRPr="005E3B44" w:rsidRDefault="002242F3" w:rsidP="005E3B44">
            <w:pPr>
              <w:pStyle w:val="Normal14"/>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DE45F41"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30,457</w:t>
            </w:r>
          </w:p>
        </w:tc>
        <w:tc>
          <w:tcPr>
            <w:tcW w:w="1035" w:type="dxa"/>
            <w:tcBorders>
              <w:top w:val="nil"/>
              <w:left w:val="nil"/>
              <w:bottom w:val="nil"/>
              <w:right w:val="nil"/>
              <w:tl2br w:val="nil"/>
              <w:tr2bl w:val="nil"/>
            </w:tcBorders>
            <w:shd w:val="clear" w:color="FFFFFF" w:fill="FFFFFF"/>
            <w:noWrap/>
            <w:tcMar>
              <w:left w:w="101" w:type="dxa"/>
              <w:right w:w="101" w:type="dxa"/>
            </w:tcMar>
          </w:tcPr>
          <w:p w14:paraId="7D272085"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600" w:type="dxa"/>
            <w:tcBorders>
              <w:top w:val="nil"/>
              <w:left w:val="nil"/>
              <w:bottom w:val="nil"/>
              <w:right w:val="nil"/>
              <w:tl2br w:val="nil"/>
              <w:tr2bl w:val="nil"/>
            </w:tcBorders>
            <w:shd w:val="clear" w:color="FFFFFF" w:fill="FFFFFF"/>
            <w:noWrap/>
            <w:tcMar>
              <w:left w:w="101" w:type="dxa"/>
              <w:right w:w="101" w:type="dxa"/>
            </w:tcMar>
          </w:tcPr>
          <w:p w14:paraId="61177B56"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CE3772B"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noWrap/>
            <w:tcMar>
              <w:left w:w="101" w:type="dxa"/>
              <w:right w:w="101" w:type="dxa"/>
            </w:tcMar>
          </w:tcPr>
          <w:p w14:paraId="1D5FA02A"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noWrap/>
            <w:tcMar>
              <w:left w:w="101" w:type="dxa"/>
              <w:right w:w="101" w:type="dxa"/>
            </w:tcMar>
          </w:tcPr>
          <w:p w14:paraId="7890222D"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r>
      <w:tr w:rsidR="002242F3" w:rsidRPr="005E3B44" w14:paraId="3D59125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0988174" w14:textId="77777777" w:rsidR="002242F3" w:rsidRPr="005E3B44" w:rsidRDefault="002242F3" w:rsidP="005E3B44">
            <w:pPr>
              <w:pStyle w:val="Normal14"/>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05AB1E9A"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C1BD29" w14:textId="77777777" w:rsidR="002242F3" w:rsidRPr="005E3B44" w:rsidRDefault="002242F3" w:rsidP="005E3B44">
            <w:pPr>
              <w:pStyle w:val="Normal1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827EBF" w14:textId="77777777" w:rsidR="002242F3" w:rsidRPr="005E3B44" w:rsidRDefault="002242F3" w:rsidP="005E3B44">
            <w:pPr>
              <w:pStyle w:val="Normal14"/>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0454FB5"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0FC95E" w14:textId="77777777" w:rsidR="002242F3" w:rsidRPr="005E3B44" w:rsidRDefault="002242F3" w:rsidP="005E3B44">
            <w:pPr>
              <w:pStyle w:val="Normal1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ACE34E" w14:textId="77777777" w:rsidR="002242F3" w:rsidRPr="005E3B44" w:rsidRDefault="002242F3" w:rsidP="005E3B44">
            <w:pPr>
              <w:pStyle w:val="Normal1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98FE1B" w14:textId="77777777" w:rsidR="002242F3" w:rsidRPr="005E3B44" w:rsidRDefault="002242F3" w:rsidP="005E3B44">
            <w:pPr>
              <w:pStyle w:val="Normal14"/>
              <w:jc w:val="right"/>
              <w:rPr>
                <w:rFonts w:asciiTheme="minorHAnsi" w:eastAsia="Calibri" w:hAnsiTheme="minorHAnsi" w:cstheme="minorHAnsi"/>
                <w:b/>
                <w:color w:val="000000"/>
                <w:sz w:val="18"/>
              </w:rPr>
            </w:pPr>
          </w:p>
        </w:tc>
      </w:tr>
      <w:tr w:rsidR="002242F3" w:rsidRPr="005E3B44" w14:paraId="4F013C0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D20BCB1"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77,049</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BF3912B"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A14E14F"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60,178</w:t>
            </w:r>
          </w:p>
        </w:tc>
        <w:tc>
          <w:tcPr>
            <w:tcW w:w="1035" w:type="dxa"/>
            <w:tcBorders>
              <w:top w:val="nil"/>
              <w:left w:val="nil"/>
              <w:bottom w:val="nil"/>
              <w:right w:val="nil"/>
              <w:tl2br w:val="nil"/>
              <w:tr2bl w:val="nil"/>
            </w:tcBorders>
            <w:shd w:val="clear" w:color="FFFFFF" w:fill="FFFFFF"/>
            <w:noWrap/>
            <w:tcMar>
              <w:left w:w="101" w:type="dxa"/>
              <w:right w:w="101" w:type="dxa"/>
            </w:tcMar>
          </w:tcPr>
          <w:p w14:paraId="2E146081"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68,095</w:t>
            </w:r>
          </w:p>
        </w:tc>
        <w:tc>
          <w:tcPr>
            <w:tcW w:w="600" w:type="dxa"/>
            <w:tcBorders>
              <w:top w:val="nil"/>
              <w:left w:val="nil"/>
              <w:bottom w:val="nil"/>
              <w:right w:val="nil"/>
              <w:tl2br w:val="nil"/>
              <w:tr2bl w:val="nil"/>
            </w:tcBorders>
            <w:shd w:val="clear" w:color="FFFFFF" w:fill="FFFFFF"/>
            <w:noWrap/>
            <w:tcMar>
              <w:left w:w="101" w:type="dxa"/>
              <w:right w:w="101" w:type="dxa"/>
            </w:tcMar>
          </w:tcPr>
          <w:p w14:paraId="5EC6EF4E"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13 </w:t>
            </w:r>
          </w:p>
        </w:tc>
        <w:tc>
          <w:tcPr>
            <w:tcW w:w="1035" w:type="dxa"/>
            <w:tcBorders>
              <w:top w:val="nil"/>
              <w:left w:val="nil"/>
              <w:bottom w:val="nil"/>
              <w:right w:val="nil"/>
              <w:tl2br w:val="nil"/>
              <w:tr2bl w:val="nil"/>
            </w:tcBorders>
            <w:shd w:val="clear" w:color="FFFFFF" w:fill="FFFFFF"/>
            <w:noWrap/>
            <w:tcMar>
              <w:left w:w="101" w:type="dxa"/>
              <w:right w:w="101" w:type="dxa"/>
            </w:tcMar>
          </w:tcPr>
          <w:p w14:paraId="10D77741"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72,626</w:t>
            </w:r>
          </w:p>
        </w:tc>
        <w:tc>
          <w:tcPr>
            <w:tcW w:w="1035" w:type="dxa"/>
            <w:tcBorders>
              <w:top w:val="nil"/>
              <w:left w:val="nil"/>
              <w:bottom w:val="nil"/>
              <w:right w:val="nil"/>
              <w:tl2br w:val="nil"/>
              <w:tr2bl w:val="nil"/>
            </w:tcBorders>
            <w:shd w:val="clear" w:color="FFFFFF" w:fill="FFFFFF"/>
            <w:noWrap/>
            <w:tcMar>
              <w:left w:w="101" w:type="dxa"/>
              <w:right w:w="101" w:type="dxa"/>
            </w:tcMar>
          </w:tcPr>
          <w:p w14:paraId="3506AC04"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76,650</w:t>
            </w:r>
          </w:p>
        </w:tc>
        <w:tc>
          <w:tcPr>
            <w:tcW w:w="1035" w:type="dxa"/>
            <w:tcBorders>
              <w:top w:val="nil"/>
              <w:left w:val="nil"/>
              <w:bottom w:val="nil"/>
              <w:right w:val="nil"/>
              <w:tl2br w:val="nil"/>
              <w:tr2bl w:val="nil"/>
            </w:tcBorders>
            <w:shd w:val="clear" w:color="FFFFFF" w:fill="FFFFFF"/>
            <w:noWrap/>
            <w:tcMar>
              <w:left w:w="101" w:type="dxa"/>
              <w:right w:w="101" w:type="dxa"/>
            </w:tcMar>
          </w:tcPr>
          <w:p w14:paraId="5C01E028"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75,537</w:t>
            </w:r>
          </w:p>
        </w:tc>
      </w:tr>
      <w:tr w:rsidR="002242F3" w:rsidRPr="005E3B44" w14:paraId="28C2C68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D693FD8"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C3371B" w14:textId="77777777" w:rsidR="002242F3" w:rsidRPr="005E3B44" w:rsidRDefault="002242F3" w:rsidP="005E3B44">
            <w:pPr>
              <w:pStyle w:val="Normal1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25E78A"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308615"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E948B27"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AB217E"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30E62C" w14:textId="77777777" w:rsidR="002242F3" w:rsidRPr="005E3B44" w:rsidRDefault="002242F3" w:rsidP="005E3B44">
            <w:pPr>
              <w:pStyle w:val="Normal1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FAE226" w14:textId="77777777" w:rsidR="002242F3" w:rsidRPr="005E3B44" w:rsidRDefault="002242F3" w:rsidP="005E3B44">
            <w:pPr>
              <w:pStyle w:val="Normal14"/>
              <w:jc w:val="right"/>
              <w:rPr>
                <w:rFonts w:asciiTheme="minorHAnsi" w:eastAsia="Calibri" w:hAnsiTheme="minorHAnsi" w:cstheme="minorHAnsi"/>
                <w:b/>
                <w:i/>
                <w:color w:val="000000"/>
                <w:sz w:val="18"/>
              </w:rPr>
            </w:pPr>
          </w:p>
        </w:tc>
      </w:tr>
      <w:tr w:rsidR="002242F3" w:rsidRPr="005E3B44" w14:paraId="3C06B8D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34763FD"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4D3C22A"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7ACCBC9E"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6CE0E1"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AFBC55F"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CF98BD"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237296"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EFBBDC"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6079A25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8ED1838"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-3,162</w:t>
            </w:r>
          </w:p>
        </w:tc>
        <w:tc>
          <w:tcPr>
            <w:tcW w:w="2385" w:type="dxa"/>
            <w:tcBorders>
              <w:top w:val="nil"/>
              <w:left w:val="nil"/>
              <w:bottom w:val="nil"/>
              <w:right w:val="nil"/>
              <w:tl2br w:val="nil"/>
              <w:tr2bl w:val="nil"/>
            </w:tcBorders>
            <w:shd w:val="clear" w:color="auto" w:fill="auto"/>
            <w:tcMar>
              <w:left w:w="101" w:type="dxa"/>
              <w:right w:w="101" w:type="dxa"/>
            </w:tcMar>
          </w:tcPr>
          <w:p w14:paraId="6AC70491" w14:textId="77777777" w:rsidR="002242F3" w:rsidRPr="005E3B44" w:rsidRDefault="002242F3" w:rsidP="005E3B44">
            <w:pPr>
              <w:pStyle w:val="Normal14"/>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700721EA"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-2,513</w:t>
            </w:r>
          </w:p>
        </w:tc>
        <w:tc>
          <w:tcPr>
            <w:tcW w:w="1035" w:type="dxa"/>
            <w:tcBorders>
              <w:top w:val="nil"/>
              <w:left w:val="nil"/>
              <w:bottom w:val="nil"/>
              <w:right w:val="nil"/>
              <w:tl2br w:val="nil"/>
              <w:tr2bl w:val="nil"/>
            </w:tcBorders>
            <w:shd w:val="clear" w:color="FFFFFF" w:fill="FFFFFF"/>
            <w:noWrap/>
            <w:tcMar>
              <w:left w:w="101" w:type="dxa"/>
              <w:right w:w="101" w:type="dxa"/>
            </w:tcMar>
          </w:tcPr>
          <w:p w14:paraId="5CACF5EF"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-3,565</w:t>
            </w:r>
          </w:p>
        </w:tc>
        <w:tc>
          <w:tcPr>
            <w:tcW w:w="600" w:type="dxa"/>
            <w:tcBorders>
              <w:top w:val="nil"/>
              <w:left w:val="nil"/>
              <w:bottom w:val="nil"/>
              <w:right w:val="nil"/>
              <w:tl2br w:val="nil"/>
              <w:tr2bl w:val="nil"/>
            </w:tcBorders>
            <w:shd w:val="clear" w:color="FFFFFF" w:fill="FFFFFF"/>
            <w:noWrap/>
            <w:tcMar>
              <w:left w:w="101" w:type="dxa"/>
              <w:right w:w="101" w:type="dxa"/>
            </w:tcMar>
          </w:tcPr>
          <w:p w14:paraId="7263A943"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-42 </w:t>
            </w:r>
          </w:p>
        </w:tc>
        <w:tc>
          <w:tcPr>
            <w:tcW w:w="1035" w:type="dxa"/>
            <w:tcBorders>
              <w:top w:val="nil"/>
              <w:left w:val="nil"/>
              <w:bottom w:val="nil"/>
              <w:right w:val="nil"/>
              <w:tl2br w:val="nil"/>
              <w:tr2bl w:val="nil"/>
            </w:tcBorders>
            <w:shd w:val="clear" w:color="FFFFFF" w:fill="FFFFFF"/>
            <w:noWrap/>
            <w:tcMar>
              <w:left w:w="101" w:type="dxa"/>
              <w:right w:w="101" w:type="dxa"/>
            </w:tcMar>
          </w:tcPr>
          <w:p w14:paraId="74616E91"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-3,999</w:t>
            </w:r>
          </w:p>
        </w:tc>
        <w:tc>
          <w:tcPr>
            <w:tcW w:w="1035" w:type="dxa"/>
            <w:tcBorders>
              <w:top w:val="nil"/>
              <w:left w:val="nil"/>
              <w:bottom w:val="nil"/>
              <w:right w:val="nil"/>
              <w:tl2br w:val="nil"/>
              <w:tr2bl w:val="nil"/>
            </w:tcBorders>
            <w:shd w:val="clear" w:color="FFFFFF" w:fill="FFFFFF"/>
            <w:noWrap/>
            <w:tcMar>
              <w:left w:w="101" w:type="dxa"/>
              <w:right w:w="101" w:type="dxa"/>
            </w:tcMar>
          </w:tcPr>
          <w:p w14:paraId="58DB9AFF"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-3,562</w:t>
            </w:r>
          </w:p>
        </w:tc>
        <w:tc>
          <w:tcPr>
            <w:tcW w:w="1035" w:type="dxa"/>
            <w:tcBorders>
              <w:top w:val="nil"/>
              <w:left w:val="nil"/>
              <w:bottom w:val="nil"/>
              <w:right w:val="nil"/>
              <w:tl2br w:val="nil"/>
              <w:tr2bl w:val="nil"/>
            </w:tcBorders>
            <w:shd w:val="clear" w:color="FFFFFF" w:fill="FFFFFF"/>
            <w:noWrap/>
            <w:tcMar>
              <w:left w:w="101" w:type="dxa"/>
              <w:right w:w="101" w:type="dxa"/>
            </w:tcMar>
          </w:tcPr>
          <w:p w14:paraId="7BD61F3F"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-3,705</w:t>
            </w:r>
          </w:p>
        </w:tc>
      </w:tr>
      <w:tr w:rsidR="002242F3" w:rsidRPr="005E3B44" w14:paraId="7B457AC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55566D4"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2856A597" w14:textId="77777777" w:rsidR="002242F3" w:rsidRPr="005E3B44" w:rsidRDefault="002242F3" w:rsidP="005E3B44">
            <w:pPr>
              <w:pStyle w:val="Normal14"/>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F1B4BC7"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7,007</w:t>
            </w:r>
          </w:p>
        </w:tc>
        <w:tc>
          <w:tcPr>
            <w:tcW w:w="1035" w:type="dxa"/>
            <w:tcBorders>
              <w:top w:val="nil"/>
              <w:left w:val="nil"/>
              <w:bottom w:val="nil"/>
              <w:right w:val="nil"/>
              <w:tl2br w:val="nil"/>
              <w:tr2bl w:val="nil"/>
            </w:tcBorders>
            <w:shd w:val="clear" w:color="FFFFFF" w:fill="FFFFFF"/>
            <w:noWrap/>
            <w:tcMar>
              <w:left w:w="101" w:type="dxa"/>
              <w:right w:w="101" w:type="dxa"/>
            </w:tcMar>
          </w:tcPr>
          <w:p w14:paraId="7536D46D"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auto" w:fill="auto"/>
            <w:noWrap/>
            <w:tcMar>
              <w:left w:w="101" w:type="dxa"/>
              <w:right w:w="101" w:type="dxa"/>
            </w:tcMar>
          </w:tcPr>
          <w:p w14:paraId="53805035"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7C91EFC5"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5A855B3"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5EC74B1"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3ACE0FC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383DAEB"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4722CE1" w14:textId="77777777" w:rsidR="002242F3" w:rsidRPr="005E3B44" w:rsidRDefault="002242F3" w:rsidP="005E3B44">
            <w:pPr>
              <w:pStyle w:val="Normal1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30A6D5"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7CECDA"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7975F3B"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2D33D2"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29F3E0"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7DCA7D"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7DBCE9E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E3F19C9"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-3,162</w:t>
            </w:r>
          </w:p>
        </w:tc>
        <w:tc>
          <w:tcPr>
            <w:tcW w:w="2385" w:type="dxa"/>
            <w:tcBorders>
              <w:top w:val="nil"/>
              <w:left w:val="nil"/>
              <w:bottom w:val="nil"/>
              <w:right w:val="nil"/>
              <w:tl2br w:val="nil"/>
              <w:tr2bl w:val="nil"/>
            </w:tcBorders>
            <w:shd w:val="clear" w:color="FFFFFF" w:fill="FFFFFF"/>
            <w:tcMar>
              <w:left w:w="101" w:type="dxa"/>
              <w:right w:w="101" w:type="dxa"/>
            </w:tcMar>
          </w:tcPr>
          <w:p w14:paraId="25CCF01D"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422455F0"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4,494</w:t>
            </w:r>
          </w:p>
        </w:tc>
        <w:tc>
          <w:tcPr>
            <w:tcW w:w="1035" w:type="dxa"/>
            <w:tcBorders>
              <w:top w:val="nil"/>
              <w:left w:val="nil"/>
              <w:bottom w:val="nil"/>
              <w:right w:val="nil"/>
              <w:tl2br w:val="nil"/>
              <w:tr2bl w:val="nil"/>
            </w:tcBorders>
            <w:shd w:val="clear" w:color="FFFFFF" w:fill="FFFFFF"/>
            <w:noWrap/>
            <w:tcMar>
              <w:left w:w="101" w:type="dxa"/>
              <w:right w:w="101" w:type="dxa"/>
            </w:tcMar>
          </w:tcPr>
          <w:p w14:paraId="0701A405"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-3,565</w:t>
            </w:r>
          </w:p>
        </w:tc>
        <w:tc>
          <w:tcPr>
            <w:tcW w:w="600" w:type="dxa"/>
            <w:tcBorders>
              <w:top w:val="nil"/>
              <w:left w:val="nil"/>
              <w:bottom w:val="nil"/>
              <w:right w:val="nil"/>
              <w:tl2br w:val="nil"/>
              <w:tr2bl w:val="nil"/>
            </w:tcBorders>
            <w:shd w:val="clear" w:color="FFFFFF" w:fill="FFFFFF"/>
            <w:noWrap/>
            <w:tcMar>
              <w:left w:w="101" w:type="dxa"/>
              <w:right w:w="101" w:type="dxa"/>
            </w:tcMar>
          </w:tcPr>
          <w:p w14:paraId="64FE0066"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-179 </w:t>
            </w:r>
          </w:p>
        </w:tc>
        <w:tc>
          <w:tcPr>
            <w:tcW w:w="1035" w:type="dxa"/>
            <w:tcBorders>
              <w:top w:val="nil"/>
              <w:left w:val="nil"/>
              <w:bottom w:val="nil"/>
              <w:right w:val="nil"/>
              <w:tl2br w:val="nil"/>
              <w:tr2bl w:val="nil"/>
            </w:tcBorders>
            <w:shd w:val="clear" w:color="FFFFFF" w:fill="FFFFFF"/>
            <w:noWrap/>
            <w:tcMar>
              <w:left w:w="101" w:type="dxa"/>
              <w:right w:w="101" w:type="dxa"/>
            </w:tcMar>
          </w:tcPr>
          <w:p w14:paraId="7F6225D0"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-3,999</w:t>
            </w:r>
          </w:p>
        </w:tc>
        <w:tc>
          <w:tcPr>
            <w:tcW w:w="1035" w:type="dxa"/>
            <w:tcBorders>
              <w:top w:val="nil"/>
              <w:left w:val="nil"/>
              <w:bottom w:val="nil"/>
              <w:right w:val="nil"/>
              <w:tl2br w:val="nil"/>
              <w:tr2bl w:val="nil"/>
            </w:tcBorders>
            <w:shd w:val="clear" w:color="FFFFFF" w:fill="FFFFFF"/>
            <w:noWrap/>
            <w:tcMar>
              <w:left w:w="101" w:type="dxa"/>
              <w:right w:w="101" w:type="dxa"/>
            </w:tcMar>
          </w:tcPr>
          <w:p w14:paraId="735197D1"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-3,562</w:t>
            </w:r>
          </w:p>
        </w:tc>
        <w:tc>
          <w:tcPr>
            <w:tcW w:w="1035" w:type="dxa"/>
            <w:tcBorders>
              <w:top w:val="nil"/>
              <w:left w:val="nil"/>
              <w:bottom w:val="nil"/>
              <w:right w:val="nil"/>
              <w:tl2br w:val="nil"/>
              <w:tr2bl w:val="nil"/>
            </w:tcBorders>
            <w:shd w:val="clear" w:color="FFFFFF" w:fill="FFFFFF"/>
            <w:noWrap/>
            <w:tcMar>
              <w:left w:w="101" w:type="dxa"/>
              <w:right w:w="101" w:type="dxa"/>
            </w:tcMar>
          </w:tcPr>
          <w:p w14:paraId="1C3A257D"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-3,705</w:t>
            </w:r>
          </w:p>
        </w:tc>
      </w:tr>
      <w:tr w:rsidR="002242F3" w:rsidRPr="005E3B44" w14:paraId="1154763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36707CE"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2A35A74" w14:textId="77777777" w:rsidR="002242F3" w:rsidRPr="005E3B44" w:rsidRDefault="002242F3" w:rsidP="005E3B44">
            <w:pPr>
              <w:pStyle w:val="Normal1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D1EE34"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AC2777"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72F39F"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F8EA1D"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3A1BBA"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466318"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6FDFD39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0482EC3"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C36E8AD"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88F5D1"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4AF28B"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C47B15D" w14:textId="77777777" w:rsidR="002242F3" w:rsidRPr="005E3B44" w:rsidRDefault="002242F3" w:rsidP="005E3B44">
            <w:pPr>
              <w:pStyle w:val="Normal1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6C0D56"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4859D6"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AB260E"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28D90AA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78C4D590" w14:textId="77777777" w:rsidR="002242F3" w:rsidRPr="005E3B44" w:rsidRDefault="002242F3" w:rsidP="005E3B44">
            <w:pPr>
              <w:pStyle w:val="Normal14"/>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vAlign w:val="bottom"/>
          </w:tcPr>
          <w:p w14:paraId="3241FECF"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Transactions Involving Owners Affecting Accumulated Funds</w:t>
            </w:r>
          </w:p>
        </w:tc>
      </w:tr>
      <w:tr w:rsidR="002242F3" w:rsidRPr="005E3B44" w14:paraId="58D8333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97AEFD4"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6,938</w:t>
            </w:r>
          </w:p>
        </w:tc>
        <w:tc>
          <w:tcPr>
            <w:tcW w:w="2385" w:type="dxa"/>
            <w:tcBorders>
              <w:top w:val="nil"/>
              <w:left w:val="nil"/>
              <w:bottom w:val="nil"/>
              <w:right w:val="nil"/>
              <w:tl2br w:val="nil"/>
              <w:tr2bl w:val="nil"/>
            </w:tcBorders>
            <w:shd w:val="clear" w:color="FFFFFF" w:fill="FFFFFF"/>
            <w:tcMar>
              <w:left w:w="101" w:type="dxa"/>
              <w:right w:w="101" w:type="dxa"/>
            </w:tcMar>
          </w:tcPr>
          <w:p w14:paraId="6C4F6A36" w14:textId="77777777" w:rsidR="002242F3" w:rsidRPr="005E3B44" w:rsidRDefault="002242F3" w:rsidP="005E3B44">
            <w:pPr>
              <w:pStyle w:val="Normal14"/>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3DAA7D6C"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3,423</w:t>
            </w:r>
          </w:p>
        </w:tc>
        <w:tc>
          <w:tcPr>
            <w:tcW w:w="1035" w:type="dxa"/>
            <w:tcBorders>
              <w:top w:val="nil"/>
              <w:left w:val="nil"/>
              <w:bottom w:val="nil"/>
              <w:right w:val="nil"/>
              <w:tl2br w:val="nil"/>
              <w:tr2bl w:val="nil"/>
            </w:tcBorders>
            <w:shd w:val="clear" w:color="FFFFFF" w:fill="FFFFFF"/>
            <w:noWrap/>
            <w:tcMar>
              <w:left w:w="101" w:type="dxa"/>
              <w:right w:w="101" w:type="dxa"/>
            </w:tcMar>
          </w:tcPr>
          <w:p w14:paraId="509A6FFA"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8,096</w:t>
            </w:r>
          </w:p>
        </w:tc>
        <w:tc>
          <w:tcPr>
            <w:tcW w:w="600" w:type="dxa"/>
            <w:tcBorders>
              <w:top w:val="nil"/>
              <w:left w:val="nil"/>
              <w:bottom w:val="nil"/>
              <w:right w:val="nil"/>
              <w:tl2br w:val="nil"/>
              <w:tr2bl w:val="nil"/>
            </w:tcBorders>
            <w:shd w:val="clear" w:color="FFFFFF" w:fill="FFFFFF"/>
            <w:noWrap/>
            <w:tcMar>
              <w:left w:w="101" w:type="dxa"/>
              <w:right w:w="101" w:type="dxa"/>
            </w:tcMar>
          </w:tcPr>
          <w:p w14:paraId="4FC69832"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137 </w:t>
            </w:r>
          </w:p>
        </w:tc>
        <w:tc>
          <w:tcPr>
            <w:tcW w:w="1035" w:type="dxa"/>
            <w:tcBorders>
              <w:top w:val="nil"/>
              <w:left w:val="nil"/>
              <w:bottom w:val="nil"/>
              <w:right w:val="nil"/>
              <w:tl2br w:val="nil"/>
              <w:tr2bl w:val="nil"/>
            </w:tcBorders>
            <w:shd w:val="clear" w:color="FFFFFF" w:fill="FFFFFF"/>
            <w:noWrap/>
            <w:tcMar>
              <w:left w:w="101" w:type="dxa"/>
              <w:right w:w="101" w:type="dxa"/>
            </w:tcMar>
          </w:tcPr>
          <w:p w14:paraId="10C98FDB"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8,023</w:t>
            </w:r>
          </w:p>
        </w:tc>
        <w:tc>
          <w:tcPr>
            <w:tcW w:w="1035" w:type="dxa"/>
            <w:tcBorders>
              <w:top w:val="nil"/>
              <w:left w:val="nil"/>
              <w:bottom w:val="nil"/>
              <w:right w:val="nil"/>
              <w:tl2br w:val="nil"/>
              <w:tr2bl w:val="nil"/>
            </w:tcBorders>
            <w:shd w:val="clear" w:color="FFFFFF" w:fill="FFFFFF"/>
            <w:noWrap/>
            <w:tcMar>
              <w:left w:w="101" w:type="dxa"/>
              <w:right w:w="101" w:type="dxa"/>
            </w:tcMar>
          </w:tcPr>
          <w:p w14:paraId="1FA0884C"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2,449</w:t>
            </w:r>
          </w:p>
        </w:tc>
        <w:tc>
          <w:tcPr>
            <w:tcW w:w="1035" w:type="dxa"/>
            <w:tcBorders>
              <w:top w:val="nil"/>
              <w:left w:val="nil"/>
              <w:bottom w:val="nil"/>
              <w:right w:val="nil"/>
              <w:tl2br w:val="nil"/>
              <w:tr2bl w:val="nil"/>
            </w:tcBorders>
            <w:shd w:val="clear" w:color="FFFFFF" w:fill="FFFFFF"/>
            <w:noWrap/>
            <w:tcMar>
              <w:left w:w="101" w:type="dxa"/>
              <w:right w:w="101" w:type="dxa"/>
            </w:tcMar>
          </w:tcPr>
          <w:p w14:paraId="6C9986E0"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337</w:t>
            </w:r>
          </w:p>
        </w:tc>
      </w:tr>
      <w:tr w:rsidR="002242F3" w:rsidRPr="005E3B44" w14:paraId="14B66E3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93197EC"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E9E3BDB"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6B3BF8"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E852DE"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6BFC3D8" w14:textId="77777777" w:rsidR="002242F3" w:rsidRPr="005E3B44" w:rsidRDefault="002242F3" w:rsidP="005E3B44">
            <w:pPr>
              <w:pStyle w:val="Normal1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C93453"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E91B90"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D31AC2"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4FD262F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35AE96AF"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6,938</w:t>
            </w:r>
          </w:p>
        </w:tc>
        <w:tc>
          <w:tcPr>
            <w:tcW w:w="2385" w:type="dxa"/>
            <w:tcBorders>
              <w:top w:val="nil"/>
              <w:left w:val="nil"/>
              <w:bottom w:val="nil"/>
              <w:right w:val="nil"/>
              <w:tl2br w:val="nil"/>
              <w:tr2bl w:val="nil"/>
            </w:tcBorders>
            <w:shd w:val="clear" w:color="auto" w:fill="auto"/>
            <w:tcMar>
              <w:left w:w="101" w:type="dxa"/>
              <w:right w:w="101" w:type="dxa"/>
            </w:tcMar>
          </w:tcPr>
          <w:p w14:paraId="05D79098"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39D2C29A"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3,423</w:t>
            </w:r>
          </w:p>
        </w:tc>
        <w:tc>
          <w:tcPr>
            <w:tcW w:w="1035" w:type="dxa"/>
            <w:tcBorders>
              <w:top w:val="nil"/>
              <w:left w:val="nil"/>
              <w:bottom w:val="nil"/>
              <w:right w:val="nil"/>
              <w:tl2br w:val="nil"/>
              <w:tr2bl w:val="nil"/>
            </w:tcBorders>
            <w:shd w:val="clear" w:color="FFFFFF" w:fill="FFFFFF"/>
            <w:noWrap/>
            <w:tcMar>
              <w:left w:w="101" w:type="dxa"/>
              <w:right w:w="101" w:type="dxa"/>
            </w:tcMar>
          </w:tcPr>
          <w:p w14:paraId="65806E4D"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8,096</w:t>
            </w:r>
          </w:p>
        </w:tc>
        <w:tc>
          <w:tcPr>
            <w:tcW w:w="600" w:type="dxa"/>
            <w:tcBorders>
              <w:top w:val="nil"/>
              <w:left w:val="nil"/>
              <w:bottom w:val="nil"/>
              <w:right w:val="nil"/>
              <w:tl2br w:val="nil"/>
              <w:tr2bl w:val="nil"/>
            </w:tcBorders>
            <w:shd w:val="clear" w:color="FFFFFF" w:fill="FFFFFF"/>
            <w:noWrap/>
            <w:tcMar>
              <w:left w:w="101" w:type="dxa"/>
              <w:right w:w="101" w:type="dxa"/>
            </w:tcMar>
          </w:tcPr>
          <w:p w14:paraId="0B147072"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137 </w:t>
            </w:r>
          </w:p>
        </w:tc>
        <w:tc>
          <w:tcPr>
            <w:tcW w:w="1035" w:type="dxa"/>
            <w:tcBorders>
              <w:top w:val="nil"/>
              <w:left w:val="nil"/>
              <w:bottom w:val="nil"/>
              <w:right w:val="nil"/>
              <w:tl2br w:val="nil"/>
              <w:tr2bl w:val="nil"/>
            </w:tcBorders>
            <w:shd w:val="clear" w:color="FFFFFF" w:fill="FFFFFF"/>
            <w:noWrap/>
            <w:tcMar>
              <w:left w:w="101" w:type="dxa"/>
              <w:right w:w="101" w:type="dxa"/>
            </w:tcMar>
          </w:tcPr>
          <w:p w14:paraId="2A2A6B2E"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8,023</w:t>
            </w:r>
          </w:p>
        </w:tc>
        <w:tc>
          <w:tcPr>
            <w:tcW w:w="1035" w:type="dxa"/>
            <w:tcBorders>
              <w:top w:val="nil"/>
              <w:left w:val="nil"/>
              <w:bottom w:val="nil"/>
              <w:right w:val="nil"/>
              <w:tl2br w:val="nil"/>
              <w:tr2bl w:val="nil"/>
            </w:tcBorders>
            <w:shd w:val="clear" w:color="FFFFFF" w:fill="FFFFFF"/>
            <w:noWrap/>
            <w:tcMar>
              <w:left w:w="101" w:type="dxa"/>
              <w:right w:w="101" w:type="dxa"/>
            </w:tcMar>
          </w:tcPr>
          <w:p w14:paraId="385E8C2B"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2,449</w:t>
            </w:r>
          </w:p>
        </w:tc>
        <w:tc>
          <w:tcPr>
            <w:tcW w:w="1035" w:type="dxa"/>
            <w:tcBorders>
              <w:top w:val="nil"/>
              <w:left w:val="nil"/>
              <w:bottom w:val="nil"/>
              <w:right w:val="nil"/>
              <w:tl2br w:val="nil"/>
              <w:tr2bl w:val="nil"/>
            </w:tcBorders>
            <w:shd w:val="clear" w:color="FFFFFF" w:fill="FFFFFF"/>
            <w:noWrap/>
            <w:tcMar>
              <w:left w:w="101" w:type="dxa"/>
              <w:right w:w="101" w:type="dxa"/>
            </w:tcMar>
          </w:tcPr>
          <w:p w14:paraId="1E3419E7"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337</w:t>
            </w:r>
          </w:p>
        </w:tc>
      </w:tr>
      <w:tr w:rsidR="002242F3" w:rsidRPr="005E3B44" w14:paraId="53F93A3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52AC850"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5537C34"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D0BA3F"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85D72F"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19CE6D1" w14:textId="77777777" w:rsidR="002242F3" w:rsidRPr="005E3B44" w:rsidRDefault="002242F3" w:rsidP="005E3B44">
            <w:pPr>
              <w:pStyle w:val="Normal1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4F9100"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7AAC3B"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2E22C9"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5308A1B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B3ADE25"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3C68F195"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2108A730"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02AFE8"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6233E75" w14:textId="77777777" w:rsidR="002242F3" w:rsidRPr="005E3B44" w:rsidRDefault="002242F3" w:rsidP="005E3B44">
            <w:pPr>
              <w:pStyle w:val="Normal1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1FECEA"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0D0A1C0"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DA2D4C"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3199131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D2FB80E"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50,372</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7AB49FC3" w14:textId="77777777" w:rsidR="002242F3" w:rsidRPr="005E3B44" w:rsidRDefault="002242F3" w:rsidP="005E3B44">
            <w:pPr>
              <w:pStyle w:val="Normal14"/>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620242"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30,631</w:t>
            </w:r>
          </w:p>
        </w:tc>
        <w:tc>
          <w:tcPr>
            <w:tcW w:w="1035" w:type="dxa"/>
            <w:tcBorders>
              <w:top w:val="nil"/>
              <w:left w:val="nil"/>
              <w:bottom w:val="nil"/>
              <w:right w:val="nil"/>
              <w:tl2br w:val="nil"/>
              <w:tr2bl w:val="nil"/>
            </w:tcBorders>
            <w:shd w:val="clear" w:color="FFFFFF" w:fill="FFFFFF"/>
            <w:noWrap/>
            <w:tcMar>
              <w:left w:w="101" w:type="dxa"/>
              <w:right w:w="101" w:type="dxa"/>
            </w:tcMar>
          </w:tcPr>
          <w:p w14:paraId="10FD9916"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35,162</w:t>
            </w:r>
          </w:p>
        </w:tc>
        <w:tc>
          <w:tcPr>
            <w:tcW w:w="600" w:type="dxa"/>
            <w:tcBorders>
              <w:top w:val="nil"/>
              <w:left w:val="nil"/>
              <w:bottom w:val="nil"/>
              <w:right w:val="nil"/>
              <w:tl2br w:val="nil"/>
              <w:tr2bl w:val="nil"/>
            </w:tcBorders>
            <w:shd w:val="clear" w:color="FFFFFF" w:fill="FFFFFF"/>
            <w:noWrap/>
            <w:tcMar>
              <w:left w:w="101" w:type="dxa"/>
              <w:right w:w="101" w:type="dxa"/>
            </w:tcMar>
          </w:tcPr>
          <w:p w14:paraId="6BE6A540"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15 </w:t>
            </w:r>
          </w:p>
        </w:tc>
        <w:tc>
          <w:tcPr>
            <w:tcW w:w="1035" w:type="dxa"/>
            <w:tcBorders>
              <w:top w:val="nil"/>
              <w:left w:val="nil"/>
              <w:bottom w:val="nil"/>
              <w:right w:val="nil"/>
              <w:tl2br w:val="nil"/>
              <w:tr2bl w:val="nil"/>
            </w:tcBorders>
            <w:shd w:val="clear" w:color="FFFFFF" w:fill="FFFFFF"/>
            <w:noWrap/>
            <w:tcMar>
              <w:left w:w="101" w:type="dxa"/>
              <w:right w:w="101" w:type="dxa"/>
            </w:tcMar>
          </w:tcPr>
          <w:p w14:paraId="0A5E744D"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39,186</w:t>
            </w:r>
          </w:p>
        </w:tc>
        <w:tc>
          <w:tcPr>
            <w:tcW w:w="1035" w:type="dxa"/>
            <w:tcBorders>
              <w:top w:val="nil"/>
              <w:left w:val="nil"/>
              <w:bottom w:val="nil"/>
              <w:right w:val="nil"/>
              <w:tl2br w:val="nil"/>
              <w:tr2bl w:val="nil"/>
            </w:tcBorders>
            <w:shd w:val="clear" w:color="FFFFFF" w:fill="FFFFFF"/>
            <w:noWrap/>
            <w:tcMar>
              <w:left w:w="101" w:type="dxa"/>
              <w:right w:w="101" w:type="dxa"/>
            </w:tcMar>
          </w:tcPr>
          <w:p w14:paraId="64A05EC0"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38,073</w:t>
            </w:r>
          </w:p>
        </w:tc>
        <w:tc>
          <w:tcPr>
            <w:tcW w:w="1035" w:type="dxa"/>
            <w:tcBorders>
              <w:top w:val="nil"/>
              <w:left w:val="nil"/>
              <w:bottom w:val="nil"/>
              <w:right w:val="nil"/>
              <w:tl2br w:val="nil"/>
              <w:tr2bl w:val="nil"/>
            </w:tcBorders>
            <w:shd w:val="clear" w:color="FFFFFF" w:fill="FFFFFF"/>
            <w:noWrap/>
            <w:tcMar>
              <w:left w:w="101" w:type="dxa"/>
              <w:right w:w="101" w:type="dxa"/>
            </w:tcMar>
          </w:tcPr>
          <w:p w14:paraId="775FCF1A"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34,705</w:t>
            </w:r>
          </w:p>
        </w:tc>
      </w:tr>
      <w:tr w:rsidR="002242F3" w:rsidRPr="005E3B44" w14:paraId="1639671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87EB39F"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30,456</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FBDB92D" w14:textId="77777777" w:rsidR="002242F3" w:rsidRPr="005E3B44" w:rsidRDefault="002242F3" w:rsidP="005E3B44">
            <w:pPr>
              <w:pStyle w:val="Normal14"/>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7C75A1BA"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noWrap/>
            <w:tcMar>
              <w:left w:w="101" w:type="dxa"/>
              <w:right w:w="101" w:type="dxa"/>
            </w:tcMar>
          </w:tcPr>
          <w:p w14:paraId="47CA471E"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600" w:type="dxa"/>
            <w:tcBorders>
              <w:top w:val="nil"/>
              <w:left w:val="nil"/>
              <w:bottom w:val="nil"/>
              <w:right w:val="nil"/>
              <w:tl2br w:val="nil"/>
              <w:tr2bl w:val="nil"/>
            </w:tcBorders>
            <w:shd w:val="clear" w:color="FFFFFF" w:fill="FFFFFF"/>
            <w:noWrap/>
            <w:tcMar>
              <w:left w:w="101" w:type="dxa"/>
              <w:right w:w="101" w:type="dxa"/>
            </w:tcMar>
          </w:tcPr>
          <w:p w14:paraId="36172F21"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277C7AD"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noWrap/>
            <w:tcMar>
              <w:left w:w="101" w:type="dxa"/>
              <w:right w:w="101" w:type="dxa"/>
            </w:tcMar>
          </w:tcPr>
          <w:p w14:paraId="383404A6"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c>
          <w:tcPr>
            <w:tcW w:w="1035" w:type="dxa"/>
            <w:tcBorders>
              <w:top w:val="nil"/>
              <w:left w:val="nil"/>
              <w:bottom w:val="nil"/>
              <w:right w:val="nil"/>
              <w:tl2br w:val="nil"/>
              <w:tr2bl w:val="nil"/>
            </w:tcBorders>
            <w:shd w:val="clear" w:color="FFFFFF" w:fill="FFFFFF"/>
            <w:noWrap/>
            <w:tcMar>
              <w:left w:w="101" w:type="dxa"/>
              <w:right w:w="101" w:type="dxa"/>
            </w:tcMar>
          </w:tcPr>
          <w:p w14:paraId="3EA3351D" w14:textId="77777777" w:rsidR="002242F3" w:rsidRPr="005E3B44" w:rsidRDefault="002242F3" w:rsidP="005E3B44">
            <w:pPr>
              <w:pStyle w:val="Normal14"/>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37,464</w:t>
            </w:r>
          </w:p>
        </w:tc>
      </w:tr>
      <w:tr w:rsidR="002242F3" w:rsidRPr="005E3B44" w14:paraId="7BDFF2D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33490C2"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2A22D2F"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AC1B39"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9D278F"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B037F3B" w14:textId="77777777" w:rsidR="002242F3" w:rsidRPr="005E3B44" w:rsidRDefault="002242F3" w:rsidP="005E3B44">
            <w:pPr>
              <w:pStyle w:val="Normal1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34AB97"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A77954"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E64B34" w14:textId="77777777" w:rsidR="002242F3" w:rsidRPr="005E3B44" w:rsidRDefault="002242F3" w:rsidP="005E3B44">
            <w:pPr>
              <w:pStyle w:val="Normal14"/>
              <w:rPr>
                <w:rFonts w:asciiTheme="minorHAnsi" w:eastAsia="Calibri" w:hAnsiTheme="minorHAnsi" w:cstheme="minorHAnsi"/>
                <w:color w:val="000000"/>
                <w:sz w:val="18"/>
              </w:rPr>
            </w:pPr>
          </w:p>
        </w:tc>
      </w:tr>
      <w:tr w:rsidR="002242F3" w:rsidRPr="005E3B44" w14:paraId="00CC79B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974F48E"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80,828</w:t>
            </w:r>
          </w:p>
        </w:tc>
        <w:tc>
          <w:tcPr>
            <w:tcW w:w="2385" w:type="dxa"/>
            <w:tcBorders>
              <w:top w:val="nil"/>
              <w:left w:val="nil"/>
              <w:bottom w:val="nil"/>
              <w:right w:val="nil"/>
              <w:tl2br w:val="nil"/>
              <w:tr2bl w:val="nil"/>
            </w:tcBorders>
            <w:shd w:val="clear" w:color="FFFFFF" w:fill="FFFFFF"/>
            <w:tcMar>
              <w:left w:w="101" w:type="dxa"/>
              <w:right w:w="101" w:type="dxa"/>
            </w:tcMar>
          </w:tcPr>
          <w:p w14:paraId="76D6D78E" w14:textId="77777777" w:rsidR="002242F3" w:rsidRPr="005E3B44" w:rsidRDefault="002242F3" w:rsidP="005E3B44">
            <w:pPr>
              <w:pStyle w:val="Normal14"/>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B1858F9"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68,095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601A21FF"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72,626</w:t>
            </w:r>
          </w:p>
        </w:tc>
        <w:tc>
          <w:tcPr>
            <w:tcW w:w="600" w:type="dxa"/>
            <w:tcBorders>
              <w:top w:val="nil"/>
              <w:left w:val="nil"/>
              <w:bottom w:val="nil"/>
              <w:right w:val="nil"/>
              <w:tl2br w:val="nil"/>
              <w:tr2bl w:val="nil"/>
            </w:tcBorders>
            <w:shd w:val="clear" w:color="FFFFFF" w:fill="FFFFFF"/>
            <w:noWrap/>
            <w:tcMar>
              <w:left w:w="101" w:type="dxa"/>
              <w:right w:w="101" w:type="dxa"/>
            </w:tcMar>
          </w:tcPr>
          <w:p w14:paraId="65970FCC"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6F45EEFB"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76,650</w:t>
            </w:r>
          </w:p>
        </w:tc>
        <w:tc>
          <w:tcPr>
            <w:tcW w:w="1035" w:type="dxa"/>
            <w:tcBorders>
              <w:top w:val="nil"/>
              <w:left w:val="nil"/>
              <w:bottom w:val="nil"/>
              <w:right w:val="nil"/>
              <w:tl2br w:val="nil"/>
              <w:tr2bl w:val="nil"/>
            </w:tcBorders>
            <w:shd w:val="clear" w:color="FFFFFF" w:fill="FFFFFF"/>
            <w:noWrap/>
            <w:tcMar>
              <w:left w:w="101" w:type="dxa"/>
              <w:right w:w="101" w:type="dxa"/>
            </w:tcMar>
          </w:tcPr>
          <w:p w14:paraId="68EE0645"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75,537</w:t>
            </w:r>
          </w:p>
        </w:tc>
        <w:tc>
          <w:tcPr>
            <w:tcW w:w="1035" w:type="dxa"/>
            <w:tcBorders>
              <w:top w:val="nil"/>
              <w:left w:val="nil"/>
              <w:bottom w:val="nil"/>
              <w:right w:val="nil"/>
              <w:tl2br w:val="nil"/>
              <w:tr2bl w:val="nil"/>
            </w:tcBorders>
            <w:shd w:val="clear" w:color="FFFFFF" w:fill="FFFFFF"/>
            <w:noWrap/>
            <w:tcMar>
              <w:left w:w="101" w:type="dxa"/>
              <w:right w:w="101" w:type="dxa"/>
            </w:tcMar>
          </w:tcPr>
          <w:p w14:paraId="0E738546" w14:textId="77777777" w:rsidR="002242F3" w:rsidRPr="005E3B44" w:rsidRDefault="002242F3" w:rsidP="005E3B44">
            <w:pPr>
              <w:pStyle w:val="Normal14"/>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72,169</w:t>
            </w:r>
          </w:p>
        </w:tc>
      </w:tr>
      <w:tr w:rsidR="002242F3" w:rsidRPr="005E3B44" w14:paraId="74E44AC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F67210D" w14:textId="77777777" w:rsidR="002242F3" w:rsidRPr="005E3B44" w:rsidRDefault="002242F3" w:rsidP="005E3B44">
            <w:pPr>
              <w:pStyle w:val="Normal14"/>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26BBDF2"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A62EA7F"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FCACE19" w14:textId="77777777" w:rsidR="002242F3" w:rsidRPr="005E3B44" w:rsidRDefault="002242F3" w:rsidP="005E3B44">
            <w:pPr>
              <w:pStyle w:val="Normal14"/>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2516542"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7A65617"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3418447" w14:textId="77777777" w:rsidR="002242F3" w:rsidRPr="005E3B44" w:rsidRDefault="002242F3" w:rsidP="005E3B44">
            <w:pPr>
              <w:pStyle w:val="Normal14"/>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37C5C0E" w14:textId="77777777" w:rsidR="002242F3" w:rsidRPr="005E3B44" w:rsidRDefault="002242F3" w:rsidP="005E3B44">
            <w:pPr>
              <w:pStyle w:val="Normal14"/>
              <w:rPr>
                <w:rFonts w:asciiTheme="minorHAnsi" w:eastAsia="Calibri" w:hAnsiTheme="minorHAnsi" w:cstheme="minorHAnsi"/>
                <w:color w:val="000000"/>
                <w:sz w:val="18"/>
              </w:rPr>
            </w:pPr>
          </w:p>
        </w:tc>
      </w:tr>
    </w:tbl>
    <w:p w14:paraId="75153E8E" w14:textId="05BF003A" w:rsidR="002242F3" w:rsidRPr="005E3B44" w:rsidRDefault="002242F3" w:rsidP="002242F3">
      <w:pPr>
        <w:pStyle w:val="Caption"/>
        <w:pageBreakBefore/>
        <w:pBdr>
          <w:top w:val="nil"/>
          <w:left w:val="nil"/>
          <w:bottom w:val="nil"/>
          <w:right w:val="nil"/>
          <w:between w:val="nil"/>
          <w:bar w:val="nil"/>
        </w:pBdr>
        <w:outlineLvl w:val="0"/>
        <w:rPr>
          <w:rFonts w:asciiTheme="minorHAnsi" w:hAnsiTheme="minorHAnsi" w:cstheme="minorHAnsi"/>
          <w:bdr w:val="nil"/>
        </w:rPr>
      </w:pPr>
      <w:r w:rsidRPr="005E3B44">
        <w:rPr>
          <w:rFonts w:asciiTheme="minorHAnsi" w:hAnsiTheme="minorHAnsi" w:cstheme="minorHAnsi"/>
          <w:bdr w:val="nil"/>
        </w:rPr>
        <w:lastRenderedPageBreak/>
        <w:t>Table 3</w:t>
      </w:r>
      <w:r w:rsidR="00805234">
        <w:rPr>
          <w:rFonts w:asciiTheme="minorHAnsi" w:hAnsiTheme="minorHAnsi" w:cstheme="minorHAnsi"/>
          <w:bdr w:val="nil"/>
        </w:rPr>
        <w:t>6</w:t>
      </w:r>
      <w:r w:rsidRPr="005E3B44">
        <w:rPr>
          <w:rFonts w:asciiTheme="minorHAnsi" w:hAnsiTheme="minorHAnsi" w:cstheme="minorHAnsi"/>
          <w:bdr w:val="nil"/>
        </w:rPr>
        <w:t>: Justice and Community Safety Directorate: Cash Flow Statement on behalf of the Territory</w:t>
      </w:r>
    </w:p>
    <w:tbl>
      <w:tblPr>
        <w:tblStyle w:val="CDMRange25"/>
        <w:tblW w:w="9435" w:type="dxa"/>
        <w:tblLayout w:type="fixed"/>
        <w:tblLook w:val="0600" w:firstRow="0" w:lastRow="0" w:firstColumn="0" w:lastColumn="0" w:noHBand="1" w:noVBand="1"/>
      </w:tblPr>
      <w:tblGrid>
        <w:gridCol w:w="1062"/>
        <w:gridCol w:w="2447"/>
        <w:gridCol w:w="1062"/>
        <w:gridCol w:w="1062"/>
        <w:gridCol w:w="615"/>
        <w:gridCol w:w="1062"/>
        <w:gridCol w:w="1062"/>
        <w:gridCol w:w="1063"/>
      </w:tblGrid>
      <w:tr w:rsidR="002242F3" w:rsidRPr="005E3B44" w14:paraId="2A582124" w14:textId="77777777" w:rsidTr="00C652F8">
        <w:trPr>
          <w:trHeight w:val="946"/>
        </w:trPr>
        <w:tc>
          <w:tcPr>
            <w:tcW w:w="106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0DC971"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6AF5D7A1" w14:textId="77777777" w:rsidR="002242F3" w:rsidRPr="005E3B44" w:rsidRDefault="002242F3" w:rsidP="005E3B44">
            <w:pPr>
              <w:pStyle w:val="Normal15"/>
              <w:jc w:val="right"/>
              <w:rPr>
                <w:rFonts w:asciiTheme="minorHAnsi" w:eastAsia="Calibri" w:hAnsiTheme="minorHAnsi" w:cstheme="minorHAnsi"/>
                <w:b/>
                <w:color w:val="000000"/>
                <w:sz w:val="18"/>
              </w:rPr>
            </w:pPr>
          </w:p>
          <w:p w14:paraId="745E24AF"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447"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AB24EAD" w14:textId="77777777" w:rsidR="002242F3" w:rsidRPr="005E3B44" w:rsidRDefault="002242F3" w:rsidP="005E3B44">
            <w:pPr>
              <w:pStyle w:val="Normal15"/>
              <w:rPr>
                <w:rFonts w:asciiTheme="minorHAnsi" w:eastAsia="Calibri" w:hAnsiTheme="minorHAnsi" w:cstheme="minorHAnsi"/>
                <w:b/>
                <w:color w:val="000000"/>
                <w:sz w:val="18"/>
              </w:rPr>
            </w:pPr>
          </w:p>
        </w:tc>
        <w:tc>
          <w:tcPr>
            <w:tcW w:w="106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811B7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6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5085FA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Budget            </w:t>
            </w:r>
          </w:p>
          <w:p w14:paraId="6D4B64CF" w14:textId="77777777" w:rsidR="002242F3" w:rsidRPr="005E3B44" w:rsidRDefault="002242F3" w:rsidP="005E3B44">
            <w:pPr>
              <w:pStyle w:val="Normal15"/>
              <w:jc w:val="right"/>
              <w:rPr>
                <w:rFonts w:asciiTheme="minorHAnsi" w:eastAsia="Calibri" w:hAnsiTheme="minorHAnsi" w:cstheme="minorHAnsi"/>
                <w:b/>
                <w:color w:val="000000"/>
                <w:sz w:val="18"/>
              </w:rPr>
            </w:pPr>
          </w:p>
          <w:p w14:paraId="006747CC"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1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53A147C"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Var </w:t>
            </w:r>
          </w:p>
          <w:p w14:paraId="70309570"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6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2E1E15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Estimate            </w:t>
            </w:r>
          </w:p>
          <w:p w14:paraId="7E8E384A" w14:textId="77777777" w:rsidR="002242F3" w:rsidRPr="005E3B44" w:rsidRDefault="002242F3" w:rsidP="005E3B44">
            <w:pPr>
              <w:pStyle w:val="Normal15"/>
              <w:jc w:val="right"/>
              <w:rPr>
                <w:rFonts w:asciiTheme="minorHAnsi" w:eastAsia="Calibri" w:hAnsiTheme="minorHAnsi" w:cstheme="minorHAnsi"/>
                <w:b/>
                <w:color w:val="000000"/>
                <w:sz w:val="18"/>
              </w:rPr>
            </w:pPr>
          </w:p>
          <w:p w14:paraId="31127ADA"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6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FFBC5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Estimate            </w:t>
            </w:r>
          </w:p>
          <w:p w14:paraId="69E9F3FB" w14:textId="77777777" w:rsidR="002242F3" w:rsidRPr="005E3B44" w:rsidRDefault="002242F3" w:rsidP="005E3B44">
            <w:pPr>
              <w:pStyle w:val="Normal15"/>
              <w:jc w:val="right"/>
              <w:rPr>
                <w:rFonts w:asciiTheme="minorHAnsi" w:eastAsia="Calibri" w:hAnsiTheme="minorHAnsi" w:cstheme="minorHAnsi"/>
                <w:b/>
                <w:color w:val="000000"/>
                <w:sz w:val="18"/>
              </w:rPr>
            </w:pPr>
          </w:p>
          <w:p w14:paraId="4F41C6D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6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976EE98"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Estimate            </w:t>
            </w:r>
          </w:p>
          <w:p w14:paraId="52ABFCAF" w14:textId="77777777" w:rsidR="002242F3" w:rsidRPr="005E3B44" w:rsidRDefault="002242F3" w:rsidP="005E3B44">
            <w:pPr>
              <w:pStyle w:val="Normal15"/>
              <w:jc w:val="right"/>
              <w:rPr>
                <w:rFonts w:asciiTheme="minorHAnsi" w:eastAsia="Calibri" w:hAnsiTheme="minorHAnsi" w:cstheme="minorHAnsi"/>
                <w:b/>
                <w:color w:val="000000"/>
                <w:sz w:val="18"/>
              </w:rPr>
            </w:pPr>
          </w:p>
          <w:p w14:paraId="2B0999A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235FF7" w14:paraId="36AECF9A"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62" w:type="dxa"/>
            <w:tcBorders>
              <w:top w:val="single" w:sz="4" w:space="0" w:color="000000"/>
              <w:left w:val="nil"/>
              <w:bottom w:val="nil"/>
              <w:right w:val="nil"/>
              <w:tl2br w:val="nil"/>
              <w:tr2bl w:val="nil"/>
            </w:tcBorders>
            <w:shd w:val="clear" w:color="FFFFFF" w:fill="FFFFFF"/>
            <w:tcMar>
              <w:left w:w="0" w:type="dxa"/>
              <w:right w:w="0" w:type="dxa"/>
            </w:tcMar>
          </w:tcPr>
          <w:p w14:paraId="11FC1F86" w14:textId="77777777" w:rsidR="002242F3" w:rsidRPr="00C652F8" w:rsidRDefault="002242F3" w:rsidP="005E3B44">
            <w:pPr>
              <w:pStyle w:val="Normal15"/>
              <w:jc w:val="right"/>
              <w:rPr>
                <w:rFonts w:asciiTheme="minorHAnsi" w:eastAsia="Calibri" w:hAnsiTheme="minorHAnsi" w:cstheme="minorHAnsi"/>
                <w:b/>
                <w:i/>
                <w:color w:val="000000"/>
                <w:sz w:val="10"/>
                <w:szCs w:val="10"/>
              </w:rPr>
            </w:pPr>
          </w:p>
        </w:tc>
        <w:tc>
          <w:tcPr>
            <w:tcW w:w="2447" w:type="dxa"/>
            <w:tcBorders>
              <w:top w:val="single" w:sz="4" w:space="0" w:color="000000"/>
              <w:left w:val="nil"/>
              <w:bottom w:val="nil"/>
              <w:right w:val="nil"/>
              <w:tl2br w:val="nil"/>
              <w:tr2bl w:val="nil"/>
            </w:tcBorders>
            <w:shd w:val="clear" w:color="FFFFFF" w:fill="FFFFFF"/>
            <w:tcMar>
              <w:left w:w="0" w:type="dxa"/>
              <w:right w:w="0" w:type="dxa"/>
            </w:tcMar>
          </w:tcPr>
          <w:p w14:paraId="10520910"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single" w:sz="4" w:space="0" w:color="000000"/>
              <w:left w:val="nil"/>
              <w:bottom w:val="nil"/>
              <w:right w:val="nil"/>
              <w:tl2br w:val="nil"/>
              <w:tr2bl w:val="nil"/>
            </w:tcBorders>
            <w:shd w:val="clear" w:color="FFFFFF" w:fill="FFFFFF"/>
            <w:tcMar>
              <w:left w:w="0" w:type="dxa"/>
              <w:right w:w="0" w:type="dxa"/>
            </w:tcMar>
          </w:tcPr>
          <w:p w14:paraId="363252D3" w14:textId="77777777" w:rsidR="002242F3" w:rsidRPr="00C652F8" w:rsidRDefault="002242F3" w:rsidP="005E3B44">
            <w:pPr>
              <w:pStyle w:val="Normal15"/>
              <w:jc w:val="right"/>
              <w:rPr>
                <w:rFonts w:asciiTheme="minorHAnsi" w:eastAsia="Calibri" w:hAnsiTheme="minorHAnsi" w:cstheme="minorHAnsi"/>
                <w:b/>
                <w:i/>
                <w:color w:val="000000"/>
                <w:sz w:val="10"/>
                <w:szCs w:val="10"/>
              </w:rPr>
            </w:pPr>
          </w:p>
        </w:tc>
        <w:tc>
          <w:tcPr>
            <w:tcW w:w="1062" w:type="dxa"/>
            <w:tcBorders>
              <w:top w:val="single" w:sz="4" w:space="0" w:color="000000"/>
              <w:left w:val="nil"/>
              <w:bottom w:val="nil"/>
              <w:right w:val="nil"/>
              <w:tl2br w:val="nil"/>
              <w:tr2bl w:val="nil"/>
            </w:tcBorders>
            <w:shd w:val="clear" w:color="FFFFFF" w:fill="FFFFFF"/>
            <w:tcMar>
              <w:left w:w="0" w:type="dxa"/>
              <w:right w:w="0" w:type="dxa"/>
            </w:tcMar>
          </w:tcPr>
          <w:p w14:paraId="43A04257" w14:textId="77777777" w:rsidR="002242F3" w:rsidRPr="00C652F8" w:rsidRDefault="002242F3" w:rsidP="005E3B44">
            <w:pPr>
              <w:pStyle w:val="Normal15"/>
              <w:jc w:val="right"/>
              <w:rPr>
                <w:rFonts w:asciiTheme="minorHAnsi" w:eastAsia="Calibri" w:hAnsiTheme="minorHAnsi" w:cstheme="minorHAnsi"/>
                <w:b/>
                <w:i/>
                <w:color w:val="000000"/>
                <w:sz w:val="10"/>
                <w:szCs w:val="10"/>
              </w:rPr>
            </w:pPr>
          </w:p>
        </w:tc>
        <w:tc>
          <w:tcPr>
            <w:tcW w:w="615" w:type="dxa"/>
            <w:tcBorders>
              <w:top w:val="single" w:sz="4" w:space="0" w:color="000000"/>
              <w:left w:val="nil"/>
              <w:bottom w:val="nil"/>
              <w:right w:val="nil"/>
              <w:tl2br w:val="nil"/>
              <w:tr2bl w:val="nil"/>
            </w:tcBorders>
            <w:shd w:val="clear" w:color="FFFFFF" w:fill="FFFFFF"/>
            <w:tcMar>
              <w:left w:w="0" w:type="dxa"/>
              <w:right w:w="0" w:type="dxa"/>
            </w:tcMar>
          </w:tcPr>
          <w:p w14:paraId="761DEDB3" w14:textId="77777777" w:rsidR="002242F3" w:rsidRPr="00C652F8" w:rsidRDefault="002242F3" w:rsidP="005E3B44">
            <w:pPr>
              <w:pStyle w:val="Normal15"/>
              <w:jc w:val="right"/>
              <w:rPr>
                <w:rFonts w:asciiTheme="minorHAnsi" w:eastAsia="Calibri" w:hAnsiTheme="minorHAnsi" w:cstheme="minorHAnsi"/>
                <w:b/>
                <w:i/>
                <w:color w:val="000000"/>
                <w:sz w:val="10"/>
                <w:szCs w:val="10"/>
              </w:rPr>
            </w:pPr>
          </w:p>
        </w:tc>
        <w:tc>
          <w:tcPr>
            <w:tcW w:w="1062" w:type="dxa"/>
            <w:tcBorders>
              <w:top w:val="single" w:sz="4" w:space="0" w:color="000000"/>
              <w:left w:val="nil"/>
              <w:bottom w:val="nil"/>
              <w:right w:val="nil"/>
              <w:tl2br w:val="nil"/>
              <w:tr2bl w:val="nil"/>
            </w:tcBorders>
            <w:shd w:val="clear" w:color="FFFFFF" w:fill="FFFFFF"/>
            <w:tcMar>
              <w:left w:w="0" w:type="dxa"/>
              <w:right w:w="0" w:type="dxa"/>
            </w:tcMar>
          </w:tcPr>
          <w:p w14:paraId="7534F405" w14:textId="77777777" w:rsidR="002242F3" w:rsidRPr="00C652F8" w:rsidRDefault="002242F3" w:rsidP="005E3B44">
            <w:pPr>
              <w:pStyle w:val="Normal15"/>
              <w:jc w:val="right"/>
              <w:rPr>
                <w:rFonts w:asciiTheme="minorHAnsi" w:eastAsia="Calibri" w:hAnsiTheme="minorHAnsi" w:cstheme="minorHAnsi"/>
                <w:b/>
                <w:i/>
                <w:color w:val="000000"/>
                <w:sz w:val="10"/>
                <w:szCs w:val="10"/>
              </w:rPr>
            </w:pPr>
          </w:p>
        </w:tc>
        <w:tc>
          <w:tcPr>
            <w:tcW w:w="1062" w:type="dxa"/>
            <w:tcBorders>
              <w:top w:val="single" w:sz="4" w:space="0" w:color="000000"/>
              <w:left w:val="nil"/>
              <w:bottom w:val="nil"/>
              <w:right w:val="nil"/>
              <w:tl2br w:val="nil"/>
              <w:tr2bl w:val="nil"/>
            </w:tcBorders>
            <w:shd w:val="clear" w:color="FFFFFF" w:fill="FFFFFF"/>
            <w:tcMar>
              <w:left w:w="0" w:type="dxa"/>
              <w:right w:w="0" w:type="dxa"/>
            </w:tcMar>
          </w:tcPr>
          <w:p w14:paraId="0B8257BC" w14:textId="77777777" w:rsidR="002242F3" w:rsidRPr="00C652F8" w:rsidRDefault="002242F3" w:rsidP="005E3B44">
            <w:pPr>
              <w:pStyle w:val="Normal15"/>
              <w:jc w:val="right"/>
              <w:rPr>
                <w:rFonts w:asciiTheme="minorHAnsi" w:eastAsia="Calibri" w:hAnsiTheme="minorHAnsi" w:cstheme="minorHAnsi"/>
                <w:b/>
                <w:i/>
                <w:color w:val="000000"/>
                <w:sz w:val="10"/>
                <w:szCs w:val="10"/>
              </w:rPr>
            </w:pPr>
          </w:p>
        </w:tc>
        <w:tc>
          <w:tcPr>
            <w:tcW w:w="1062" w:type="dxa"/>
            <w:tcBorders>
              <w:top w:val="single" w:sz="4" w:space="0" w:color="000000"/>
              <w:left w:val="nil"/>
              <w:bottom w:val="nil"/>
              <w:right w:val="nil"/>
              <w:tl2br w:val="nil"/>
              <w:tr2bl w:val="nil"/>
            </w:tcBorders>
            <w:shd w:val="clear" w:color="FFFFFF" w:fill="FFFFFF"/>
            <w:tcMar>
              <w:left w:w="0" w:type="dxa"/>
              <w:right w:w="0" w:type="dxa"/>
            </w:tcMar>
          </w:tcPr>
          <w:p w14:paraId="226C7AC6" w14:textId="77777777" w:rsidR="002242F3" w:rsidRPr="00C652F8" w:rsidRDefault="002242F3" w:rsidP="005E3B44">
            <w:pPr>
              <w:pStyle w:val="Normal15"/>
              <w:jc w:val="right"/>
              <w:rPr>
                <w:rFonts w:asciiTheme="minorHAnsi" w:eastAsia="Calibri" w:hAnsiTheme="minorHAnsi" w:cstheme="minorHAnsi"/>
                <w:b/>
                <w:i/>
                <w:color w:val="000000"/>
                <w:sz w:val="10"/>
                <w:szCs w:val="10"/>
              </w:rPr>
            </w:pPr>
          </w:p>
        </w:tc>
      </w:tr>
      <w:tr w:rsidR="002242F3" w:rsidRPr="005E3B44" w14:paraId="2C0A3459"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auto" w:fill="auto"/>
            <w:noWrap/>
            <w:tcMar>
              <w:left w:w="0" w:type="dxa"/>
              <w:right w:w="0" w:type="dxa"/>
            </w:tcMar>
          </w:tcPr>
          <w:p w14:paraId="6B5F2055" w14:textId="77777777" w:rsidR="002242F3" w:rsidRPr="005E3B44" w:rsidRDefault="002242F3" w:rsidP="005E3B44">
            <w:pPr>
              <w:pStyle w:val="Normal15"/>
              <w:rPr>
                <w:rFonts w:asciiTheme="minorHAnsi" w:eastAsia="Calibri" w:hAnsiTheme="minorHAnsi" w:cstheme="minorHAnsi"/>
                <w:color w:val="000000"/>
                <w:sz w:val="18"/>
              </w:rPr>
            </w:pPr>
          </w:p>
        </w:tc>
        <w:tc>
          <w:tcPr>
            <w:tcW w:w="8373" w:type="dxa"/>
            <w:gridSpan w:val="7"/>
            <w:tcBorders>
              <w:top w:val="nil"/>
              <w:left w:val="nil"/>
              <w:bottom w:val="nil"/>
              <w:right w:val="nil"/>
              <w:tl2br w:val="nil"/>
              <w:tr2bl w:val="nil"/>
            </w:tcBorders>
            <w:shd w:val="clear" w:color="auto" w:fill="auto"/>
            <w:tcMar>
              <w:left w:w="101" w:type="dxa"/>
              <w:right w:w="101" w:type="dxa"/>
            </w:tcMar>
            <w:vAlign w:val="bottom"/>
          </w:tcPr>
          <w:p w14:paraId="3B685178"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OPERATING ACTIVITIES</w:t>
            </w:r>
          </w:p>
        </w:tc>
      </w:tr>
      <w:tr w:rsidR="002242F3" w:rsidRPr="005E3B44" w14:paraId="562D8380"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1E870650"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FFFFFF" w:fill="FFFFFF"/>
            <w:noWrap/>
            <w:tcMar>
              <w:left w:w="101" w:type="dxa"/>
              <w:right w:w="101" w:type="dxa"/>
            </w:tcMar>
          </w:tcPr>
          <w:p w14:paraId="3D09E595"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Receipts</w:t>
            </w:r>
          </w:p>
        </w:tc>
        <w:tc>
          <w:tcPr>
            <w:tcW w:w="1062" w:type="dxa"/>
            <w:tcBorders>
              <w:top w:val="nil"/>
              <w:left w:val="nil"/>
              <w:bottom w:val="nil"/>
              <w:right w:val="nil"/>
              <w:tl2br w:val="nil"/>
              <w:tr2bl w:val="nil"/>
            </w:tcBorders>
            <w:shd w:val="clear" w:color="FFFFFF" w:fill="FFFFFF"/>
            <w:tcMar>
              <w:left w:w="0" w:type="dxa"/>
              <w:right w:w="0" w:type="dxa"/>
            </w:tcMar>
          </w:tcPr>
          <w:p w14:paraId="3FB959A6"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44B10AF3"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56FDD75B"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633B980C"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0044E3F9"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6DEA723D"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5DD09855"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2B1A9899"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204,832</w:t>
            </w:r>
          </w:p>
        </w:tc>
        <w:tc>
          <w:tcPr>
            <w:tcW w:w="2447" w:type="dxa"/>
            <w:tcBorders>
              <w:top w:val="nil"/>
              <w:left w:val="nil"/>
              <w:bottom w:val="nil"/>
              <w:right w:val="nil"/>
              <w:tl2br w:val="nil"/>
              <w:tr2bl w:val="nil"/>
            </w:tcBorders>
            <w:shd w:val="clear" w:color="auto" w:fill="auto"/>
            <w:noWrap/>
            <w:tcMar>
              <w:left w:w="101" w:type="dxa"/>
              <w:right w:w="101" w:type="dxa"/>
            </w:tcMar>
          </w:tcPr>
          <w:p w14:paraId="365CE9EB"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Payment for Expenses on Behalf of the Territory</w:t>
            </w:r>
          </w:p>
        </w:tc>
        <w:tc>
          <w:tcPr>
            <w:tcW w:w="1062" w:type="dxa"/>
            <w:tcBorders>
              <w:top w:val="nil"/>
              <w:left w:val="nil"/>
              <w:bottom w:val="nil"/>
              <w:right w:val="nil"/>
              <w:tl2br w:val="nil"/>
              <w:tr2bl w:val="nil"/>
            </w:tcBorders>
            <w:shd w:val="clear" w:color="FFFFFF" w:fill="FFFFFF"/>
            <w:tcMar>
              <w:left w:w="101" w:type="dxa"/>
              <w:right w:w="101" w:type="dxa"/>
            </w:tcMar>
          </w:tcPr>
          <w:p w14:paraId="2586A90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200,371</w:t>
            </w:r>
          </w:p>
        </w:tc>
        <w:tc>
          <w:tcPr>
            <w:tcW w:w="1062" w:type="dxa"/>
            <w:tcBorders>
              <w:top w:val="nil"/>
              <w:left w:val="nil"/>
              <w:bottom w:val="nil"/>
              <w:right w:val="nil"/>
              <w:tl2br w:val="nil"/>
              <w:tr2bl w:val="nil"/>
            </w:tcBorders>
            <w:shd w:val="clear" w:color="FFFFFF" w:fill="FFFFFF"/>
            <w:tcMar>
              <w:left w:w="101" w:type="dxa"/>
              <w:right w:w="101" w:type="dxa"/>
            </w:tcMar>
          </w:tcPr>
          <w:p w14:paraId="3A0F1E0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220,852</w:t>
            </w:r>
          </w:p>
        </w:tc>
        <w:tc>
          <w:tcPr>
            <w:tcW w:w="615" w:type="dxa"/>
            <w:tcBorders>
              <w:top w:val="nil"/>
              <w:left w:val="nil"/>
              <w:bottom w:val="nil"/>
              <w:right w:val="nil"/>
              <w:tl2br w:val="nil"/>
              <w:tr2bl w:val="nil"/>
            </w:tcBorders>
            <w:shd w:val="clear" w:color="FFFFFF" w:fill="FFFFFF"/>
            <w:tcMar>
              <w:left w:w="101" w:type="dxa"/>
              <w:right w:w="101" w:type="dxa"/>
            </w:tcMar>
          </w:tcPr>
          <w:p w14:paraId="7100AE83"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 </w:t>
            </w:r>
          </w:p>
        </w:tc>
        <w:tc>
          <w:tcPr>
            <w:tcW w:w="1062" w:type="dxa"/>
            <w:tcBorders>
              <w:top w:val="nil"/>
              <w:left w:val="nil"/>
              <w:bottom w:val="nil"/>
              <w:right w:val="nil"/>
              <w:tl2br w:val="nil"/>
              <w:tr2bl w:val="nil"/>
            </w:tcBorders>
            <w:shd w:val="clear" w:color="FFFFFF" w:fill="FFFFFF"/>
            <w:tcMar>
              <w:left w:w="101" w:type="dxa"/>
              <w:right w:w="101" w:type="dxa"/>
            </w:tcMar>
          </w:tcPr>
          <w:p w14:paraId="4233D6F8"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217,019</w:t>
            </w:r>
          </w:p>
        </w:tc>
        <w:tc>
          <w:tcPr>
            <w:tcW w:w="1062" w:type="dxa"/>
            <w:tcBorders>
              <w:top w:val="nil"/>
              <w:left w:val="nil"/>
              <w:bottom w:val="nil"/>
              <w:right w:val="nil"/>
              <w:tl2br w:val="nil"/>
              <w:tr2bl w:val="nil"/>
            </w:tcBorders>
            <w:shd w:val="clear" w:color="FFFFFF" w:fill="FFFFFF"/>
            <w:tcMar>
              <w:left w:w="101" w:type="dxa"/>
              <w:right w:w="101" w:type="dxa"/>
            </w:tcMar>
          </w:tcPr>
          <w:p w14:paraId="59CAB9D7"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219,892</w:t>
            </w:r>
          </w:p>
        </w:tc>
        <w:tc>
          <w:tcPr>
            <w:tcW w:w="1062" w:type="dxa"/>
            <w:tcBorders>
              <w:top w:val="nil"/>
              <w:left w:val="nil"/>
              <w:bottom w:val="nil"/>
              <w:right w:val="nil"/>
              <w:tl2br w:val="nil"/>
              <w:tr2bl w:val="nil"/>
            </w:tcBorders>
            <w:shd w:val="clear" w:color="FFFFFF" w:fill="FFFFFF"/>
            <w:tcMar>
              <w:left w:w="101" w:type="dxa"/>
              <w:right w:w="101" w:type="dxa"/>
            </w:tcMar>
          </w:tcPr>
          <w:p w14:paraId="51484D7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219,819</w:t>
            </w:r>
          </w:p>
        </w:tc>
      </w:tr>
      <w:tr w:rsidR="002242F3" w:rsidRPr="005E3B44" w14:paraId="3EC359A1"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2670E75F"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6,326</w:t>
            </w:r>
          </w:p>
        </w:tc>
        <w:tc>
          <w:tcPr>
            <w:tcW w:w="2447" w:type="dxa"/>
            <w:tcBorders>
              <w:top w:val="nil"/>
              <w:left w:val="nil"/>
              <w:bottom w:val="nil"/>
              <w:right w:val="nil"/>
              <w:tl2br w:val="nil"/>
              <w:tr2bl w:val="nil"/>
            </w:tcBorders>
            <w:shd w:val="clear" w:color="auto" w:fill="auto"/>
            <w:noWrap/>
            <w:tcMar>
              <w:left w:w="101" w:type="dxa"/>
              <w:right w:w="101" w:type="dxa"/>
            </w:tcMar>
          </w:tcPr>
          <w:p w14:paraId="5468EFF7"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Taxes, Licences, Fees and Fines</w:t>
            </w:r>
          </w:p>
        </w:tc>
        <w:tc>
          <w:tcPr>
            <w:tcW w:w="1062" w:type="dxa"/>
            <w:tcBorders>
              <w:top w:val="nil"/>
              <w:left w:val="nil"/>
              <w:bottom w:val="nil"/>
              <w:right w:val="nil"/>
              <w:tl2br w:val="nil"/>
              <w:tr2bl w:val="nil"/>
            </w:tcBorders>
            <w:shd w:val="clear" w:color="FFFFFF" w:fill="FFFFFF"/>
            <w:tcMar>
              <w:left w:w="101" w:type="dxa"/>
              <w:right w:w="101" w:type="dxa"/>
            </w:tcMar>
          </w:tcPr>
          <w:p w14:paraId="58CAC95F"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5,324</w:t>
            </w:r>
          </w:p>
        </w:tc>
        <w:tc>
          <w:tcPr>
            <w:tcW w:w="1062" w:type="dxa"/>
            <w:tcBorders>
              <w:top w:val="nil"/>
              <w:left w:val="nil"/>
              <w:bottom w:val="nil"/>
              <w:right w:val="nil"/>
              <w:tl2br w:val="nil"/>
              <w:tr2bl w:val="nil"/>
            </w:tcBorders>
            <w:shd w:val="clear" w:color="FFFFFF" w:fill="FFFFFF"/>
            <w:tcMar>
              <w:left w:w="101" w:type="dxa"/>
              <w:right w:w="101" w:type="dxa"/>
            </w:tcMar>
          </w:tcPr>
          <w:p w14:paraId="769C17E7"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6,407</w:t>
            </w:r>
          </w:p>
        </w:tc>
        <w:tc>
          <w:tcPr>
            <w:tcW w:w="615" w:type="dxa"/>
            <w:tcBorders>
              <w:top w:val="nil"/>
              <w:left w:val="nil"/>
              <w:bottom w:val="nil"/>
              <w:right w:val="nil"/>
              <w:tl2br w:val="nil"/>
              <w:tr2bl w:val="nil"/>
            </w:tcBorders>
            <w:shd w:val="clear" w:color="FFFFFF" w:fill="FFFFFF"/>
            <w:tcMar>
              <w:left w:w="101" w:type="dxa"/>
              <w:right w:w="101" w:type="dxa"/>
            </w:tcMar>
          </w:tcPr>
          <w:p w14:paraId="5D4DE351"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20 </w:t>
            </w:r>
          </w:p>
        </w:tc>
        <w:tc>
          <w:tcPr>
            <w:tcW w:w="1062" w:type="dxa"/>
            <w:tcBorders>
              <w:top w:val="nil"/>
              <w:left w:val="nil"/>
              <w:bottom w:val="nil"/>
              <w:right w:val="nil"/>
              <w:tl2br w:val="nil"/>
              <w:tr2bl w:val="nil"/>
            </w:tcBorders>
            <w:shd w:val="clear" w:color="FFFFFF" w:fill="FFFFFF"/>
            <w:tcMar>
              <w:left w:w="101" w:type="dxa"/>
              <w:right w:w="101" w:type="dxa"/>
            </w:tcMar>
          </w:tcPr>
          <w:p w14:paraId="1016719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6,314</w:t>
            </w:r>
          </w:p>
        </w:tc>
        <w:tc>
          <w:tcPr>
            <w:tcW w:w="1062" w:type="dxa"/>
            <w:tcBorders>
              <w:top w:val="nil"/>
              <w:left w:val="nil"/>
              <w:bottom w:val="nil"/>
              <w:right w:val="nil"/>
              <w:tl2br w:val="nil"/>
              <w:tr2bl w:val="nil"/>
            </w:tcBorders>
            <w:shd w:val="clear" w:color="FFFFFF" w:fill="FFFFFF"/>
            <w:tcMar>
              <w:left w:w="101" w:type="dxa"/>
              <w:right w:w="101" w:type="dxa"/>
            </w:tcMar>
          </w:tcPr>
          <w:p w14:paraId="480FAB08"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6,443</w:t>
            </w:r>
          </w:p>
        </w:tc>
        <w:tc>
          <w:tcPr>
            <w:tcW w:w="1062" w:type="dxa"/>
            <w:tcBorders>
              <w:top w:val="nil"/>
              <w:left w:val="nil"/>
              <w:bottom w:val="nil"/>
              <w:right w:val="nil"/>
              <w:tl2br w:val="nil"/>
              <w:tr2bl w:val="nil"/>
            </w:tcBorders>
            <w:shd w:val="clear" w:color="FFFFFF" w:fill="FFFFFF"/>
            <w:tcMar>
              <w:left w:w="101" w:type="dxa"/>
              <w:right w:w="101" w:type="dxa"/>
            </w:tcMar>
          </w:tcPr>
          <w:p w14:paraId="1C212634"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6,583</w:t>
            </w:r>
          </w:p>
        </w:tc>
      </w:tr>
      <w:tr w:rsidR="002242F3" w:rsidRPr="005E3B44" w14:paraId="1054CEBA"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67524CE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3,242</w:t>
            </w:r>
          </w:p>
        </w:tc>
        <w:tc>
          <w:tcPr>
            <w:tcW w:w="2447" w:type="dxa"/>
            <w:tcBorders>
              <w:top w:val="nil"/>
              <w:left w:val="nil"/>
              <w:bottom w:val="nil"/>
              <w:right w:val="nil"/>
              <w:tl2br w:val="nil"/>
              <w:tr2bl w:val="nil"/>
            </w:tcBorders>
            <w:shd w:val="clear" w:color="auto" w:fill="auto"/>
            <w:noWrap/>
            <w:tcMar>
              <w:left w:w="101" w:type="dxa"/>
              <w:right w:w="101" w:type="dxa"/>
            </w:tcMar>
          </w:tcPr>
          <w:p w14:paraId="5B5E1F53"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w:t>
            </w:r>
          </w:p>
        </w:tc>
        <w:tc>
          <w:tcPr>
            <w:tcW w:w="1062" w:type="dxa"/>
            <w:tcBorders>
              <w:top w:val="nil"/>
              <w:left w:val="nil"/>
              <w:bottom w:val="nil"/>
              <w:right w:val="nil"/>
              <w:tl2br w:val="nil"/>
              <w:tr2bl w:val="nil"/>
            </w:tcBorders>
            <w:shd w:val="clear" w:color="FFFFFF" w:fill="FFFFFF"/>
            <w:tcMar>
              <w:left w:w="101" w:type="dxa"/>
              <w:right w:w="101" w:type="dxa"/>
            </w:tcMar>
          </w:tcPr>
          <w:p w14:paraId="44E49D53"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3,876</w:t>
            </w:r>
          </w:p>
        </w:tc>
        <w:tc>
          <w:tcPr>
            <w:tcW w:w="1062" w:type="dxa"/>
            <w:tcBorders>
              <w:top w:val="nil"/>
              <w:left w:val="nil"/>
              <w:bottom w:val="nil"/>
              <w:right w:val="nil"/>
              <w:tl2br w:val="nil"/>
              <w:tr2bl w:val="nil"/>
            </w:tcBorders>
            <w:shd w:val="clear" w:color="FFFFFF" w:fill="FFFFFF"/>
            <w:tcMar>
              <w:left w:w="101" w:type="dxa"/>
              <w:right w:w="101" w:type="dxa"/>
            </w:tcMar>
          </w:tcPr>
          <w:p w14:paraId="117461C1"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3,308</w:t>
            </w:r>
          </w:p>
        </w:tc>
        <w:tc>
          <w:tcPr>
            <w:tcW w:w="615" w:type="dxa"/>
            <w:tcBorders>
              <w:top w:val="nil"/>
              <w:left w:val="nil"/>
              <w:bottom w:val="nil"/>
              <w:right w:val="nil"/>
              <w:tl2br w:val="nil"/>
              <w:tr2bl w:val="nil"/>
            </w:tcBorders>
            <w:shd w:val="clear" w:color="FFFFFF" w:fill="FFFFFF"/>
            <w:tcMar>
              <w:left w:w="101" w:type="dxa"/>
              <w:right w:w="101" w:type="dxa"/>
            </w:tcMar>
          </w:tcPr>
          <w:p w14:paraId="38D6F278"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-15 </w:t>
            </w:r>
          </w:p>
        </w:tc>
        <w:tc>
          <w:tcPr>
            <w:tcW w:w="1062" w:type="dxa"/>
            <w:tcBorders>
              <w:top w:val="nil"/>
              <w:left w:val="nil"/>
              <w:bottom w:val="nil"/>
              <w:right w:val="nil"/>
              <w:tl2br w:val="nil"/>
              <w:tr2bl w:val="nil"/>
            </w:tcBorders>
            <w:shd w:val="clear" w:color="FFFFFF" w:fill="FFFFFF"/>
            <w:tcMar>
              <w:left w:w="101" w:type="dxa"/>
              <w:right w:w="101" w:type="dxa"/>
            </w:tcMar>
          </w:tcPr>
          <w:p w14:paraId="2920B8C4"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3,309</w:t>
            </w:r>
          </w:p>
        </w:tc>
        <w:tc>
          <w:tcPr>
            <w:tcW w:w="1062" w:type="dxa"/>
            <w:tcBorders>
              <w:top w:val="nil"/>
              <w:left w:val="nil"/>
              <w:bottom w:val="nil"/>
              <w:right w:val="nil"/>
              <w:tl2br w:val="nil"/>
              <w:tr2bl w:val="nil"/>
            </w:tcBorders>
            <w:shd w:val="clear" w:color="FFFFFF" w:fill="FFFFFF"/>
            <w:tcMar>
              <w:left w:w="101" w:type="dxa"/>
              <w:right w:w="101" w:type="dxa"/>
            </w:tcMar>
          </w:tcPr>
          <w:p w14:paraId="675D0281"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3,389</w:t>
            </w:r>
          </w:p>
        </w:tc>
        <w:tc>
          <w:tcPr>
            <w:tcW w:w="1062" w:type="dxa"/>
            <w:tcBorders>
              <w:top w:val="nil"/>
              <w:left w:val="nil"/>
              <w:bottom w:val="nil"/>
              <w:right w:val="nil"/>
              <w:tl2br w:val="nil"/>
              <w:tr2bl w:val="nil"/>
            </w:tcBorders>
            <w:shd w:val="clear" w:color="FFFFFF" w:fill="FFFFFF"/>
            <w:tcMar>
              <w:left w:w="101" w:type="dxa"/>
              <w:right w:w="101" w:type="dxa"/>
            </w:tcMar>
          </w:tcPr>
          <w:p w14:paraId="7635FDC1"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3,452</w:t>
            </w:r>
          </w:p>
        </w:tc>
      </w:tr>
      <w:tr w:rsidR="002242F3" w:rsidRPr="005E3B44" w14:paraId="57C904F8"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208B618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214,400</w:t>
            </w:r>
          </w:p>
        </w:tc>
        <w:tc>
          <w:tcPr>
            <w:tcW w:w="2447" w:type="dxa"/>
            <w:tcBorders>
              <w:top w:val="nil"/>
              <w:left w:val="nil"/>
              <w:bottom w:val="nil"/>
              <w:right w:val="nil"/>
              <w:tl2br w:val="nil"/>
              <w:tr2bl w:val="nil"/>
            </w:tcBorders>
            <w:shd w:val="clear" w:color="FFFFFF" w:fill="FFFFFF"/>
            <w:noWrap/>
            <w:tcMar>
              <w:left w:w="101" w:type="dxa"/>
              <w:right w:w="101" w:type="dxa"/>
            </w:tcMar>
          </w:tcPr>
          <w:p w14:paraId="1E2A4FF7"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Receipts</w:t>
            </w:r>
          </w:p>
        </w:tc>
        <w:tc>
          <w:tcPr>
            <w:tcW w:w="1062" w:type="dxa"/>
            <w:tcBorders>
              <w:top w:val="nil"/>
              <w:left w:val="nil"/>
              <w:bottom w:val="nil"/>
              <w:right w:val="nil"/>
              <w:tl2br w:val="nil"/>
              <w:tr2bl w:val="nil"/>
            </w:tcBorders>
            <w:shd w:val="clear" w:color="FFFFFF" w:fill="FFFFFF"/>
            <w:tcMar>
              <w:left w:w="101" w:type="dxa"/>
              <w:right w:w="101" w:type="dxa"/>
            </w:tcMar>
          </w:tcPr>
          <w:p w14:paraId="584A863A"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209,571</w:t>
            </w:r>
          </w:p>
        </w:tc>
        <w:tc>
          <w:tcPr>
            <w:tcW w:w="1062" w:type="dxa"/>
            <w:tcBorders>
              <w:top w:val="nil"/>
              <w:left w:val="nil"/>
              <w:bottom w:val="nil"/>
              <w:right w:val="nil"/>
              <w:tl2br w:val="nil"/>
              <w:tr2bl w:val="nil"/>
            </w:tcBorders>
            <w:shd w:val="clear" w:color="FFFFFF" w:fill="FFFFFF"/>
            <w:tcMar>
              <w:left w:w="101" w:type="dxa"/>
              <w:right w:w="101" w:type="dxa"/>
            </w:tcMar>
          </w:tcPr>
          <w:p w14:paraId="3E0C548F"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230,567</w:t>
            </w:r>
          </w:p>
        </w:tc>
        <w:tc>
          <w:tcPr>
            <w:tcW w:w="615" w:type="dxa"/>
            <w:tcBorders>
              <w:top w:val="nil"/>
              <w:left w:val="nil"/>
              <w:bottom w:val="nil"/>
              <w:right w:val="nil"/>
              <w:tl2br w:val="nil"/>
              <w:tr2bl w:val="nil"/>
            </w:tcBorders>
            <w:shd w:val="clear" w:color="FFFFFF" w:fill="FFFFFF"/>
            <w:tcMar>
              <w:left w:w="101" w:type="dxa"/>
              <w:right w:w="101" w:type="dxa"/>
            </w:tcMar>
          </w:tcPr>
          <w:p w14:paraId="7A14C498"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 </w:t>
            </w:r>
          </w:p>
        </w:tc>
        <w:tc>
          <w:tcPr>
            <w:tcW w:w="1062" w:type="dxa"/>
            <w:tcBorders>
              <w:top w:val="nil"/>
              <w:left w:val="nil"/>
              <w:bottom w:val="nil"/>
              <w:right w:val="nil"/>
              <w:tl2br w:val="nil"/>
              <w:tr2bl w:val="nil"/>
            </w:tcBorders>
            <w:shd w:val="clear" w:color="FFFFFF" w:fill="FFFFFF"/>
            <w:tcMar>
              <w:left w:w="101" w:type="dxa"/>
              <w:right w:w="101" w:type="dxa"/>
            </w:tcMar>
          </w:tcPr>
          <w:p w14:paraId="09C6E279"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226,642</w:t>
            </w:r>
          </w:p>
        </w:tc>
        <w:tc>
          <w:tcPr>
            <w:tcW w:w="1062" w:type="dxa"/>
            <w:tcBorders>
              <w:top w:val="nil"/>
              <w:left w:val="nil"/>
              <w:bottom w:val="nil"/>
              <w:right w:val="nil"/>
              <w:tl2br w:val="nil"/>
              <w:tr2bl w:val="nil"/>
            </w:tcBorders>
            <w:shd w:val="clear" w:color="FFFFFF" w:fill="FFFFFF"/>
            <w:tcMar>
              <w:left w:w="101" w:type="dxa"/>
              <w:right w:w="101" w:type="dxa"/>
            </w:tcMar>
          </w:tcPr>
          <w:p w14:paraId="2DEAFB1F"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229,724</w:t>
            </w:r>
          </w:p>
        </w:tc>
        <w:tc>
          <w:tcPr>
            <w:tcW w:w="1062" w:type="dxa"/>
            <w:tcBorders>
              <w:top w:val="nil"/>
              <w:left w:val="nil"/>
              <w:bottom w:val="nil"/>
              <w:right w:val="nil"/>
              <w:tl2br w:val="nil"/>
              <w:tr2bl w:val="nil"/>
            </w:tcBorders>
            <w:shd w:val="clear" w:color="FFFFFF" w:fill="FFFFFF"/>
            <w:tcMar>
              <w:left w:w="101" w:type="dxa"/>
              <w:right w:w="101" w:type="dxa"/>
            </w:tcMar>
          </w:tcPr>
          <w:p w14:paraId="2AB0B2D3"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229,854</w:t>
            </w:r>
          </w:p>
        </w:tc>
      </w:tr>
      <w:tr w:rsidR="002242F3" w:rsidRPr="00235FF7" w14:paraId="36112068"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062" w:type="dxa"/>
            <w:tcBorders>
              <w:top w:val="nil"/>
              <w:left w:val="nil"/>
              <w:bottom w:val="nil"/>
              <w:right w:val="nil"/>
              <w:tl2br w:val="nil"/>
              <w:tr2bl w:val="nil"/>
            </w:tcBorders>
            <w:shd w:val="clear" w:color="FFFFFF" w:fill="FFFFFF"/>
            <w:tcMar>
              <w:left w:w="0" w:type="dxa"/>
              <w:right w:w="0" w:type="dxa"/>
            </w:tcMar>
          </w:tcPr>
          <w:p w14:paraId="55D08066"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2447" w:type="dxa"/>
            <w:tcBorders>
              <w:top w:val="nil"/>
              <w:left w:val="nil"/>
              <w:bottom w:val="nil"/>
              <w:right w:val="nil"/>
              <w:tl2br w:val="nil"/>
              <w:tr2bl w:val="nil"/>
            </w:tcBorders>
            <w:shd w:val="clear" w:color="FFFFFF" w:fill="FFFFFF"/>
            <w:noWrap/>
            <w:tcMar>
              <w:left w:w="0" w:type="dxa"/>
              <w:right w:w="0" w:type="dxa"/>
            </w:tcMar>
          </w:tcPr>
          <w:p w14:paraId="3ADAAEE2"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7273E82B"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639EB22E"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615" w:type="dxa"/>
            <w:tcBorders>
              <w:top w:val="nil"/>
              <w:left w:val="nil"/>
              <w:bottom w:val="nil"/>
              <w:right w:val="nil"/>
              <w:tl2br w:val="nil"/>
              <w:tr2bl w:val="nil"/>
            </w:tcBorders>
            <w:shd w:val="clear" w:color="FFFFFF" w:fill="FFFFFF"/>
            <w:tcMar>
              <w:left w:w="0" w:type="dxa"/>
              <w:right w:w="0" w:type="dxa"/>
            </w:tcMar>
          </w:tcPr>
          <w:p w14:paraId="5A267297" w14:textId="77777777" w:rsidR="002242F3" w:rsidRPr="00C652F8" w:rsidRDefault="002242F3" w:rsidP="005E3B44">
            <w:pPr>
              <w:pStyle w:val="Normal15"/>
              <w:jc w:val="right"/>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1006E991"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743B29ED"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1CC46987" w14:textId="77777777" w:rsidR="002242F3" w:rsidRPr="00C652F8" w:rsidRDefault="002242F3" w:rsidP="005E3B44">
            <w:pPr>
              <w:pStyle w:val="Normal15"/>
              <w:rPr>
                <w:rFonts w:asciiTheme="minorHAnsi" w:eastAsia="Calibri" w:hAnsiTheme="minorHAnsi" w:cstheme="minorHAnsi"/>
                <w:b/>
                <w:color w:val="000000"/>
                <w:sz w:val="10"/>
                <w:szCs w:val="10"/>
              </w:rPr>
            </w:pPr>
          </w:p>
        </w:tc>
      </w:tr>
      <w:tr w:rsidR="002242F3" w:rsidRPr="005E3B44" w14:paraId="67303663"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4A1510BE"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FFFFFF" w:fill="FFFFFF"/>
            <w:noWrap/>
            <w:tcMar>
              <w:left w:w="101" w:type="dxa"/>
              <w:right w:w="101" w:type="dxa"/>
            </w:tcMar>
          </w:tcPr>
          <w:p w14:paraId="2530367F"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62" w:type="dxa"/>
            <w:tcBorders>
              <w:top w:val="nil"/>
              <w:left w:val="nil"/>
              <w:bottom w:val="nil"/>
              <w:right w:val="nil"/>
              <w:tl2br w:val="nil"/>
              <w:tr2bl w:val="nil"/>
            </w:tcBorders>
            <w:shd w:val="clear" w:color="FFFFFF" w:fill="FFFFFF"/>
            <w:tcMar>
              <w:left w:w="0" w:type="dxa"/>
              <w:right w:w="0" w:type="dxa"/>
            </w:tcMar>
          </w:tcPr>
          <w:p w14:paraId="45A76813"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425074BF"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239BA70B"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25641ACD"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0C650118"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19E7A84C"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07F03D41"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3FA3587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1,621</w:t>
            </w:r>
          </w:p>
        </w:tc>
        <w:tc>
          <w:tcPr>
            <w:tcW w:w="2447" w:type="dxa"/>
            <w:tcBorders>
              <w:top w:val="nil"/>
              <w:left w:val="nil"/>
              <w:bottom w:val="nil"/>
              <w:right w:val="nil"/>
              <w:tl2br w:val="nil"/>
              <w:tr2bl w:val="nil"/>
            </w:tcBorders>
            <w:shd w:val="clear" w:color="FFFFFF" w:fill="FFFFFF"/>
            <w:noWrap/>
            <w:tcMar>
              <w:left w:w="101" w:type="dxa"/>
              <w:right w:w="101" w:type="dxa"/>
            </w:tcMar>
          </w:tcPr>
          <w:p w14:paraId="7884D724"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Expenses</w:t>
            </w:r>
          </w:p>
        </w:tc>
        <w:tc>
          <w:tcPr>
            <w:tcW w:w="1062" w:type="dxa"/>
            <w:tcBorders>
              <w:top w:val="nil"/>
              <w:left w:val="nil"/>
              <w:bottom w:val="nil"/>
              <w:right w:val="nil"/>
              <w:tl2br w:val="nil"/>
              <w:tr2bl w:val="nil"/>
            </w:tcBorders>
            <w:shd w:val="clear" w:color="FFFFFF" w:fill="FFFFFF"/>
            <w:tcMar>
              <w:left w:w="101" w:type="dxa"/>
              <w:right w:w="101" w:type="dxa"/>
            </w:tcMar>
          </w:tcPr>
          <w:p w14:paraId="1B3E7618"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1,575</w:t>
            </w:r>
          </w:p>
        </w:tc>
        <w:tc>
          <w:tcPr>
            <w:tcW w:w="1062" w:type="dxa"/>
            <w:tcBorders>
              <w:top w:val="nil"/>
              <w:left w:val="nil"/>
              <w:bottom w:val="nil"/>
              <w:right w:val="nil"/>
              <w:tl2br w:val="nil"/>
              <w:tr2bl w:val="nil"/>
            </w:tcBorders>
            <w:shd w:val="clear" w:color="FFFFFF" w:fill="FFFFFF"/>
            <w:tcMar>
              <w:left w:w="101" w:type="dxa"/>
              <w:right w:w="101" w:type="dxa"/>
            </w:tcMar>
          </w:tcPr>
          <w:p w14:paraId="46452D7E"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2,449</w:t>
            </w:r>
          </w:p>
        </w:tc>
        <w:tc>
          <w:tcPr>
            <w:tcW w:w="615" w:type="dxa"/>
            <w:tcBorders>
              <w:top w:val="nil"/>
              <w:left w:val="nil"/>
              <w:bottom w:val="nil"/>
              <w:right w:val="nil"/>
              <w:tl2br w:val="nil"/>
              <w:tr2bl w:val="nil"/>
            </w:tcBorders>
            <w:shd w:val="clear" w:color="FFFFFF" w:fill="FFFFFF"/>
            <w:tcMar>
              <w:left w:w="101" w:type="dxa"/>
              <w:right w:w="101" w:type="dxa"/>
            </w:tcMar>
          </w:tcPr>
          <w:p w14:paraId="66EF0C25"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55 </w:t>
            </w:r>
          </w:p>
        </w:tc>
        <w:tc>
          <w:tcPr>
            <w:tcW w:w="1062" w:type="dxa"/>
            <w:tcBorders>
              <w:top w:val="nil"/>
              <w:left w:val="nil"/>
              <w:bottom w:val="nil"/>
              <w:right w:val="nil"/>
              <w:tl2br w:val="nil"/>
              <w:tr2bl w:val="nil"/>
            </w:tcBorders>
            <w:shd w:val="clear" w:color="FFFFFF" w:fill="FFFFFF"/>
            <w:tcMar>
              <w:left w:w="101" w:type="dxa"/>
              <w:right w:w="101" w:type="dxa"/>
            </w:tcMar>
          </w:tcPr>
          <w:p w14:paraId="7BB1CB51"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2,736</w:t>
            </w:r>
          </w:p>
        </w:tc>
        <w:tc>
          <w:tcPr>
            <w:tcW w:w="1062" w:type="dxa"/>
            <w:tcBorders>
              <w:top w:val="nil"/>
              <w:left w:val="nil"/>
              <w:bottom w:val="nil"/>
              <w:right w:val="nil"/>
              <w:tl2br w:val="nil"/>
              <w:tr2bl w:val="nil"/>
            </w:tcBorders>
            <w:shd w:val="clear" w:color="FFFFFF" w:fill="FFFFFF"/>
            <w:tcMar>
              <w:left w:w="101" w:type="dxa"/>
              <w:right w:w="101" w:type="dxa"/>
            </w:tcMar>
          </w:tcPr>
          <w:p w14:paraId="6ED1E77F"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2,765</w:t>
            </w:r>
          </w:p>
        </w:tc>
        <w:tc>
          <w:tcPr>
            <w:tcW w:w="1062" w:type="dxa"/>
            <w:tcBorders>
              <w:top w:val="nil"/>
              <w:left w:val="nil"/>
              <w:bottom w:val="nil"/>
              <w:right w:val="nil"/>
              <w:tl2br w:val="nil"/>
              <w:tr2bl w:val="nil"/>
            </w:tcBorders>
            <w:shd w:val="clear" w:color="FFFFFF" w:fill="FFFFFF"/>
            <w:tcMar>
              <w:left w:w="101" w:type="dxa"/>
              <w:right w:w="101" w:type="dxa"/>
            </w:tcMar>
          </w:tcPr>
          <w:p w14:paraId="05AAE3C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2,794</w:t>
            </w:r>
          </w:p>
        </w:tc>
      </w:tr>
      <w:tr w:rsidR="002242F3" w:rsidRPr="005E3B44" w14:paraId="6B8829B7"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266AADCC"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190,664</w:t>
            </w:r>
          </w:p>
        </w:tc>
        <w:tc>
          <w:tcPr>
            <w:tcW w:w="2447" w:type="dxa"/>
            <w:tcBorders>
              <w:top w:val="nil"/>
              <w:left w:val="nil"/>
              <w:bottom w:val="nil"/>
              <w:right w:val="nil"/>
              <w:tl2br w:val="nil"/>
              <w:tr2bl w:val="nil"/>
            </w:tcBorders>
            <w:shd w:val="clear" w:color="FFFFFF" w:fill="FFFFFF"/>
            <w:noWrap/>
            <w:tcMar>
              <w:left w:w="101" w:type="dxa"/>
              <w:right w:w="101" w:type="dxa"/>
            </w:tcMar>
          </w:tcPr>
          <w:p w14:paraId="659A3403"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62" w:type="dxa"/>
            <w:tcBorders>
              <w:top w:val="nil"/>
              <w:left w:val="nil"/>
              <w:bottom w:val="nil"/>
              <w:right w:val="nil"/>
              <w:tl2br w:val="nil"/>
              <w:tr2bl w:val="nil"/>
            </w:tcBorders>
            <w:shd w:val="clear" w:color="FFFFFF" w:fill="FFFFFF"/>
            <w:tcMar>
              <w:left w:w="101" w:type="dxa"/>
              <w:right w:w="101" w:type="dxa"/>
            </w:tcMar>
          </w:tcPr>
          <w:p w14:paraId="67CA4D2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187,618</w:t>
            </w:r>
          </w:p>
        </w:tc>
        <w:tc>
          <w:tcPr>
            <w:tcW w:w="1062" w:type="dxa"/>
            <w:tcBorders>
              <w:top w:val="nil"/>
              <w:left w:val="nil"/>
              <w:bottom w:val="nil"/>
              <w:right w:val="nil"/>
              <w:tl2br w:val="nil"/>
              <w:tr2bl w:val="nil"/>
            </w:tcBorders>
            <w:shd w:val="clear" w:color="FFFFFF" w:fill="FFFFFF"/>
            <w:tcMar>
              <w:left w:w="101" w:type="dxa"/>
              <w:right w:w="101" w:type="dxa"/>
            </w:tcMar>
          </w:tcPr>
          <w:p w14:paraId="56FF9B60"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208,645</w:t>
            </w:r>
          </w:p>
        </w:tc>
        <w:tc>
          <w:tcPr>
            <w:tcW w:w="615" w:type="dxa"/>
            <w:tcBorders>
              <w:top w:val="nil"/>
              <w:left w:val="nil"/>
              <w:bottom w:val="nil"/>
              <w:right w:val="nil"/>
              <w:tl2br w:val="nil"/>
              <w:tr2bl w:val="nil"/>
            </w:tcBorders>
            <w:shd w:val="clear" w:color="FFFFFF" w:fill="FFFFFF"/>
            <w:tcMar>
              <w:left w:w="101" w:type="dxa"/>
              <w:right w:w="101" w:type="dxa"/>
            </w:tcMar>
          </w:tcPr>
          <w:p w14:paraId="26F89E8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11 </w:t>
            </w:r>
          </w:p>
        </w:tc>
        <w:tc>
          <w:tcPr>
            <w:tcW w:w="1062" w:type="dxa"/>
            <w:tcBorders>
              <w:top w:val="nil"/>
              <w:left w:val="nil"/>
              <w:bottom w:val="nil"/>
              <w:right w:val="nil"/>
              <w:tl2br w:val="nil"/>
              <w:tr2bl w:val="nil"/>
            </w:tcBorders>
            <w:shd w:val="clear" w:color="FFFFFF" w:fill="FFFFFF"/>
            <w:tcMar>
              <w:left w:w="101" w:type="dxa"/>
              <w:right w:w="101" w:type="dxa"/>
            </w:tcMar>
          </w:tcPr>
          <w:p w14:paraId="2AE63CB1"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206,185</w:t>
            </w:r>
          </w:p>
        </w:tc>
        <w:tc>
          <w:tcPr>
            <w:tcW w:w="1062" w:type="dxa"/>
            <w:tcBorders>
              <w:top w:val="nil"/>
              <w:left w:val="nil"/>
              <w:bottom w:val="nil"/>
              <w:right w:val="nil"/>
              <w:tl2br w:val="nil"/>
              <w:tr2bl w:val="nil"/>
            </w:tcBorders>
            <w:shd w:val="clear" w:color="FFFFFF" w:fill="FFFFFF"/>
            <w:tcMar>
              <w:left w:w="101" w:type="dxa"/>
              <w:right w:w="101" w:type="dxa"/>
            </w:tcMar>
          </w:tcPr>
          <w:p w14:paraId="5DB32D1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208,871</w:t>
            </w:r>
          </w:p>
        </w:tc>
        <w:tc>
          <w:tcPr>
            <w:tcW w:w="1062" w:type="dxa"/>
            <w:tcBorders>
              <w:top w:val="nil"/>
              <w:left w:val="nil"/>
              <w:bottom w:val="nil"/>
              <w:right w:val="nil"/>
              <w:tl2br w:val="nil"/>
              <w:tr2bl w:val="nil"/>
            </w:tcBorders>
            <w:shd w:val="clear" w:color="FFFFFF" w:fill="FFFFFF"/>
            <w:tcMar>
              <w:left w:w="101" w:type="dxa"/>
              <w:right w:w="101" w:type="dxa"/>
            </w:tcMar>
          </w:tcPr>
          <w:p w14:paraId="3DD6911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208,811</w:t>
            </w:r>
          </w:p>
        </w:tc>
      </w:tr>
      <w:tr w:rsidR="002242F3" w:rsidRPr="005E3B44" w14:paraId="15A36C2B"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61B54AF0"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12,543</w:t>
            </w:r>
          </w:p>
        </w:tc>
        <w:tc>
          <w:tcPr>
            <w:tcW w:w="2447" w:type="dxa"/>
            <w:tcBorders>
              <w:top w:val="nil"/>
              <w:left w:val="nil"/>
              <w:bottom w:val="nil"/>
              <w:right w:val="nil"/>
              <w:tl2br w:val="nil"/>
              <w:tr2bl w:val="nil"/>
            </w:tcBorders>
            <w:shd w:val="clear" w:color="FFFFFF" w:fill="FFFFFF"/>
            <w:noWrap/>
            <w:tcMar>
              <w:left w:w="101" w:type="dxa"/>
              <w:right w:w="101" w:type="dxa"/>
            </w:tcMar>
          </w:tcPr>
          <w:p w14:paraId="0308C3F7"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62" w:type="dxa"/>
            <w:tcBorders>
              <w:top w:val="nil"/>
              <w:left w:val="nil"/>
              <w:bottom w:val="nil"/>
              <w:right w:val="nil"/>
              <w:tl2br w:val="nil"/>
              <w:tr2bl w:val="nil"/>
            </w:tcBorders>
            <w:shd w:val="clear" w:color="FFFFFF" w:fill="FFFFFF"/>
            <w:tcMar>
              <w:left w:w="101" w:type="dxa"/>
              <w:right w:w="101" w:type="dxa"/>
            </w:tcMar>
          </w:tcPr>
          <w:p w14:paraId="025287FE"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10,366</w:t>
            </w:r>
          </w:p>
        </w:tc>
        <w:tc>
          <w:tcPr>
            <w:tcW w:w="1062" w:type="dxa"/>
            <w:tcBorders>
              <w:top w:val="nil"/>
              <w:left w:val="nil"/>
              <w:bottom w:val="nil"/>
              <w:right w:val="nil"/>
              <w:tl2br w:val="nil"/>
              <w:tr2bl w:val="nil"/>
            </w:tcBorders>
            <w:shd w:val="clear" w:color="FFFFFF" w:fill="FFFFFF"/>
            <w:tcMar>
              <w:left w:w="101" w:type="dxa"/>
              <w:right w:w="101" w:type="dxa"/>
            </w:tcMar>
          </w:tcPr>
          <w:p w14:paraId="3337C3AA"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9,682</w:t>
            </w:r>
          </w:p>
        </w:tc>
        <w:tc>
          <w:tcPr>
            <w:tcW w:w="615" w:type="dxa"/>
            <w:tcBorders>
              <w:top w:val="nil"/>
              <w:left w:val="nil"/>
              <w:bottom w:val="nil"/>
              <w:right w:val="nil"/>
              <w:tl2br w:val="nil"/>
              <w:tr2bl w:val="nil"/>
            </w:tcBorders>
            <w:shd w:val="clear" w:color="FFFFFF" w:fill="FFFFFF"/>
            <w:tcMar>
              <w:left w:w="101" w:type="dxa"/>
              <w:right w:w="101" w:type="dxa"/>
            </w:tcMar>
          </w:tcPr>
          <w:p w14:paraId="7D5A178F"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-7 </w:t>
            </w:r>
          </w:p>
        </w:tc>
        <w:tc>
          <w:tcPr>
            <w:tcW w:w="1062" w:type="dxa"/>
            <w:tcBorders>
              <w:top w:val="nil"/>
              <w:left w:val="nil"/>
              <w:bottom w:val="nil"/>
              <w:right w:val="nil"/>
              <w:tl2br w:val="nil"/>
              <w:tr2bl w:val="nil"/>
            </w:tcBorders>
            <w:shd w:val="clear" w:color="FFFFFF" w:fill="FFFFFF"/>
            <w:tcMar>
              <w:left w:w="101" w:type="dxa"/>
              <w:right w:w="101" w:type="dxa"/>
            </w:tcMar>
          </w:tcPr>
          <w:p w14:paraId="0446B41A"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7,927</w:t>
            </w:r>
          </w:p>
        </w:tc>
        <w:tc>
          <w:tcPr>
            <w:tcW w:w="1062" w:type="dxa"/>
            <w:tcBorders>
              <w:top w:val="nil"/>
              <w:left w:val="nil"/>
              <w:bottom w:val="nil"/>
              <w:right w:val="nil"/>
              <w:tl2br w:val="nil"/>
              <w:tr2bl w:val="nil"/>
            </w:tcBorders>
            <w:shd w:val="clear" w:color="FFFFFF" w:fill="FFFFFF"/>
            <w:tcMar>
              <w:left w:w="101" w:type="dxa"/>
              <w:right w:w="101" w:type="dxa"/>
            </w:tcMar>
          </w:tcPr>
          <w:p w14:paraId="2777F355"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8,006</w:t>
            </w:r>
          </w:p>
        </w:tc>
        <w:tc>
          <w:tcPr>
            <w:tcW w:w="1062" w:type="dxa"/>
            <w:tcBorders>
              <w:top w:val="nil"/>
              <w:left w:val="nil"/>
              <w:bottom w:val="nil"/>
              <w:right w:val="nil"/>
              <w:tl2br w:val="nil"/>
              <w:tr2bl w:val="nil"/>
            </w:tcBorders>
            <w:shd w:val="clear" w:color="FFFFFF" w:fill="FFFFFF"/>
            <w:tcMar>
              <w:left w:w="101" w:type="dxa"/>
              <w:right w:w="101" w:type="dxa"/>
            </w:tcMar>
          </w:tcPr>
          <w:p w14:paraId="3FBECBF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8,166</w:t>
            </w:r>
          </w:p>
        </w:tc>
      </w:tr>
      <w:tr w:rsidR="002242F3" w:rsidRPr="005E3B44" w14:paraId="07471357"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3979724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8,994</w:t>
            </w:r>
          </w:p>
        </w:tc>
        <w:tc>
          <w:tcPr>
            <w:tcW w:w="2447" w:type="dxa"/>
            <w:tcBorders>
              <w:top w:val="nil"/>
              <w:left w:val="nil"/>
              <w:bottom w:val="nil"/>
              <w:right w:val="nil"/>
              <w:tl2br w:val="nil"/>
              <w:tr2bl w:val="nil"/>
            </w:tcBorders>
            <w:shd w:val="clear" w:color="FFFFFF" w:fill="FFFFFF"/>
            <w:noWrap/>
            <w:tcMar>
              <w:left w:w="101" w:type="dxa"/>
              <w:right w:w="101" w:type="dxa"/>
            </w:tcMar>
          </w:tcPr>
          <w:p w14:paraId="03211024"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Transfer of Territory Receipts to the ACT Government</w:t>
            </w:r>
          </w:p>
        </w:tc>
        <w:tc>
          <w:tcPr>
            <w:tcW w:w="1062" w:type="dxa"/>
            <w:tcBorders>
              <w:top w:val="nil"/>
              <w:left w:val="nil"/>
              <w:bottom w:val="nil"/>
              <w:right w:val="nil"/>
              <w:tl2br w:val="nil"/>
              <w:tr2bl w:val="nil"/>
            </w:tcBorders>
            <w:shd w:val="clear" w:color="FFFFFF" w:fill="FFFFFF"/>
            <w:tcMar>
              <w:left w:w="101" w:type="dxa"/>
              <w:right w:w="101" w:type="dxa"/>
            </w:tcMar>
          </w:tcPr>
          <w:p w14:paraId="2674F777"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7,787</w:t>
            </w:r>
          </w:p>
        </w:tc>
        <w:tc>
          <w:tcPr>
            <w:tcW w:w="1062" w:type="dxa"/>
            <w:tcBorders>
              <w:top w:val="nil"/>
              <w:left w:val="nil"/>
              <w:bottom w:val="nil"/>
              <w:right w:val="nil"/>
              <w:tl2br w:val="nil"/>
              <w:tr2bl w:val="nil"/>
            </w:tcBorders>
            <w:shd w:val="clear" w:color="FFFFFF" w:fill="FFFFFF"/>
            <w:tcMar>
              <w:left w:w="101" w:type="dxa"/>
              <w:right w:w="101" w:type="dxa"/>
            </w:tcMar>
          </w:tcPr>
          <w:p w14:paraId="7046678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9,217</w:t>
            </w:r>
          </w:p>
        </w:tc>
        <w:tc>
          <w:tcPr>
            <w:tcW w:w="615" w:type="dxa"/>
            <w:tcBorders>
              <w:top w:val="nil"/>
              <w:left w:val="nil"/>
              <w:bottom w:val="nil"/>
              <w:right w:val="nil"/>
              <w:tl2br w:val="nil"/>
              <w:tr2bl w:val="nil"/>
            </w:tcBorders>
            <w:shd w:val="clear" w:color="FFFFFF" w:fill="FFFFFF"/>
            <w:tcMar>
              <w:left w:w="101" w:type="dxa"/>
              <w:right w:w="101" w:type="dxa"/>
            </w:tcMar>
          </w:tcPr>
          <w:p w14:paraId="57FE619C"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18 </w:t>
            </w:r>
          </w:p>
        </w:tc>
        <w:tc>
          <w:tcPr>
            <w:tcW w:w="1062" w:type="dxa"/>
            <w:tcBorders>
              <w:top w:val="nil"/>
              <w:left w:val="nil"/>
              <w:bottom w:val="nil"/>
              <w:right w:val="nil"/>
              <w:tl2br w:val="nil"/>
              <w:tr2bl w:val="nil"/>
            </w:tcBorders>
            <w:shd w:val="clear" w:color="FFFFFF" w:fill="FFFFFF"/>
            <w:tcMar>
              <w:left w:w="101" w:type="dxa"/>
              <w:right w:w="101" w:type="dxa"/>
            </w:tcMar>
          </w:tcPr>
          <w:p w14:paraId="54F38718"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9,216</w:t>
            </w:r>
          </w:p>
        </w:tc>
        <w:tc>
          <w:tcPr>
            <w:tcW w:w="1062" w:type="dxa"/>
            <w:tcBorders>
              <w:top w:val="nil"/>
              <w:left w:val="nil"/>
              <w:bottom w:val="nil"/>
              <w:right w:val="nil"/>
              <w:tl2br w:val="nil"/>
              <w:tr2bl w:val="nil"/>
            </w:tcBorders>
            <w:shd w:val="clear" w:color="FFFFFF" w:fill="FFFFFF"/>
            <w:tcMar>
              <w:left w:w="101" w:type="dxa"/>
              <w:right w:w="101" w:type="dxa"/>
            </w:tcMar>
          </w:tcPr>
          <w:p w14:paraId="1D92935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9,504</w:t>
            </w:r>
          </w:p>
        </w:tc>
        <w:tc>
          <w:tcPr>
            <w:tcW w:w="1062" w:type="dxa"/>
            <w:tcBorders>
              <w:top w:val="nil"/>
              <w:left w:val="nil"/>
              <w:bottom w:val="nil"/>
              <w:right w:val="nil"/>
              <w:tl2br w:val="nil"/>
              <w:tr2bl w:val="nil"/>
            </w:tcBorders>
            <w:shd w:val="clear" w:color="FFFFFF" w:fill="FFFFFF"/>
            <w:tcMar>
              <w:left w:w="101" w:type="dxa"/>
              <w:right w:w="101" w:type="dxa"/>
            </w:tcMar>
          </w:tcPr>
          <w:p w14:paraId="1B2C22F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9,505</w:t>
            </w:r>
          </w:p>
        </w:tc>
      </w:tr>
      <w:tr w:rsidR="002242F3" w:rsidRPr="005E3B44" w14:paraId="30F6A920"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4CBD926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578</w:t>
            </w:r>
          </w:p>
        </w:tc>
        <w:tc>
          <w:tcPr>
            <w:tcW w:w="2447" w:type="dxa"/>
            <w:tcBorders>
              <w:top w:val="nil"/>
              <w:left w:val="nil"/>
              <w:bottom w:val="nil"/>
              <w:right w:val="nil"/>
              <w:tl2br w:val="nil"/>
              <w:tr2bl w:val="nil"/>
            </w:tcBorders>
            <w:shd w:val="clear" w:color="FFFFFF" w:fill="FFFFFF"/>
            <w:noWrap/>
            <w:tcMar>
              <w:left w:w="101" w:type="dxa"/>
              <w:right w:w="101" w:type="dxa"/>
            </w:tcMar>
          </w:tcPr>
          <w:p w14:paraId="1FA629D3"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w:t>
            </w:r>
          </w:p>
        </w:tc>
        <w:tc>
          <w:tcPr>
            <w:tcW w:w="1062" w:type="dxa"/>
            <w:tcBorders>
              <w:top w:val="nil"/>
              <w:left w:val="nil"/>
              <w:bottom w:val="nil"/>
              <w:right w:val="nil"/>
              <w:tl2br w:val="nil"/>
              <w:tr2bl w:val="nil"/>
            </w:tcBorders>
            <w:shd w:val="clear" w:color="FFFFFF" w:fill="FFFFFF"/>
            <w:tcMar>
              <w:left w:w="101" w:type="dxa"/>
              <w:right w:w="101" w:type="dxa"/>
            </w:tcMar>
          </w:tcPr>
          <w:p w14:paraId="449F442A"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1,486</w:t>
            </w:r>
          </w:p>
        </w:tc>
        <w:tc>
          <w:tcPr>
            <w:tcW w:w="1062" w:type="dxa"/>
            <w:tcBorders>
              <w:top w:val="nil"/>
              <w:left w:val="nil"/>
              <w:bottom w:val="nil"/>
              <w:right w:val="nil"/>
              <w:tl2br w:val="nil"/>
              <w:tr2bl w:val="nil"/>
            </w:tcBorders>
            <w:shd w:val="clear" w:color="FFFFFF" w:fill="FFFFFF"/>
            <w:tcMar>
              <w:left w:w="101" w:type="dxa"/>
              <w:right w:w="101" w:type="dxa"/>
            </w:tcMar>
          </w:tcPr>
          <w:p w14:paraId="2D06E829"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574</w:t>
            </w:r>
          </w:p>
        </w:tc>
        <w:tc>
          <w:tcPr>
            <w:tcW w:w="615" w:type="dxa"/>
            <w:tcBorders>
              <w:top w:val="nil"/>
              <w:left w:val="nil"/>
              <w:bottom w:val="nil"/>
              <w:right w:val="nil"/>
              <w:tl2br w:val="nil"/>
              <w:tr2bl w:val="nil"/>
            </w:tcBorders>
            <w:shd w:val="clear" w:color="FFFFFF" w:fill="FFFFFF"/>
            <w:tcMar>
              <w:left w:w="101" w:type="dxa"/>
              <w:right w:w="101" w:type="dxa"/>
            </w:tcMar>
          </w:tcPr>
          <w:p w14:paraId="7D052BC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-61 </w:t>
            </w:r>
          </w:p>
        </w:tc>
        <w:tc>
          <w:tcPr>
            <w:tcW w:w="1062" w:type="dxa"/>
            <w:tcBorders>
              <w:top w:val="nil"/>
              <w:left w:val="nil"/>
              <w:bottom w:val="nil"/>
              <w:right w:val="nil"/>
              <w:tl2br w:val="nil"/>
              <w:tr2bl w:val="nil"/>
            </w:tcBorders>
            <w:shd w:val="clear" w:color="FFFFFF" w:fill="FFFFFF"/>
            <w:tcMar>
              <w:left w:w="101" w:type="dxa"/>
              <w:right w:w="101" w:type="dxa"/>
            </w:tcMar>
          </w:tcPr>
          <w:p w14:paraId="4A6C9A87"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578</w:t>
            </w:r>
          </w:p>
        </w:tc>
        <w:tc>
          <w:tcPr>
            <w:tcW w:w="1062" w:type="dxa"/>
            <w:tcBorders>
              <w:top w:val="nil"/>
              <w:left w:val="nil"/>
              <w:bottom w:val="nil"/>
              <w:right w:val="nil"/>
              <w:tl2br w:val="nil"/>
              <w:tr2bl w:val="nil"/>
            </w:tcBorders>
            <w:shd w:val="clear" w:color="FFFFFF" w:fill="FFFFFF"/>
            <w:tcMar>
              <w:left w:w="101" w:type="dxa"/>
              <w:right w:w="101" w:type="dxa"/>
            </w:tcMar>
          </w:tcPr>
          <w:p w14:paraId="4370F9FF"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578</w:t>
            </w:r>
          </w:p>
        </w:tc>
        <w:tc>
          <w:tcPr>
            <w:tcW w:w="1062" w:type="dxa"/>
            <w:tcBorders>
              <w:top w:val="nil"/>
              <w:left w:val="nil"/>
              <w:bottom w:val="nil"/>
              <w:right w:val="nil"/>
              <w:tl2br w:val="nil"/>
              <w:tr2bl w:val="nil"/>
            </w:tcBorders>
            <w:shd w:val="clear" w:color="FFFFFF" w:fill="FFFFFF"/>
            <w:tcMar>
              <w:left w:w="101" w:type="dxa"/>
              <w:right w:w="101" w:type="dxa"/>
            </w:tcMar>
          </w:tcPr>
          <w:p w14:paraId="60337404"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578</w:t>
            </w:r>
          </w:p>
        </w:tc>
      </w:tr>
      <w:tr w:rsidR="002242F3" w:rsidRPr="005E3B44" w14:paraId="315AE581"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01C30B24"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214,400</w:t>
            </w:r>
          </w:p>
        </w:tc>
        <w:tc>
          <w:tcPr>
            <w:tcW w:w="2447" w:type="dxa"/>
            <w:tcBorders>
              <w:top w:val="nil"/>
              <w:left w:val="nil"/>
              <w:bottom w:val="nil"/>
              <w:right w:val="nil"/>
              <w:tl2br w:val="nil"/>
              <w:tr2bl w:val="nil"/>
            </w:tcBorders>
            <w:shd w:val="clear" w:color="FFFFFF" w:fill="FFFFFF"/>
            <w:noWrap/>
            <w:tcMar>
              <w:left w:w="101" w:type="dxa"/>
              <w:right w:w="101" w:type="dxa"/>
            </w:tcMar>
          </w:tcPr>
          <w:p w14:paraId="328F27BD"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Payments</w:t>
            </w:r>
          </w:p>
        </w:tc>
        <w:tc>
          <w:tcPr>
            <w:tcW w:w="1062" w:type="dxa"/>
            <w:tcBorders>
              <w:top w:val="nil"/>
              <w:left w:val="nil"/>
              <w:bottom w:val="nil"/>
              <w:right w:val="nil"/>
              <w:tl2br w:val="nil"/>
              <w:tr2bl w:val="nil"/>
            </w:tcBorders>
            <w:shd w:val="clear" w:color="FFFFFF" w:fill="FFFFFF"/>
            <w:tcMar>
              <w:left w:w="101" w:type="dxa"/>
              <w:right w:w="101" w:type="dxa"/>
            </w:tcMar>
          </w:tcPr>
          <w:p w14:paraId="38F45854"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208,832</w:t>
            </w:r>
          </w:p>
        </w:tc>
        <w:tc>
          <w:tcPr>
            <w:tcW w:w="1062" w:type="dxa"/>
            <w:tcBorders>
              <w:top w:val="nil"/>
              <w:left w:val="nil"/>
              <w:bottom w:val="nil"/>
              <w:right w:val="nil"/>
              <w:tl2br w:val="nil"/>
              <w:tr2bl w:val="nil"/>
            </w:tcBorders>
            <w:shd w:val="clear" w:color="FFFFFF" w:fill="FFFFFF"/>
            <w:tcMar>
              <w:left w:w="101" w:type="dxa"/>
              <w:right w:w="101" w:type="dxa"/>
            </w:tcMar>
          </w:tcPr>
          <w:p w14:paraId="10ED50C1"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230,567</w:t>
            </w:r>
          </w:p>
        </w:tc>
        <w:tc>
          <w:tcPr>
            <w:tcW w:w="615" w:type="dxa"/>
            <w:tcBorders>
              <w:top w:val="nil"/>
              <w:left w:val="nil"/>
              <w:bottom w:val="nil"/>
              <w:right w:val="nil"/>
              <w:tl2br w:val="nil"/>
              <w:tr2bl w:val="nil"/>
            </w:tcBorders>
            <w:shd w:val="clear" w:color="FFFFFF" w:fill="FFFFFF"/>
            <w:tcMar>
              <w:left w:w="101" w:type="dxa"/>
              <w:right w:w="101" w:type="dxa"/>
            </w:tcMar>
          </w:tcPr>
          <w:p w14:paraId="7B3FC577"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 </w:t>
            </w:r>
          </w:p>
        </w:tc>
        <w:tc>
          <w:tcPr>
            <w:tcW w:w="1062" w:type="dxa"/>
            <w:tcBorders>
              <w:top w:val="nil"/>
              <w:left w:val="nil"/>
              <w:bottom w:val="nil"/>
              <w:right w:val="nil"/>
              <w:tl2br w:val="nil"/>
              <w:tr2bl w:val="nil"/>
            </w:tcBorders>
            <w:shd w:val="clear" w:color="FFFFFF" w:fill="FFFFFF"/>
            <w:tcMar>
              <w:left w:w="101" w:type="dxa"/>
              <w:right w:w="101" w:type="dxa"/>
            </w:tcMar>
          </w:tcPr>
          <w:p w14:paraId="58875FC3"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226,642</w:t>
            </w:r>
          </w:p>
        </w:tc>
        <w:tc>
          <w:tcPr>
            <w:tcW w:w="1062" w:type="dxa"/>
            <w:tcBorders>
              <w:top w:val="nil"/>
              <w:left w:val="nil"/>
              <w:bottom w:val="nil"/>
              <w:right w:val="nil"/>
              <w:tl2br w:val="nil"/>
              <w:tr2bl w:val="nil"/>
            </w:tcBorders>
            <w:shd w:val="clear" w:color="FFFFFF" w:fill="FFFFFF"/>
            <w:tcMar>
              <w:left w:w="101" w:type="dxa"/>
              <w:right w:w="101" w:type="dxa"/>
            </w:tcMar>
          </w:tcPr>
          <w:p w14:paraId="5C71ADA8"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229,724</w:t>
            </w:r>
          </w:p>
        </w:tc>
        <w:tc>
          <w:tcPr>
            <w:tcW w:w="1062" w:type="dxa"/>
            <w:tcBorders>
              <w:top w:val="nil"/>
              <w:left w:val="nil"/>
              <w:bottom w:val="nil"/>
              <w:right w:val="nil"/>
              <w:tl2br w:val="nil"/>
              <w:tr2bl w:val="nil"/>
            </w:tcBorders>
            <w:shd w:val="clear" w:color="FFFFFF" w:fill="FFFFFF"/>
            <w:tcMar>
              <w:left w:w="101" w:type="dxa"/>
              <w:right w:w="101" w:type="dxa"/>
            </w:tcMar>
          </w:tcPr>
          <w:p w14:paraId="101FDC80"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229,854</w:t>
            </w:r>
          </w:p>
        </w:tc>
      </w:tr>
      <w:tr w:rsidR="002242F3" w:rsidRPr="00235FF7" w14:paraId="3D64AAD7"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062" w:type="dxa"/>
            <w:tcBorders>
              <w:top w:val="nil"/>
              <w:left w:val="nil"/>
              <w:bottom w:val="nil"/>
              <w:right w:val="nil"/>
              <w:tl2br w:val="nil"/>
              <w:tr2bl w:val="nil"/>
            </w:tcBorders>
            <w:shd w:val="clear" w:color="FFFFFF" w:fill="FFFFFF"/>
            <w:tcMar>
              <w:left w:w="0" w:type="dxa"/>
              <w:right w:w="0" w:type="dxa"/>
            </w:tcMar>
          </w:tcPr>
          <w:p w14:paraId="072358E3"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2447" w:type="dxa"/>
            <w:tcBorders>
              <w:top w:val="nil"/>
              <w:left w:val="nil"/>
              <w:bottom w:val="nil"/>
              <w:right w:val="nil"/>
              <w:tl2br w:val="nil"/>
              <w:tr2bl w:val="nil"/>
            </w:tcBorders>
            <w:shd w:val="clear" w:color="FFFFFF" w:fill="FFFFFF"/>
            <w:noWrap/>
            <w:tcMar>
              <w:left w:w="0" w:type="dxa"/>
              <w:right w:w="0" w:type="dxa"/>
            </w:tcMar>
          </w:tcPr>
          <w:p w14:paraId="7215B9D4"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4686F127"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41DE37D0"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615" w:type="dxa"/>
            <w:tcBorders>
              <w:top w:val="nil"/>
              <w:left w:val="nil"/>
              <w:bottom w:val="nil"/>
              <w:right w:val="nil"/>
              <w:tl2br w:val="nil"/>
              <w:tr2bl w:val="nil"/>
            </w:tcBorders>
            <w:shd w:val="clear" w:color="FFFFFF" w:fill="FFFFFF"/>
            <w:tcMar>
              <w:left w:w="0" w:type="dxa"/>
              <w:right w:w="0" w:type="dxa"/>
            </w:tcMar>
          </w:tcPr>
          <w:p w14:paraId="05100DD1" w14:textId="77777777" w:rsidR="002242F3" w:rsidRPr="00C652F8" w:rsidRDefault="002242F3" w:rsidP="005E3B44">
            <w:pPr>
              <w:pStyle w:val="Normal15"/>
              <w:jc w:val="right"/>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53EEC9F1"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0AC5F32D" w14:textId="77777777" w:rsidR="002242F3" w:rsidRPr="00C652F8" w:rsidRDefault="002242F3" w:rsidP="005E3B44">
            <w:pPr>
              <w:pStyle w:val="Normal15"/>
              <w:rPr>
                <w:rFonts w:asciiTheme="minorHAnsi" w:eastAsia="Calibri" w:hAnsiTheme="minorHAnsi" w:cstheme="minorHAnsi"/>
                <w:b/>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670EC9E8" w14:textId="77777777" w:rsidR="002242F3" w:rsidRPr="00C652F8" w:rsidRDefault="002242F3" w:rsidP="005E3B44">
            <w:pPr>
              <w:pStyle w:val="Normal15"/>
              <w:rPr>
                <w:rFonts w:asciiTheme="minorHAnsi" w:eastAsia="Calibri" w:hAnsiTheme="minorHAnsi" w:cstheme="minorHAnsi"/>
                <w:b/>
                <w:color w:val="000000"/>
                <w:sz w:val="10"/>
                <w:szCs w:val="10"/>
              </w:rPr>
            </w:pPr>
          </w:p>
        </w:tc>
      </w:tr>
      <w:tr w:rsidR="002242F3" w:rsidRPr="005E3B44" w14:paraId="1720A7C8"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59FAC09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447" w:type="dxa"/>
            <w:tcBorders>
              <w:top w:val="nil"/>
              <w:left w:val="nil"/>
              <w:bottom w:val="nil"/>
              <w:right w:val="nil"/>
              <w:tl2br w:val="nil"/>
              <w:tr2bl w:val="nil"/>
            </w:tcBorders>
            <w:shd w:val="clear" w:color="FFFFFF" w:fill="FFFFFF"/>
            <w:noWrap/>
            <w:tcMar>
              <w:left w:w="101" w:type="dxa"/>
              <w:right w:w="101" w:type="dxa"/>
            </w:tcMar>
          </w:tcPr>
          <w:p w14:paraId="03BC1DF5"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OPERATING ACTIVITIES</w:t>
            </w:r>
          </w:p>
        </w:tc>
        <w:tc>
          <w:tcPr>
            <w:tcW w:w="1062" w:type="dxa"/>
            <w:tcBorders>
              <w:top w:val="nil"/>
              <w:left w:val="nil"/>
              <w:bottom w:val="nil"/>
              <w:right w:val="nil"/>
              <w:tl2br w:val="nil"/>
              <w:tr2bl w:val="nil"/>
            </w:tcBorders>
            <w:shd w:val="clear" w:color="FFFFFF" w:fill="FFFFFF"/>
            <w:tcMar>
              <w:left w:w="101" w:type="dxa"/>
              <w:right w:w="101" w:type="dxa"/>
            </w:tcMar>
          </w:tcPr>
          <w:p w14:paraId="62D5E817"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739</w:t>
            </w:r>
          </w:p>
        </w:tc>
        <w:tc>
          <w:tcPr>
            <w:tcW w:w="1062" w:type="dxa"/>
            <w:tcBorders>
              <w:top w:val="nil"/>
              <w:left w:val="nil"/>
              <w:bottom w:val="nil"/>
              <w:right w:val="nil"/>
              <w:tl2br w:val="nil"/>
              <w:tr2bl w:val="nil"/>
            </w:tcBorders>
            <w:shd w:val="clear" w:color="FFFFFF" w:fill="FFFFFF"/>
            <w:tcMar>
              <w:left w:w="101" w:type="dxa"/>
              <w:right w:w="101" w:type="dxa"/>
            </w:tcMar>
          </w:tcPr>
          <w:p w14:paraId="43359B03"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15" w:type="dxa"/>
            <w:tcBorders>
              <w:top w:val="nil"/>
              <w:left w:val="nil"/>
              <w:bottom w:val="nil"/>
              <w:right w:val="nil"/>
              <w:tl2br w:val="nil"/>
              <w:tr2bl w:val="nil"/>
            </w:tcBorders>
            <w:shd w:val="clear" w:color="FFFFFF" w:fill="FFFFFF"/>
            <w:tcMar>
              <w:left w:w="101" w:type="dxa"/>
              <w:right w:w="101" w:type="dxa"/>
            </w:tcMar>
          </w:tcPr>
          <w:p w14:paraId="7A88A810"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-100 </w:t>
            </w:r>
          </w:p>
        </w:tc>
        <w:tc>
          <w:tcPr>
            <w:tcW w:w="1062" w:type="dxa"/>
            <w:tcBorders>
              <w:top w:val="nil"/>
              <w:left w:val="nil"/>
              <w:bottom w:val="nil"/>
              <w:right w:val="nil"/>
              <w:tl2br w:val="nil"/>
              <w:tr2bl w:val="nil"/>
            </w:tcBorders>
            <w:shd w:val="clear" w:color="FFFFFF" w:fill="FFFFFF"/>
            <w:tcMar>
              <w:left w:w="101" w:type="dxa"/>
              <w:right w:w="101" w:type="dxa"/>
            </w:tcMar>
          </w:tcPr>
          <w:p w14:paraId="67A4762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62" w:type="dxa"/>
            <w:tcBorders>
              <w:top w:val="nil"/>
              <w:left w:val="nil"/>
              <w:bottom w:val="nil"/>
              <w:right w:val="nil"/>
              <w:tl2br w:val="nil"/>
              <w:tr2bl w:val="nil"/>
            </w:tcBorders>
            <w:shd w:val="clear" w:color="FFFFFF" w:fill="FFFFFF"/>
            <w:tcMar>
              <w:left w:w="101" w:type="dxa"/>
              <w:right w:w="101" w:type="dxa"/>
            </w:tcMar>
          </w:tcPr>
          <w:p w14:paraId="2B56B308"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62" w:type="dxa"/>
            <w:tcBorders>
              <w:top w:val="nil"/>
              <w:left w:val="nil"/>
              <w:bottom w:val="nil"/>
              <w:right w:val="nil"/>
              <w:tl2br w:val="nil"/>
              <w:tr2bl w:val="nil"/>
            </w:tcBorders>
            <w:shd w:val="clear" w:color="FFFFFF" w:fill="FFFFFF"/>
            <w:tcMar>
              <w:left w:w="101" w:type="dxa"/>
              <w:right w:w="101" w:type="dxa"/>
            </w:tcMar>
          </w:tcPr>
          <w:p w14:paraId="381EF819"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235FF7" w14:paraId="10CBCFCE"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5AD16F2F"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2447" w:type="dxa"/>
            <w:tcBorders>
              <w:top w:val="nil"/>
              <w:left w:val="nil"/>
              <w:bottom w:val="nil"/>
              <w:right w:val="nil"/>
              <w:tl2br w:val="nil"/>
              <w:tr2bl w:val="nil"/>
            </w:tcBorders>
            <w:shd w:val="clear" w:color="FFFFFF" w:fill="FFFFFF"/>
            <w:tcMar>
              <w:left w:w="0" w:type="dxa"/>
              <w:right w:w="0" w:type="dxa"/>
            </w:tcMar>
          </w:tcPr>
          <w:p w14:paraId="2FA33B83"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242ED779"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340D105A"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615" w:type="dxa"/>
            <w:tcBorders>
              <w:top w:val="nil"/>
              <w:left w:val="nil"/>
              <w:bottom w:val="nil"/>
              <w:right w:val="nil"/>
              <w:tl2br w:val="nil"/>
              <w:tr2bl w:val="nil"/>
            </w:tcBorders>
            <w:shd w:val="clear" w:color="FFFFFF" w:fill="FFFFFF"/>
            <w:tcMar>
              <w:left w:w="0" w:type="dxa"/>
              <w:right w:w="0" w:type="dxa"/>
            </w:tcMar>
          </w:tcPr>
          <w:p w14:paraId="74392CE6"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507C7C73"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52BF1C39"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08AA8563" w14:textId="77777777" w:rsidR="002242F3" w:rsidRPr="00C652F8" w:rsidRDefault="002242F3" w:rsidP="005E3B44">
            <w:pPr>
              <w:pStyle w:val="Normal15"/>
              <w:rPr>
                <w:rFonts w:asciiTheme="minorHAnsi" w:eastAsia="Calibri" w:hAnsiTheme="minorHAnsi" w:cstheme="minorHAnsi"/>
                <w:color w:val="000000"/>
                <w:sz w:val="10"/>
                <w:szCs w:val="10"/>
              </w:rPr>
            </w:pPr>
          </w:p>
        </w:tc>
      </w:tr>
      <w:tr w:rsidR="002242F3" w:rsidRPr="005E3B44" w14:paraId="6F9F4B16"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75EFC515" w14:textId="77777777" w:rsidR="002242F3" w:rsidRPr="005E3B44" w:rsidRDefault="002242F3" w:rsidP="005E3B44">
            <w:pPr>
              <w:pStyle w:val="Normal15"/>
              <w:rPr>
                <w:rFonts w:asciiTheme="minorHAnsi" w:eastAsia="Calibri" w:hAnsiTheme="minorHAnsi" w:cstheme="minorHAnsi"/>
                <w:color w:val="000000"/>
                <w:sz w:val="18"/>
              </w:rPr>
            </w:pPr>
          </w:p>
        </w:tc>
        <w:tc>
          <w:tcPr>
            <w:tcW w:w="8373" w:type="dxa"/>
            <w:gridSpan w:val="7"/>
            <w:tcBorders>
              <w:top w:val="nil"/>
              <w:left w:val="nil"/>
              <w:bottom w:val="nil"/>
              <w:right w:val="nil"/>
              <w:tl2br w:val="nil"/>
              <w:tr2bl w:val="nil"/>
            </w:tcBorders>
            <w:shd w:val="clear" w:color="auto" w:fill="auto"/>
            <w:tcMar>
              <w:left w:w="101" w:type="dxa"/>
              <w:right w:w="101" w:type="dxa"/>
            </w:tcMar>
            <w:vAlign w:val="bottom"/>
          </w:tcPr>
          <w:p w14:paraId="0A68C020"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INVESTING ACTIVITIES</w:t>
            </w:r>
          </w:p>
        </w:tc>
      </w:tr>
      <w:tr w:rsidR="002242F3" w:rsidRPr="00235FF7" w14:paraId="0F7A7A07"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062" w:type="dxa"/>
            <w:tcBorders>
              <w:top w:val="nil"/>
              <w:left w:val="nil"/>
              <w:bottom w:val="nil"/>
              <w:right w:val="nil"/>
              <w:tl2br w:val="nil"/>
              <w:tr2bl w:val="nil"/>
            </w:tcBorders>
            <w:shd w:val="clear" w:color="FFFFFF" w:fill="FFFFFF"/>
            <w:tcMar>
              <w:left w:w="0" w:type="dxa"/>
              <w:right w:w="0" w:type="dxa"/>
            </w:tcMar>
          </w:tcPr>
          <w:p w14:paraId="4D10856D"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2447" w:type="dxa"/>
            <w:tcBorders>
              <w:top w:val="nil"/>
              <w:left w:val="nil"/>
              <w:bottom w:val="nil"/>
              <w:right w:val="nil"/>
              <w:tl2br w:val="nil"/>
              <w:tr2bl w:val="nil"/>
            </w:tcBorders>
            <w:shd w:val="clear" w:color="FFFFFF" w:fill="FFFFFF"/>
            <w:noWrap/>
            <w:tcMar>
              <w:left w:w="0" w:type="dxa"/>
              <w:right w:w="0" w:type="dxa"/>
            </w:tcMar>
          </w:tcPr>
          <w:p w14:paraId="0DDB78F2"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37BBA74B"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350DB7BF"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615" w:type="dxa"/>
            <w:tcBorders>
              <w:top w:val="nil"/>
              <w:left w:val="nil"/>
              <w:bottom w:val="nil"/>
              <w:right w:val="nil"/>
              <w:tl2br w:val="nil"/>
              <w:tr2bl w:val="nil"/>
            </w:tcBorders>
            <w:shd w:val="clear" w:color="FFFFFF" w:fill="FFFFFF"/>
            <w:tcMar>
              <w:left w:w="0" w:type="dxa"/>
              <w:right w:w="0" w:type="dxa"/>
            </w:tcMar>
          </w:tcPr>
          <w:p w14:paraId="6A4EE982" w14:textId="77777777" w:rsidR="002242F3" w:rsidRPr="00C652F8" w:rsidRDefault="002242F3" w:rsidP="005E3B44">
            <w:pPr>
              <w:pStyle w:val="Normal15"/>
              <w:jc w:val="right"/>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7061193C"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5811FA0C"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44B283E3" w14:textId="77777777" w:rsidR="002242F3" w:rsidRPr="00C652F8" w:rsidRDefault="002242F3" w:rsidP="005E3B44">
            <w:pPr>
              <w:pStyle w:val="Normal15"/>
              <w:rPr>
                <w:rFonts w:asciiTheme="minorHAnsi" w:eastAsia="Calibri" w:hAnsiTheme="minorHAnsi" w:cstheme="minorHAnsi"/>
                <w:color w:val="000000"/>
                <w:sz w:val="10"/>
                <w:szCs w:val="10"/>
              </w:rPr>
            </w:pPr>
          </w:p>
        </w:tc>
      </w:tr>
      <w:tr w:rsidR="002242F3" w:rsidRPr="005E3B44" w14:paraId="124FC03C"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68A81ADC"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FFFFFF" w:fill="FFFFFF"/>
            <w:noWrap/>
            <w:tcMar>
              <w:left w:w="101" w:type="dxa"/>
              <w:right w:w="101" w:type="dxa"/>
            </w:tcMar>
          </w:tcPr>
          <w:p w14:paraId="141B4C3B"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62" w:type="dxa"/>
            <w:tcBorders>
              <w:top w:val="nil"/>
              <w:left w:val="nil"/>
              <w:bottom w:val="nil"/>
              <w:right w:val="nil"/>
              <w:tl2br w:val="nil"/>
              <w:tr2bl w:val="nil"/>
            </w:tcBorders>
            <w:shd w:val="clear" w:color="FFFFFF" w:fill="FFFFFF"/>
            <w:tcMar>
              <w:left w:w="0" w:type="dxa"/>
              <w:right w:w="0" w:type="dxa"/>
            </w:tcMar>
          </w:tcPr>
          <w:p w14:paraId="764832E5"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4AD575A0"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7A0E4D78" w14:textId="77777777" w:rsidR="002242F3" w:rsidRPr="005E3B44" w:rsidRDefault="002242F3" w:rsidP="005E3B44">
            <w:pPr>
              <w:pStyle w:val="Normal15"/>
              <w:jc w:val="right"/>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11BEE657"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639740E4"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3CA147E4"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672478FA"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188E7F70"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6,938</w:t>
            </w:r>
          </w:p>
        </w:tc>
        <w:tc>
          <w:tcPr>
            <w:tcW w:w="2447" w:type="dxa"/>
            <w:tcBorders>
              <w:top w:val="nil"/>
              <w:left w:val="nil"/>
              <w:bottom w:val="nil"/>
              <w:right w:val="nil"/>
              <w:tl2br w:val="nil"/>
              <w:tr2bl w:val="nil"/>
            </w:tcBorders>
            <w:shd w:val="clear" w:color="FFFFFF" w:fill="FFFFFF"/>
            <w:noWrap/>
            <w:tcMar>
              <w:left w:w="101" w:type="dxa"/>
              <w:right w:w="101" w:type="dxa"/>
            </w:tcMar>
          </w:tcPr>
          <w:p w14:paraId="2DBBA3A9"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Purchase of Property, Plant and Equipment</w:t>
            </w:r>
          </w:p>
        </w:tc>
        <w:tc>
          <w:tcPr>
            <w:tcW w:w="1062" w:type="dxa"/>
            <w:tcBorders>
              <w:top w:val="nil"/>
              <w:left w:val="nil"/>
              <w:bottom w:val="nil"/>
              <w:right w:val="nil"/>
              <w:tl2br w:val="nil"/>
              <w:tr2bl w:val="nil"/>
            </w:tcBorders>
            <w:shd w:val="clear" w:color="FFFFFF" w:fill="FFFFFF"/>
            <w:tcMar>
              <w:left w:w="101" w:type="dxa"/>
              <w:right w:w="101" w:type="dxa"/>
            </w:tcMar>
          </w:tcPr>
          <w:p w14:paraId="1282582C"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4,580</w:t>
            </w:r>
          </w:p>
        </w:tc>
        <w:tc>
          <w:tcPr>
            <w:tcW w:w="1062" w:type="dxa"/>
            <w:tcBorders>
              <w:top w:val="nil"/>
              <w:left w:val="nil"/>
              <w:bottom w:val="nil"/>
              <w:right w:val="nil"/>
              <w:tl2br w:val="nil"/>
              <w:tr2bl w:val="nil"/>
            </w:tcBorders>
            <w:shd w:val="clear" w:color="FFFFFF" w:fill="FFFFFF"/>
            <w:tcMar>
              <w:left w:w="101" w:type="dxa"/>
              <w:right w:w="101" w:type="dxa"/>
            </w:tcMar>
          </w:tcPr>
          <w:p w14:paraId="2D7D584B"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8,096</w:t>
            </w:r>
          </w:p>
        </w:tc>
        <w:tc>
          <w:tcPr>
            <w:tcW w:w="615" w:type="dxa"/>
            <w:tcBorders>
              <w:top w:val="nil"/>
              <w:left w:val="nil"/>
              <w:bottom w:val="nil"/>
              <w:right w:val="nil"/>
              <w:tl2br w:val="nil"/>
              <w:tr2bl w:val="nil"/>
            </w:tcBorders>
            <w:shd w:val="clear" w:color="FFFFFF" w:fill="FFFFFF"/>
            <w:tcMar>
              <w:left w:w="101" w:type="dxa"/>
              <w:right w:w="101" w:type="dxa"/>
            </w:tcMar>
          </w:tcPr>
          <w:p w14:paraId="3CB0F39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77 </w:t>
            </w:r>
          </w:p>
        </w:tc>
        <w:tc>
          <w:tcPr>
            <w:tcW w:w="1062" w:type="dxa"/>
            <w:tcBorders>
              <w:top w:val="nil"/>
              <w:left w:val="nil"/>
              <w:bottom w:val="nil"/>
              <w:right w:val="nil"/>
              <w:tl2br w:val="nil"/>
              <w:tr2bl w:val="nil"/>
            </w:tcBorders>
            <w:shd w:val="clear" w:color="FFFFFF" w:fill="FFFFFF"/>
            <w:tcMar>
              <w:left w:w="101" w:type="dxa"/>
              <w:right w:w="101" w:type="dxa"/>
            </w:tcMar>
          </w:tcPr>
          <w:p w14:paraId="6B7DA020"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8,023</w:t>
            </w:r>
          </w:p>
        </w:tc>
        <w:tc>
          <w:tcPr>
            <w:tcW w:w="1062" w:type="dxa"/>
            <w:tcBorders>
              <w:top w:val="nil"/>
              <w:left w:val="nil"/>
              <w:bottom w:val="nil"/>
              <w:right w:val="nil"/>
              <w:tl2br w:val="nil"/>
              <w:tr2bl w:val="nil"/>
            </w:tcBorders>
            <w:shd w:val="clear" w:color="FFFFFF" w:fill="FFFFFF"/>
            <w:tcMar>
              <w:left w:w="101" w:type="dxa"/>
              <w:right w:w="101" w:type="dxa"/>
            </w:tcMar>
          </w:tcPr>
          <w:p w14:paraId="4D74D546"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2,449</w:t>
            </w:r>
          </w:p>
        </w:tc>
        <w:tc>
          <w:tcPr>
            <w:tcW w:w="1062" w:type="dxa"/>
            <w:tcBorders>
              <w:top w:val="nil"/>
              <w:left w:val="nil"/>
              <w:bottom w:val="nil"/>
              <w:right w:val="nil"/>
              <w:tl2br w:val="nil"/>
              <w:tr2bl w:val="nil"/>
            </w:tcBorders>
            <w:shd w:val="clear" w:color="FFFFFF" w:fill="FFFFFF"/>
            <w:tcMar>
              <w:left w:w="101" w:type="dxa"/>
              <w:right w:w="101" w:type="dxa"/>
            </w:tcMar>
          </w:tcPr>
          <w:p w14:paraId="1626BCC4"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337</w:t>
            </w:r>
          </w:p>
        </w:tc>
      </w:tr>
      <w:tr w:rsidR="002242F3" w:rsidRPr="005E3B44" w14:paraId="2CB0E93F"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7D41FD7C"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6,938</w:t>
            </w:r>
          </w:p>
        </w:tc>
        <w:tc>
          <w:tcPr>
            <w:tcW w:w="2447" w:type="dxa"/>
            <w:tcBorders>
              <w:top w:val="nil"/>
              <w:left w:val="nil"/>
              <w:bottom w:val="nil"/>
              <w:right w:val="nil"/>
              <w:tl2br w:val="nil"/>
              <w:tr2bl w:val="nil"/>
            </w:tcBorders>
            <w:shd w:val="clear" w:color="FFFFFF" w:fill="FFFFFF"/>
            <w:noWrap/>
            <w:tcMar>
              <w:left w:w="101" w:type="dxa"/>
              <w:right w:w="101" w:type="dxa"/>
            </w:tcMar>
          </w:tcPr>
          <w:p w14:paraId="67A6891D"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Investing Payments</w:t>
            </w:r>
          </w:p>
        </w:tc>
        <w:tc>
          <w:tcPr>
            <w:tcW w:w="1062" w:type="dxa"/>
            <w:tcBorders>
              <w:top w:val="nil"/>
              <w:left w:val="nil"/>
              <w:bottom w:val="nil"/>
              <w:right w:val="nil"/>
              <w:tl2br w:val="nil"/>
              <w:tr2bl w:val="nil"/>
            </w:tcBorders>
            <w:shd w:val="clear" w:color="FFFFFF" w:fill="FFFFFF"/>
            <w:tcMar>
              <w:left w:w="101" w:type="dxa"/>
              <w:right w:w="101" w:type="dxa"/>
            </w:tcMar>
          </w:tcPr>
          <w:p w14:paraId="7AE6FC2B"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4,580</w:t>
            </w:r>
          </w:p>
        </w:tc>
        <w:tc>
          <w:tcPr>
            <w:tcW w:w="1062" w:type="dxa"/>
            <w:tcBorders>
              <w:top w:val="nil"/>
              <w:left w:val="nil"/>
              <w:bottom w:val="nil"/>
              <w:right w:val="nil"/>
              <w:tl2br w:val="nil"/>
              <w:tr2bl w:val="nil"/>
            </w:tcBorders>
            <w:shd w:val="clear" w:color="FFFFFF" w:fill="FFFFFF"/>
            <w:tcMar>
              <w:left w:w="101" w:type="dxa"/>
              <w:right w:w="101" w:type="dxa"/>
            </w:tcMar>
          </w:tcPr>
          <w:p w14:paraId="0A64E746"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8,096</w:t>
            </w:r>
          </w:p>
        </w:tc>
        <w:tc>
          <w:tcPr>
            <w:tcW w:w="615" w:type="dxa"/>
            <w:tcBorders>
              <w:top w:val="nil"/>
              <w:left w:val="nil"/>
              <w:bottom w:val="nil"/>
              <w:right w:val="nil"/>
              <w:tl2br w:val="nil"/>
              <w:tr2bl w:val="nil"/>
            </w:tcBorders>
            <w:shd w:val="clear" w:color="FFFFFF" w:fill="FFFFFF"/>
            <w:tcMar>
              <w:left w:w="101" w:type="dxa"/>
              <w:right w:w="101" w:type="dxa"/>
            </w:tcMar>
          </w:tcPr>
          <w:p w14:paraId="5C092066"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77 </w:t>
            </w:r>
          </w:p>
        </w:tc>
        <w:tc>
          <w:tcPr>
            <w:tcW w:w="1062" w:type="dxa"/>
            <w:tcBorders>
              <w:top w:val="nil"/>
              <w:left w:val="nil"/>
              <w:bottom w:val="nil"/>
              <w:right w:val="nil"/>
              <w:tl2br w:val="nil"/>
              <w:tr2bl w:val="nil"/>
            </w:tcBorders>
            <w:shd w:val="clear" w:color="FFFFFF" w:fill="FFFFFF"/>
            <w:tcMar>
              <w:left w:w="101" w:type="dxa"/>
              <w:right w:w="101" w:type="dxa"/>
            </w:tcMar>
          </w:tcPr>
          <w:p w14:paraId="652CDD31"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8,023</w:t>
            </w:r>
          </w:p>
        </w:tc>
        <w:tc>
          <w:tcPr>
            <w:tcW w:w="1062" w:type="dxa"/>
            <w:tcBorders>
              <w:top w:val="nil"/>
              <w:left w:val="nil"/>
              <w:bottom w:val="nil"/>
              <w:right w:val="nil"/>
              <w:tl2br w:val="nil"/>
              <w:tr2bl w:val="nil"/>
            </w:tcBorders>
            <w:shd w:val="clear" w:color="FFFFFF" w:fill="FFFFFF"/>
            <w:tcMar>
              <w:left w:w="101" w:type="dxa"/>
              <w:right w:w="101" w:type="dxa"/>
            </w:tcMar>
          </w:tcPr>
          <w:p w14:paraId="052E8F79"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2,449</w:t>
            </w:r>
          </w:p>
        </w:tc>
        <w:tc>
          <w:tcPr>
            <w:tcW w:w="1062" w:type="dxa"/>
            <w:tcBorders>
              <w:top w:val="nil"/>
              <w:left w:val="nil"/>
              <w:bottom w:val="nil"/>
              <w:right w:val="nil"/>
              <w:tl2br w:val="nil"/>
              <w:tr2bl w:val="nil"/>
            </w:tcBorders>
            <w:shd w:val="clear" w:color="FFFFFF" w:fill="FFFFFF"/>
            <w:tcMar>
              <w:left w:w="101" w:type="dxa"/>
              <w:right w:w="101" w:type="dxa"/>
            </w:tcMar>
          </w:tcPr>
          <w:p w14:paraId="6642D34C"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337</w:t>
            </w:r>
          </w:p>
        </w:tc>
      </w:tr>
      <w:tr w:rsidR="002242F3" w:rsidRPr="005E3B44" w14:paraId="295B9087"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062" w:type="dxa"/>
            <w:tcBorders>
              <w:top w:val="nil"/>
              <w:left w:val="nil"/>
              <w:bottom w:val="nil"/>
              <w:right w:val="nil"/>
              <w:tl2br w:val="nil"/>
              <w:tr2bl w:val="nil"/>
            </w:tcBorders>
            <w:shd w:val="clear" w:color="FFFFFF" w:fill="FFFFFF"/>
            <w:tcMar>
              <w:left w:w="0" w:type="dxa"/>
              <w:right w:w="0" w:type="dxa"/>
            </w:tcMar>
          </w:tcPr>
          <w:p w14:paraId="19F0D92D"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FFFFFF" w:fill="FFFFFF"/>
            <w:tcMar>
              <w:left w:w="0" w:type="dxa"/>
              <w:right w:w="0" w:type="dxa"/>
            </w:tcMar>
          </w:tcPr>
          <w:p w14:paraId="47C84B2B"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69F896D2"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00BEED34"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379EA17C"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5BA5D15C"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035DAE63"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3BF7B806"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6FD67EF1"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38C4566C"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-6,938</w:t>
            </w:r>
          </w:p>
        </w:tc>
        <w:tc>
          <w:tcPr>
            <w:tcW w:w="2447" w:type="dxa"/>
            <w:tcBorders>
              <w:top w:val="nil"/>
              <w:left w:val="nil"/>
              <w:bottom w:val="nil"/>
              <w:right w:val="nil"/>
              <w:tl2br w:val="nil"/>
              <w:tr2bl w:val="nil"/>
            </w:tcBorders>
            <w:shd w:val="clear" w:color="FFFFFF" w:fill="FFFFFF"/>
            <w:noWrap/>
            <w:tcMar>
              <w:left w:w="101" w:type="dxa"/>
              <w:right w:w="101" w:type="dxa"/>
            </w:tcMar>
          </w:tcPr>
          <w:p w14:paraId="5F343CBB"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INVESTING ACTIVITIES</w:t>
            </w:r>
          </w:p>
        </w:tc>
        <w:tc>
          <w:tcPr>
            <w:tcW w:w="1062" w:type="dxa"/>
            <w:tcBorders>
              <w:top w:val="nil"/>
              <w:left w:val="nil"/>
              <w:bottom w:val="nil"/>
              <w:right w:val="nil"/>
              <w:tl2br w:val="nil"/>
              <w:tr2bl w:val="nil"/>
            </w:tcBorders>
            <w:shd w:val="clear" w:color="FFFFFF" w:fill="FFFFFF"/>
            <w:tcMar>
              <w:left w:w="101" w:type="dxa"/>
              <w:right w:w="101" w:type="dxa"/>
            </w:tcMar>
          </w:tcPr>
          <w:p w14:paraId="720AC76B"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-4,580</w:t>
            </w:r>
          </w:p>
        </w:tc>
        <w:tc>
          <w:tcPr>
            <w:tcW w:w="1062" w:type="dxa"/>
            <w:tcBorders>
              <w:top w:val="nil"/>
              <w:left w:val="nil"/>
              <w:bottom w:val="nil"/>
              <w:right w:val="nil"/>
              <w:tl2br w:val="nil"/>
              <w:tr2bl w:val="nil"/>
            </w:tcBorders>
            <w:shd w:val="clear" w:color="FFFFFF" w:fill="FFFFFF"/>
            <w:tcMar>
              <w:left w:w="101" w:type="dxa"/>
              <w:right w:w="101" w:type="dxa"/>
            </w:tcMar>
          </w:tcPr>
          <w:p w14:paraId="22914CE2"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-8,096</w:t>
            </w:r>
          </w:p>
        </w:tc>
        <w:tc>
          <w:tcPr>
            <w:tcW w:w="615" w:type="dxa"/>
            <w:tcBorders>
              <w:top w:val="nil"/>
              <w:left w:val="nil"/>
              <w:bottom w:val="nil"/>
              <w:right w:val="nil"/>
              <w:tl2br w:val="nil"/>
              <w:tr2bl w:val="nil"/>
            </w:tcBorders>
            <w:shd w:val="clear" w:color="FFFFFF" w:fill="FFFFFF"/>
            <w:tcMar>
              <w:left w:w="101" w:type="dxa"/>
              <w:right w:w="101" w:type="dxa"/>
            </w:tcMar>
          </w:tcPr>
          <w:p w14:paraId="3B3F3B11"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-77 </w:t>
            </w:r>
          </w:p>
        </w:tc>
        <w:tc>
          <w:tcPr>
            <w:tcW w:w="1062" w:type="dxa"/>
            <w:tcBorders>
              <w:top w:val="nil"/>
              <w:left w:val="nil"/>
              <w:bottom w:val="nil"/>
              <w:right w:val="nil"/>
              <w:tl2br w:val="nil"/>
              <w:tr2bl w:val="nil"/>
            </w:tcBorders>
            <w:shd w:val="clear" w:color="FFFFFF" w:fill="FFFFFF"/>
            <w:tcMar>
              <w:left w:w="101" w:type="dxa"/>
              <w:right w:w="101" w:type="dxa"/>
            </w:tcMar>
          </w:tcPr>
          <w:p w14:paraId="03C9C12A"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-8,023</w:t>
            </w:r>
          </w:p>
        </w:tc>
        <w:tc>
          <w:tcPr>
            <w:tcW w:w="1062" w:type="dxa"/>
            <w:tcBorders>
              <w:top w:val="nil"/>
              <w:left w:val="nil"/>
              <w:bottom w:val="nil"/>
              <w:right w:val="nil"/>
              <w:tl2br w:val="nil"/>
              <w:tr2bl w:val="nil"/>
            </w:tcBorders>
            <w:shd w:val="clear" w:color="FFFFFF" w:fill="FFFFFF"/>
            <w:tcMar>
              <w:left w:w="101" w:type="dxa"/>
              <w:right w:w="101" w:type="dxa"/>
            </w:tcMar>
          </w:tcPr>
          <w:p w14:paraId="6E040E6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-2,449</w:t>
            </w:r>
          </w:p>
        </w:tc>
        <w:tc>
          <w:tcPr>
            <w:tcW w:w="1062" w:type="dxa"/>
            <w:tcBorders>
              <w:top w:val="nil"/>
              <w:left w:val="nil"/>
              <w:bottom w:val="nil"/>
              <w:right w:val="nil"/>
              <w:tl2br w:val="nil"/>
              <w:tr2bl w:val="nil"/>
            </w:tcBorders>
            <w:shd w:val="clear" w:color="FFFFFF" w:fill="FFFFFF"/>
            <w:tcMar>
              <w:left w:w="101" w:type="dxa"/>
              <w:right w:w="101" w:type="dxa"/>
            </w:tcMar>
          </w:tcPr>
          <w:p w14:paraId="2CA923F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-337</w:t>
            </w:r>
          </w:p>
        </w:tc>
      </w:tr>
      <w:tr w:rsidR="002242F3" w:rsidRPr="00235FF7" w14:paraId="1B2B69BB"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12D0E22F"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2447" w:type="dxa"/>
            <w:tcBorders>
              <w:top w:val="nil"/>
              <w:left w:val="nil"/>
              <w:bottom w:val="nil"/>
              <w:right w:val="nil"/>
              <w:tl2br w:val="nil"/>
              <w:tr2bl w:val="nil"/>
            </w:tcBorders>
            <w:shd w:val="clear" w:color="FFFFFF" w:fill="FFFFFF"/>
            <w:tcMar>
              <w:left w:w="0" w:type="dxa"/>
              <w:right w:w="0" w:type="dxa"/>
            </w:tcMar>
          </w:tcPr>
          <w:p w14:paraId="7281D7A6"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7A3AEC71"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418DB60B"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615" w:type="dxa"/>
            <w:tcBorders>
              <w:top w:val="nil"/>
              <w:left w:val="nil"/>
              <w:bottom w:val="nil"/>
              <w:right w:val="nil"/>
              <w:tl2br w:val="nil"/>
              <w:tr2bl w:val="nil"/>
            </w:tcBorders>
            <w:shd w:val="clear" w:color="FFFFFF" w:fill="FFFFFF"/>
            <w:tcMar>
              <w:left w:w="0" w:type="dxa"/>
              <w:right w:w="0" w:type="dxa"/>
            </w:tcMar>
          </w:tcPr>
          <w:p w14:paraId="748D9BBC"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779C7008"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4782E31C"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034F7AEC" w14:textId="77777777" w:rsidR="002242F3" w:rsidRPr="00C652F8" w:rsidRDefault="002242F3" w:rsidP="005E3B44">
            <w:pPr>
              <w:pStyle w:val="Normal15"/>
              <w:rPr>
                <w:rFonts w:asciiTheme="minorHAnsi" w:eastAsia="Calibri" w:hAnsiTheme="minorHAnsi" w:cstheme="minorHAnsi"/>
                <w:color w:val="000000"/>
                <w:sz w:val="10"/>
                <w:szCs w:val="10"/>
              </w:rPr>
            </w:pPr>
          </w:p>
        </w:tc>
      </w:tr>
      <w:tr w:rsidR="002242F3" w:rsidRPr="005E3B44" w14:paraId="336C15AB"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6B83F50A" w14:textId="77777777" w:rsidR="002242F3" w:rsidRPr="005E3B44" w:rsidRDefault="002242F3" w:rsidP="005E3B44">
            <w:pPr>
              <w:pStyle w:val="Normal15"/>
              <w:rPr>
                <w:rFonts w:asciiTheme="minorHAnsi" w:eastAsia="Calibri" w:hAnsiTheme="minorHAnsi" w:cstheme="minorHAnsi"/>
                <w:color w:val="000000"/>
                <w:sz w:val="18"/>
              </w:rPr>
            </w:pPr>
          </w:p>
        </w:tc>
        <w:tc>
          <w:tcPr>
            <w:tcW w:w="8373" w:type="dxa"/>
            <w:gridSpan w:val="7"/>
            <w:tcBorders>
              <w:top w:val="nil"/>
              <w:left w:val="nil"/>
              <w:bottom w:val="nil"/>
              <w:right w:val="nil"/>
              <w:tl2br w:val="nil"/>
              <w:tr2bl w:val="nil"/>
            </w:tcBorders>
            <w:shd w:val="clear" w:color="auto" w:fill="auto"/>
            <w:tcMar>
              <w:left w:w="101" w:type="dxa"/>
              <w:right w:w="101" w:type="dxa"/>
            </w:tcMar>
            <w:vAlign w:val="bottom"/>
          </w:tcPr>
          <w:p w14:paraId="405C63C3"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FINANCING ACTIVITIES</w:t>
            </w:r>
          </w:p>
        </w:tc>
      </w:tr>
      <w:tr w:rsidR="002242F3" w:rsidRPr="005E3B44" w14:paraId="4A990212"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54881531"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FFFFFF" w:fill="FFFFFF"/>
            <w:noWrap/>
            <w:tcMar>
              <w:left w:w="101" w:type="dxa"/>
              <w:right w:w="101" w:type="dxa"/>
            </w:tcMar>
          </w:tcPr>
          <w:p w14:paraId="03A1CB00"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Receipts</w:t>
            </w:r>
          </w:p>
        </w:tc>
        <w:tc>
          <w:tcPr>
            <w:tcW w:w="1062" w:type="dxa"/>
            <w:tcBorders>
              <w:top w:val="nil"/>
              <w:left w:val="nil"/>
              <w:bottom w:val="nil"/>
              <w:right w:val="nil"/>
              <w:tl2br w:val="nil"/>
              <w:tr2bl w:val="nil"/>
            </w:tcBorders>
            <w:shd w:val="clear" w:color="FFFFFF" w:fill="FFFFFF"/>
            <w:tcMar>
              <w:left w:w="0" w:type="dxa"/>
              <w:right w:w="0" w:type="dxa"/>
            </w:tcMar>
          </w:tcPr>
          <w:p w14:paraId="70F57C70"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14B3D2CB"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51AA8432"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159E52D3"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75DC2843"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1A019AB6"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10DEDC8C"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6AF15117"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6,938</w:t>
            </w:r>
          </w:p>
        </w:tc>
        <w:tc>
          <w:tcPr>
            <w:tcW w:w="2447" w:type="dxa"/>
            <w:tcBorders>
              <w:top w:val="nil"/>
              <w:left w:val="nil"/>
              <w:bottom w:val="nil"/>
              <w:right w:val="nil"/>
              <w:tl2br w:val="nil"/>
              <w:tr2bl w:val="nil"/>
            </w:tcBorders>
            <w:shd w:val="clear" w:color="FFFFFF" w:fill="FFFFFF"/>
            <w:noWrap/>
            <w:tcMar>
              <w:left w:w="101" w:type="dxa"/>
              <w:right w:w="101" w:type="dxa"/>
            </w:tcMar>
          </w:tcPr>
          <w:p w14:paraId="46C0D66B"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Capital Injections</w:t>
            </w:r>
          </w:p>
        </w:tc>
        <w:tc>
          <w:tcPr>
            <w:tcW w:w="1062" w:type="dxa"/>
            <w:tcBorders>
              <w:top w:val="nil"/>
              <w:left w:val="nil"/>
              <w:bottom w:val="nil"/>
              <w:right w:val="nil"/>
              <w:tl2br w:val="nil"/>
              <w:tr2bl w:val="nil"/>
            </w:tcBorders>
            <w:shd w:val="clear" w:color="FFFFFF" w:fill="FFFFFF"/>
            <w:tcMar>
              <w:left w:w="101" w:type="dxa"/>
              <w:right w:w="101" w:type="dxa"/>
            </w:tcMar>
          </w:tcPr>
          <w:p w14:paraId="6EEE9279"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3,423</w:t>
            </w:r>
          </w:p>
        </w:tc>
        <w:tc>
          <w:tcPr>
            <w:tcW w:w="1062" w:type="dxa"/>
            <w:tcBorders>
              <w:top w:val="nil"/>
              <w:left w:val="nil"/>
              <w:bottom w:val="nil"/>
              <w:right w:val="nil"/>
              <w:tl2br w:val="nil"/>
              <w:tr2bl w:val="nil"/>
            </w:tcBorders>
            <w:shd w:val="clear" w:color="FFFFFF" w:fill="FFFFFF"/>
            <w:tcMar>
              <w:left w:w="101" w:type="dxa"/>
              <w:right w:w="101" w:type="dxa"/>
            </w:tcMar>
          </w:tcPr>
          <w:p w14:paraId="5176105C"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8,096</w:t>
            </w:r>
          </w:p>
        </w:tc>
        <w:tc>
          <w:tcPr>
            <w:tcW w:w="615" w:type="dxa"/>
            <w:tcBorders>
              <w:top w:val="nil"/>
              <w:left w:val="nil"/>
              <w:bottom w:val="nil"/>
              <w:right w:val="nil"/>
              <w:tl2br w:val="nil"/>
              <w:tr2bl w:val="nil"/>
            </w:tcBorders>
            <w:shd w:val="clear" w:color="FFFFFF" w:fill="FFFFFF"/>
            <w:tcMar>
              <w:left w:w="101" w:type="dxa"/>
              <w:right w:w="101" w:type="dxa"/>
            </w:tcMar>
          </w:tcPr>
          <w:p w14:paraId="395E828C"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137 </w:t>
            </w:r>
          </w:p>
        </w:tc>
        <w:tc>
          <w:tcPr>
            <w:tcW w:w="1062" w:type="dxa"/>
            <w:tcBorders>
              <w:top w:val="nil"/>
              <w:left w:val="nil"/>
              <w:bottom w:val="nil"/>
              <w:right w:val="nil"/>
              <w:tl2br w:val="nil"/>
              <w:tr2bl w:val="nil"/>
            </w:tcBorders>
            <w:shd w:val="clear" w:color="FFFFFF" w:fill="FFFFFF"/>
            <w:tcMar>
              <w:left w:w="101" w:type="dxa"/>
              <w:right w:w="101" w:type="dxa"/>
            </w:tcMar>
          </w:tcPr>
          <w:p w14:paraId="79C308A0"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8,023</w:t>
            </w:r>
          </w:p>
        </w:tc>
        <w:tc>
          <w:tcPr>
            <w:tcW w:w="1062" w:type="dxa"/>
            <w:tcBorders>
              <w:top w:val="nil"/>
              <w:left w:val="nil"/>
              <w:bottom w:val="nil"/>
              <w:right w:val="nil"/>
              <w:tl2br w:val="nil"/>
              <w:tr2bl w:val="nil"/>
            </w:tcBorders>
            <w:shd w:val="clear" w:color="FFFFFF" w:fill="FFFFFF"/>
            <w:tcMar>
              <w:left w:w="101" w:type="dxa"/>
              <w:right w:w="101" w:type="dxa"/>
            </w:tcMar>
          </w:tcPr>
          <w:p w14:paraId="4A2EE52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2,449</w:t>
            </w:r>
          </w:p>
        </w:tc>
        <w:tc>
          <w:tcPr>
            <w:tcW w:w="1062" w:type="dxa"/>
            <w:tcBorders>
              <w:top w:val="nil"/>
              <w:left w:val="nil"/>
              <w:bottom w:val="nil"/>
              <w:right w:val="nil"/>
              <w:tl2br w:val="nil"/>
              <w:tr2bl w:val="nil"/>
            </w:tcBorders>
            <w:shd w:val="clear" w:color="FFFFFF" w:fill="FFFFFF"/>
            <w:tcMar>
              <w:left w:w="101" w:type="dxa"/>
              <w:right w:w="101" w:type="dxa"/>
            </w:tcMar>
          </w:tcPr>
          <w:p w14:paraId="041ABD5A"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337</w:t>
            </w:r>
          </w:p>
        </w:tc>
      </w:tr>
      <w:tr w:rsidR="002242F3" w:rsidRPr="005E3B44" w14:paraId="0B67708F"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50BF98D6"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6,938</w:t>
            </w:r>
          </w:p>
        </w:tc>
        <w:tc>
          <w:tcPr>
            <w:tcW w:w="2447" w:type="dxa"/>
            <w:tcBorders>
              <w:top w:val="nil"/>
              <w:left w:val="nil"/>
              <w:bottom w:val="nil"/>
              <w:right w:val="nil"/>
              <w:tl2br w:val="nil"/>
              <w:tr2bl w:val="nil"/>
            </w:tcBorders>
            <w:shd w:val="clear" w:color="FFFFFF" w:fill="FFFFFF"/>
            <w:noWrap/>
            <w:tcMar>
              <w:left w:w="101" w:type="dxa"/>
              <w:right w:w="101" w:type="dxa"/>
            </w:tcMar>
          </w:tcPr>
          <w:p w14:paraId="61572980"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Financing Receipts</w:t>
            </w:r>
          </w:p>
        </w:tc>
        <w:tc>
          <w:tcPr>
            <w:tcW w:w="1062" w:type="dxa"/>
            <w:tcBorders>
              <w:top w:val="nil"/>
              <w:left w:val="nil"/>
              <w:bottom w:val="nil"/>
              <w:right w:val="nil"/>
              <w:tl2br w:val="nil"/>
              <w:tr2bl w:val="nil"/>
            </w:tcBorders>
            <w:shd w:val="clear" w:color="FFFFFF" w:fill="FFFFFF"/>
            <w:tcMar>
              <w:left w:w="101" w:type="dxa"/>
              <w:right w:w="101" w:type="dxa"/>
            </w:tcMar>
          </w:tcPr>
          <w:p w14:paraId="67DFF29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3,423</w:t>
            </w:r>
          </w:p>
        </w:tc>
        <w:tc>
          <w:tcPr>
            <w:tcW w:w="1062" w:type="dxa"/>
            <w:tcBorders>
              <w:top w:val="nil"/>
              <w:left w:val="nil"/>
              <w:bottom w:val="nil"/>
              <w:right w:val="nil"/>
              <w:tl2br w:val="nil"/>
              <w:tr2bl w:val="nil"/>
            </w:tcBorders>
            <w:shd w:val="clear" w:color="FFFFFF" w:fill="FFFFFF"/>
            <w:tcMar>
              <w:left w:w="101" w:type="dxa"/>
              <w:right w:w="101" w:type="dxa"/>
            </w:tcMar>
          </w:tcPr>
          <w:p w14:paraId="156A2B3A"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8,096</w:t>
            </w:r>
          </w:p>
        </w:tc>
        <w:tc>
          <w:tcPr>
            <w:tcW w:w="615" w:type="dxa"/>
            <w:tcBorders>
              <w:top w:val="nil"/>
              <w:left w:val="nil"/>
              <w:bottom w:val="nil"/>
              <w:right w:val="nil"/>
              <w:tl2br w:val="nil"/>
              <w:tr2bl w:val="nil"/>
            </w:tcBorders>
            <w:shd w:val="clear" w:color="FFFFFF" w:fill="FFFFFF"/>
            <w:tcMar>
              <w:left w:w="101" w:type="dxa"/>
              <w:right w:w="101" w:type="dxa"/>
            </w:tcMar>
          </w:tcPr>
          <w:p w14:paraId="25091588"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137 </w:t>
            </w:r>
          </w:p>
        </w:tc>
        <w:tc>
          <w:tcPr>
            <w:tcW w:w="1062" w:type="dxa"/>
            <w:tcBorders>
              <w:top w:val="nil"/>
              <w:left w:val="nil"/>
              <w:bottom w:val="nil"/>
              <w:right w:val="nil"/>
              <w:tl2br w:val="nil"/>
              <w:tr2bl w:val="nil"/>
            </w:tcBorders>
            <w:shd w:val="clear" w:color="FFFFFF" w:fill="FFFFFF"/>
            <w:tcMar>
              <w:left w:w="101" w:type="dxa"/>
              <w:right w:w="101" w:type="dxa"/>
            </w:tcMar>
          </w:tcPr>
          <w:p w14:paraId="688BC47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8,023</w:t>
            </w:r>
          </w:p>
        </w:tc>
        <w:tc>
          <w:tcPr>
            <w:tcW w:w="1062" w:type="dxa"/>
            <w:tcBorders>
              <w:top w:val="nil"/>
              <w:left w:val="nil"/>
              <w:bottom w:val="nil"/>
              <w:right w:val="nil"/>
              <w:tl2br w:val="nil"/>
              <w:tr2bl w:val="nil"/>
            </w:tcBorders>
            <w:shd w:val="clear" w:color="FFFFFF" w:fill="FFFFFF"/>
            <w:tcMar>
              <w:left w:w="101" w:type="dxa"/>
              <w:right w:w="101" w:type="dxa"/>
            </w:tcMar>
          </w:tcPr>
          <w:p w14:paraId="54FDF78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2,449</w:t>
            </w:r>
          </w:p>
        </w:tc>
        <w:tc>
          <w:tcPr>
            <w:tcW w:w="1062" w:type="dxa"/>
            <w:tcBorders>
              <w:top w:val="nil"/>
              <w:left w:val="nil"/>
              <w:bottom w:val="nil"/>
              <w:right w:val="nil"/>
              <w:tl2br w:val="nil"/>
              <w:tr2bl w:val="nil"/>
            </w:tcBorders>
            <w:shd w:val="clear" w:color="FFFFFF" w:fill="FFFFFF"/>
            <w:tcMar>
              <w:left w:w="101" w:type="dxa"/>
              <w:right w:w="101" w:type="dxa"/>
            </w:tcMar>
          </w:tcPr>
          <w:p w14:paraId="2E0EDE00"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337</w:t>
            </w:r>
          </w:p>
        </w:tc>
      </w:tr>
      <w:tr w:rsidR="002242F3" w:rsidRPr="005E3B44" w14:paraId="5EE577AC"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062" w:type="dxa"/>
            <w:tcBorders>
              <w:top w:val="nil"/>
              <w:left w:val="nil"/>
              <w:bottom w:val="nil"/>
              <w:right w:val="nil"/>
              <w:tl2br w:val="nil"/>
              <w:tr2bl w:val="nil"/>
            </w:tcBorders>
            <w:shd w:val="clear" w:color="FFFFFF" w:fill="FFFFFF"/>
            <w:tcMar>
              <w:left w:w="0" w:type="dxa"/>
              <w:right w:w="0" w:type="dxa"/>
            </w:tcMar>
          </w:tcPr>
          <w:p w14:paraId="1A55C72A"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FFFFFF" w:fill="FFFFFF"/>
            <w:noWrap/>
            <w:tcMar>
              <w:left w:w="0" w:type="dxa"/>
              <w:right w:w="0" w:type="dxa"/>
            </w:tcMar>
          </w:tcPr>
          <w:p w14:paraId="67C645FC"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3C77C970"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5A778EF3"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37B3E222"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0AF714BC"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43E336BB"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7EB773E1"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3418B9D5"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242CE1EB"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447" w:type="dxa"/>
            <w:tcBorders>
              <w:top w:val="nil"/>
              <w:left w:val="nil"/>
              <w:bottom w:val="nil"/>
              <w:right w:val="nil"/>
              <w:tl2br w:val="nil"/>
              <w:tr2bl w:val="nil"/>
            </w:tcBorders>
            <w:shd w:val="clear" w:color="FFFFFF" w:fill="FFFFFF"/>
            <w:noWrap/>
            <w:tcMar>
              <w:left w:w="101" w:type="dxa"/>
              <w:right w:w="101" w:type="dxa"/>
            </w:tcMar>
          </w:tcPr>
          <w:p w14:paraId="68E3C571" w14:textId="77777777" w:rsidR="002242F3" w:rsidRPr="005E3B44" w:rsidRDefault="002242F3" w:rsidP="005E3B44">
            <w:pPr>
              <w:pStyle w:val="Normal15"/>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Repayment of Borrowings</w:t>
            </w:r>
          </w:p>
        </w:tc>
        <w:tc>
          <w:tcPr>
            <w:tcW w:w="1062" w:type="dxa"/>
            <w:tcBorders>
              <w:top w:val="nil"/>
              <w:left w:val="nil"/>
              <w:bottom w:val="nil"/>
              <w:right w:val="nil"/>
              <w:tl2br w:val="nil"/>
              <w:tr2bl w:val="nil"/>
            </w:tcBorders>
            <w:shd w:val="clear" w:color="FFFFFF" w:fill="FFFFFF"/>
            <w:tcMar>
              <w:left w:w="101" w:type="dxa"/>
              <w:right w:w="101" w:type="dxa"/>
            </w:tcMar>
          </w:tcPr>
          <w:p w14:paraId="051A6E6D"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w:t>
            </w:r>
          </w:p>
        </w:tc>
        <w:tc>
          <w:tcPr>
            <w:tcW w:w="1062" w:type="dxa"/>
            <w:tcBorders>
              <w:top w:val="nil"/>
              <w:left w:val="nil"/>
              <w:bottom w:val="nil"/>
              <w:right w:val="nil"/>
              <w:tl2br w:val="nil"/>
              <w:tr2bl w:val="nil"/>
            </w:tcBorders>
            <w:shd w:val="clear" w:color="FFFFFF" w:fill="FFFFFF"/>
            <w:tcMar>
              <w:left w:w="101" w:type="dxa"/>
              <w:right w:w="101" w:type="dxa"/>
            </w:tcMar>
          </w:tcPr>
          <w:p w14:paraId="620AEE10"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15" w:type="dxa"/>
            <w:tcBorders>
              <w:top w:val="nil"/>
              <w:left w:val="nil"/>
              <w:bottom w:val="nil"/>
              <w:right w:val="nil"/>
              <w:tl2br w:val="nil"/>
              <w:tr2bl w:val="nil"/>
            </w:tcBorders>
            <w:shd w:val="clear" w:color="FFFFFF" w:fill="FFFFFF"/>
            <w:tcMar>
              <w:left w:w="101" w:type="dxa"/>
              <w:right w:w="101" w:type="dxa"/>
            </w:tcMar>
          </w:tcPr>
          <w:p w14:paraId="585BCAEE"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62" w:type="dxa"/>
            <w:tcBorders>
              <w:top w:val="nil"/>
              <w:left w:val="nil"/>
              <w:bottom w:val="nil"/>
              <w:right w:val="nil"/>
              <w:tl2br w:val="nil"/>
              <w:tr2bl w:val="nil"/>
            </w:tcBorders>
            <w:shd w:val="clear" w:color="FFFFFF" w:fill="FFFFFF"/>
            <w:tcMar>
              <w:left w:w="101" w:type="dxa"/>
              <w:right w:w="101" w:type="dxa"/>
            </w:tcMar>
          </w:tcPr>
          <w:p w14:paraId="5484F49C"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62" w:type="dxa"/>
            <w:tcBorders>
              <w:top w:val="nil"/>
              <w:left w:val="nil"/>
              <w:bottom w:val="nil"/>
              <w:right w:val="nil"/>
              <w:tl2br w:val="nil"/>
              <w:tr2bl w:val="nil"/>
            </w:tcBorders>
            <w:shd w:val="clear" w:color="FFFFFF" w:fill="FFFFFF"/>
            <w:tcMar>
              <w:left w:w="101" w:type="dxa"/>
              <w:right w:w="101" w:type="dxa"/>
            </w:tcMar>
          </w:tcPr>
          <w:p w14:paraId="0BA8F0F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62" w:type="dxa"/>
            <w:tcBorders>
              <w:top w:val="nil"/>
              <w:left w:val="nil"/>
              <w:bottom w:val="nil"/>
              <w:right w:val="nil"/>
              <w:tl2br w:val="nil"/>
              <w:tr2bl w:val="nil"/>
            </w:tcBorders>
            <w:shd w:val="clear" w:color="FFFFFF" w:fill="FFFFFF"/>
            <w:tcMar>
              <w:left w:w="101" w:type="dxa"/>
              <w:right w:w="101" w:type="dxa"/>
            </w:tcMar>
          </w:tcPr>
          <w:p w14:paraId="6B303972" w14:textId="77777777" w:rsidR="002242F3" w:rsidRPr="005E3B44" w:rsidRDefault="002242F3" w:rsidP="005E3B44">
            <w:pPr>
              <w:pStyle w:val="Normal15"/>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67DB0F21"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062" w:type="dxa"/>
            <w:tcBorders>
              <w:top w:val="nil"/>
              <w:left w:val="nil"/>
              <w:bottom w:val="nil"/>
              <w:right w:val="nil"/>
              <w:tl2br w:val="nil"/>
              <w:tr2bl w:val="nil"/>
            </w:tcBorders>
            <w:shd w:val="clear" w:color="FFFFFF" w:fill="FFFFFF"/>
            <w:tcMar>
              <w:left w:w="0" w:type="dxa"/>
              <w:right w:w="0" w:type="dxa"/>
            </w:tcMar>
          </w:tcPr>
          <w:p w14:paraId="339DFE1E"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FFFFFF" w:fill="FFFFFF"/>
            <w:noWrap/>
            <w:tcMar>
              <w:left w:w="0" w:type="dxa"/>
              <w:right w:w="0" w:type="dxa"/>
            </w:tcMar>
          </w:tcPr>
          <w:p w14:paraId="4F2A814A"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2CAEDD29"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4B67293D"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4FA5DD9B"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293351FC"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30DCFFBF"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294C1C01"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31A98CC2"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59E04AB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6,938</w:t>
            </w:r>
          </w:p>
        </w:tc>
        <w:tc>
          <w:tcPr>
            <w:tcW w:w="2447" w:type="dxa"/>
            <w:tcBorders>
              <w:top w:val="nil"/>
              <w:left w:val="nil"/>
              <w:bottom w:val="nil"/>
              <w:right w:val="nil"/>
              <w:tl2br w:val="nil"/>
              <w:tr2bl w:val="nil"/>
            </w:tcBorders>
            <w:shd w:val="clear" w:color="FFFFFF" w:fill="FFFFFF"/>
            <w:noWrap/>
            <w:tcMar>
              <w:left w:w="101" w:type="dxa"/>
              <w:right w:w="101" w:type="dxa"/>
            </w:tcMar>
          </w:tcPr>
          <w:p w14:paraId="0CA02821"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FINANCING ACTIVITIES</w:t>
            </w:r>
          </w:p>
        </w:tc>
        <w:tc>
          <w:tcPr>
            <w:tcW w:w="1062" w:type="dxa"/>
            <w:tcBorders>
              <w:top w:val="nil"/>
              <w:left w:val="nil"/>
              <w:bottom w:val="nil"/>
              <w:right w:val="nil"/>
              <w:tl2br w:val="nil"/>
              <w:tr2bl w:val="nil"/>
            </w:tcBorders>
            <w:shd w:val="clear" w:color="FFFFFF" w:fill="FFFFFF"/>
            <w:tcMar>
              <w:left w:w="101" w:type="dxa"/>
              <w:right w:w="101" w:type="dxa"/>
            </w:tcMar>
          </w:tcPr>
          <w:p w14:paraId="773029F0"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3,365</w:t>
            </w:r>
          </w:p>
        </w:tc>
        <w:tc>
          <w:tcPr>
            <w:tcW w:w="1062" w:type="dxa"/>
            <w:tcBorders>
              <w:top w:val="nil"/>
              <w:left w:val="nil"/>
              <w:bottom w:val="nil"/>
              <w:right w:val="nil"/>
              <w:tl2br w:val="nil"/>
              <w:tr2bl w:val="nil"/>
            </w:tcBorders>
            <w:shd w:val="clear" w:color="FFFFFF" w:fill="FFFFFF"/>
            <w:tcMar>
              <w:left w:w="101" w:type="dxa"/>
              <w:right w:w="101" w:type="dxa"/>
            </w:tcMar>
          </w:tcPr>
          <w:p w14:paraId="0DC5E5FC"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8,096</w:t>
            </w:r>
          </w:p>
        </w:tc>
        <w:tc>
          <w:tcPr>
            <w:tcW w:w="615" w:type="dxa"/>
            <w:tcBorders>
              <w:top w:val="nil"/>
              <w:left w:val="nil"/>
              <w:bottom w:val="nil"/>
              <w:right w:val="nil"/>
              <w:tl2br w:val="nil"/>
              <w:tr2bl w:val="nil"/>
            </w:tcBorders>
            <w:shd w:val="clear" w:color="FFFFFF" w:fill="FFFFFF"/>
            <w:tcMar>
              <w:left w:w="101" w:type="dxa"/>
              <w:right w:w="101" w:type="dxa"/>
            </w:tcMar>
          </w:tcPr>
          <w:p w14:paraId="7C14A98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141 </w:t>
            </w:r>
          </w:p>
        </w:tc>
        <w:tc>
          <w:tcPr>
            <w:tcW w:w="1062" w:type="dxa"/>
            <w:tcBorders>
              <w:top w:val="nil"/>
              <w:left w:val="nil"/>
              <w:bottom w:val="nil"/>
              <w:right w:val="nil"/>
              <w:tl2br w:val="nil"/>
              <w:tr2bl w:val="nil"/>
            </w:tcBorders>
            <w:shd w:val="clear" w:color="FFFFFF" w:fill="FFFFFF"/>
            <w:tcMar>
              <w:left w:w="101" w:type="dxa"/>
              <w:right w:w="101" w:type="dxa"/>
            </w:tcMar>
          </w:tcPr>
          <w:p w14:paraId="3FB83D44"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8,023</w:t>
            </w:r>
          </w:p>
        </w:tc>
        <w:tc>
          <w:tcPr>
            <w:tcW w:w="1062" w:type="dxa"/>
            <w:tcBorders>
              <w:top w:val="nil"/>
              <w:left w:val="nil"/>
              <w:bottom w:val="nil"/>
              <w:right w:val="nil"/>
              <w:tl2br w:val="nil"/>
              <w:tr2bl w:val="nil"/>
            </w:tcBorders>
            <w:shd w:val="clear" w:color="FFFFFF" w:fill="FFFFFF"/>
            <w:tcMar>
              <w:left w:w="101" w:type="dxa"/>
              <w:right w:w="101" w:type="dxa"/>
            </w:tcMar>
          </w:tcPr>
          <w:p w14:paraId="1A132D8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2,449</w:t>
            </w:r>
          </w:p>
        </w:tc>
        <w:tc>
          <w:tcPr>
            <w:tcW w:w="1062" w:type="dxa"/>
            <w:tcBorders>
              <w:top w:val="nil"/>
              <w:left w:val="nil"/>
              <w:bottom w:val="nil"/>
              <w:right w:val="nil"/>
              <w:tl2br w:val="nil"/>
              <w:tr2bl w:val="nil"/>
            </w:tcBorders>
            <w:shd w:val="clear" w:color="FFFFFF" w:fill="FFFFFF"/>
            <w:tcMar>
              <w:left w:w="101" w:type="dxa"/>
              <w:right w:w="101" w:type="dxa"/>
            </w:tcMar>
          </w:tcPr>
          <w:p w14:paraId="6CC73783"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337</w:t>
            </w:r>
          </w:p>
        </w:tc>
      </w:tr>
      <w:tr w:rsidR="002242F3" w:rsidRPr="00235FF7" w14:paraId="49A443BA"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5089C52B"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2447" w:type="dxa"/>
            <w:tcBorders>
              <w:top w:val="nil"/>
              <w:left w:val="nil"/>
              <w:bottom w:val="nil"/>
              <w:right w:val="nil"/>
              <w:tl2br w:val="nil"/>
              <w:tr2bl w:val="nil"/>
            </w:tcBorders>
            <w:shd w:val="clear" w:color="FFFFFF" w:fill="FFFFFF"/>
            <w:tcMar>
              <w:left w:w="0" w:type="dxa"/>
              <w:right w:w="0" w:type="dxa"/>
            </w:tcMar>
          </w:tcPr>
          <w:p w14:paraId="505DE287"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3CC84210"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699B44AA"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615" w:type="dxa"/>
            <w:tcBorders>
              <w:top w:val="nil"/>
              <w:left w:val="nil"/>
              <w:bottom w:val="nil"/>
              <w:right w:val="nil"/>
              <w:tl2br w:val="nil"/>
              <w:tr2bl w:val="nil"/>
            </w:tcBorders>
            <w:shd w:val="clear" w:color="FFFFFF" w:fill="FFFFFF"/>
            <w:tcMar>
              <w:left w:w="0" w:type="dxa"/>
              <w:right w:w="0" w:type="dxa"/>
            </w:tcMar>
          </w:tcPr>
          <w:p w14:paraId="04A61A55"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734CE9EB"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68B6E1AB"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4AFC3C5B" w14:textId="77777777" w:rsidR="002242F3" w:rsidRPr="00C652F8" w:rsidRDefault="002242F3" w:rsidP="005E3B44">
            <w:pPr>
              <w:pStyle w:val="Normal15"/>
              <w:rPr>
                <w:rFonts w:asciiTheme="minorHAnsi" w:eastAsia="Calibri" w:hAnsiTheme="minorHAnsi" w:cstheme="minorHAnsi"/>
                <w:color w:val="000000"/>
                <w:sz w:val="10"/>
                <w:szCs w:val="10"/>
              </w:rPr>
            </w:pPr>
          </w:p>
        </w:tc>
      </w:tr>
      <w:tr w:rsidR="002242F3" w:rsidRPr="005E3B44" w14:paraId="08C2602E"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3DC71A27"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447" w:type="dxa"/>
            <w:tcBorders>
              <w:top w:val="nil"/>
              <w:left w:val="nil"/>
              <w:bottom w:val="nil"/>
              <w:right w:val="nil"/>
              <w:tl2br w:val="nil"/>
              <w:tr2bl w:val="nil"/>
            </w:tcBorders>
            <w:shd w:val="clear" w:color="FFFFFF" w:fill="FFFFFF"/>
            <w:noWrap/>
            <w:tcMar>
              <w:left w:w="101" w:type="dxa"/>
              <w:right w:w="101" w:type="dxa"/>
            </w:tcMar>
          </w:tcPr>
          <w:p w14:paraId="1A430D02"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INCREASE/(DECREASE) IN CASH AND CASH EQUIVALENTS</w:t>
            </w:r>
          </w:p>
        </w:tc>
        <w:tc>
          <w:tcPr>
            <w:tcW w:w="1062" w:type="dxa"/>
            <w:tcBorders>
              <w:top w:val="nil"/>
              <w:left w:val="nil"/>
              <w:bottom w:val="nil"/>
              <w:right w:val="nil"/>
              <w:tl2br w:val="nil"/>
              <w:tr2bl w:val="nil"/>
            </w:tcBorders>
            <w:shd w:val="clear" w:color="FFFFFF" w:fill="FFFFFF"/>
            <w:tcMar>
              <w:left w:w="101" w:type="dxa"/>
              <w:right w:w="101" w:type="dxa"/>
            </w:tcMar>
          </w:tcPr>
          <w:p w14:paraId="1956BA1B"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-475</w:t>
            </w:r>
          </w:p>
        </w:tc>
        <w:tc>
          <w:tcPr>
            <w:tcW w:w="1062" w:type="dxa"/>
            <w:tcBorders>
              <w:top w:val="nil"/>
              <w:left w:val="nil"/>
              <w:bottom w:val="nil"/>
              <w:right w:val="nil"/>
              <w:tl2br w:val="nil"/>
              <w:tr2bl w:val="nil"/>
            </w:tcBorders>
            <w:shd w:val="clear" w:color="FFFFFF" w:fill="FFFFFF"/>
            <w:tcMar>
              <w:left w:w="101" w:type="dxa"/>
              <w:right w:w="101" w:type="dxa"/>
            </w:tcMar>
          </w:tcPr>
          <w:p w14:paraId="2F2E5003"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15" w:type="dxa"/>
            <w:tcBorders>
              <w:top w:val="nil"/>
              <w:left w:val="nil"/>
              <w:bottom w:val="nil"/>
              <w:right w:val="nil"/>
              <w:tl2br w:val="nil"/>
              <w:tr2bl w:val="nil"/>
            </w:tcBorders>
            <w:shd w:val="clear" w:color="FFFFFF" w:fill="FFFFFF"/>
            <w:tcMar>
              <w:left w:w="101" w:type="dxa"/>
              <w:right w:w="101" w:type="dxa"/>
            </w:tcMar>
          </w:tcPr>
          <w:p w14:paraId="1EC05164"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100 </w:t>
            </w:r>
          </w:p>
        </w:tc>
        <w:tc>
          <w:tcPr>
            <w:tcW w:w="1062" w:type="dxa"/>
            <w:tcBorders>
              <w:top w:val="nil"/>
              <w:left w:val="nil"/>
              <w:bottom w:val="nil"/>
              <w:right w:val="nil"/>
              <w:tl2br w:val="nil"/>
              <w:tr2bl w:val="nil"/>
            </w:tcBorders>
            <w:shd w:val="clear" w:color="FFFFFF" w:fill="FFFFFF"/>
            <w:tcMar>
              <w:left w:w="101" w:type="dxa"/>
              <w:right w:w="101" w:type="dxa"/>
            </w:tcMar>
          </w:tcPr>
          <w:p w14:paraId="52FF3C0C"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62" w:type="dxa"/>
            <w:tcBorders>
              <w:top w:val="nil"/>
              <w:left w:val="nil"/>
              <w:bottom w:val="nil"/>
              <w:right w:val="nil"/>
              <w:tl2br w:val="nil"/>
              <w:tr2bl w:val="nil"/>
            </w:tcBorders>
            <w:shd w:val="clear" w:color="FFFFFF" w:fill="FFFFFF"/>
            <w:tcMar>
              <w:left w:w="101" w:type="dxa"/>
              <w:right w:w="101" w:type="dxa"/>
            </w:tcMar>
          </w:tcPr>
          <w:p w14:paraId="24AF869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62" w:type="dxa"/>
            <w:tcBorders>
              <w:top w:val="nil"/>
              <w:left w:val="nil"/>
              <w:bottom w:val="nil"/>
              <w:right w:val="nil"/>
              <w:tl2br w:val="nil"/>
              <w:tr2bl w:val="nil"/>
            </w:tcBorders>
            <w:shd w:val="clear" w:color="FFFFFF" w:fill="FFFFFF"/>
            <w:tcMar>
              <w:left w:w="101" w:type="dxa"/>
              <w:right w:w="101" w:type="dxa"/>
            </w:tcMar>
          </w:tcPr>
          <w:p w14:paraId="7CCABD0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235FF7" w14:paraId="586A39D1"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23F085D3"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2447" w:type="dxa"/>
            <w:tcBorders>
              <w:top w:val="nil"/>
              <w:left w:val="nil"/>
              <w:bottom w:val="nil"/>
              <w:right w:val="nil"/>
              <w:tl2br w:val="nil"/>
              <w:tr2bl w:val="nil"/>
            </w:tcBorders>
            <w:shd w:val="clear" w:color="FFFFFF" w:fill="FFFFFF"/>
            <w:tcMar>
              <w:left w:w="0" w:type="dxa"/>
              <w:right w:w="0" w:type="dxa"/>
            </w:tcMar>
          </w:tcPr>
          <w:p w14:paraId="5D4AC392"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183DA2AA"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0F961972"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615" w:type="dxa"/>
            <w:tcBorders>
              <w:top w:val="nil"/>
              <w:left w:val="nil"/>
              <w:bottom w:val="nil"/>
              <w:right w:val="nil"/>
              <w:tl2br w:val="nil"/>
              <w:tr2bl w:val="nil"/>
            </w:tcBorders>
            <w:shd w:val="clear" w:color="FFFFFF" w:fill="FFFFFF"/>
            <w:tcMar>
              <w:left w:w="0" w:type="dxa"/>
              <w:right w:w="0" w:type="dxa"/>
            </w:tcMar>
          </w:tcPr>
          <w:p w14:paraId="0C5ADB0C"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14920A6B"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41A6610B" w14:textId="77777777" w:rsidR="002242F3" w:rsidRPr="00C652F8" w:rsidRDefault="002242F3" w:rsidP="005E3B44">
            <w:pPr>
              <w:pStyle w:val="Normal15"/>
              <w:rPr>
                <w:rFonts w:asciiTheme="minorHAnsi" w:eastAsia="Calibri" w:hAnsiTheme="minorHAnsi" w:cstheme="minorHAnsi"/>
                <w:color w:val="000000"/>
                <w:sz w:val="10"/>
                <w:szCs w:val="10"/>
              </w:rPr>
            </w:pPr>
          </w:p>
        </w:tc>
        <w:tc>
          <w:tcPr>
            <w:tcW w:w="1062" w:type="dxa"/>
            <w:tcBorders>
              <w:top w:val="nil"/>
              <w:left w:val="nil"/>
              <w:bottom w:val="nil"/>
              <w:right w:val="nil"/>
              <w:tl2br w:val="nil"/>
              <w:tr2bl w:val="nil"/>
            </w:tcBorders>
            <w:shd w:val="clear" w:color="FFFFFF" w:fill="FFFFFF"/>
            <w:tcMar>
              <w:left w:w="0" w:type="dxa"/>
              <w:right w:w="0" w:type="dxa"/>
            </w:tcMar>
          </w:tcPr>
          <w:p w14:paraId="26E5C95A" w14:textId="77777777" w:rsidR="002242F3" w:rsidRPr="00C652F8" w:rsidRDefault="002242F3" w:rsidP="005E3B44">
            <w:pPr>
              <w:pStyle w:val="Normal15"/>
              <w:rPr>
                <w:rFonts w:asciiTheme="minorHAnsi" w:eastAsia="Calibri" w:hAnsiTheme="minorHAnsi" w:cstheme="minorHAnsi"/>
                <w:color w:val="000000"/>
                <w:sz w:val="10"/>
                <w:szCs w:val="10"/>
              </w:rPr>
            </w:pPr>
          </w:p>
        </w:tc>
      </w:tr>
      <w:tr w:rsidR="002242F3" w:rsidRPr="005E3B44" w14:paraId="601C63F3"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7E38E2A2"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699</w:t>
            </w:r>
          </w:p>
        </w:tc>
        <w:tc>
          <w:tcPr>
            <w:tcW w:w="2447" w:type="dxa"/>
            <w:tcBorders>
              <w:top w:val="nil"/>
              <w:left w:val="nil"/>
              <w:bottom w:val="nil"/>
              <w:right w:val="nil"/>
              <w:tl2br w:val="nil"/>
              <w:tr2bl w:val="nil"/>
            </w:tcBorders>
            <w:shd w:val="clear" w:color="auto" w:fill="auto"/>
            <w:noWrap/>
            <w:tcMar>
              <w:left w:w="101" w:type="dxa"/>
              <w:right w:w="101" w:type="dxa"/>
            </w:tcMar>
          </w:tcPr>
          <w:p w14:paraId="675B6DA4"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AT THE BEGINNING OF REPORTING PERIOD</w:t>
            </w:r>
          </w:p>
        </w:tc>
        <w:tc>
          <w:tcPr>
            <w:tcW w:w="1062" w:type="dxa"/>
            <w:tcBorders>
              <w:top w:val="nil"/>
              <w:left w:val="nil"/>
              <w:bottom w:val="nil"/>
              <w:right w:val="nil"/>
              <w:tl2br w:val="nil"/>
              <w:tr2bl w:val="nil"/>
            </w:tcBorders>
            <w:shd w:val="clear" w:color="FFFFFF" w:fill="FFFFFF"/>
            <w:tcMar>
              <w:left w:w="101" w:type="dxa"/>
              <w:right w:w="101" w:type="dxa"/>
            </w:tcMar>
          </w:tcPr>
          <w:p w14:paraId="398A121B"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696</w:t>
            </w:r>
          </w:p>
        </w:tc>
        <w:tc>
          <w:tcPr>
            <w:tcW w:w="1062" w:type="dxa"/>
            <w:tcBorders>
              <w:top w:val="nil"/>
              <w:left w:val="nil"/>
              <w:bottom w:val="nil"/>
              <w:right w:val="nil"/>
              <w:tl2br w:val="nil"/>
              <w:tr2bl w:val="nil"/>
            </w:tcBorders>
            <w:shd w:val="clear" w:color="FFFFFF" w:fill="FFFFFF"/>
            <w:tcMar>
              <w:left w:w="101" w:type="dxa"/>
              <w:right w:w="101" w:type="dxa"/>
            </w:tcMar>
          </w:tcPr>
          <w:p w14:paraId="00E5745F"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c>
          <w:tcPr>
            <w:tcW w:w="615" w:type="dxa"/>
            <w:tcBorders>
              <w:top w:val="nil"/>
              <w:left w:val="nil"/>
              <w:bottom w:val="nil"/>
              <w:right w:val="nil"/>
              <w:tl2br w:val="nil"/>
              <w:tr2bl w:val="nil"/>
            </w:tcBorders>
            <w:shd w:val="clear" w:color="FFFFFF" w:fill="FFFFFF"/>
            <w:tcMar>
              <w:left w:w="101" w:type="dxa"/>
              <w:right w:w="101" w:type="dxa"/>
            </w:tcMar>
          </w:tcPr>
          <w:p w14:paraId="7DAE1CD3"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-68 </w:t>
            </w:r>
          </w:p>
        </w:tc>
        <w:tc>
          <w:tcPr>
            <w:tcW w:w="1062" w:type="dxa"/>
            <w:tcBorders>
              <w:top w:val="nil"/>
              <w:left w:val="nil"/>
              <w:bottom w:val="nil"/>
              <w:right w:val="nil"/>
              <w:tl2br w:val="nil"/>
              <w:tr2bl w:val="nil"/>
            </w:tcBorders>
            <w:shd w:val="clear" w:color="FFFFFF" w:fill="FFFFFF"/>
            <w:tcMar>
              <w:left w:w="101" w:type="dxa"/>
              <w:right w:w="101" w:type="dxa"/>
            </w:tcMar>
          </w:tcPr>
          <w:p w14:paraId="1B94D353"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c>
          <w:tcPr>
            <w:tcW w:w="1062" w:type="dxa"/>
            <w:tcBorders>
              <w:top w:val="nil"/>
              <w:left w:val="nil"/>
              <w:bottom w:val="nil"/>
              <w:right w:val="nil"/>
              <w:tl2br w:val="nil"/>
              <w:tr2bl w:val="nil"/>
            </w:tcBorders>
            <w:shd w:val="clear" w:color="FFFFFF" w:fill="FFFFFF"/>
            <w:tcMar>
              <w:left w:w="101" w:type="dxa"/>
              <w:right w:w="101" w:type="dxa"/>
            </w:tcMar>
          </w:tcPr>
          <w:p w14:paraId="377BE228"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c>
          <w:tcPr>
            <w:tcW w:w="1062" w:type="dxa"/>
            <w:tcBorders>
              <w:top w:val="nil"/>
              <w:left w:val="nil"/>
              <w:bottom w:val="nil"/>
              <w:right w:val="nil"/>
              <w:tl2br w:val="nil"/>
              <w:tr2bl w:val="nil"/>
            </w:tcBorders>
            <w:shd w:val="clear" w:color="FFFFFF" w:fill="FFFFFF"/>
            <w:tcMar>
              <w:left w:w="101" w:type="dxa"/>
              <w:right w:w="101" w:type="dxa"/>
            </w:tcMar>
          </w:tcPr>
          <w:p w14:paraId="269FEB8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r>
      <w:tr w:rsidR="002242F3" w:rsidRPr="005E3B44" w14:paraId="69753D3E"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0" w:type="dxa"/>
              <w:right w:w="0" w:type="dxa"/>
            </w:tcMar>
          </w:tcPr>
          <w:p w14:paraId="3C33586A"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nil"/>
              <w:right w:val="nil"/>
              <w:tl2br w:val="nil"/>
              <w:tr2bl w:val="nil"/>
            </w:tcBorders>
            <w:shd w:val="clear" w:color="auto" w:fill="auto"/>
            <w:noWrap/>
            <w:tcMar>
              <w:left w:w="0" w:type="dxa"/>
              <w:right w:w="0" w:type="dxa"/>
            </w:tcMar>
            <w:vAlign w:val="bottom"/>
          </w:tcPr>
          <w:p w14:paraId="18D3AD02"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0BA0D8AE"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34A55278"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nil"/>
              <w:right w:val="nil"/>
              <w:tl2br w:val="nil"/>
              <w:tr2bl w:val="nil"/>
            </w:tcBorders>
            <w:shd w:val="clear" w:color="FFFFFF" w:fill="FFFFFF"/>
            <w:tcMar>
              <w:left w:w="0" w:type="dxa"/>
              <w:right w:w="0" w:type="dxa"/>
            </w:tcMar>
          </w:tcPr>
          <w:p w14:paraId="45599578"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18C7E833"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4823AA91"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nil"/>
              <w:right w:val="nil"/>
              <w:tl2br w:val="nil"/>
              <w:tr2bl w:val="nil"/>
            </w:tcBorders>
            <w:shd w:val="clear" w:color="FFFFFF" w:fill="FFFFFF"/>
            <w:tcMar>
              <w:left w:w="0" w:type="dxa"/>
              <w:right w:w="0" w:type="dxa"/>
            </w:tcMar>
          </w:tcPr>
          <w:p w14:paraId="1B5365CE" w14:textId="77777777" w:rsidR="002242F3" w:rsidRPr="005E3B44" w:rsidRDefault="002242F3" w:rsidP="005E3B44">
            <w:pPr>
              <w:pStyle w:val="Normal15"/>
              <w:rPr>
                <w:rFonts w:asciiTheme="minorHAnsi" w:eastAsia="Calibri" w:hAnsiTheme="minorHAnsi" w:cstheme="minorHAnsi"/>
                <w:color w:val="000000"/>
                <w:sz w:val="18"/>
              </w:rPr>
            </w:pPr>
          </w:p>
        </w:tc>
      </w:tr>
      <w:tr w:rsidR="002242F3" w:rsidRPr="005E3B44" w14:paraId="243C003B"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62" w:type="dxa"/>
            <w:tcBorders>
              <w:top w:val="nil"/>
              <w:left w:val="nil"/>
              <w:bottom w:val="nil"/>
              <w:right w:val="nil"/>
              <w:tl2br w:val="nil"/>
              <w:tr2bl w:val="nil"/>
            </w:tcBorders>
            <w:shd w:val="clear" w:color="FFFFFF" w:fill="FFFFFF"/>
            <w:tcMar>
              <w:left w:w="101" w:type="dxa"/>
              <w:right w:w="101" w:type="dxa"/>
            </w:tcMar>
          </w:tcPr>
          <w:p w14:paraId="51BB503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699</w:t>
            </w:r>
          </w:p>
        </w:tc>
        <w:tc>
          <w:tcPr>
            <w:tcW w:w="2447" w:type="dxa"/>
            <w:tcBorders>
              <w:top w:val="nil"/>
              <w:left w:val="nil"/>
              <w:bottom w:val="nil"/>
              <w:right w:val="nil"/>
              <w:tl2br w:val="nil"/>
              <w:tr2bl w:val="nil"/>
            </w:tcBorders>
            <w:shd w:val="clear" w:color="auto" w:fill="auto"/>
            <w:noWrap/>
            <w:tcMar>
              <w:left w:w="101" w:type="dxa"/>
              <w:right w:w="101" w:type="dxa"/>
            </w:tcMar>
          </w:tcPr>
          <w:p w14:paraId="1A00F58C" w14:textId="77777777" w:rsidR="002242F3" w:rsidRPr="005E3B44" w:rsidRDefault="002242F3" w:rsidP="005E3B44">
            <w:pPr>
              <w:pStyle w:val="Normal15"/>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AT THE END OF REPORTING PERIOD</w:t>
            </w:r>
          </w:p>
        </w:tc>
        <w:tc>
          <w:tcPr>
            <w:tcW w:w="1062" w:type="dxa"/>
            <w:tcBorders>
              <w:top w:val="nil"/>
              <w:left w:val="nil"/>
              <w:bottom w:val="nil"/>
              <w:right w:val="nil"/>
              <w:tl2br w:val="nil"/>
              <w:tr2bl w:val="nil"/>
            </w:tcBorders>
            <w:shd w:val="clear" w:color="FFFFFF" w:fill="FFFFFF"/>
            <w:tcMar>
              <w:left w:w="101" w:type="dxa"/>
              <w:right w:w="101" w:type="dxa"/>
            </w:tcMar>
          </w:tcPr>
          <w:p w14:paraId="31D8ABB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c>
          <w:tcPr>
            <w:tcW w:w="1062" w:type="dxa"/>
            <w:tcBorders>
              <w:top w:val="nil"/>
              <w:left w:val="nil"/>
              <w:bottom w:val="nil"/>
              <w:right w:val="nil"/>
              <w:tl2br w:val="nil"/>
              <w:tr2bl w:val="nil"/>
            </w:tcBorders>
            <w:shd w:val="clear" w:color="FFFFFF" w:fill="FFFFFF"/>
            <w:tcMar>
              <w:left w:w="101" w:type="dxa"/>
              <w:right w:w="101" w:type="dxa"/>
            </w:tcMar>
          </w:tcPr>
          <w:p w14:paraId="60414E1F"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c>
          <w:tcPr>
            <w:tcW w:w="615" w:type="dxa"/>
            <w:tcBorders>
              <w:top w:val="nil"/>
              <w:left w:val="nil"/>
              <w:bottom w:val="nil"/>
              <w:right w:val="nil"/>
              <w:tl2br w:val="nil"/>
              <w:tr2bl w:val="nil"/>
            </w:tcBorders>
            <w:shd w:val="clear" w:color="FFFFFF" w:fill="FFFFFF"/>
            <w:tcMar>
              <w:left w:w="101" w:type="dxa"/>
              <w:right w:w="101" w:type="dxa"/>
            </w:tcMar>
          </w:tcPr>
          <w:p w14:paraId="445EDAA5"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62" w:type="dxa"/>
            <w:tcBorders>
              <w:top w:val="nil"/>
              <w:left w:val="nil"/>
              <w:bottom w:val="nil"/>
              <w:right w:val="nil"/>
              <w:tl2br w:val="nil"/>
              <w:tr2bl w:val="nil"/>
            </w:tcBorders>
            <w:shd w:val="clear" w:color="FFFFFF" w:fill="FFFFFF"/>
            <w:tcMar>
              <w:left w:w="101" w:type="dxa"/>
              <w:right w:w="101" w:type="dxa"/>
            </w:tcMar>
          </w:tcPr>
          <w:p w14:paraId="05F6CE8D"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c>
          <w:tcPr>
            <w:tcW w:w="1062" w:type="dxa"/>
            <w:tcBorders>
              <w:top w:val="nil"/>
              <w:left w:val="nil"/>
              <w:bottom w:val="nil"/>
              <w:right w:val="nil"/>
              <w:tl2br w:val="nil"/>
              <w:tr2bl w:val="nil"/>
            </w:tcBorders>
            <w:shd w:val="clear" w:color="FFFFFF" w:fill="FFFFFF"/>
            <w:tcMar>
              <w:left w:w="101" w:type="dxa"/>
              <w:right w:w="101" w:type="dxa"/>
            </w:tcMar>
          </w:tcPr>
          <w:p w14:paraId="685EAC32"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c>
          <w:tcPr>
            <w:tcW w:w="1062" w:type="dxa"/>
            <w:tcBorders>
              <w:top w:val="nil"/>
              <w:left w:val="nil"/>
              <w:bottom w:val="nil"/>
              <w:right w:val="nil"/>
              <w:tl2br w:val="nil"/>
              <w:tr2bl w:val="nil"/>
            </w:tcBorders>
            <w:shd w:val="clear" w:color="FFFFFF" w:fill="FFFFFF"/>
            <w:tcMar>
              <w:left w:w="101" w:type="dxa"/>
              <w:right w:w="101" w:type="dxa"/>
            </w:tcMar>
          </w:tcPr>
          <w:p w14:paraId="1300E41E" w14:textId="77777777" w:rsidR="002242F3" w:rsidRPr="005E3B44" w:rsidRDefault="002242F3" w:rsidP="005E3B44">
            <w:pPr>
              <w:pStyle w:val="Normal15"/>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221</w:t>
            </w:r>
          </w:p>
        </w:tc>
      </w:tr>
      <w:tr w:rsidR="002242F3" w:rsidRPr="005E3B44" w14:paraId="78616ADC" w14:textId="77777777" w:rsidTr="00C65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62" w:type="dxa"/>
            <w:tcBorders>
              <w:top w:val="nil"/>
              <w:left w:val="nil"/>
              <w:bottom w:val="single" w:sz="4" w:space="0" w:color="000000"/>
              <w:right w:val="nil"/>
              <w:tl2br w:val="nil"/>
              <w:tr2bl w:val="nil"/>
            </w:tcBorders>
            <w:shd w:val="clear" w:color="FFFFFF" w:fill="FFFFFF"/>
            <w:tcMar>
              <w:left w:w="0" w:type="dxa"/>
              <w:right w:w="0" w:type="dxa"/>
            </w:tcMar>
          </w:tcPr>
          <w:p w14:paraId="2CE1AD27" w14:textId="77777777" w:rsidR="002242F3" w:rsidRPr="005E3B44" w:rsidRDefault="002242F3" w:rsidP="005E3B44">
            <w:pPr>
              <w:pStyle w:val="Normal15"/>
              <w:rPr>
                <w:rFonts w:asciiTheme="minorHAnsi" w:eastAsia="Calibri" w:hAnsiTheme="minorHAnsi" w:cstheme="minorHAnsi"/>
                <w:color w:val="000000"/>
                <w:sz w:val="18"/>
              </w:rPr>
            </w:pPr>
          </w:p>
        </w:tc>
        <w:tc>
          <w:tcPr>
            <w:tcW w:w="2447" w:type="dxa"/>
            <w:tcBorders>
              <w:top w:val="nil"/>
              <w:left w:val="nil"/>
              <w:bottom w:val="single" w:sz="4" w:space="0" w:color="000000"/>
              <w:right w:val="nil"/>
              <w:tl2br w:val="nil"/>
              <w:tr2bl w:val="nil"/>
            </w:tcBorders>
            <w:shd w:val="clear" w:color="FFFFFF" w:fill="FFFFFF"/>
            <w:tcMar>
              <w:left w:w="0" w:type="dxa"/>
              <w:right w:w="0" w:type="dxa"/>
            </w:tcMar>
          </w:tcPr>
          <w:p w14:paraId="68BC8336"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single" w:sz="4" w:space="0" w:color="000000"/>
              <w:right w:val="nil"/>
              <w:tl2br w:val="nil"/>
              <w:tr2bl w:val="nil"/>
            </w:tcBorders>
            <w:shd w:val="clear" w:color="FFFFFF" w:fill="FFFFFF"/>
            <w:tcMar>
              <w:left w:w="0" w:type="dxa"/>
              <w:right w:w="0" w:type="dxa"/>
            </w:tcMar>
          </w:tcPr>
          <w:p w14:paraId="2302AADA"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single" w:sz="4" w:space="0" w:color="000000"/>
              <w:right w:val="nil"/>
              <w:tl2br w:val="nil"/>
              <w:tr2bl w:val="nil"/>
            </w:tcBorders>
            <w:shd w:val="clear" w:color="FFFFFF" w:fill="FFFFFF"/>
            <w:tcMar>
              <w:left w:w="0" w:type="dxa"/>
              <w:right w:w="0" w:type="dxa"/>
            </w:tcMar>
          </w:tcPr>
          <w:p w14:paraId="386126D1" w14:textId="77777777" w:rsidR="002242F3" w:rsidRPr="005E3B44" w:rsidRDefault="002242F3" w:rsidP="005E3B44">
            <w:pPr>
              <w:pStyle w:val="Normal15"/>
              <w:rPr>
                <w:rFonts w:asciiTheme="minorHAnsi" w:eastAsia="Calibri" w:hAnsiTheme="minorHAnsi" w:cstheme="minorHAnsi"/>
                <w:color w:val="000000"/>
                <w:sz w:val="18"/>
              </w:rPr>
            </w:pPr>
          </w:p>
        </w:tc>
        <w:tc>
          <w:tcPr>
            <w:tcW w:w="615" w:type="dxa"/>
            <w:tcBorders>
              <w:top w:val="nil"/>
              <w:left w:val="nil"/>
              <w:bottom w:val="single" w:sz="4" w:space="0" w:color="000000"/>
              <w:right w:val="nil"/>
              <w:tl2br w:val="nil"/>
              <w:tr2bl w:val="nil"/>
            </w:tcBorders>
            <w:shd w:val="clear" w:color="FFFFFF" w:fill="FFFFFF"/>
            <w:tcMar>
              <w:left w:w="0" w:type="dxa"/>
              <w:right w:w="0" w:type="dxa"/>
            </w:tcMar>
          </w:tcPr>
          <w:p w14:paraId="021AED8E"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single" w:sz="4" w:space="0" w:color="000000"/>
              <w:right w:val="nil"/>
              <w:tl2br w:val="nil"/>
              <w:tr2bl w:val="nil"/>
            </w:tcBorders>
            <w:shd w:val="clear" w:color="FFFFFF" w:fill="FFFFFF"/>
            <w:tcMar>
              <w:left w:w="0" w:type="dxa"/>
              <w:right w:w="0" w:type="dxa"/>
            </w:tcMar>
          </w:tcPr>
          <w:p w14:paraId="5E181AF4"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single" w:sz="4" w:space="0" w:color="000000"/>
              <w:right w:val="nil"/>
              <w:tl2br w:val="nil"/>
              <w:tr2bl w:val="nil"/>
            </w:tcBorders>
            <w:shd w:val="clear" w:color="FFFFFF" w:fill="FFFFFF"/>
            <w:tcMar>
              <w:left w:w="0" w:type="dxa"/>
              <w:right w:w="0" w:type="dxa"/>
            </w:tcMar>
          </w:tcPr>
          <w:p w14:paraId="5DCEEF96" w14:textId="77777777" w:rsidR="002242F3" w:rsidRPr="005E3B44" w:rsidRDefault="002242F3" w:rsidP="005E3B44">
            <w:pPr>
              <w:pStyle w:val="Normal15"/>
              <w:rPr>
                <w:rFonts w:asciiTheme="minorHAnsi" w:eastAsia="Calibri" w:hAnsiTheme="minorHAnsi" w:cstheme="minorHAnsi"/>
                <w:color w:val="000000"/>
                <w:sz w:val="18"/>
              </w:rPr>
            </w:pPr>
          </w:p>
        </w:tc>
        <w:tc>
          <w:tcPr>
            <w:tcW w:w="1062" w:type="dxa"/>
            <w:tcBorders>
              <w:top w:val="nil"/>
              <w:left w:val="nil"/>
              <w:bottom w:val="single" w:sz="4" w:space="0" w:color="000000"/>
              <w:right w:val="nil"/>
              <w:tl2br w:val="nil"/>
              <w:tr2bl w:val="nil"/>
            </w:tcBorders>
            <w:shd w:val="clear" w:color="FFFFFF" w:fill="FFFFFF"/>
            <w:tcMar>
              <w:left w:w="0" w:type="dxa"/>
              <w:right w:w="0" w:type="dxa"/>
            </w:tcMar>
          </w:tcPr>
          <w:p w14:paraId="66CA4261" w14:textId="77777777" w:rsidR="002242F3" w:rsidRPr="005E3B44" w:rsidRDefault="002242F3" w:rsidP="005E3B44">
            <w:pPr>
              <w:pStyle w:val="Normal15"/>
              <w:rPr>
                <w:rFonts w:asciiTheme="minorHAnsi" w:eastAsia="Calibri" w:hAnsiTheme="minorHAnsi" w:cstheme="minorHAnsi"/>
                <w:color w:val="000000"/>
                <w:sz w:val="18"/>
              </w:rPr>
            </w:pPr>
          </w:p>
        </w:tc>
      </w:tr>
    </w:tbl>
    <w:p w14:paraId="4C4D8224" w14:textId="77777777" w:rsidR="002242F3" w:rsidRPr="005E3B44" w:rsidRDefault="002242F3" w:rsidP="002242F3">
      <w:pPr>
        <w:pStyle w:val="Heading3"/>
        <w:pageBreakBefore/>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lastRenderedPageBreak/>
        <w:t>Notes to the Territorial Budget Statements</w:t>
      </w:r>
    </w:p>
    <w:p w14:paraId="5486819C" w14:textId="77777777" w:rsidR="002242F3" w:rsidRPr="005E3B44" w:rsidRDefault="002242F3" w:rsidP="002242F3">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Significant variations are as follows:</w:t>
      </w:r>
    </w:p>
    <w:p w14:paraId="4727120B" w14:textId="77777777" w:rsidR="002242F3" w:rsidRPr="005E3B44" w:rsidRDefault="002242F3" w:rsidP="002242F3">
      <w:pPr>
        <w:pBdr>
          <w:top w:val="nil"/>
          <w:left w:val="nil"/>
          <w:bottom w:val="nil"/>
          <w:right w:val="nil"/>
          <w:between w:val="nil"/>
          <w:bar w:val="nil"/>
        </w:pBdr>
        <w:rPr>
          <w:rFonts w:asciiTheme="minorHAnsi" w:hAnsiTheme="minorHAnsi" w:cstheme="minorHAnsi"/>
          <w:b/>
          <w:i/>
          <w:bdr w:val="nil"/>
        </w:rPr>
      </w:pPr>
      <w:r w:rsidRPr="005E3B44">
        <w:rPr>
          <w:rFonts w:asciiTheme="minorHAnsi" w:hAnsiTheme="minorHAnsi" w:cstheme="minorHAnsi"/>
          <w:b/>
          <w:i/>
          <w:bdr w:val="nil"/>
        </w:rPr>
        <w:t>Statement of Income and Expenses on behalf of the Territory</w:t>
      </w:r>
    </w:p>
    <w:p w14:paraId="40EBF7B4" w14:textId="77777777" w:rsidR="002242F3" w:rsidRPr="005E3B44" w:rsidRDefault="002242F3" w:rsidP="002242F3">
      <w:pPr>
        <w:pStyle w:val="BSbullet14"/>
        <w:numPr>
          <w:ilvl w:val="0"/>
          <w:numId w:val="53"/>
        </w:numPr>
        <w:pBdr>
          <w:top w:val="nil"/>
          <w:left w:val="nil"/>
          <w:bottom w:val="nil"/>
          <w:right w:val="nil"/>
          <w:between w:val="nil"/>
          <w:bar w:val="nil"/>
        </w:pBdr>
        <w:tabs>
          <w:tab w:val="num" w:pos="851"/>
        </w:tabs>
        <w:rPr>
          <w:rFonts w:asciiTheme="minorHAnsi" w:hAnsiTheme="minorHAnsi" w:cstheme="minorHAnsi"/>
          <w:bdr w:val="nil"/>
        </w:rPr>
      </w:pPr>
      <w:r w:rsidRPr="005E3B44">
        <w:rPr>
          <w:rFonts w:asciiTheme="minorHAnsi" w:hAnsiTheme="minorHAnsi" w:cstheme="minorHAnsi"/>
          <w:bdr w:val="nil"/>
        </w:rPr>
        <w:t>Payment for expenses on behalf of the Territory: the increase of $20.481 million in the 2021-22 budget from the 2020-21 interim outcome is mainly due to new budget initiatives ($13 million), impact of initiatives’ rollovers, movements in funding from prior years’ initiatives and other adjustments.</w:t>
      </w:r>
    </w:p>
    <w:p w14:paraId="378A87B6" w14:textId="77777777" w:rsidR="002242F3" w:rsidRPr="005E3B44" w:rsidRDefault="002242F3" w:rsidP="002242F3">
      <w:pPr>
        <w:pStyle w:val="BSbullet14"/>
        <w:numPr>
          <w:ilvl w:val="0"/>
          <w:numId w:val="53"/>
        </w:numPr>
        <w:pBdr>
          <w:top w:val="nil"/>
          <w:left w:val="nil"/>
          <w:bottom w:val="nil"/>
          <w:right w:val="nil"/>
          <w:between w:val="nil"/>
          <w:bar w:val="nil"/>
        </w:pBdr>
        <w:tabs>
          <w:tab w:val="num" w:pos="851"/>
        </w:tabs>
        <w:rPr>
          <w:rFonts w:asciiTheme="minorHAnsi" w:hAnsiTheme="minorHAnsi" w:cstheme="minorHAnsi"/>
          <w:bdr w:val="nil"/>
          <w:lang w:eastAsia="en-US"/>
        </w:rPr>
      </w:pPr>
      <w:bookmarkStart w:id="26" w:name="_Hlk83293135"/>
      <w:r w:rsidRPr="005E3B44">
        <w:rPr>
          <w:rFonts w:asciiTheme="minorHAnsi" w:hAnsiTheme="minorHAnsi" w:cstheme="minorHAnsi"/>
          <w:bdr w:val="nil"/>
        </w:rPr>
        <w:t>Employee expenses: the increase of $1.299 million in the 2021-22 budget from the 2020</w:t>
      </w:r>
      <w:r w:rsidRPr="005E3B44">
        <w:rPr>
          <w:rFonts w:asciiTheme="minorHAnsi" w:hAnsiTheme="minorHAnsi" w:cstheme="minorHAnsi"/>
          <w:bdr w:val="nil"/>
        </w:rPr>
        <w:noBreakHyphen/>
        <w:t>21 interim outcome is mainly due to the establishment of a provision for ACT Government’s expected costs in relation to administration of the National Redress Scheme for Survivors of Institutional and Sexual Abuse and payments to retiring Judges in the 2021</w:t>
      </w:r>
      <w:r w:rsidRPr="005E3B44">
        <w:rPr>
          <w:rFonts w:asciiTheme="minorHAnsi" w:hAnsiTheme="minorHAnsi" w:cstheme="minorHAnsi"/>
          <w:bdr w:val="nil"/>
        </w:rPr>
        <w:noBreakHyphen/>
        <w:t>22 financial year.</w:t>
      </w:r>
    </w:p>
    <w:p w14:paraId="58852A5B" w14:textId="77777777" w:rsidR="002242F3" w:rsidRPr="005E3B44" w:rsidRDefault="002242F3" w:rsidP="002242F3">
      <w:pPr>
        <w:pStyle w:val="BSbullet14"/>
        <w:numPr>
          <w:ilvl w:val="0"/>
          <w:numId w:val="53"/>
        </w:numPr>
        <w:pBdr>
          <w:top w:val="nil"/>
          <w:left w:val="nil"/>
          <w:bottom w:val="nil"/>
          <w:right w:val="nil"/>
          <w:between w:val="nil"/>
          <w:bar w:val="nil"/>
        </w:pBdr>
        <w:tabs>
          <w:tab w:val="num" w:pos="851"/>
        </w:tabs>
        <w:rPr>
          <w:rFonts w:asciiTheme="minorHAnsi" w:hAnsiTheme="minorHAnsi" w:cstheme="minorHAnsi"/>
          <w:bdr w:val="nil"/>
        </w:rPr>
      </w:pPr>
      <w:bookmarkStart w:id="27" w:name="_Hlk83293150"/>
      <w:bookmarkStart w:id="28" w:name="_Hlk80719847"/>
      <w:bookmarkStart w:id="29" w:name="_Hlk80712943"/>
      <w:bookmarkEnd w:id="26"/>
      <w:r w:rsidRPr="005E3B44">
        <w:rPr>
          <w:rFonts w:asciiTheme="minorHAnsi" w:hAnsiTheme="minorHAnsi" w:cstheme="minorHAnsi"/>
          <w:bdr w:val="nil"/>
        </w:rPr>
        <w:t>Supplies and Services: the increase of $20.880 million in the 2021-22 budget from the 2020-21 interim outcome is mainly due to new budget initiatives ($13 million), impact of initiatives’ rollovers, movements in funding from prior years’ initiatives and other adjustments.</w:t>
      </w:r>
    </w:p>
    <w:p w14:paraId="07B6CBB7" w14:textId="77777777" w:rsidR="002242F3" w:rsidRPr="005E3B44" w:rsidRDefault="002242F3" w:rsidP="002242F3">
      <w:pPr>
        <w:pStyle w:val="BSbullet14"/>
        <w:numPr>
          <w:ilvl w:val="0"/>
          <w:numId w:val="53"/>
        </w:numPr>
        <w:pBdr>
          <w:top w:val="nil"/>
          <w:left w:val="nil"/>
          <w:bottom w:val="nil"/>
          <w:right w:val="nil"/>
          <w:between w:val="nil"/>
          <w:bar w:val="nil"/>
        </w:pBdr>
        <w:tabs>
          <w:tab w:val="num" w:pos="851"/>
        </w:tabs>
        <w:rPr>
          <w:rFonts w:asciiTheme="minorHAnsi" w:hAnsiTheme="minorHAnsi" w:cstheme="minorHAnsi"/>
          <w:bdr w:val="nil"/>
        </w:rPr>
      </w:pPr>
      <w:bookmarkStart w:id="30" w:name="_Hlk83293161"/>
      <w:bookmarkEnd w:id="27"/>
      <w:r w:rsidRPr="005E3B44">
        <w:rPr>
          <w:rFonts w:asciiTheme="minorHAnsi" w:hAnsiTheme="minorHAnsi" w:cstheme="minorHAnsi"/>
          <w:bdr w:val="nil"/>
        </w:rPr>
        <w:t xml:space="preserve">Grants and Purchased services: the decrease of $2.177 million in the 2020-21 interim outcome from the 2020-21 budget is mainly due to the return to budget of savings resulting from a </w:t>
      </w:r>
      <w:proofErr w:type="gramStart"/>
      <w:r w:rsidRPr="005E3B44">
        <w:rPr>
          <w:rFonts w:asciiTheme="minorHAnsi" w:hAnsiTheme="minorHAnsi" w:cstheme="minorHAnsi"/>
          <w:bdr w:val="nil"/>
        </w:rPr>
        <w:t>lower than expected</w:t>
      </w:r>
      <w:proofErr w:type="gramEnd"/>
      <w:r w:rsidRPr="005E3B44">
        <w:rPr>
          <w:rFonts w:asciiTheme="minorHAnsi" w:hAnsiTheme="minorHAnsi" w:cstheme="minorHAnsi"/>
          <w:bdr w:val="nil"/>
        </w:rPr>
        <w:t xml:space="preserve"> take-up from gaming machine licensees of the Gaming Machine Authorisation Surrender Incentive. The government has also rolled over funding of $0.350 million to the 2021-22 year under the same Incentive program, to allow for the payment of gaming machine licence surrenders that were received late in the 2020-21 year. </w:t>
      </w:r>
      <w:bookmarkEnd w:id="28"/>
      <w:r w:rsidRPr="005E3B44">
        <w:rPr>
          <w:rFonts w:asciiTheme="minorHAnsi" w:hAnsiTheme="minorHAnsi" w:cstheme="minorHAnsi"/>
          <w:bdr w:val="nil"/>
        </w:rPr>
        <w:t xml:space="preserve"> </w:t>
      </w:r>
    </w:p>
    <w:p w14:paraId="0AB1D91E" w14:textId="77777777" w:rsidR="002242F3" w:rsidRPr="005E3B44" w:rsidRDefault="002242F3" w:rsidP="002242F3">
      <w:pPr>
        <w:pStyle w:val="BSbullet14"/>
        <w:numPr>
          <w:ilvl w:val="0"/>
          <w:numId w:val="54"/>
        </w:numPr>
        <w:pBdr>
          <w:top w:val="nil"/>
          <w:left w:val="nil"/>
          <w:bottom w:val="nil"/>
          <w:right w:val="nil"/>
          <w:between w:val="nil"/>
          <w:bar w:val="nil"/>
        </w:pBdr>
        <w:tabs>
          <w:tab w:val="left" w:pos="720"/>
        </w:tabs>
        <w:rPr>
          <w:rFonts w:asciiTheme="minorHAnsi" w:hAnsiTheme="minorHAnsi" w:cstheme="minorHAnsi"/>
          <w:bdr w:val="nil"/>
        </w:rPr>
      </w:pPr>
      <w:bookmarkStart w:id="31" w:name="_Hlk83293173"/>
      <w:bookmarkEnd w:id="29"/>
      <w:bookmarkEnd w:id="30"/>
      <w:r w:rsidRPr="005E3B44">
        <w:rPr>
          <w:rFonts w:asciiTheme="minorHAnsi" w:hAnsiTheme="minorHAnsi" w:cstheme="minorHAnsi"/>
          <w:bdr w:val="nil"/>
        </w:rPr>
        <w:t xml:space="preserve">Asset Revaluation Surplus:  the increase of $7.007 million in 2020-21 Interim outcome from the 2020-21 budget and the decrease of $7.007 million in 2021-22 budget from the 2020-21 Interim outcome is due to a revaluation of Territorial land and building assets </w:t>
      </w:r>
      <w:proofErr w:type="gramStart"/>
      <w:r w:rsidRPr="005E3B44">
        <w:rPr>
          <w:rFonts w:asciiTheme="minorHAnsi" w:hAnsiTheme="minorHAnsi" w:cstheme="minorHAnsi"/>
          <w:bdr w:val="nil"/>
        </w:rPr>
        <w:t>at</w:t>
      </w:r>
      <w:proofErr w:type="gramEnd"/>
      <w:r w:rsidRPr="005E3B44">
        <w:rPr>
          <w:rFonts w:asciiTheme="minorHAnsi" w:hAnsiTheme="minorHAnsi" w:cstheme="minorHAnsi"/>
          <w:bdr w:val="nil"/>
        </w:rPr>
        <w:t xml:space="preserve"> 30 June 2021. The next valuation is scheduled as </w:t>
      </w:r>
      <w:proofErr w:type="gramStart"/>
      <w:r w:rsidRPr="005E3B44">
        <w:rPr>
          <w:rFonts w:asciiTheme="minorHAnsi" w:hAnsiTheme="minorHAnsi" w:cstheme="minorHAnsi"/>
          <w:bdr w:val="nil"/>
        </w:rPr>
        <w:t>at</w:t>
      </w:r>
      <w:proofErr w:type="gramEnd"/>
      <w:r w:rsidRPr="005E3B44">
        <w:rPr>
          <w:rFonts w:asciiTheme="minorHAnsi" w:hAnsiTheme="minorHAnsi" w:cstheme="minorHAnsi"/>
          <w:bdr w:val="nil"/>
        </w:rPr>
        <w:t xml:space="preserve"> 30 June 2024.</w:t>
      </w:r>
      <w:bookmarkEnd w:id="31"/>
    </w:p>
    <w:p w14:paraId="63E2F8C3" w14:textId="77777777" w:rsidR="002242F3" w:rsidRPr="005E3B44" w:rsidRDefault="002242F3" w:rsidP="002242F3">
      <w:pPr>
        <w:pBdr>
          <w:top w:val="nil"/>
          <w:left w:val="nil"/>
          <w:bottom w:val="nil"/>
          <w:right w:val="nil"/>
          <w:between w:val="nil"/>
          <w:bar w:val="nil"/>
        </w:pBdr>
        <w:spacing w:before="0"/>
        <w:contextualSpacing/>
        <w:rPr>
          <w:rFonts w:asciiTheme="minorHAnsi" w:hAnsiTheme="minorHAnsi" w:cstheme="minorHAnsi"/>
          <w:highlight w:val="yellow"/>
          <w:bdr w:val="nil"/>
          <w:lang w:eastAsia="en-AU"/>
        </w:rPr>
      </w:pPr>
    </w:p>
    <w:p w14:paraId="156E38C5" w14:textId="77777777" w:rsidR="002242F3" w:rsidRPr="005E3B44" w:rsidRDefault="002242F3" w:rsidP="002242F3">
      <w:pPr>
        <w:pStyle w:val="Heading44"/>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Statement of Assets and Liabilities on Behalf of the Territory</w:t>
      </w:r>
    </w:p>
    <w:p w14:paraId="40848E92" w14:textId="77777777" w:rsidR="002242F3" w:rsidRPr="005E3B44" w:rsidRDefault="002242F3" w:rsidP="002242F3">
      <w:pPr>
        <w:pStyle w:val="BSbullet14"/>
        <w:numPr>
          <w:ilvl w:val="0"/>
          <w:numId w:val="53"/>
        </w:numPr>
        <w:pBdr>
          <w:top w:val="nil"/>
          <w:left w:val="nil"/>
          <w:bottom w:val="nil"/>
          <w:right w:val="nil"/>
          <w:between w:val="nil"/>
          <w:bar w:val="nil"/>
        </w:pBdr>
        <w:rPr>
          <w:rFonts w:asciiTheme="minorHAnsi" w:hAnsiTheme="minorHAnsi" w:cstheme="minorHAnsi"/>
          <w:bdr w:val="nil"/>
        </w:rPr>
      </w:pPr>
      <w:bookmarkStart w:id="32" w:name="_Hlk83293184"/>
      <w:r w:rsidRPr="005E3B44">
        <w:rPr>
          <w:rFonts w:asciiTheme="minorHAnsi" w:hAnsiTheme="minorHAnsi" w:cstheme="minorHAnsi"/>
          <w:bdr w:val="nil"/>
        </w:rPr>
        <w:t xml:space="preserve">Property, </w:t>
      </w:r>
      <w:proofErr w:type="gramStart"/>
      <w:r w:rsidRPr="005E3B44">
        <w:rPr>
          <w:rFonts w:asciiTheme="minorHAnsi" w:hAnsiTheme="minorHAnsi" w:cstheme="minorHAnsi"/>
          <w:bdr w:val="nil"/>
        </w:rPr>
        <w:t>plant</w:t>
      </w:r>
      <w:proofErr w:type="gramEnd"/>
      <w:r w:rsidRPr="005E3B44">
        <w:rPr>
          <w:rFonts w:asciiTheme="minorHAnsi" w:hAnsiTheme="minorHAnsi" w:cstheme="minorHAnsi"/>
          <w:bdr w:val="nil"/>
        </w:rPr>
        <w:t xml:space="preserve"> and equipment: </w:t>
      </w:r>
    </w:p>
    <w:p w14:paraId="385E48F0" w14:textId="77777777" w:rsidR="002242F3" w:rsidRPr="005E3B44" w:rsidRDefault="002242F3" w:rsidP="002242F3">
      <w:pPr>
        <w:pStyle w:val="BSbullet14"/>
        <w:numPr>
          <w:ilvl w:val="0"/>
          <w:numId w:val="55"/>
        </w:numPr>
        <w:pBdr>
          <w:top w:val="nil"/>
          <w:left w:val="nil"/>
          <w:bottom w:val="nil"/>
          <w:right w:val="nil"/>
          <w:between w:val="nil"/>
          <w:bar w:val="nil"/>
        </w:pBdr>
        <w:tabs>
          <w:tab w:val="left" w:pos="720"/>
        </w:tabs>
        <w:rPr>
          <w:rFonts w:asciiTheme="minorHAnsi" w:hAnsiTheme="minorHAnsi" w:cstheme="minorHAnsi"/>
          <w:bdr w:val="nil"/>
        </w:rPr>
      </w:pPr>
      <w:r w:rsidRPr="005E3B44">
        <w:rPr>
          <w:rFonts w:asciiTheme="minorHAnsi" w:hAnsiTheme="minorHAnsi" w:cstheme="minorHAnsi"/>
          <w:bdr w:val="nil"/>
        </w:rPr>
        <w:t xml:space="preserve">the increase of $4.968 million in 2020-21 interim outcome from the 2020-21 budget is mainly due to the completion of capital projects and revaluation of the land and building assets as </w:t>
      </w:r>
      <w:proofErr w:type="gramStart"/>
      <w:r w:rsidRPr="005E3B44">
        <w:rPr>
          <w:rFonts w:asciiTheme="minorHAnsi" w:hAnsiTheme="minorHAnsi" w:cstheme="minorHAnsi"/>
          <w:bdr w:val="nil"/>
        </w:rPr>
        <w:t>at</w:t>
      </w:r>
      <w:proofErr w:type="gramEnd"/>
      <w:r w:rsidRPr="005E3B44">
        <w:rPr>
          <w:rFonts w:asciiTheme="minorHAnsi" w:hAnsiTheme="minorHAnsi" w:cstheme="minorHAnsi"/>
          <w:bdr w:val="nil"/>
        </w:rPr>
        <w:t xml:space="preserve"> 30 June 2021.</w:t>
      </w:r>
    </w:p>
    <w:p w14:paraId="676806F5" w14:textId="2BAED36C" w:rsidR="00235FF7" w:rsidRDefault="002242F3" w:rsidP="00235FF7">
      <w:pPr>
        <w:pStyle w:val="BSbullet14"/>
        <w:numPr>
          <w:ilvl w:val="0"/>
          <w:numId w:val="55"/>
        </w:numPr>
        <w:pBdr>
          <w:top w:val="nil"/>
          <w:left w:val="nil"/>
          <w:bottom w:val="nil"/>
          <w:right w:val="nil"/>
          <w:between w:val="nil"/>
          <w:bar w:val="nil"/>
        </w:pBdr>
        <w:tabs>
          <w:tab w:val="left" w:pos="720"/>
        </w:tabs>
        <w:rPr>
          <w:rFonts w:asciiTheme="minorHAnsi" w:hAnsiTheme="minorHAnsi" w:cstheme="minorHAnsi"/>
          <w:bdr w:val="nil"/>
        </w:rPr>
      </w:pPr>
      <w:r w:rsidRPr="005E3B44">
        <w:rPr>
          <w:rFonts w:asciiTheme="minorHAnsi" w:hAnsiTheme="minorHAnsi" w:cstheme="minorHAnsi"/>
          <w:bdr w:val="nil"/>
        </w:rPr>
        <w:t>the increase of $3.756 million in the 2021-22 budget from the 2020-21 interim outcome is mainly due to new initiatives and rollovers of capital funding to 2021</w:t>
      </w:r>
      <w:r w:rsidRPr="005E3B44">
        <w:rPr>
          <w:rFonts w:asciiTheme="minorHAnsi" w:hAnsiTheme="minorHAnsi" w:cstheme="minorHAnsi"/>
          <w:bdr w:val="nil"/>
        </w:rPr>
        <w:noBreakHyphen/>
        <w:t>22 financial year.</w:t>
      </w:r>
    </w:p>
    <w:p w14:paraId="6CF1A445" w14:textId="77777777" w:rsidR="00235FF7" w:rsidRPr="00235FF7" w:rsidRDefault="00235FF7" w:rsidP="00C652F8">
      <w:pPr>
        <w:pStyle w:val="BSbullet14"/>
        <w:numPr>
          <w:ilvl w:val="0"/>
          <w:numId w:val="0"/>
        </w:numPr>
        <w:pBdr>
          <w:top w:val="nil"/>
          <w:left w:val="nil"/>
          <w:bottom w:val="nil"/>
          <w:right w:val="nil"/>
          <w:between w:val="nil"/>
          <w:bar w:val="nil"/>
        </w:pBdr>
        <w:tabs>
          <w:tab w:val="left" w:pos="720"/>
        </w:tabs>
        <w:ind w:left="1077"/>
        <w:rPr>
          <w:rFonts w:asciiTheme="minorHAnsi" w:hAnsiTheme="minorHAnsi" w:cstheme="minorHAnsi"/>
          <w:bdr w:val="nil"/>
        </w:rPr>
      </w:pPr>
    </w:p>
    <w:p w14:paraId="4D4F5220" w14:textId="77777777" w:rsidR="002242F3" w:rsidRPr="005E3B44" w:rsidRDefault="002242F3" w:rsidP="002242F3">
      <w:pPr>
        <w:pStyle w:val="BSbullet14"/>
        <w:numPr>
          <w:ilvl w:val="0"/>
          <w:numId w:val="53"/>
        </w:numPr>
        <w:pBdr>
          <w:top w:val="nil"/>
          <w:left w:val="nil"/>
          <w:bottom w:val="nil"/>
          <w:right w:val="nil"/>
          <w:between w:val="nil"/>
          <w:bar w:val="nil"/>
        </w:pBdr>
        <w:rPr>
          <w:rFonts w:asciiTheme="minorHAnsi" w:hAnsiTheme="minorHAnsi" w:cstheme="minorHAnsi"/>
          <w:bdr w:val="nil"/>
        </w:rPr>
      </w:pPr>
      <w:bookmarkStart w:id="33" w:name="_Hlk83293193"/>
      <w:bookmarkEnd w:id="32"/>
      <w:r w:rsidRPr="005E3B44">
        <w:rPr>
          <w:rFonts w:asciiTheme="minorHAnsi" w:hAnsiTheme="minorHAnsi" w:cstheme="minorHAnsi"/>
          <w:bdr w:val="nil"/>
        </w:rPr>
        <w:lastRenderedPageBreak/>
        <w:t>Payables: the increase of $1.118 million in the 2020-21 interim outcome from the    2020</w:t>
      </w:r>
      <w:r w:rsidRPr="005E3B44">
        <w:rPr>
          <w:rFonts w:asciiTheme="minorHAnsi" w:hAnsiTheme="minorHAnsi" w:cstheme="minorHAnsi"/>
          <w:bdr w:val="nil"/>
        </w:rPr>
        <w:softHyphen/>
        <w:t>-21 budget is mainly due to the increases in outstanding Court imposed fees and fines ($0.8 million) and trade payables associated with ACT Policing facilities capital works ($0.3 million).</w:t>
      </w:r>
    </w:p>
    <w:p w14:paraId="770E6280" w14:textId="77777777" w:rsidR="002242F3" w:rsidRPr="005E3B44" w:rsidRDefault="002242F3" w:rsidP="002242F3">
      <w:pPr>
        <w:pStyle w:val="BSbullet14"/>
        <w:numPr>
          <w:ilvl w:val="0"/>
          <w:numId w:val="53"/>
        </w:numPr>
        <w:pBdr>
          <w:top w:val="nil"/>
          <w:left w:val="nil"/>
          <w:bottom w:val="nil"/>
          <w:right w:val="nil"/>
          <w:between w:val="nil"/>
          <w:bar w:val="nil"/>
        </w:pBdr>
        <w:rPr>
          <w:rFonts w:asciiTheme="minorHAnsi" w:hAnsiTheme="minorHAnsi" w:cstheme="minorHAnsi"/>
          <w:bdr w:val="nil"/>
        </w:rPr>
      </w:pPr>
      <w:bookmarkStart w:id="34" w:name="_Hlk83293207"/>
      <w:bookmarkEnd w:id="33"/>
      <w:r w:rsidRPr="005E3B44">
        <w:rPr>
          <w:rFonts w:asciiTheme="minorHAnsi" w:hAnsiTheme="minorHAnsi" w:cstheme="minorHAnsi"/>
          <w:bdr w:val="nil"/>
        </w:rPr>
        <w:t>Current and Non-Current Other Provisions: the increase of $15.841 million in the 2020</w:t>
      </w:r>
      <w:r w:rsidRPr="005E3B44">
        <w:rPr>
          <w:rFonts w:asciiTheme="minorHAnsi" w:hAnsiTheme="minorHAnsi" w:cstheme="minorHAnsi"/>
          <w:bdr w:val="nil"/>
        </w:rPr>
        <w:noBreakHyphen/>
        <w:t>21 interim outcome from the 2020</w:t>
      </w:r>
      <w:r w:rsidRPr="005E3B44">
        <w:rPr>
          <w:rFonts w:asciiTheme="minorHAnsi" w:hAnsiTheme="minorHAnsi" w:cstheme="minorHAnsi"/>
          <w:bdr w:val="nil"/>
        </w:rPr>
        <w:noBreakHyphen/>
        <w:t>21 budget represents the estimated costs relating to the ACT Government liability under the National Redress Scheme for Survivors of Institutional and Sexual Abuse.</w:t>
      </w:r>
      <w:bookmarkEnd w:id="34"/>
    </w:p>
    <w:p w14:paraId="7DE5B046" w14:textId="77777777" w:rsidR="002242F3" w:rsidRPr="005E3B44" w:rsidRDefault="002242F3" w:rsidP="002242F3">
      <w:pPr>
        <w:pStyle w:val="Heading44"/>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Statement of Cash Flows on Behalf of the Territory</w:t>
      </w:r>
    </w:p>
    <w:p w14:paraId="6FA85D4C" w14:textId="77777777" w:rsidR="002242F3" w:rsidRPr="005E3B44" w:rsidRDefault="002242F3" w:rsidP="002242F3">
      <w:pPr>
        <w:pStyle w:val="BSbullet14"/>
        <w:numPr>
          <w:ilvl w:val="0"/>
          <w:numId w:val="0"/>
        </w:numPr>
        <w:pBdr>
          <w:top w:val="nil"/>
          <w:left w:val="nil"/>
          <w:bottom w:val="nil"/>
          <w:right w:val="nil"/>
          <w:between w:val="nil"/>
          <w:bar w:val="nil"/>
        </w:pBdr>
        <w:tabs>
          <w:tab w:val="left" w:pos="720"/>
        </w:tabs>
        <w:jc w:val="left"/>
        <w:rPr>
          <w:rFonts w:asciiTheme="minorHAnsi" w:hAnsiTheme="minorHAnsi" w:cstheme="minorHAnsi"/>
          <w:bdr w:val="nil"/>
        </w:rPr>
      </w:pPr>
      <w:r w:rsidRPr="005E3B44">
        <w:rPr>
          <w:rFonts w:asciiTheme="minorHAnsi" w:hAnsiTheme="minorHAnsi" w:cstheme="minorHAnsi"/>
          <w:bdr w:val="nil"/>
        </w:rPr>
        <w:t>Variations in the Statement are explained in the notes above.</w:t>
      </w:r>
    </w:p>
    <w:p w14:paraId="29100DCB" w14:textId="77777777" w:rsidR="002242F3" w:rsidRPr="005E3B44" w:rsidRDefault="002242F3" w:rsidP="002242F3">
      <w:pPr>
        <w:pStyle w:val="BSbullet1"/>
        <w:numPr>
          <w:ilvl w:val="0"/>
          <w:numId w:val="0"/>
        </w:numPr>
        <w:pBdr>
          <w:top w:val="nil"/>
          <w:left w:val="nil"/>
          <w:bottom w:val="nil"/>
          <w:right w:val="nil"/>
          <w:between w:val="nil"/>
          <w:bar w:val="nil"/>
        </w:pBdr>
        <w:ind w:left="357" w:hanging="357"/>
        <w:rPr>
          <w:rFonts w:asciiTheme="minorHAnsi" w:eastAsia="TimesNewRomanPS-ItalicMT" w:hAnsiTheme="minorHAnsi" w:cstheme="minorHAnsi"/>
          <w:bdr w:val="nil"/>
        </w:rPr>
      </w:pPr>
      <w:r w:rsidRPr="005E3B44">
        <w:rPr>
          <w:rFonts w:asciiTheme="minorHAnsi" w:hAnsiTheme="minorHAnsi" w:cstheme="minorHAnsi"/>
        </w:rPr>
        <w:t xml:space="preserve"> </w:t>
      </w:r>
    </w:p>
    <w:p w14:paraId="67EDEED9" w14:textId="65D8418B" w:rsidR="002242F3" w:rsidRPr="005E3B44" w:rsidRDefault="002242F3" w:rsidP="002242F3">
      <w:pPr>
        <w:pStyle w:val="Caption"/>
        <w:pageBreakBefore/>
        <w:pBdr>
          <w:top w:val="nil"/>
          <w:left w:val="nil"/>
          <w:bottom w:val="nil"/>
          <w:right w:val="nil"/>
          <w:between w:val="nil"/>
          <w:bar w:val="nil"/>
        </w:pBdr>
        <w:rPr>
          <w:rFonts w:asciiTheme="minorHAnsi" w:eastAsia="TimesNewRomanPS-ItalicMT" w:hAnsiTheme="minorHAnsi" w:cstheme="minorHAnsi"/>
          <w:bdr w:val="nil"/>
        </w:rPr>
      </w:pPr>
      <w:r w:rsidRPr="005E3B44">
        <w:rPr>
          <w:rFonts w:asciiTheme="minorHAnsi" w:hAnsiTheme="minorHAnsi" w:cstheme="minorHAnsi"/>
          <w:bdr w:val="nil"/>
        </w:rPr>
        <w:lastRenderedPageBreak/>
        <w:t>Table 3</w:t>
      </w:r>
      <w:r w:rsidR="004A6DD0">
        <w:rPr>
          <w:rFonts w:asciiTheme="minorHAnsi" w:hAnsiTheme="minorHAnsi" w:cstheme="minorHAnsi"/>
          <w:bdr w:val="nil"/>
        </w:rPr>
        <w:t>7</w:t>
      </w:r>
      <w:r w:rsidRPr="005E3B44">
        <w:rPr>
          <w:rFonts w:asciiTheme="minorHAnsi" w:hAnsiTheme="minorHAnsi" w:cstheme="minorHAnsi"/>
          <w:bdr w:val="nil"/>
        </w:rPr>
        <w:t>: Output Class 1: Justice Services Operating Statement</w:t>
      </w:r>
    </w:p>
    <w:tbl>
      <w:tblPr>
        <w:tblStyle w:val="CDMRange16"/>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50A1F29A" w14:textId="77777777" w:rsidTr="005E3B44">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DF0ED5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0ECD519D" w14:textId="77777777" w:rsidR="002242F3" w:rsidRPr="005E3B44" w:rsidRDefault="002242F3" w:rsidP="005E3B44">
            <w:pPr>
              <w:pStyle w:val="Normal16"/>
              <w:jc w:val="right"/>
              <w:rPr>
                <w:rFonts w:asciiTheme="minorHAnsi" w:eastAsia="Calibri" w:hAnsiTheme="minorHAnsi" w:cstheme="minorHAnsi"/>
                <w:b/>
                <w:color w:val="000000"/>
                <w:sz w:val="18"/>
              </w:rPr>
            </w:pPr>
          </w:p>
          <w:p w14:paraId="75C099F2"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8DED5AB" w14:textId="77777777" w:rsidR="002242F3" w:rsidRPr="005E3B44" w:rsidRDefault="002242F3" w:rsidP="005E3B44">
            <w:pPr>
              <w:pStyle w:val="Normal16"/>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7B7EB99"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D60468"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w:t>
            </w:r>
          </w:p>
          <w:p w14:paraId="7E73C99E"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3B0AA94F" w14:textId="77777777" w:rsidR="002242F3" w:rsidRPr="005E3B44" w:rsidRDefault="002242F3" w:rsidP="005E3B44">
            <w:pPr>
              <w:pStyle w:val="Normal16"/>
              <w:jc w:val="right"/>
              <w:rPr>
                <w:rFonts w:asciiTheme="minorHAnsi" w:eastAsia="Calibri" w:hAnsiTheme="minorHAnsi" w:cstheme="minorHAnsi"/>
                <w:b/>
                <w:color w:val="000000"/>
                <w:sz w:val="18"/>
              </w:rPr>
            </w:pPr>
          </w:p>
          <w:p w14:paraId="230E1FBB"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FE40F37"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1B28995C"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F9012F1"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w:t>
            </w:r>
          </w:p>
          <w:p w14:paraId="5533B46A"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3B9D32EE" w14:textId="77777777" w:rsidR="002242F3" w:rsidRPr="005E3B44" w:rsidRDefault="002242F3" w:rsidP="005E3B44">
            <w:pPr>
              <w:pStyle w:val="Normal16"/>
              <w:jc w:val="right"/>
              <w:rPr>
                <w:rFonts w:asciiTheme="minorHAnsi" w:eastAsia="Calibri" w:hAnsiTheme="minorHAnsi" w:cstheme="minorHAnsi"/>
                <w:b/>
                <w:color w:val="000000"/>
                <w:sz w:val="18"/>
              </w:rPr>
            </w:pPr>
          </w:p>
          <w:p w14:paraId="18B7A7EF"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B23CA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w:t>
            </w:r>
          </w:p>
          <w:p w14:paraId="48CD17A0"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7F1029DE" w14:textId="77777777" w:rsidR="002242F3" w:rsidRPr="005E3B44" w:rsidRDefault="002242F3" w:rsidP="005E3B44">
            <w:pPr>
              <w:pStyle w:val="Normal16"/>
              <w:jc w:val="right"/>
              <w:rPr>
                <w:rFonts w:asciiTheme="minorHAnsi" w:eastAsia="Calibri" w:hAnsiTheme="minorHAnsi" w:cstheme="minorHAnsi"/>
                <w:b/>
                <w:color w:val="000000"/>
                <w:sz w:val="18"/>
              </w:rPr>
            </w:pPr>
          </w:p>
          <w:p w14:paraId="2A23143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ECAA765"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w:t>
            </w:r>
          </w:p>
          <w:p w14:paraId="5F849060"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7BA3A609" w14:textId="77777777" w:rsidR="002242F3" w:rsidRPr="005E3B44" w:rsidRDefault="002242F3" w:rsidP="005E3B44">
            <w:pPr>
              <w:pStyle w:val="Normal16"/>
              <w:jc w:val="right"/>
              <w:rPr>
                <w:rFonts w:asciiTheme="minorHAnsi" w:eastAsia="Calibri" w:hAnsiTheme="minorHAnsi" w:cstheme="minorHAnsi"/>
                <w:b/>
                <w:color w:val="000000"/>
                <w:sz w:val="18"/>
              </w:rPr>
            </w:pPr>
          </w:p>
          <w:p w14:paraId="5025AE71"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21A3CC1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E4D7B5"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9342BD2"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2181F4E0"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9C0A32"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3FEB52"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336361"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788216"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237DF4"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18368CA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D8542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70,231</w:t>
            </w:r>
          </w:p>
        </w:tc>
        <w:tc>
          <w:tcPr>
            <w:tcW w:w="2385" w:type="dxa"/>
            <w:tcBorders>
              <w:top w:val="nil"/>
              <w:left w:val="nil"/>
              <w:bottom w:val="nil"/>
              <w:right w:val="nil"/>
              <w:tl2br w:val="nil"/>
              <w:tr2bl w:val="nil"/>
            </w:tcBorders>
            <w:shd w:val="clear" w:color="auto" w:fill="auto"/>
            <w:noWrap/>
            <w:tcMar>
              <w:left w:w="101" w:type="dxa"/>
              <w:right w:w="101" w:type="dxa"/>
            </w:tcMar>
          </w:tcPr>
          <w:p w14:paraId="3D217446"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77670EE"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66,260</w:t>
            </w:r>
          </w:p>
        </w:tc>
        <w:tc>
          <w:tcPr>
            <w:tcW w:w="1035" w:type="dxa"/>
            <w:tcBorders>
              <w:top w:val="nil"/>
              <w:left w:val="nil"/>
              <w:bottom w:val="nil"/>
              <w:right w:val="nil"/>
              <w:tl2br w:val="nil"/>
              <w:tr2bl w:val="nil"/>
            </w:tcBorders>
            <w:shd w:val="clear" w:color="FFFFFF" w:fill="FFFFFF"/>
            <w:tcMar>
              <w:left w:w="101" w:type="dxa"/>
              <w:right w:w="101" w:type="dxa"/>
            </w:tcMar>
          </w:tcPr>
          <w:p w14:paraId="25D72996"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75,452</w:t>
            </w:r>
          </w:p>
        </w:tc>
        <w:tc>
          <w:tcPr>
            <w:tcW w:w="600" w:type="dxa"/>
            <w:tcBorders>
              <w:top w:val="nil"/>
              <w:left w:val="nil"/>
              <w:bottom w:val="nil"/>
              <w:right w:val="nil"/>
              <w:tl2br w:val="nil"/>
              <w:tr2bl w:val="nil"/>
            </w:tcBorders>
            <w:shd w:val="clear" w:color="FFFFFF" w:fill="FFFFFF"/>
            <w:tcMar>
              <w:left w:w="101" w:type="dxa"/>
              <w:right w:w="101" w:type="dxa"/>
            </w:tcMar>
          </w:tcPr>
          <w:p w14:paraId="4A633223"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5A874FF7"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71,874</w:t>
            </w:r>
          </w:p>
        </w:tc>
        <w:tc>
          <w:tcPr>
            <w:tcW w:w="1035" w:type="dxa"/>
            <w:tcBorders>
              <w:top w:val="nil"/>
              <w:left w:val="nil"/>
              <w:bottom w:val="nil"/>
              <w:right w:val="nil"/>
              <w:tl2br w:val="nil"/>
              <w:tr2bl w:val="nil"/>
            </w:tcBorders>
            <w:shd w:val="clear" w:color="FFFFFF" w:fill="FFFFFF"/>
            <w:tcMar>
              <w:left w:w="101" w:type="dxa"/>
              <w:right w:w="101" w:type="dxa"/>
            </w:tcMar>
          </w:tcPr>
          <w:p w14:paraId="14139C1D"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70,921</w:t>
            </w:r>
          </w:p>
        </w:tc>
        <w:tc>
          <w:tcPr>
            <w:tcW w:w="1035" w:type="dxa"/>
            <w:tcBorders>
              <w:top w:val="nil"/>
              <w:left w:val="nil"/>
              <w:bottom w:val="nil"/>
              <w:right w:val="nil"/>
              <w:tl2br w:val="nil"/>
              <w:tr2bl w:val="nil"/>
            </w:tcBorders>
            <w:shd w:val="clear" w:color="FFFFFF" w:fill="FFFFFF"/>
            <w:tcMar>
              <w:left w:w="101" w:type="dxa"/>
              <w:right w:w="101" w:type="dxa"/>
            </w:tcMar>
          </w:tcPr>
          <w:p w14:paraId="4F58AECB"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70,804</w:t>
            </w:r>
          </w:p>
        </w:tc>
      </w:tr>
      <w:tr w:rsidR="002242F3" w:rsidRPr="005E3B44" w14:paraId="7348DC5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BF5DAD"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7,870</w:t>
            </w:r>
          </w:p>
        </w:tc>
        <w:tc>
          <w:tcPr>
            <w:tcW w:w="2385" w:type="dxa"/>
            <w:tcBorders>
              <w:top w:val="nil"/>
              <w:left w:val="nil"/>
              <w:bottom w:val="nil"/>
              <w:right w:val="nil"/>
              <w:tl2br w:val="nil"/>
              <w:tr2bl w:val="nil"/>
            </w:tcBorders>
            <w:shd w:val="clear" w:color="auto" w:fill="auto"/>
            <w:noWrap/>
            <w:tcMar>
              <w:left w:w="101" w:type="dxa"/>
              <w:right w:w="101" w:type="dxa"/>
            </w:tcMar>
          </w:tcPr>
          <w:p w14:paraId="6B79A2B7"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46443D6"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8,655</w:t>
            </w:r>
          </w:p>
        </w:tc>
        <w:tc>
          <w:tcPr>
            <w:tcW w:w="1035" w:type="dxa"/>
            <w:tcBorders>
              <w:top w:val="nil"/>
              <w:left w:val="nil"/>
              <w:bottom w:val="nil"/>
              <w:right w:val="nil"/>
              <w:tl2br w:val="nil"/>
              <w:tr2bl w:val="nil"/>
            </w:tcBorders>
            <w:shd w:val="clear" w:color="FFFFFF" w:fill="FFFFFF"/>
            <w:tcMar>
              <w:left w:w="101" w:type="dxa"/>
              <w:right w:w="101" w:type="dxa"/>
            </w:tcMar>
          </w:tcPr>
          <w:p w14:paraId="058B3E3D"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4,853</w:t>
            </w:r>
          </w:p>
        </w:tc>
        <w:tc>
          <w:tcPr>
            <w:tcW w:w="600" w:type="dxa"/>
            <w:tcBorders>
              <w:top w:val="nil"/>
              <w:left w:val="nil"/>
              <w:bottom w:val="nil"/>
              <w:right w:val="nil"/>
              <w:tl2br w:val="nil"/>
              <w:tr2bl w:val="nil"/>
            </w:tcBorders>
            <w:shd w:val="clear" w:color="FFFFFF" w:fill="FFFFFF"/>
            <w:tcMar>
              <w:left w:w="101" w:type="dxa"/>
              <w:right w:w="101" w:type="dxa"/>
            </w:tcMar>
          </w:tcPr>
          <w:p w14:paraId="49DF674D"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-44 </w:t>
            </w:r>
          </w:p>
        </w:tc>
        <w:tc>
          <w:tcPr>
            <w:tcW w:w="1035" w:type="dxa"/>
            <w:tcBorders>
              <w:top w:val="nil"/>
              <w:left w:val="nil"/>
              <w:bottom w:val="nil"/>
              <w:right w:val="nil"/>
              <w:tl2br w:val="nil"/>
              <w:tr2bl w:val="nil"/>
            </w:tcBorders>
            <w:shd w:val="clear" w:color="FFFFFF" w:fill="FFFFFF"/>
            <w:tcMar>
              <w:left w:w="101" w:type="dxa"/>
              <w:right w:w="101" w:type="dxa"/>
            </w:tcMar>
          </w:tcPr>
          <w:p w14:paraId="1A8AD73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4,984</w:t>
            </w:r>
          </w:p>
        </w:tc>
        <w:tc>
          <w:tcPr>
            <w:tcW w:w="1035" w:type="dxa"/>
            <w:tcBorders>
              <w:top w:val="nil"/>
              <w:left w:val="nil"/>
              <w:bottom w:val="nil"/>
              <w:right w:val="nil"/>
              <w:tl2br w:val="nil"/>
              <w:tr2bl w:val="nil"/>
            </w:tcBorders>
            <w:shd w:val="clear" w:color="FFFFFF" w:fill="FFFFFF"/>
            <w:tcMar>
              <w:left w:w="101" w:type="dxa"/>
              <w:right w:w="101" w:type="dxa"/>
            </w:tcMar>
          </w:tcPr>
          <w:p w14:paraId="5B6EC4C0"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5,114</w:t>
            </w:r>
          </w:p>
        </w:tc>
        <w:tc>
          <w:tcPr>
            <w:tcW w:w="1035" w:type="dxa"/>
            <w:tcBorders>
              <w:top w:val="nil"/>
              <w:left w:val="nil"/>
              <w:bottom w:val="nil"/>
              <w:right w:val="nil"/>
              <w:tl2br w:val="nil"/>
              <w:tr2bl w:val="nil"/>
            </w:tcBorders>
            <w:shd w:val="clear" w:color="FFFFFF" w:fill="FFFFFF"/>
            <w:tcMar>
              <w:left w:w="101" w:type="dxa"/>
              <w:right w:w="101" w:type="dxa"/>
            </w:tcMar>
          </w:tcPr>
          <w:p w14:paraId="437ED1F1"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5,215</w:t>
            </w:r>
          </w:p>
        </w:tc>
      </w:tr>
      <w:tr w:rsidR="002242F3" w:rsidRPr="005E3B44" w14:paraId="00C2DC9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3B0FD6"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122</w:t>
            </w:r>
          </w:p>
        </w:tc>
        <w:tc>
          <w:tcPr>
            <w:tcW w:w="2385" w:type="dxa"/>
            <w:tcBorders>
              <w:top w:val="nil"/>
              <w:left w:val="nil"/>
              <w:bottom w:val="nil"/>
              <w:right w:val="nil"/>
              <w:tl2br w:val="nil"/>
              <w:tr2bl w:val="nil"/>
            </w:tcBorders>
            <w:shd w:val="clear" w:color="auto" w:fill="auto"/>
            <w:noWrap/>
            <w:tcMar>
              <w:left w:w="101" w:type="dxa"/>
              <w:right w:w="101" w:type="dxa"/>
            </w:tcMar>
          </w:tcPr>
          <w:p w14:paraId="6DDB7129"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6912BBB"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687</w:t>
            </w:r>
          </w:p>
        </w:tc>
        <w:tc>
          <w:tcPr>
            <w:tcW w:w="1035" w:type="dxa"/>
            <w:tcBorders>
              <w:top w:val="nil"/>
              <w:left w:val="nil"/>
              <w:bottom w:val="nil"/>
              <w:right w:val="nil"/>
              <w:tl2br w:val="nil"/>
              <w:tr2bl w:val="nil"/>
            </w:tcBorders>
            <w:shd w:val="clear" w:color="FFFFFF" w:fill="FFFFFF"/>
            <w:tcMar>
              <w:left w:w="101" w:type="dxa"/>
              <w:right w:w="101" w:type="dxa"/>
            </w:tcMar>
          </w:tcPr>
          <w:p w14:paraId="5A4765E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579</w:t>
            </w:r>
          </w:p>
        </w:tc>
        <w:tc>
          <w:tcPr>
            <w:tcW w:w="600" w:type="dxa"/>
            <w:tcBorders>
              <w:top w:val="nil"/>
              <w:left w:val="nil"/>
              <w:bottom w:val="nil"/>
              <w:right w:val="nil"/>
              <w:tl2br w:val="nil"/>
              <w:tr2bl w:val="nil"/>
            </w:tcBorders>
            <w:shd w:val="clear" w:color="FFFFFF" w:fill="FFFFFF"/>
            <w:tcMar>
              <w:left w:w="101" w:type="dxa"/>
              <w:right w:w="101" w:type="dxa"/>
            </w:tcMar>
          </w:tcPr>
          <w:p w14:paraId="001CEE8B"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70F7F0A2"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592</w:t>
            </w:r>
          </w:p>
        </w:tc>
        <w:tc>
          <w:tcPr>
            <w:tcW w:w="1035" w:type="dxa"/>
            <w:tcBorders>
              <w:top w:val="nil"/>
              <w:left w:val="nil"/>
              <w:bottom w:val="nil"/>
              <w:right w:val="nil"/>
              <w:tl2br w:val="nil"/>
              <w:tr2bl w:val="nil"/>
            </w:tcBorders>
            <w:shd w:val="clear" w:color="FFFFFF" w:fill="FFFFFF"/>
            <w:tcMar>
              <w:left w:w="101" w:type="dxa"/>
              <w:right w:w="101" w:type="dxa"/>
            </w:tcMar>
          </w:tcPr>
          <w:p w14:paraId="72D76226"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BDD383A"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618</w:t>
            </w:r>
          </w:p>
        </w:tc>
      </w:tr>
      <w:tr w:rsidR="002242F3" w:rsidRPr="005E3B44" w14:paraId="2E13526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96612E"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2,974</w:t>
            </w:r>
          </w:p>
        </w:tc>
        <w:tc>
          <w:tcPr>
            <w:tcW w:w="2385" w:type="dxa"/>
            <w:tcBorders>
              <w:top w:val="nil"/>
              <w:left w:val="nil"/>
              <w:bottom w:val="nil"/>
              <w:right w:val="nil"/>
              <w:tl2br w:val="nil"/>
              <w:tr2bl w:val="nil"/>
            </w:tcBorders>
            <w:shd w:val="clear" w:color="auto" w:fill="auto"/>
            <w:noWrap/>
            <w:tcMar>
              <w:left w:w="101" w:type="dxa"/>
              <w:right w:w="101" w:type="dxa"/>
            </w:tcMar>
          </w:tcPr>
          <w:p w14:paraId="7A1AFBFF"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78426C94"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3,765</w:t>
            </w:r>
          </w:p>
        </w:tc>
        <w:tc>
          <w:tcPr>
            <w:tcW w:w="1035" w:type="dxa"/>
            <w:tcBorders>
              <w:top w:val="nil"/>
              <w:left w:val="nil"/>
              <w:bottom w:val="nil"/>
              <w:right w:val="nil"/>
              <w:tl2br w:val="nil"/>
              <w:tr2bl w:val="nil"/>
            </w:tcBorders>
            <w:shd w:val="clear" w:color="FFFFFF" w:fill="FFFFFF"/>
            <w:tcMar>
              <w:left w:w="101" w:type="dxa"/>
              <w:right w:w="101" w:type="dxa"/>
            </w:tcMar>
          </w:tcPr>
          <w:p w14:paraId="274C6F37"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2,833</w:t>
            </w:r>
          </w:p>
        </w:tc>
        <w:tc>
          <w:tcPr>
            <w:tcW w:w="600" w:type="dxa"/>
            <w:tcBorders>
              <w:top w:val="nil"/>
              <w:left w:val="nil"/>
              <w:bottom w:val="nil"/>
              <w:right w:val="nil"/>
              <w:tl2br w:val="nil"/>
              <w:tr2bl w:val="nil"/>
            </w:tcBorders>
            <w:shd w:val="clear" w:color="FFFFFF" w:fill="FFFFFF"/>
            <w:tcMar>
              <w:left w:w="101" w:type="dxa"/>
              <w:right w:w="101" w:type="dxa"/>
            </w:tcMar>
          </w:tcPr>
          <w:p w14:paraId="3A5357CA"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2A5BACD0"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1,368</w:t>
            </w:r>
          </w:p>
        </w:tc>
        <w:tc>
          <w:tcPr>
            <w:tcW w:w="1035" w:type="dxa"/>
            <w:tcBorders>
              <w:top w:val="nil"/>
              <w:left w:val="nil"/>
              <w:bottom w:val="nil"/>
              <w:right w:val="nil"/>
              <w:tl2br w:val="nil"/>
              <w:tr2bl w:val="nil"/>
            </w:tcBorders>
            <w:shd w:val="clear" w:color="FFFFFF" w:fill="FFFFFF"/>
            <w:tcMar>
              <w:left w:w="101" w:type="dxa"/>
              <w:right w:w="101" w:type="dxa"/>
            </w:tcMar>
          </w:tcPr>
          <w:p w14:paraId="1A016588"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1,296</w:t>
            </w:r>
          </w:p>
        </w:tc>
        <w:tc>
          <w:tcPr>
            <w:tcW w:w="1035" w:type="dxa"/>
            <w:tcBorders>
              <w:top w:val="nil"/>
              <w:left w:val="nil"/>
              <w:bottom w:val="nil"/>
              <w:right w:val="nil"/>
              <w:tl2br w:val="nil"/>
              <w:tr2bl w:val="nil"/>
            </w:tcBorders>
            <w:shd w:val="clear" w:color="FFFFFF" w:fill="FFFFFF"/>
            <w:tcMar>
              <w:left w:w="101" w:type="dxa"/>
              <w:right w:w="101" w:type="dxa"/>
            </w:tcMar>
          </w:tcPr>
          <w:p w14:paraId="42A0CE33"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1,325</w:t>
            </w:r>
          </w:p>
        </w:tc>
      </w:tr>
      <w:tr w:rsidR="002242F3" w:rsidRPr="005E3B44" w14:paraId="5E7E699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4DAF2F"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D466F85" w14:textId="77777777" w:rsidR="002242F3" w:rsidRPr="005E3B44" w:rsidRDefault="002242F3" w:rsidP="005E3B44">
            <w:pPr>
              <w:pStyle w:val="Normal1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312C29"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7821D8"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B74C8A"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000148"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DF502"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ED1CFF"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4FA4083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2A55837"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81,197</w:t>
            </w:r>
          </w:p>
        </w:tc>
        <w:tc>
          <w:tcPr>
            <w:tcW w:w="2385" w:type="dxa"/>
            <w:tcBorders>
              <w:top w:val="nil"/>
              <w:left w:val="nil"/>
              <w:bottom w:val="nil"/>
              <w:right w:val="nil"/>
              <w:tl2br w:val="nil"/>
              <w:tr2bl w:val="nil"/>
            </w:tcBorders>
            <w:shd w:val="clear" w:color="FFFFFF" w:fill="FFFFFF"/>
            <w:tcMar>
              <w:left w:w="101" w:type="dxa"/>
              <w:right w:w="101" w:type="dxa"/>
            </w:tcMar>
          </w:tcPr>
          <w:p w14:paraId="0C35FCB7"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0E2CBDF1"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79,367</w:t>
            </w:r>
          </w:p>
        </w:tc>
        <w:tc>
          <w:tcPr>
            <w:tcW w:w="1035" w:type="dxa"/>
            <w:tcBorders>
              <w:top w:val="nil"/>
              <w:left w:val="nil"/>
              <w:bottom w:val="nil"/>
              <w:right w:val="nil"/>
              <w:tl2br w:val="nil"/>
              <w:tr2bl w:val="nil"/>
            </w:tcBorders>
            <w:shd w:val="clear" w:color="FFFFFF" w:fill="FFFFFF"/>
            <w:tcMar>
              <w:left w:w="101" w:type="dxa"/>
              <w:right w:w="101" w:type="dxa"/>
            </w:tcMar>
          </w:tcPr>
          <w:p w14:paraId="657F88A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83,717</w:t>
            </w:r>
          </w:p>
        </w:tc>
        <w:tc>
          <w:tcPr>
            <w:tcW w:w="600" w:type="dxa"/>
            <w:tcBorders>
              <w:top w:val="nil"/>
              <w:left w:val="nil"/>
              <w:bottom w:val="nil"/>
              <w:right w:val="nil"/>
              <w:tl2br w:val="nil"/>
              <w:tr2bl w:val="nil"/>
            </w:tcBorders>
            <w:shd w:val="clear" w:color="FFFFFF" w:fill="FFFFFF"/>
            <w:tcMar>
              <w:left w:w="101" w:type="dxa"/>
              <w:right w:w="101" w:type="dxa"/>
            </w:tcMar>
          </w:tcPr>
          <w:p w14:paraId="68A9B6FE"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51DE300C"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78,818</w:t>
            </w:r>
          </w:p>
        </w:tc>
        <w:tc>
          <w:tcPr>
            <w:tcW w:w="1035" w:type="dxa"/>
            <w:tcBorders>
              <w:top w:val="nil"/>
              <w:left w:val="nil"/>
              <w:bottom w:val="nil"/>
              <w:right w:val="nil"/>
              <w:tl2br w:val="nil"/>
              <w:tr2bl w:val="nil"/>
            </w:tcBorders>
            <w:shd w:val="clear" w:color="FFFFFF" w:fill="FFFFFF"/>
            <w:tcMar>
              <w:left w:w="101" w:type="dxa"/>
              <w:right w:w="101" w:type="dxa"/>
            </w:tcMar>
          </w:tcPr>
          <w:p w14:paraId="53E62D47"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77,935</w:t>
            </w:r>
          </w:p>
        </w:tc>
        <w:tc>
          <w:tcPr>
            <w:tcW w:w="1035" w:type="dxa"/>
            <w:tcBorders>
              <w:top w:val="nil"/>
              <w:left w:val="nil"/>
              <w:bottom w:val="nil"/>
              <w:right w:val="nil"/>
              <w:tl2br w:val="nil"/>
              <w:tr2bl w:val="nil"/>
            </w:tcBorders>
            <w:shd w:val="clear" w:color="FFFFFF" w:fill="FFFFFF"/>
            <w:tcMar>
              <w:left w:w="101" w:type="dxa"/>
              <w:right w:w="101" w:type="dxa"/>
            </w:tcMar>
          </w:tcPr>
          <w:p w14:paraId="4063CC5E"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77,962</w:t>
            </w:r>
          </w:p>
        </w:tc>
      </w:tr>
      <w:tr w:rsidR="002242F3" w:rsidRPr="005E3B44" w14:paraId="4E07777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DD010C"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37E10FC" w14:textId="77777777" w:rsidR="002242F3" w:rsidRPr="005E3B44" w:rsidRDefault="002242F3" w:rsidP="005E3B44">
            <w:pPr>
              <w:pStyle w:val="Normal1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5E7568"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CAD2CD"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05C8E8"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F93C3C"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887601"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23E4A5"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7E115D7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7DFA4D"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EF8240D"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408BFCE3"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71552C"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DD6879"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FDF4F4"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AAE605"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471C30"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680827A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B3C6E9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86B32CD"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2388D93C"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160</w:t>
            </w:r>
          </w:p>
        </w:tc>
        <w:tc>
          <w:tcPr>
            <w:tcW w:w="1035" w:type="dxa"/>
            <w:tcBorders>
              <w:top w:val="nil"/>
              <w:left w:val="nil"/>
              <w:bottom w:val="nil"/>
              <w:right w:val="nil"/>
              <w:tl2br w:val="nil"/>
              <w:tr2bl w:val="nil"/>
            </w:tcBorders>
            <w:shd w:val="clear" w:color="FFFFFF" w:fill="FFFFFF"/>
            <w:tcMar>
              <w:left w:w="101" w:type="dxa"/>
              <w:right w:w="101" w:type="dxa"/>
            </w:tcMar>
          </w:tcPr>
          <w:p w14:paraId="5402A8D0"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513217C"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9F8576E"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73EF871"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5CDECF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7BD8C5B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BE70C4A"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9CF30B4" w14:textId="77777777" w:rsidR="002242F3" w:rsidRPr="005E3B44" w:rsidRDefault="002242F3" w:rsidP="005E3B44">
            <w:pPr>
              <w:pStyle w:val="Normal1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8C173F"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64AC05"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281775"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189C9A"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3C8327"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806CC0"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5F2B2BC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25A74A"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2D8FA983"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7B66C214"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160</w:t>
            </w:r>
          </w:p>
        </w:tc>
        <w:tc>
          <w:tcPr>
            <w:tcW w:w="1035" w:type="dxa"/>
            <w:tcBorders>
              <w:top w:val="nil"/>
              <w:left w:val="nil"/>
              <w:bottom w:val="nil"/>
              <w:right w:val="nil"/>
              <w:tl2br w:val="nil"/>
              <w:tr2bl w:val="nil"/>
            </w:tcBorders>
            <w:shd w:val="clear" w:color="FFFFFF" w:fill="FFFFFF"/>
            <w:tcMar>
              <w:left w:w="101" w:type="dxa"/>
              <w:right w:w="101" w:type="dxa"/>
            </w:tcMar>
          </w:tcPr>
          <w:p w14:paraId="3030820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FF87399"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9778B81"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A2F7BF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AB2F9F0"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5E3B44" w14:paraId="67DF1FB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3C397B"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F75EDA4" w14:textId="77777777" w:rsidR="002242F3" w:rsidRPr="005E3B44" w:rsidRDefault="002242F3" w:rsidP="005E3B44">
            <w:pPr>
              <w:pStyle w:val="Normal1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2A6AC6"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4ED844"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CB743C"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36D8DE"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2AA9E6"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C48997"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3EA3900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5CFF88E"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81,197</w:t>
            </w:r>
          </w:p>
        </w:tc>
        <w:tc>
          <w:tcPr>
            <w:tcW w:w="2385" w:type="dxa"/>
            <w:tcBorders>
              <w:top w:val="nil"/>
              <w:left w:val="nil"/>
              <w:bottom w:val="nil"/>
              <w:right w:val="nil"/>
              <w:tl2br w:val="nil"/>
              <w:tr2bl w:val="nil"/>
            </w:tcBorders>
            <w:shd w:val="clear" w:color="FFFFFF" w:fill="FFFFFF"/>
            <w:tcMar>
              <w:left w:w="101" w:type="dxa"/>
              <w:right w:w="101" w:type="dxa"/>
            </w:tcMar>
          </w:tcPr>
          <w:p w14:paraId="467F5A52"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1EB8C3A6"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79,527</w:t>
            </w:r>
          </w:p>
        </w:tc>
        <w:tc>
          <w:tcPr>
            <w:tcW w:w="1035" w:type="dxa"/>
            <w:tcBorders>
              <w:top w:val="nil"/>
              <w:left w:val="nil"/>
              <w:bottom w:val="nil"/>
              <w:right w:val="nil"/>
              <w:tl2br w:val="nil"/>
              <w:tr2bl w:val="nil"/>
            </w:tcBorders>
            <w:shd w:val="clear" w:color="FFFFFF" w:fill="FFFFFF"/>
            <w:tcMar>
              <w:left w:w="101" w:type="dxa"/>
              <w:right w:w="101" w:type="dxa"/>
            </w:tcMar>
          </w:tcPr>
          <w:p w14:paraId="3136723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83,717</w:t>
            </w:r>
          </w:p>
        </w:tc>
        <w:tc>
          <w:tcPr>
            <w:tcW w:w="600" w:type="dxa"/>
            <w:tcBorders>
              <w:top w:val="nil"/>
              <w:left w:val="nil"/>
              <w:bottom w:val="nil"/>
              <w:right w:val="nil"/>
              <w:tl2br w:val="nil"/>
              <w:tr2bl w:val="nil"/>
            </w:tcBorders>
            <w:shd w:val="clear" w:color="FFFFFF" w:fill="FFFFFF"/>
            <w:tcMar>
              <w:left w:w="101" w:type="dxa"/>
              <w:right w:w="101" w:type="dxa"/>
            </w:tcMar>
          </w:tcPr>
          <w:p w14:paraId="10C7DF87"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5ED6FF14"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78,818</w:t>
            </w:r>
          </w:p>
        </w:tc>
        <w:tc>
          <w:tcPr>
            <w:tcW w:w="1035" w:type="dxa"/>
            <w:tcBorders>
              <w:top w:val="nil"/>
              <w:left w:val="nil"/>
              <w:bottom w:val="nil"/>
              <w:right w:val="nil"/>
              <w:tl2br w:val="nil"/>
              <w:tr2bl w:val="nil"/>
            </w:tcBorders>
            <w:shd w:val="clear" w:color="FFFFFF" w:fill="FFFFFF"/>
            <w:tcMar>
              <w:left w:w="101" w:type="dxa"/>
              <w:right w:w="101" w:type="dxa"/>
            </w:tcMar>
          </w:tcPr>
          <w:p w14:paraId="79049594"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77,935</w:t>
            </w:r>
          </w:p>
        </w:tc>
        <w:tc>
          <w:tcPr>
            <w:tcW w:w="1035" w:type="dxa"/>
            <w:tcBorders>
              <w:top w:val="nil"/>
              <w:left w:val="nil"/>
              <w:bottom w:val="nil"/>
              <w:right w:val="nil"/>
              <w:tl2br w:val="nil"/>
              <w:tr2bl w:val="nil"/>
            </w:tcBorders>
            <w:shd w:val="clear" w:color="FFFFFF" w:fill="FFFFFF"/>
            <w:tcMar>
              <w:left w:w="101" w:type="dxa"/>
              <w:right w:w="101" w:type="dxa"/>
            </w:tcMar>
          </w:tcPr>
          <w:p w14:paraId="3FEB3D83"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77,962</w:t>
            </w:r>
          </w:p>
        </w:tc>
      </w:tr>
      <w:tr w:rsidR="002242F3" w:rsidRPr="005E3B44" w14:paraId="3557AD1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DA04D0"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DF75AFA" w14:textId="77777777" w:rsidR="002242F3" w:rsidRPr="005E3B44" w:rsidRDefault="002242F3" w:rsidP="005E3B44">
            <w:pPr>
              <w:pStyle w:val="Normal1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A2A99"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F0FA23"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B8E04A"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814CFB"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72E159"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3BD497"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69F7DAA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97946E"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5263AB1"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6A68685"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837DA6"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782145"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A13759"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51EA9"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5FE40"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0893945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8D21BF"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48,837</w:t>
            </w:r>
          </w:p>
        </w:tc>
        <w:tc>
          <w:tcPr>
            <w:tcW w:w="2385" w:type="dxa"/>
            <w:tcBorders>
              <w:top w:val="nil"/>
              <w:left w:val="nil"/>
              <w:bottom w:val="nil"/>
              <w:right w:val="nil"/>
              <w:tl2br w:val="nil"/>
              <w:tr2bl w:val="nil"/>
            </w:tcBorders>
            <w:shd w:val="clear" w:color="FFFFFF" w:fill="FFFFFF"/>
            <w:noWrap/>
            <w:tcMar>
              <w:left w:w="101" w:type="dxa"/>
              <w:right w:w="101" w:type="dxa"/>
            </w:tcMar>
          </w:tcPr>
          <w:p w14:paraId="155482BE"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6286B2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50,351</w:t>
            </w:r>
          </w:p>
        </w:tc>
        <w:tc>
          <w:tcPr>
            <w:tcW w:w="1035" w:type="dxa"/>
            <w:tcBorders>
              <w:top w:val="nil"/>
              <w:left w:val="nil"/>
              <w:bottom w:val="nil"/>
              <w:right w:val="nil"/>
              <w:tl2br w:val="nil"/>
              <w:tr2bl w:val="nil"/>
            </w:tcBorders>
            <w:shd w:val="clear" w:color="FFFFFF" w:fill="FFFFFF"/>
            <w:tcMar>
              <w:left w:w="101" w:type="dxa"/>
              <w:right w:w="101" w:type="dxa"/>
            </w:tcMar>
          </w:tcPr>
          <w:p w14:paraId="37A34628"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47,724</w:t>
            </w:r>
          </w:p>
        </w:tc>
        <w:tc>
          <w:tcPr>
            <w:tcW w:w="600" w:type="dxa"/>
            <w:tcBorders>
              <w:top w:val="nil"/>
              <w:left w:val="nil"/>
              <w:bottom w:val="nil"/>
              <w:right w:val="nil"/>
              <w:tl2br w:val="nil"/>
              <w:tr2bl w:val="nil"/>
            </w:tcBorders>
            <w:shd w:val="clear" w:color="FFFFFF" w:fill="FFFFFF"/>
            <w:tcMar>
              <w:left w:w="101" w:type="dxa"/>
              <w:right w:w="101" w:type="dxa"/>
            </w:tcMar>
          </w:tcPr>
          <w:p w14:paraId="0DC72C9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2D06A8AC"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46,713</w:t>
            </w:r>
          </w:p>
        </w:tc>
        <w:tc>
          <w:tcPr>
            <w:tcW w:w="1035" w:type="dxa"/>
            <w:tcBorders>
              <w:top w:val="nil"/>
              <w:left w:val="nil"/>
              <w:bottom w:val="nil"/>
              <w:right w:val="nil"/>
              <w:tl2br w:val="nil"/>
              <w:tr2bl w:val="nil"/>
            </w:tcBorders>
            <w:shd w:val="clear" w:color="FFFFFF" w:fill="FFFFFF"/>
            <w:tcMar>
              <w:left w:w="101" w:type="dxa"/>
              <w:right w:w="101" w:type="dxa"/>
            </w:tcMar>
          </w:tcPr>
          <w:p w14:paraId="7381A613"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45,823</w:t>
            </w:r>
          </w:p>
        </w:tc>
        <w:tc>
          <w:tcPr>
            <w:tcW w:w="1035" w:type="dxa"/>
            <w:tcBorders>
              <w:top w:val="nil"/>
              <w:left w:val="nil"/>
              <w:bottom w:val="nil"/>
              <w:right w:val="nil"/>
              <w:tl2br w:val="nil"/>
              <w:tr2bl w:val="nil"/>
            </w:tcBorders>
            <w:shd w:val="clear" w:color="FFFFFF" w:fill="FFFFFF"/>
            <w:tcMar>
              <w:left w:w="101" w:type="dxa"/>
              <w:right w:w="101" w:type="dxa"/>
            </w:tcMar>
          </w:tcPr>
          <w:p w14:paraId="4FCD0DB4"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45,994</w:t>
            </w:r>
          </w:p>
        </w:tc>
      </w:tr>
      <w:tr w:rsidR="002242F3" w:rsidRPr="005E3B44" w14:paraId="64CF231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ADF724"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7,419</w:t>
            </w:r>
          </w:p>
        </w:tc>
        <w:tc>
          <w:tcPr>
            <w:tcW w:w="2385" w:type="dxa"/>
            <w:tcBorders>
              <w:top w:val="nil"/>
              <w:left w:val="nil"/>
              <w:bottom w:val="nil"/>
              <w:right w:val="nil"/>
              <w:tl2br w:val="nil"/>
              <w:tr2bl w:val="nil"/>
            </w:tcBorders>
            <w:shd w:val="clear" w:color="FFFFFF" w:fill="FFFFFF"/>
            <w:noWrap/>
            <w:tcMar>
              <w:left w:w="101" w:type="dxa"/>
              <w:right w:w="101" w:type="dxa"/>
            </w:tcMar>
          </w:tcPr>
          <w:p w14:paraId="4CEEE264"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036FE6A8"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7,585</w:t>
            </w:r>
          </w:p>
        </w:tc>
        <w:tc>
          <w:tcPr>
            <w:tcW w:w="1035" w:type="dxa"/>
            <w:tcBorders>
              <w:top w:val="nil"/>
              <w:left w:val="nil"/>
              <w:bottom w:val="nil"/>
              <w:right w:val="nil"/>
              <w:tl2br w:val="nil"/>
              <w:tr2bl w:val="nil"/>
            </w:tcBorders>
            <w:shd w:val="clear" w:color="FFFFFF" w:fill="FFFFFF"/>
            <w:tcMar>
              <w:left w:w="101" w:type="dxa"/>
              <w:right w:w="101" w:type="dxa"/>
            </w:tcMar>
          </w:tcPr>
          <w:p w14:paraId="76F063B7"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8,002</w:t>
            </w:r>
          </w:p>
        </w:tc>
        <w:tc>
          <w:tcPr>
            <w:tcW w:w="600" w:type="dxa"/>
            <w:tcBorders>
              <w:top w:val="nil"/>
              <w:left w:val="nil"/>
              <w:bottom w:val="nil"/>
              <w:right w:val="nil"/>
              <w:tl2br w:val="nil"/>
              <w:tr2bl w:val="nil"/>
            </w:tcBorders>
            <w:shd w:val="clear" w:color="FFFFFF" w:fill="FFFFFF"/>
            <w:tcMar>
              <w:left w:w="101" w:type="dxa"/>
              <w:right w:w="101" w:type="dxa"/>
            </w:tcMar>
          </w:tcPr>
          <w:p w14:paraId="7F2E558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2F93BAD7"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7,967</w:t>
            </w:r>
          </w:p>
        </w:tc>
        <w:tc>
          <w:tcPr>
            <w:tcW w:w="1035" w:type="dxa"/>
            <w:tcBorders>
              <w:top w:val="nil"/>
              <w:left w:val="nil"/>
              <w:bottom w:val="nil"/>
              <w:right w:val="nil"/>
              <w:tl2br w:val="nil"/>
              <w:tr2bl w:val="nil"/>
            </w:tcBorders>
            <w:shd w:val="clear" w:color="FFFFFF" w:fill="FFFFFF"/>
            <w:tcMar>
              <w:left w:w="101" w:type="dxa"/>
              <w:right w:w="101" w:type="dxa"/>
            </w:tcMar>
          </w:tcPr>
          <w:p w14:paraId="517396C2"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7,725</w:t>
            </w:r>
          </w:p>
        </w:tc>
        <w:tc>
          <w:tcPr>
            <w:tcW w:w="1035" w:type="dxa"/>
            <w:tcBorders>
              <w:top w:val="nil"/>
              <w:left w:val="nil"/>
              <w:bottom w:val="nil"/>
              <w:right w:val="nil"/>
              <w:tl2br w:val="nil"/>
              <w:tr2bl w:val="nil"/>
            </w:tcBorders>
            <w:shd w:val="clear" w:color="FFFFFF" w:fill="FFFFFF"/>
            <w:tcMar>
              <w:left w:w="101" w:type="dxa"/>
              <w:right w:w="101" w:type="dxa"/>
            </w:tcMar>
          </w:tcPr>
          <w:p w14:paraId="5A6B635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8,092</w:t>
            </w:r>
          </w:p>
        </w:tc>
      </w:tr>
      <w:tr w:rsidR="002242F3" w:rsidRPr="005E3B44" w14:paraId="306E83D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835BA3"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16,444</w:t>
            </w:r>
          </w:p>
        </w:tc>
        <w:tc>
          <w:tcPr>
            <w:tcW w:w="2385" w:type="dxa"/>
            <w:tcBorders>
              <w:top w:val="nil"/>
              <w:left w:val="nil"/>
              <w:bottom w:val="nil"/>
              <w:right w:val="nil"/>
              <w:tl2br w:val="nil"/>
              <w:tr2bl w:val="nil"/>
            </w:tcBorders>
            <w:shd w:val="clear" w:color="FFFFFF" w:fill="FFFFFF"/>
            <w:noWrap/>
            <w:tcMar>
              <w:left w:w="101" w:type="dxa"/>
              <w:right w:w="101" w:type="dxa"/>
            </w:tcMar>
          </w:tcPr>
          <w:p w14:paraId="3F5F7453"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4BFE7496"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15,591</w:t>
            </w:r>
          </w:p>
        </w:tc>
        <w:tc>
          <w:tcPr>
            <w:tcW w:w="1035" w:type="dxa"/>
            <w:tcBorders>
              <w:top w:val="nil"/>
              <w:left w:val="nil"/>
              <w:bottom w:val="nil"/>
              <w:right w:val="nil"/>
              <w:tl2br w:val="nil"/>
              <w:tr2bl w:val="nil"/>
            </w:tcBorders>
            <w:shd w:val="clear" w:color="FFFFFF" w:fill="FFFFFF"/>
            <w:tcMar>
              <w:left w:w="101" w:type="dxa"/>
              <w:right w:w="101" w:type="dxa"/>
            </w:tcMar>
          </w:tcPr>
          <w:p w14:paraId="7BCB6F90"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17,897</w:t>
            </w:r>
          </w:p>
        </w:tc>
        <w:tc>
          <w:tcPr>
            <w:tcW w:w="600" w:type="dxa"/>
            <w:tcBorders>
              <w:top w:val="nil"/>
              <w:left w:val="nil"/>
              <w:bottom w:val="nil"/>
              <w:right w:val="nil"/>
              <w:tl2br w:val="nil"/>
              <w:tr2bl w:val="nil"/>
            </w:tcBorders>
            <w:shd w:val="clear" w:color="FFFFFF" w:fill="FFFFFF"/>
            <w:tcMar>
              <w:left w:w="101" w:type="dxa"/>
              <w:right w:w="101" w:type="dxa"/>
            </w:tcMar>
          </w:tcPr>
          <w:p w14:paraId="4683D5AF"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4AA9637B"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15,879</w:t>
            </w:r>
          </w:p>
        </w:tc>
        <w:tc>
          <w:tcPr>
            <w:tcW w:w="1035" w:type="dxa"/>
            <w:tcBorders>
              <w:top w:val="nil"/>
              <w:left w:val="nil"/>
              <w:bottom w:val="nil"/>
              <w:right w:val="nil"/>
              <w:tl2br w:val="nil"/>
              <w:tr2bl w:val="nil"/>
            </w:tcBorders>
            <w:shd w:val="clear" w:color="FFFFFF" w:fill="FFFFFF"/>
            <w:tcMar>
              <w:left w:w="101" w:type="dxa"/>
              <w:right w:w="101" w:type="dxa"/>
            </w:tcMar>
          </w:tcPr>
          <w:p w14:paraId="5F5A3568"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15,207</w:t>
            </w:r>
          </w:p>
        </w:tc>
        <w:tc>
          <w:tcPr>
            <w:tcW w:w="1035" w:type="dxa"/>
            <w:tcBorders>
              <w:top w:val="nil"/>
              <w:left w:val="nil"/>
              <w:bottom w:val="nil"/>
              <w:right w:val="nil"/>
              <w:tl2br w:val="nil"/>
              <w:tr2bl w:val="nil"/>
            </w:tcBorders>
            <w:shd w:val="clear" w:color="FFFFFF" w:fill="FFFFFF"/>
            <w:tcMar>
              <w:left w:w="101" w:type="dxa"/>
              <w:right w:w="101" w:type="dxa"/>
            </w:tcMar>
          </w:tcPr>
          <w:p w14:paraId="22BFBAD0"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15,549</w:t>
            </w:r>
          </w:p>
        </w:tc>
      </w:tr>
      <w:tr w:rsidR="002242F3" w:rsidRPr="005E3B44" w14:paraId="79DAB7B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C4DDD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1,778</w:t>
            </w:r>
          </w:p>
        </w:tc>
        <w:tc>
          <w:tcPr>
            <w:tcW w:w="2385" w:type="dxa"/>
            <w:tcBorders>
              <w:top w:val="nil"/>
              <w:left w:val="nil"/>
              <w:bottom w:val="nil"/>
              <w:right w:val="nil"/>
              <w:tl2br w:val="nil"/>
              <w:tr2bl w:val="nil"/>
            </w:tcBorders>
            <w:shd w:val="clear" w:color="FFFFFF" w:fill="FFFFFF"/>
            <w:noWrap/>
            <w:tcMar>
              <w:left w:w="101" w:type="dxa"/>
              <w:right w:w="101" w:type="dxa"/>
            </w:tcMar>
          </w:tcPr>
          <w:p w14:paraId="0D7F8249"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6FB5E3B0"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2,110</w:t>
            </w:r>
          </w:p>
        </w:tc>
        <w:tc>
          <w:tcPr>
            <w:tcW w:w="1035" w:type="dxa"/>
            <w:tcBorders>
              <w:top w:val="nil"/>
              <w:left w:val="nil"/>
              <w:bottom w:val="nil"/>
              <w:right w:val="nil"/>
              <w:tl2br w:val="nil"/>
              <w:tr2bl w:val="nil"/>
            </w:tcBorders>
            <w:shd w:val="clear" w:color="FFFFFF" w:fill="FFFFFF"/>
            <w:tcMar>
              <w:left w:w="101" w:type="dxa"/>
              <w:right w:w="101" w:type="dxa"/>
            </w:tcMar>
          </w:tcPr>
          <w:p w14:paraId="2FECC77B"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2,505</w:t>
            </w:r>
          </w:p>
        </w:tc>
        <w:tc>
          <w:tcPr>
            <w:tcW w:w="600" w:type="dxa"/>
            <w:tcBorders>
              <w:top w:val="nil"/>
              <w:left w:val="nil"/>
              <w:bottom w:val="nil"/>
              <w:right w:val="nil"/>
              <w:tl2br w:val="nil"/>
              <w:tr2bl w:val="nil"/>
            </w:tcBorders>
            <w:shd w:val="clear" w:color="FFFFFF" w:fill="FFFFFF"/>
            <w:tcMar>
              <w:left w:w="101" w:type="dxa"/>
              <w:right w:w="101" w:type="dxa"/>
            </w:tcMar>
          </w:tcPr>
          <w:p w14:paraId="29AD8CEE"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19 </w:t>
            </w:r>
          </w:p>
        </w:tc>
        <w:tc>
          <w:tcPr>
            <w:tcW w:w="1035" w:type="dxa"/>
            <w:tcBorders>
              <w:top w:val="nil"/>
              <w:left w:val="nil"/>
              <w:bottom w:val="nil"/>
              <w:right w:val="nil"/>
              <w:tl2br w:val="nil"/>
              <w:tr2bl w:val="nil"/>
            </w:tcBorders>
            <w:shd w:val="clear" w:color="FFFFFF" w:fill="FFFFFF"/>
            <w:tcMar>
              <w:left w:w="101" w:type="dxa"/>
              <w:right w:w="101" w:type="dxa"/>
            </w:tcMar>
          </w:tcPr>
          <w:p w14:paraId="020458BC"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2,505</w:t>
            </w:r>
          </w:p>
        </w:tc>
        <w:tc>
          <w:tcPr>
            <w:tcW w:w="1035" w:type="dxa"/>
            <w:tcBorders>
              <w:top w:val="nil"/>
              <w:left w:val="nil"/>
              <w:bottom w:val="nil"/>
              <w:right w:val="nil"/>
              <w:tl2br w:val="nil"/>
              <w:tr2bl w:val="nil"/>
            </w:tcBorders>
            <w:shd w:val="clear" w:color="FFFFFF" w:fill="FFFFFF"/>
            <w:tcMar>
              <w:left w:w="101" w:type="dxa"/>
              <w:right w:w="101" w:type="dxa"/>
            </w:tcMar>
          </w:tcPr>
          <w:p w14:paraId="7BCCE8B4"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2,505</w:t>
            </w:r>
          </w:p>
        </w:tc>
        <w:tc>
          <w:tcPr>
            <w:tcW w:w="1035" w:type="dxa"/>
            <w:tcBorders>
              <w:top w:val="nil"/>
              <w:left w:val="nil"/>
              <w:bottom w:val="nil"/>
              <w:right w:val="nil"/>
              <w:tl2br w:val="nil"/>
              <w:tr2bl w:val="nil"/>
            </w:tcBorders>
            <w:shd w:val="clear" w:color="FFFFFF" w:fill="FFFFFF"/>
            <w:tcMar>
              <w:left w:w="101" w:type="dxa"/>
              <w:right w:w="101" w:type="dxa"/>
            </w:tcMar>
          </w:tcPr>
          <w:p w14:paraId="7F083B5F"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2,505</w:t>
            </w:r>
          </w:p>
        </w:tc>
      </w:tr>
      <w:tr w:rsidR="002242F3" w:rsidRPr="005E3B44" w14:paraId="39C233D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C6488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10,084</w:t>
            </w:r>
          </w:p>
        </w:tc>
        <w:tc>
          <w:tcPr>
            <w:tcW w:w="2385" w:type="dxa"/>
            <w:tcBorders>
              <w:top w:val="nil"/>
              <w:left w:val="nil"/>
              <w:bottom w:val="nil"/>
              <w:right w:val="nil"/>
              <w:tl2br w:val="nil"/>
              <w:tr2bl w:val="nil"/>
            </w:tcBorders>
            <w:shd w:val="clear" w:color="FFFFFF" w:fill="FFFFFF"/>
            <w:noWrap/>
            <w:tcMar>
              <w:left w:w="101" w:type="dxa"/>
              <w:right w:w="101" w:type="dxa"/>
            </w:tcMar>
          </w:tcPr>
          <w:p w14:paraId="0FD98903"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769F861"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7,861</w:t>
            </w:r>
          </w:p>
        </w:tc>
        <w:tc>
          <w:tcPr>
            <w:tcW w:w="1035" w:type="dxa"/>
            <w:tcBorders>
              <w:top w:val="nil"/>
              <w:left w:val="nil"/>
              <w:bottom w:val="nil"/>
              <w:right w:val="nil"/>
              <w:tl2br w:val="nil"/>
              <w:tr2bl w:val="nil"/>
            </w:tcBorders>
            <w:shd w:val="clear" w:color="FFFFFF" w:fill="FFFFFF"/>
            <w:tcMar>
              <w:left w:w="101" w:type="dxa"/>
              <w:right w:w="101" w:type="dxa"/>
            </w:tcMar>
          </w:tcPr>
          <w:p w14:paraId="276A753C"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9,909</w:t>
            </w:r>
          </w:p>
        </w:tc>
        <w:tc>
          <w:tcPr>
            <w:tcW w:w="600" w:type="dxa"/>
            <w:tcBorders>
              <w:top w:val="nil"/>
              <w:left w:val="nil"/>
              <w:bottom w:val="nil"/>
              <w:right w:val="nil"/>
              <w:tl2br w:val="nil"/>
              <w:tr2bl w:val="nil"/>
            </w:tcBorders>
            <w:shd w:val="clear" w:color="FFFFFF" w:fill="FFFFFF"/>
            <w:tcMar>
              <w:left w:w="101" w:type="dxa"/>
              <w:right w:w="101" w:type="dxa"/>
            </w:tcMar>
          </w:tcPr>
          <w:p w14:paraId="3A204A07"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26 </w:t>
            </w:r>
          </w:p>
        </w:tc>
        <w:tc>
          <w:tcPr>
            <w:tcW w:w="1035" w:type="dxa"/>
            <w:tcBorders>
              <w:top w:val="nil"/>
              <w:left w:val="nil"/>
              <w:bottom w:val="nil"/>
              <w:right w:val="nil"/>
              <w:tl2br w:val="nil"/>
              <w:tr2bl w:val="nil"/>
            </w:tcBorders>
            <w:shd w:val="clear" w:color="FFFFFF" w:fill="FFFFFF"/>
            <w:tcMar>
              <w:left w:w="101" w:type="dxa"/>
              <w:right w:w="101" w:type="dxa"/>
            </w:tcMar>
          </w:tcPr>
          <w:p w14:paraId="03C4B01C"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8,154</w:t>
            </w:r>
          </w:p>
        </w:tc>
        <w:tc>
          <w:tcPr>
            <w:tcW w:w="1035" w:type="dxa"/>
            <w:tcBorders>
              <w:top w:val="nil"/>
              <w:left w:val="nil"/>
              <w:bottom w:val="nil"/>
              <w:right w:val="nil"/>
              <w:tl2br w:val="nil"/>
              <w:tr2bl w:val="nil"/>
            </w:tcBorders>
            <w:shd w:val="clear" w:color="FFFFFF" w:fill="FFFFFF"/>
            <w:tcMar>
              <w:left w:w="101" w:type="dxa"/>
              <w:right w:w="101" w:type="dxa"/>
            </w:tcMar>
          </w:tcPr>
          <w:p w14:paraId="2BA4D32D"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8,084</w:t>
            </w:r>
          </w:p>
        </w:tc>
        <w:tc>
          <w:tcPr>
            <w:tcW w:w="1035" w:type="dxa"/>
            <w:tcBorders>
              <w:top w:val="nil"/>
              <w:left w:val="nil"/>
              <w:bottom w:val="nil"/>
              <w:right w:val="nil"/>
              <w:tl2br w:val="nil"/>
              <w:tr2bl w:val="nil"/>
            </w:tcBorders>
            <w:shd w:val="clear" w:color="FFFFFF" w:fill="FFFFFF"/>
            <w:tcMar>
              <w:left w:w="101" w:type="dxa"/>
              <w:right w:w="101" w:type="dxa"/>
            </w:tcMar>
          </w:tcPr>
          <w:p w14:paraId="6D46373E"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7,144</w:t>
            </w:r>
          </w:p>
        </w:tc>
      </w:tr>
      <w:tr w:rsidR="002242F3" w:rsidRPr="005E3B44" w14:paraId="75AAEAD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4AC126"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c>
          <w:tcPr>
            <w:tcW w:w="2385" w:type="dxa"/>
            <w:tcBorders>
              <w:top w:val="nil"/>
              <w:left w:val="nil"/>
              <w:bottom w:val="nil"/>
              <w:right w:val="nil"/>
              <w:tl2br w:val="nil"/>
              <w:tr2bl w:val="nil"/>
            </w:tcBorders>
            <w:shd w:val="clear" w:color="FFFFFF" w:fill="FFFFFF"/>
            <w:noWrap/>
            <w:tcMar>
              <w:left w:w="101" w:type="dxa"/>
              <w:right w:w="101" w:type="dxa"/>
            </w:tcMar>
          </w:tcPr>
          <w:p w14:paraId="50E0C20B"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598107C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4614005C"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c>
          <w:tcPr>
            <w:tcW w:w="600" w:type="dxa"/>
            <w:tcBorders>
              <w:top w:val="nil"/>
              <w:left w:val="nil"/>
              <w:bottom w:val="nil"/>
              <w:right w:val="nil"/>
              <w:tl2br w:val="nil"/>
              <w:tr2bl w:val="nil"/>
            </w:tcBorders>
            <w:shd w:val="clear" w:color="FFFFFF" w:fill="FFFFFF"/>
            <w:tcMar>
              <w:left w:w="101" w:type="dxa"/>
              <w:right w:w="101" w:type="dxa"/>
            </w:tcMar>
          </w:tcPr>
          <w:p w14:paraId="085EA390"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133 </w:t>
            </w:r>
          </w:p>
        </w:tc>
        <w:tc>
          <w:tcPr>
            <w:tcW w:w="1035" w:type="dxa"/>
            <w:tcBorders>
              <w:top w:val="nil"/>
              <w:left w:val="nil"/>
              <w:bottom w:val="nil"/>
              <w:right w:val="nil"/>
              <w:tl2br w:val="nil"/>
              <w:tr2bl w:val="nil"/>
            </w:tcBorders>
            <w:shd w:val="clear" w:color="FFFFFF" w:fill="FFFFFF"/>
            <w:tcMar>
              <w:left w:w="101" w:type="dxa"/>
              <w:right w:w="101" w:type="dxa"/>
            </w:tcMar>
          </w:tcPr>
          <w:p w14:paraId="31B5927F"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1DC1DB0B"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30FD04B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p>
        </w:tc>
      </w:tr>
      <w:tr w:rsidR="002242F3" w:rsidRPr="005E3B44" w14:paraId="4AE5568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0159A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w:t>
            </w:r>
          </w:p>
        </w:tc>
        <w:tc>
          <w:tcPr>
            <w:tcW w:w="2385" w:type="dxa"/>
            <w:tcBorders>
              <w:top w:val="nil"/>
              <w:left w:val="nil"/>
              <w:bottom w:val="nil"/>
              <w:right w:val="nil"/>
              <w:tl2br w:val="nil"/>
              <w:tr2bl w:val="nil"/>
            </w:tcBorders>
            <w:shd w:val="clear" w:color="FFFFFF" w:fill="FFFFFF"/>
            <w:noWrap/>
            <w:tcMar>
              <w:left w:w="101" w:type="dxa"/>
              <w:right w:w="101" w:type="dxa"/>
            </w:tcMar>
          </w:tcPr>
          <w:p w14:paraId="03D96A8F" w14:textId="77777777" w:rsidR="002242F3" w:rsidRPr="005E3B44" w:rsidRDefault="002242F3" w:rsidP="005E3B44">
            <w:pPr>
              <w:pStyle w:val="Normal16"/>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46D9B256"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289B6489"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w:t>
            </w:r>
          </w:p>
        </w:tc>
        <w:tc>
          <w:tcPr>
            <w:tcW w:w="600" w:type="dxa"/>
            <w:tcBorders>
              <w:top w:val="nil"/>
              <w:left w:val="nil"/>
              <w:bottom w:val="nil"/>
              <w:right w:val="nil"/>
              <w:tl2br w:val="nil"/>
              <w:tr2bl w:val="nil"/>
            </w:tcBorders>
            <w:shd w:val="clear" w:color="FFFFFF" w:fill="FFFFFF"/>
            <w:tcMar>
              <w:left w:w="101" w:type="dxa"/>
              <w:right w:w="101" w:type="dxa"/>
            </w:tcMar>
          </w:tcPr>
          <w:p w14:paraId="6C6CA6B2"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-69 </w:t>
            </w:r>
          </w:p>
        </w:tc>
        <w:tc>
          <w:tcPr>
            <w:tcW w:w="1035" w:type="dxa"/>
            <w:tcBorders>
              <w:top w:val="nil"/>
              <w:left w:val="nil"/>
              <w:bottom w:val="nil"/>
              <w:right w:val="nil"/>
              <w:tl2br w:val="nil"/>
              <w:tr2bl w:val="nil"/>
            </w:tcBorders>
            <w:shd w:val="clear" w:color="FFFFFF" w:fill="FFFFFF"/>
            <w:tcMar>
              <w:left w:w="101" w:type="dxa"/>
              <w:right w:w="101" w:type="dxa"/>
            </w:tcMar>
          </w:tcPr>
          <w:p w14:paraId="1F43ED15"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0BEB0032"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51732F2B" w14:textId="77777777" w:rsidR="002242F3" w:rsidRPr="005E3B44" w:rsidRDefault="002242F3" w:rsidP="005E3B44">
            <w:pPr>
              <w:pStyle w:val="Normal16"/>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w:t>
            </w:r>
          </w:p>
        </w:tc>
      </w:tr>
      <w:tr w:rsidR="002242F3" w:rsidRPr="005E3B44" w14:paraId="44C899A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34F43F"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98AFD1D" w14:textId="77777777" w:rsidR="002242F3" w:rsidRPr="005E3B44" w:rsidRDefault="002242F3" w:rsidP="005E3B44">
            <w:pPr>
              <w:pStyle w:val="Normal1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1D0E6A"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BEB9EB"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EF5C2A"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AF9165"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69BD3C"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8D9638"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1153E87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EBB045D"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84,604</w:t>
            </w:r>
          </w:p>
        </w:tc>
        <w:tc>
          <w:tcPr>
            <w:tcW w:w="2385" w:type="dxa"/>
            <w:tcBorders>
              <w:top w:val="nil"/>
              <w:left w:val="nil"/>
              <w:bottom w:val="nil"/>
              <w:right w:val="nil"/>
              <w:tl2br w:val="nil"/>
              <w:tr2bl w:val="nil"/>
            </w:tcBorders>
            <w:shd w:val="clear" w:color="FFFFFF" w:fill="FFFFFF"/>
            <w:tcMar>
              <w:left w:w="101" w:type="dxa"/>
              <w:right w:w="101" w:type="dxa"/>
            </w:tcMar>
          </w:tcPr>
          <w:p w14:paraId="47A3512E"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5F6E330B"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83,539</w:t>
            </w:r>
          </w:p>
        </w:tc>
        <w:tc>
          <w:tcPr>
            <w:tcW w:w="1035" w:type="dxa"/>
            <w:tcBorders>
              <w:top w:val="nil"/>
              <w:left w:val="nil"/>
              <w:bottom w:val="nil"/>
              <w:right w:val="nil"/>
              <w:tl2br w:val="nil"/>
              <w:tr2bl w:val="nil"/>
            </w:tcBorders>
            <w:shd w:val="clear" w:color="FFFFFF" w:fill="FFFFFF"/>
            <w:tcMar>
              <w:left w:w="101" w:type="dxa"/>
              <w:right w:w="101" w:type="dxa"/>
            </w:tcMar>
          </w:tcPr>
          <w:p w14:paraId="21A904F7"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86,062</w:t>
            </w:r>
          </w:p>
        </w:tc>
        <w:tc>
          <w:tcPr>
            <w:tcW w:w="600" w:type="dxa"/>
            <w:tcBorders>
              <w:top w:val="nil"/>
              <w:left w:val="nil"/>
              <w:bottom w:val="nil"/>
              <w:right w:val="nil"/>
              <w:tl2br w:val="nil"/>
              <w:tr2bl w:val="nil"/>
            </w:tcBorders>
            <w:shd w:val="clear" w:color="FFFFFF" w:fill="FFFFFF"/>
            <w:tcMar>
              <w:left w:w="101" w:type="dxa"/>
              <w:right w:w="101" w:type="dxa"/>
            </w:tcMar>
          </w:tcPr>
          <w:p w14:paraId="6C3034A5"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06091A2"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81,244</w:t>
            </w:r>
          </w:p>
        </w:tc>
        <w:tc>
          <w:tcPr>
            <w:tcW w:w="1035" w:type="dxa"/>
            <w:tcBorders>
              <w:top w:val="nil"/>
              <w:left w:val="nil"/>
              <w:bottom w:val="nil"/>
              <w:right w:val="nil"/>
              <w:tl2br w:val="nil"/>
              <w:tr2bl w:val="nil"/>
            </w:tcBorders>
            <w:shd w:val="clear" w:color="FFFFFF" w:fill="FFFFFF"/>
            <w:tcMar>
              <w:left w:w="101" w:type="dxa"/>
              <w:right w:w="101" w:type="dxa"/>
            </w:tcMar>
          </w:tcPr>
          <w:p w14:paraId="63BFB8B5"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79,370</w:t>
            </w:r>
          </w:p>
        </w:tc>
        <w:tc>
          <w:tcPr>
            <w:tcW w:w="1035" w:type="dxa"/>
            <w:tcBorders>
              <w:top w:val="nil"/>
              <w:left w:val="nil"/>
              <w:bottom w:val="nil"/>
              <w:right w:val="nil"/>
              <w:tl2br w:val="nil"/>
              <w:tr2bl w:val="nil"/>
            </w:tcBorders>
            <w:shd w:val="clear" w:color="FFFFFF" w:fill="FFFFFF"/>
            <w:tcMar>
              <w:left w:w="101" w:type="dxa"/>
              <w:right w:w="101" w:type="dxa"/>
            </w:tcMar>
          </w:tcPr>
          <w:p w14:paraId="4D1DF52F"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79,310</w:t>
            </w:r>
          </w:p>
        </w:tc>
      </w:tr>
      <w:tr w:rsidR="002242F3" w:rsidRPr="005E3B44" w14:paraId="2257B01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09CF48"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261E3E3"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703011"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F0C349"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808975"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262159"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DA36FD"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7C51B8" w14:textId="77777777" w:rsidR="002242F3" w:rsidRPr="005E3B44" w:rsidRDefault="002242F3" w:rsidP="005E3B44">
            <w:pPr>
              <w:pStyle w:val="Normal16"/>
              <w:rPr>
                <w:rFonts w:asciiTheme="minorHAnsi" w:eastAsia="Calibri" w:hAnsiTheme="minorHAnsi" w:cstheme="minorHAnsi"/>
                <w:color w:val="000000"/>
                <w:sz w:val="18"/>
              </w:rPr>
            </w:pPr>
          </w:p>
        </w:tc>
      </w:tr>
      <w:tr w:rsidR="002242F3" w:rsidRPr="005E3B44" w14:paraId="73843B4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0B8806"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-3,407</w:t>
            </w:r>
          </w:p>
        </w:tc>
        <w:tc>
          <w:tcPr>
            <w:tcW w:w="2385" w:type="dxa"/>
            <w:tcBorders>
              <w:top w:val="nil"/>
              <w:left w:val="nil"/>
              <w:bottom w:val="nil"/>
              <w:right w:val="nil"/>
              <w:tl2br w:val="nil"/>
              <w:tr2bl w:val="nil"/>
            </w:tcBorders>
            <w:shd w:val="clear" w:color="FFFFFF" w:fill="FFFFFF"/>
            <w:tcMar>
              <w:left w:w="101" w:type="dxa"/>
              <w:right w:w="101" w:type="dxa"/>
            </w:tcMar>
          </w:tcPr>
          <w:p w14:paraId="6A6E18F5" w14:textId="77777777" w:rsidR="002242F3" w:rsidRPr="005E3B44" w:rsidRDefault="002242F3" w:rsidP="005E3B44">
            <w:pPr>
              <w:pStyle w:val="Normal16"/>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1CC0537C"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-4,012</w:t>
            </w:r>
          </w:p>
        </w:tc>
        <w:tc>
          <w:tcPr>
            <w:tcW w:w="1035" w:type="dxa"/>
            <w:tcBorders>
              <w:top w:val="nil"/>
              <w:left w:val="nil"/>
              <w:bottom w:val="nil"/>
              <w:right w:val="nil"/>
              <w:tl2br w:val="nil"/>
              <w:tr2bl w:val="nil"/>
            </w:tcBorders>
            <w:shd w:val="clear" w:color="FFFFFF" w:fill="FFFFFF"/>
            <w:tcMar>
              <w:left w:w="101" w:type="dxa"/>
              <w:right w:w="101" w:type="dxa"/>
            </w:tcMar>
          </w:tcPr>
          <w:p w14:paraId="194F85C7"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-2,345</w:t>
            </w:r>
          </w:p>
        </w:tc>
        <w:tc>
          <w:tcPr>
            <w:tcW w:w="600" w:type="dxa"/>
            <w:tcBorders>
              <w:top w:val="nil"/>
              <w:left w:val="nil"/>
              <w:bottom w:val="nil"/>
              <w:right w:val="nil"/>
              <w:tl2br w:val="nil"/>
              <w:tr2bl w:val="nil"/>
            </w:tcBorders>
            <w:shd w:val="clear" w:color="FFFFFF" w:fill="FFFFFF"/>
            <w:tcMar>
              <w:left w:w="101" w:type="dxa"/>
              <w:right w:w="101" w:type="dxa"/>
            </w:tcMar>
          </w:tcPr>
          <w:p w14:paraId="1ACBF2F2"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42 </w:t>
            </w:r>
          </w:p>
        </w:tc>
        <w:tc>
          <w:tcPr>
            <w:tcW w:w="1035" w:type="dxa"/>
            <w:tcBorders>
              <w:top w:val="nil"/>
              <w:left w:val="nil"/>
              <w:bottom w:val="nil"/>
              <w:right w:val="nil"/>
              <w:tl2br w:val="nil"/>
              <w:tr2bl w:val="nil"/>
            </w:tcBorders>
            <w:shd w:val="clear" w:color="FFFFFF" w:fill="FFFFFF"/>
            <w:tcMar>
              <w:left w:w="101" w:type="dxa"/>
              <w:right w:w="101" w:type="dxa"/>
            </w:tcMar>
          </w:tcPr>
          <w:p w14:paraId="1D33E49D"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-2,426</w:t>
            </w:r>
          </w:p>
        </w:tc>
        <w:tc>
          <w:tcPr>
            <w:tcW w:w="1035" w:type="dxa"/>
            <w:tcBorders>
              <w:top w:val="nil"/>
              <w:left w:val="nil"/>
              <w:bottom w:val="nil"/>
              <w:right w:val="nil"/>
              <w:tl2br w:val="nil"/>
              <w:tr2bl w:val="nil"/>
            </w:tcBorders>
            <w:shd w:val="clear" w:color="FFFFFF" w:fill="FFFFFF"/>
            <w:tcMar>
              <w:left w:w="101" w:type="dxa"/>
              <w:right w:w="101" w:type="dxa"/>
            </w:tcMar>
          </w:tcPr>
          <w:p w14:paraId="6AD62570"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-1,435</w:t>
            </w:r>
          </w:p>
        </w:tc>
        <w:tc>
          <w:tcPr>
            <w:tcW w:w="1035" w:type="dxa"/>
            <w:tcBorders>
              <w:top w:val="nil"/>
              <w:left w:val="nil"/>
              <w:bottom w:val="nil"/>
              <w:right w:val="nil"/>
              <w:tl2br w:val="nil"/>
              <w:tr2bl w:val="nil"/>
            </w:tcBorders>
            <w:shd w:val="clear" w:color="FFFFFF" w:fill="FFFFFF"/>
            <w:tcMar>
              <w:left w:w="101" w:type="dxa"/>
              <w:right w:w="101" w:type="dxa"/>
            </w:tcMar>
          </w:tcPr>
          <w:p w14:paraId="346721B0" w14:textId="77777777" w:rsidR="002242F3" w:rsidRPr="005E3B44" w:rsidRDefault="002242F3" w:rsidP="005E3B44">
            <w:pPr>
              <w:pStyle w:val="Normal16"/>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-1,348</w:t>
            </w:r>
          </w:p>
        </w:tc>
      </w:tr>
      <w:tr w:rsidR="002242F3" w:rsidRPr="005E3B44" w14:paraId="52A3823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2E2BA35" w14:textId="77777777" w:rsidR="002242F3" w:rsidRPr="005E3B44" w:rsidRDefault="002242F3" w:rsidP="005E3B44">
            <w:pPr>
              <w:pStyle w:val="Normal16"/>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F0E4BB6"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27B5165"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FEE6615" w14:textId="77777777" w:rsidR="002242F3" w:rsidRPr="005E3B44" w:rsidRDefault="002242F3" w:rsidP="005E3B44">
            <w:pPr>
              <w:pStyle w:val="Normal16"/>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7CF1E07"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FBFC9AF"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A921EF" w14:textId="77777777" w:rsidR="002242F3" w:rsidRPr="005E3B44" w:rsidRDefault="002242F3" w:rsidP="005E3B44">
            <w:pPr>
              <w:pStyle w:val="Normal16"/>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2877BC1" w14:textId="77777777" w:rsidR="002242F3" w:rsidRPr="005E3B44" w:rsidRDefault="002242F3" w:rsidP="005E3B44">
            <w:pPr>
              <w:pStyle w:val="Normal16"/>
              <w:rPr>
                <w:rFonts w:asciiTheme="minorHAnsi" w:eastAsia="Calibri" w:hAnsiTheme="minorHAnsi" w:cstheme="minorHAnsi"/>
                <w:color w:val="000000"/>
                <w:sz w:val="18"/>
              </w:rPr>
            </w:pPr>
          </w:p>
        </w:tc>
      </w:tr>
    </w:tbl>
    <w:p w14:paraId="65C74F6B" w14:textId="345768B5" w:rsidR="002242F3" w:rsidRPr="005E3B44" w:rsidRDefault="002242F3" w:rsidP="002242F3">
      <w:pPr>
        <w:pStyle w:val="Caption"/>
        <w:pageBreakBefore/>
        <w:pBdr>
          <w:top w:val="nil"/>
          <w:left w:val="nil"/>
          <w:bottom w:val="nil"/>
          <w:right w:val="nil"/>
          <w:between w:val="nil"/>
          <w:bar w:val="nil"/>
        </w:pBdr>
        <w:rPr>
          <w:rFonts w:asciiTheme="minorHAnsi" w:eastAsia="TimesNewRomanPS-ItalicMT" w:hAnsiTheme="minorHAnsi" w:cstheme="minorHAnsi"/>
          <w:bdr w:val="nil"/>
        </w:rPr>
      </w:pPr>
      <w:r w:rsidRPr="005E3B44">
        <w:rPr>
          <w:rFonts w:asciiTheme="minorHAnsi" w:hAnsiTheme="minorHAnsi" w:cstheme="minorHAnsi"/>
          <w:bdr w:val="nil"/>
        </w:rPr>
        <w:lastRenderedPageBreak/>
        <w:t>Table 3</w:t>
      </w:r>
      <w:r w:rsidR="004A6DD0">
        <w:rPr>
          <w:rFonts w:asciiTheme="minorHAnsi" w:hAnsiTheme="minorHAnsi" w:cstheme="minorHAnsi"/>
          <w:bdr w:val="nil"/>
        </w:rPr>
        <w:t>8</w:t>
      </w:r>
      <w:r w:rsidRPr="005E3B44">
        <w:rPr>
          <w:rFonts w:asciiTheme="minorHAnsi" w:hAnsiTheme="minorHAnsi" w:cstheme="minorHAnsi"/>
          <w:bdr w:val="nil"/>
        </w:rPr>
        <w:t>: Output Class 2: Corrective Services Operating Statement</w:t>
      </w:r>
    </w:p>
    <w:tbl>
      <w:tblPr>
        <w:tblStyle w:val="CDMRange26"/>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6883168F" w14:textId="77777777" w:rsidTr="005E3B44">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A3EBB1A"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439C9841" w14:textId="77777777" w:rsidR="002242F3" w:rsidRPr="005E3B44" w:rsidRDefault="002242F3" w:rsidP="005E3B44">
            <w:pPr>
              <w:pStyle w:val="Normal17"/>
              <w:jc w:val="right"/>
              <w:rPr>
                <w:rFonts w:asciiTheme="minorHAnsi" w:eastAsia="Calibri" w:hAnsiTheme="minorHAnsi" w:cstheme="minorHAnsi"/>
                <w:b/>
                <w:color w:val="000000"/>
                <w:sz w:val="18"/>
              </w:rPr>
            </w:pPr>
          </w:p>
          <w:p w14:paraId="6989DE36"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91EAD55"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EC8F69"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646A0D1"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w:t>
            </w:r>
          </w:p>
          <w:p w14:paraId="5E941417"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71D3AFF6" w14:textId="77777777" w:rsidR="002242F3" w:rsidRPr="005E3B44" w:rsidRDefault="002242F3" w:rsidP="005E3B44">
            <w:pPr>
              <w:pStyle w:val="Normal17"/>
              <w:jc w:val="right"/>
              <w:rPr>
                <w:rFonts w:asciiTheme="minorHAnsi" w:eastAsia="Calibri" w:hAnsiTheme="minorHAnsi" w:cstheme="minorHAnsi"/>
                <w:b/>
                <w:color w:val="000000"/>
                <w:sz w:val="18"/>
              </w:rPr>
            </w:pPr>
          </w:p>
          <w:p w14:paraId="61126900"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530FED"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7F96B24A"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342ADC1"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w:t>
            </w:r>
          </w:p>
          <w:p w14:paraId="40109C1B"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58418D3A" w14:textId="77777777" w:rsidR="002242F3" w:rsidRPr="005E3B44" w:rsidRDefault="002242F3" w:rsidP="005E3B44">
            <w:pPr>
              <w:pStyle w:val="Normal17"/>
              <w:jc w:val="right"/>
              <w:rPr>
                <w:rFonts w:asciiTheme="minorHAnsi" w:eastAsia="Calibri" w:hAnsiTheme="minorHAnsi" w:cstheme="minorHAnsi"/>
                <w:b/>
                <w:color w:val="000000"/>
                <w:sz w:val="18"/>
              </w:rPr>
            </w:pPr>
          </w:p>
          <w:p w14:paraId="65D3C69B"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770EAA"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w:t>
            </w:r>
          </w:p>
          <w:p w14:paraId="5A7A47E1"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20245E74" w14:textId="77777777" w:rsidR="002242F3" w:rsidRPr="005E3B44" w:rsidRDefault="002242F3" w:rsidP="005E3B44">
            <w:pPr>
              <w:pStyle w:val="Normal17"/>
              <w:jc w:val="right"/>
              <w:rPr>
                <w:rFonts w:asciiTheme="minorHAnsi" w:eastAsia="Calibri" w:hAnsiTheme="minorHAnsi" w:cstheme="minorHAnsi"/>
                <w:b/>
                <w:color w:val="000000"/>
                <w:sz w:val="18"/>
              </w:rPr>
            </w:pPr>
          </w:p>
          <w:p w14:paraId="2E484835"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606D858"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w:t>
            </w:r>
          </w:p>
          <w:p w14:paraId="6FA67F8F"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617877C0" w14:textId="77777777" w:rsidR="002242F3" w:rsidRPr="005E3B44" w:rsidRDefault="002242F3" w:rsidP="005E3B44">
            <w:pPr>
              <w:pStyle w:val="Normal17"/>
              <w:jc w:val="right"/>
              <w:rPr>
                <w:rFonts w:asciiTheme="minorHAnsi" w:eastAsia="Calibri" w:hAnsiTheme="minorHAnsi" w:cstheme="minorHAnsi"/>
                <w:b/>
                <w:color w:val="000000"/>
                <w:sz w:val="18"/>
              </w:rPr>
            </w:pPr>
          </w:p>
          <w:p w14:paraId="6596E2AE"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7D51D46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0554A1" w14:textId="77777777" w:rsidR="002242F3" w:rsidRPr="005E3B44" w:rsidRDefault="002242F3" w:rsidP="005E3B44">
            <w:pPr>
              <w:pStyle w:val="Normal17"/>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4F8C4E73"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4AA60D3" w14:textId="77777777" w:rsidR="002242F3" w:rsidRPr="005E3B44" w:rsidRDefault="002242F3" w:rsidP="005E3B44">
            <w:pPr>
              <w:pStyle w:val="Normal1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5170B2" w14:textId="77777777" w:rsidR="002242F3" w:rsidRPr="005E3B44" w:rsidRDefault="002242F3" w:rsidP="005E3B44">
            <w:pPr>
              <w:pStyle w:val="Normal17"/>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A5D21AB" w14:textId="77777777" w:rsidR="002242F3" w:rsidRPr="005E3B44" w:rsidRDefault="002242F3" w:rsidP="005E3B44">
            <w:pPr>
              <w:pStyle w:val="Normal1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E1A87C" w14:textId="77777777" w:rsidR="002242F3" w:rsidRPr="005E3B44" w:rsidRDefault="002242F3" w:rsidP="005E3B44">
            <w:pPr>
              <w:pStyle w:val="Normal1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909978E" w14:textId="77777777" w:rsidR="002242F3" w:rsidRPr="005E3B44" w:rsidRDefault="002242F3" w:rsidP="005E3B44">
            <w:pPr>
              <w:pStyle w:val="Normal17"/>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007FBBF" w14:textId="77777777" w:rsidR="002242F3" w:rsidRPr="005E3B44" w:rsidRDefault="002242F3" w:rsidP="005E3B44">
            <w:pPr>
              <w:pStyle w:val="Normal17"/>
              <w:jc w:val="right"/>
              <w:rPr>
                <w:rFonts w:asciiTheme="minorHAnsi" w:eastAsia="Calibri" w:hAnsiTheme="minorHAnsi" w:cstheme="minorHAnsi"/>
                <w:b/>
                <w:i/>
                <w:color w:val="000000"/>
                <w:sz w:val="18"/>
              </w:rPr>
            </w:pPr>
          </w:p>
        </w:tc>
      </w:tr>
      <w:tr w:rsidR="002242F3" w:rsidRPr="005E3B44" w14:paraId="397C939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4F7E84"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FB55FD9"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7C2AF620"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3111DA"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86A525"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7A6B2F"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6ED5BE"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0ADAE7"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4F3E488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366F6D"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84,377</w:t>
            </w:r>
          </w:p>
        </w:tc>
        <w:tc>
          <w:tcPr>
            <w:tcW w:w="2385" w:type="dxa"/>
            <w:tcBorders>
              <w:top w:val="nil"/>
              <w:left w:val="nil"/>
              <w:bottom w:val="nil"/>
              <w:right w:val="nil"/>
              <w:tl2br w:val="nil"/>
              <w:tr2bl w:val="nil"/>
            </w:tcBorders>
            <w:shd w:val="clear" w:color="auto" w:fill="auto"/>
            <w:noWrap/>
            <w:tcMar>
              <w:left w:w="101" w:type="dxa"/>
              <w:right w:w="101" w:type="dxa"/>
            </w:tcMar>
          </w:tcPr>
          <w:p w14:paraId="725DA08E"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0CE56073"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82,123</w:t>
            </w:r>
          </w:p>
        </w:tc>
        <w:tc>
          <w:tcPr>
            <w:tcW w:w="1035" w:type="dxa"/>
            <w:tcBorders>
              <w:top w:val="nil"/>
              <w:left w:val="nil"/>
              <w:bottom w:val="nil"/>
              <w:right w:val="nil"/>
              <w:tl2br w:val="nil"/>
              <w:tr2bl w:val="nil"/>
            </w:tcBorders>
            <w:shd w:val="clear" w:color="FFFFFF" w:fill="FFFFFF"/>
            <w:tcMar>
              <w:left w:w="101" w:type="dxa"/>
              <w:right w:w="101" w:type="dxa"/>
            </w:tcMar>
          </w:tcPr>
          <w:p w14:paraId="56B1CECD"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97,750</w:t>
            </w:r>
          </w:p>
        </w:tc>
        <w:tc>
          <w:tcPr>
            <w:tcW w:w="600" w:type="dxa"/>
            <w:tcBorders>
              <w:top w:val="nil"/>
              <w:left w:val="nil"/>
              <w:bottom w:val="nil"/>
              <w:right w:val="nil"/>
              <w:tl2br w:val="nil"/>
              <w:tr2bl w:val="nil"/>
            </w:tcBorders>
            <w:shd w:val="clear" w:color="FFFFFF" w:fill="FFFFFF"/>
            <w:tcMar>
              <w:left w:w="101" w:type="dxa"/>
              <w:right w:w="101" w:type="dxa"/>
            </w:tcMar>
          </w:tcPr>
          <w:p w14:paraId="7E57830F"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19 </w:t>
            </w:r>
          </w:p>
        </w:tc>
        <w:tc>
          <w:tcPr>
            <w:tcW w:w="1035" w:type="dxa"/>
            <w:tcBorders>
              <w:top w:val="nil"/>
              <w:left w:val="nil"/>
              <w:bottom w:val="nil"/>
              <w:right w:val="nil"/>
              <w:tl2br w:val="nil"/>
              <w:tr2bl w:val="nil"/>
            </w:tcBorders>
            <w:shd w:val="clear" w:color="FFFFFF" w:fill="FFFFFF"/>
            <w:tcMar>
              <w:left w:w="101" w:type="dxa"/>
              <w:right w:w="101" w:type="dxa"/>
            </w:tcMar>
          </w:tcPr>
          <w:p w14:paraId="7E4BC890"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97,313</w:t>
            </w:r>
          </w:p>
        </w:tc>
        <w:tc>
          <w:tcPr>
            <w:tcW w:w="1035" w:type="dxa"/>
            <w:tcBorders>
              <w:top w:val="nil"/>
              <w:left w:val="nil"/>
              <w:bottom w:val="nil"/>
              <w:right w:val="nil"/>
              <w:tl2br w:val="nil"/>
              <w:tr2bl w:val="nil"/>
            </w:tcBorders>
            <w:shd w:val="clear" w:color="FFFFFF" w:fill="FFFFFF"/>
            <w:tcMar>
              <w:left w:w="101" w:type="dxa"/>
              <w:right w:w="101" w:type="dxa"/>
            </w:tcMar>
          </w:tcPr>
          <w:p w14:paraId="3C5A2EBB"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92,859</w:t>
            </w:r>
          </w:p>
        </w:tc>
        <w:tc>
          <w:tcPr>
            <w:tcW w:w="1035" w:type="dxa"/>
            <w:tcBorders>
              <w:top w:val="nil"/>
              <w:left w:val="nil"/>
              <w:bottom w:val="nil"/>
              <w:right w:val="nil"/>
              <w:tl2br w:val="nil"/>
              <w:tr2bl w:val="nil"/>
            </w:tcBorders>
            <w:shd w:val="clear" w:color="FFFFFF" w:fill="FFFFFF"/>
            <w:tcMar>
              <w:left w:w="101" w:type="dxa"/>
              <w:right w:w="101" w:type="dxa"/>
            </w:tcMar>
          </w:tcPr>
          <w:p w14:paraId="6ABF7D7E"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89,594</w:t>
            </w:r>
          </w:p>
        </w:tc>
      </w:tr>
      <w:tr w:rsidR="002242F3" w:rsidRPr="005E3B44" w14:paraId="5AF6053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704EC3"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384</w:t>
            </w:r>
          </w:p>
        </w:tc>
        <w:tc>
          <w:tcPr>
            <w:tcW w:w="2385" w:type="dxa"/>
            <w:tcBorders>
              <w:top w:val="nil"/>
              <w:left w:val="nil"/>
              <w:bottom w:val="nil"/>
              <w:right w:val="nil"/>
              <w:tl2br w:val="nil"/>
              <w:tr2bl w:val="nil"/>
            </w:tcBorders>
            <w:shd w:val="clear" w:color="auto" w:fill="auto"/>
            <w:noWrap/>
            <w:tcMar>
              <w:left w:w="101" w:type="dxa"/>
              <w:right w:w="101" w:type="dxa"/>
            </w:tcMar>
          </w:tcPr>
          <w:p w14:paraId="268A56C6"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42FABCB"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128</w:t>
            </w:r>
          </w:p>
        </w:tc>
        <w:tc>
          <w:tcPr>
            <w:tcW w:w="1035" w:type="dxa"/>
            <w:tcBorders>
              <w:top w:val="nil"/>
              <w:left w:val="nil"/>
              <w:bottom w:val="nil"/>
              <w:right w:val="nil"/>
              <w:tl2br w:val="nil"/>
              <w:tr2bl w:val="nil"/>
            </w:tcBorders>
            <w:shd w:val="clear" w:color="FFFFFF" w:fill="FFFFFF"/>
            <w:tcMar>
              <w:left w:w="101" w:type="dxa"/>
              <w:right w:w="101" w:type="dxa"/>
            </w:tcMar>
          </w:tcPr>
          <w:p w14:paraId="53DE579F"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790</w:t>
            </w:r>
          </w:p>
        </w:tc>
        <w:tc>
          <w:tcPr>
            <w:tcW w:w="600" w:type="dxa"/>
            <w:tcBorders>
              <w:top w:val="nil"/>
              <w:left w:val="nil"/>
              <w:bottom w:val="nil"/>
              <w:right w:val="nil"/>
              <w:tl2br w:val="nil"/>
              <w:tr2bl w:val="nil"/>
            </w:tcBorders>
            <w:shd w:val="clear" w:color="FFFFFF" w:fill="FFFFFF"/>
            <w:tcMar>
              <w:left w:w="101" w:type="dxa"/>
              <w:right w:w="101" w:type="dxa"/>
            </w:tcMar>
          </w:tcPr>
          <w:p w14:paraId="13D4568A"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517 </w:t>
            </w:r>
          </w:p>
        </w:tc>
        <w:tc>
          <w:tcPr>
            <w:tcW w:w="1035" w:type="dxa"/>
            <w:tcBorders>
              <w:top w:val="nil"/>
              <w:left w:val="nil"/>
              <w:bottom w:val="nil"/>
              <w:right w:val="nil"/>
              <w:tl2br w:val="nil"/>
              <w:tr2bl w:val="nil"/>
            </w:tcBorders>
            <w:shd w:val="clear" w:color="FFFFFF" w:fill="FFFFFF"/>
            <w:tcMar>
              <w:left w:w="101" w:type="dxa"/>
              <w:right w:w="101" w:type="dxa"/>
            </w:tcMar>
          </w:tcPr>
          <w:p w14:paraId="5408B590"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808</w:t>
            </w:r>
          </w:p>
        </w:tc>
        <w:tc>
          <w:tcPr>
            <w:tcW w:w="1035" w:type="dxa"/>
            <w:tcBorders>
              <w:top w:val="nil"/>
              <w:left w:val="nil"/>
              <w:bottom w:val="nil"/>
              <w:right w:val="nil"/>
              <w:tl2br w:val="nil"/>
              <w:tr2bl w:val="nil"/>
            </w:tcBorders>
            <w:shd w:val="clear" w:color="FFFFFF" w:fill="FFFFFF"/>
            <w:tcMar>
              <w:left w:w="101" w:type="dxa"/>
              <w:right w:w="101" w:type="dxa"/>
            </w:tcMar>
          </w:tcPr>
          <w:p w14:paraId="6D2A2F73"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825</w:t>
            </w:r>
          </w:p>
        </w:tc>
        <w:tc>
          <w:tcPr>
            <w:tcW w:w="1035" w:type="dxa"/>
            <w:tcBorders>
              <w:top w:val="nil"/>
              <w:left w:val="nil"/>
              <w:bottom w:val="nil"/>
              <w:right w:val="nil"/>
              <w:tl2br w:val="nil"/>
              <w:tr2bl w:val="nil"/>
            </w:tcBorders>
            <w:shd w:val="clear" w:color="FFFFFF" w:fill="FFFFFF"/>
            <w:tcMar>
              <w:left w:w="101" w:type="dxa"/>
              <w:right w:w="101" w:type="dxa"/>
            </w:tcMar>
          </w:tcPr>
          <w:p w14:paraId="066B3C5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843</w:t>
            </w:r>
          </w:p>
        </w:tc>
      </w:tr>
      <w:tr w:rsidR="002242F3" w:rsidRPr="005E3B44" w14:paraId="536CF73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329FEA"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157</w:t>
            </w:r>
          </w:p>
        </w:tc>
        <w:tc>
          <w:tcPr>
            <w:tcW w:w="2385" w:type="dxa"/>
            <w:tcBorders>
              <w:top w:val="nil"/>
              <w:left w:val="nil"/>
              <w:bottom w:val="nil"/>
              <w:right w:val="nil"/>
              <w:tl2br w:val="nil"/>
              <w:tr2bl w:val="nil"/>
            </w:tcBorders>
            <w:shd w:val="clear" w:color="auto" w:fill="auto"/>
            <w:noWrap/>
            <w:tcMar>
              <w:left w:w="101" w:type="dxa"/>
              <w:right w:w="101" w:type="dxa"/>
            </w:tcMar>
          </w:tcPr>
          <w:p w14:paraId="502DAFCB"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03BDEC25"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1,333</w:t>
            </w:r>
          </w:p>
        </w:tc>
        <w:tc>
          <w:tcPr>
            <w:tcW w:w="1035" w:type="dxa"/>
            <w:tcBorders>
              <w:top w:val="nil"/>
              <w:left w:val="nil"/>
              <w:bottom w:val="nil"/>
              <w:right w:val="nil"/>
              <w:tl2br w:val="nil"/>
              <w:tr2bl w:val="nil"/>
            </w:tcBorders>
            <w:shd w:val="clear" w:color="FFFFFF" w:fill="FFFFFF"/>
            <w:tcMar>
              <w:left w:w="101" w:type="dxa"/>
              <w:right w:w="101" w:type="dxa"/>
            </w:tcMar>
          </w:tcPr>
          <w:p w14:paraId="28190269"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72</w:t>
            </w:r>
          </w:p>
        </w:tc>
        <w:tc>
          <w:tcPr>
            <w:tcW w:w="600" w:type="dxa"/>
            <w:tcBorders>
              <w:top w:val="nil"/>
              <w:left w:val="nil"/>
              <w:bottom w:val="nil"/>
              <w:right w:val="nil"/>
              <w:tl2br w:val="nil"/>
              <w:tr2bl w:val="nil"/>
            </w:tcBorders>
            <w:shd w:val="clear" w:color="FFFFFF" w:fill="FFFFFF"/>
            <w:tcMar>
              <w:left w:w="101" w:type="dxa"/>
              <w:right w:w="101" w:type="dxa"/>
            </w:tcMar>
          </w:tcPr>
          <w:p w14:paraId="627E4E1C"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-95 </w:t>
            </w:r>
          </w:p>
        </w:tc>
        <w:tc>
          <w:tcPr>
            <w:tcW w:w="1035" w:type="dxa"/>
            <w:tcBorders>
              <w:top w:val="nil"/>
              <w:left w:val="nil"/>
              <w:bottom w:val="nil"/>
              <w:right w:val="nil"/>
              <w:tl2br w:val="nil"/>
              <w:tr2bl w:val="nil"/>
            </w:tcBorders>
            <w:shd w:val="clear" w:color="FFFFFF" w:fill="FFFFFF"/>
            <w:tcMar>
              <w:left w:w="101" w:type="dxa"/>
              <w:right w:w="101" w:type="dxa"/>
            </w:tcMar>
          </w:tcPr>
          <w:p w14:paraId="22876B7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68</w:t>
            </w:r>
          </w:p>
        </w:tc>
        <w:tc>
          <w:tcPr>
            <w:tcW w:w="1035" w:type="dxa"/>
            <w:tcBorders>
              <w:top w:val="nil"/>
              <w:left w:val="nil"/>
              <w:bottom w:val="nil"/>
              <w:right w:val="nil"/>
              <w:tl2br w:val="nil"/>
              <w:tr2bl w:val="nil"/>
            </w:tcBorders>
            <w:shd w:val="clear" w:color="FFFFFF" w:fill="FFFFFF"/>
            <w:tcMar>
              <w:left w:w="101" w:type="dxa"/>
              <w:right w:w="101" w:type="dxa"/>
            </w:tcMar>
          </w:tcPr>
          <w:p w14:paraId="40320E78"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w:t>
            </w:r>
          </w:p>
        </w:tc>
        <w:tc>
          <w:tcPr>
            <w:tcW w:w="1035" w:type="dxa"/>
            <w:tcBorders>
              <w:top w:val="nil"/>
              <w:left w:val="nil"/>
              <w:bottom w:val="nil"/>
              <w:right w:val="nil"/>
              <w:tl2br w:val="nil"/>
              <w:tr2bl w:val="nil"/>
            </w:tcBorders>
            <w:shd w:val="clear" w:color="FFFFFF" w:fill="FFFFFF"/>
            <w:tcMar>
              <w:left w:w="101" w:type="dxa"/>
              <w:right w:w="101" w:type="dxa"/>
            </w:tcMar>
          </w:tcPr>
          <w:p w14:paraId="5B61D67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65</w:t>
            </w:r>
          </w:p>
        </w:tc>
      </w:tr>
      <w:tr w:rsidR="002242F3" w:rsidRPr="005E3B44" w14:paraId="1A4A6D4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5488A5"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0AD3FE"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739DFF"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8140F6"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A60AFD"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005BC8"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CDF9A0"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EE2D3E"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1B9FDCA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44E2643"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84,918</w:t>
            </w:r>
          </w:p>
        </w:tc>
        <w:tc>
          <w:tcPr>
            <w:tcW w:w="2385" w:type="dxa"/>
            <w:tcBorders>
              <w:top w:val="nil"/>
              <w:left w:val="nil"/>
              <w:bottom w:val="nil"/>
              <w:right w:val="nil"/>
              <w:tl2br w:val="nil"/>
              <w:tr2bl w:val="nil"/>
            </w:tcBorders>
            <w:shd w:val="clear" w:color="FFFFFF" w:fill="FFFFFF"/>
            <w:tcMar>
              <w:left w:w="101" w:type="dxa"/>
              <w:right w:w="101" w:type="dxa"/>
            </w:tcMar>
          </w:tcPr>
          <w:p w14:paraId="351EB567"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621FAD2"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83,584</w:t>
            </w:r>
          </w:p>
        </w:tc>
        <w:tc>
          <w:tcPr>
            <w:tcW w:w="1035" w:type="dxa"/>
            <w:tcBorders>
              <w:top w:val="nil"/>
              <w:left w:val="nil"/>
              <w:bottom w:val="nil"/>
              <w:right w:val="nil"/>
              <w:tl2br w:val="nil"/>
              <w:tr2bl w:val="nil"/>
            </w:tcBorders>
            <w:shd w:val="clear" w:color="FFFFFF" w:fill="FFFFFF"/>
            <w:tcMar>
              <w:left w:w="101" w:type="dxa"/>
              <w:right w:w="101" w:type="dxa"/>
            </w:tcMar>
          </w:tcPr>
          <w:p w14:paraId="10A0324B"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98,612</w:t>
            </w:r>
          </w:p>
        </w:tc>
        <w:tc>
          <w:tcPr>
            <w:tcW w:w="600" w:type="dxa"/>
            <w:tcBorders>
              <w:top w:val="nil"/>
              <w:left w:val="nil"/>
              <w:bottom w:val="nil"/>
              <w:right w:val="nil"/>
              <w:tl2br w:val="nil"/>
              <w:tr2bl w:val="nil"/>
            </w:tcBorders>
            <w:shd w:val="clear" w:color="FFFFFF" w:fill="FFFFFF"/>
            <w:tcMar>
              <w:left w:w="101" w:type="dxa"/>
              <w:right w:w="101" w:type="dxa"/>
            </w:tcMar>
          </w:tcPr>
          <w:p w14:paraId="6CB61F37"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21D8751F"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98,189</w:t>
            </w:r>
          </w:p>
        </w:tc>
        <w:tc>
          <w:tcPr>
            <w:tcW w:w="1035" w:type="dxa"/>
            <w:tcBorders>
              <w:top w:val="nil"/>
              <w:left w:val="nil"/>
              <w:bottom w:val="nil"/>
              <w:right w:val="nil"/>
              <w:tl2br w:val="nil"/>
              <w:tr2bl w:val="nil"/>
            </w:tcBorders>
            <w:shd w:val="clear" w:color="FFFFFF" w:fill="FFFFFF"/>
            <w:tcMar>
              <w:left w:w="101" w:type="dxa"/>
              <w:right w:w="101" w:type="dxa"/>
            </w:tcMar>
          </w:tcPr>
          <w:p w14:paraId="0811EEB9"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93,748</w:t>
            </w:r>
          </w:p>
        </w:tc>
        <w:tc>
          <w:tcPr>
            <w:tcW w:w="1035" w:type="dxa"/>
            <w:tcBorders>
              <w:top w:val="nil"/>
              <w:left w:val="nil"/>
              <w:bottom w:val="nil"/>
              <w:right w:val="nil"/>
              <w:tl2br w:val="nil"/>
              <w:tr2bl w:val="nil"/>
            </w:tcBorders>
            <w:shd w:val="clear" w:color="FFFFFF" w:fill="FFFFFF"/>
            <w:tcMar>
              <w:left w:w="101" w:type="dxa"/>
              <w:right w:w="101" w:type="dxa"/>
            </w:tcMar>
          </w:tcPr>
          <w:p w14:paraId="32FFD51F"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90,502</w:t>
            </w:r>
          </w:p>
        </w:tc>
      </w:tr>
      <w:tr w:rsidR="002242F3" w:rsidRPr="005E3B44" w14:paraId="3629F95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E0DD11"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8DAC51"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1882C8"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5E071A"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433F1F"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D95776"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FD237C"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4708D0"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7E196F8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4E65AE"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19F8219"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0F4EFAA4"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F20BDD"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BE1685"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72C21C"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8D852F"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3B5430"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0C12E25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D79F4D"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071521"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C269C2"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5FF7FD"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B98DCF"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82236D"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95F5A5"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FDAE41"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5937A1D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82A8BB"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E8FE872"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21D54771"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E226E6E"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9F32429"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FBF2D8E"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44399AC"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06B2357"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5E3B44" w14:paraId="2B184D0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496C6F"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9D1AD4D"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F227AE"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E92DB5"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8B3705"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CA927B"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626674"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014DF3"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0C6D16C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E4EDE3A"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84,918</w:t>
            </w:r>
          </w:p>
        </w:tc>
        <w:tc>
          <w:tcPr>
            <w:tcW w:w="2385" w:type="dxa"/>
            <w:tcBorders>
              <w:top w:val="nil"/>
              <w:left w:val="nil"/>
              <w:bottom w:val="nil"/>
              <w:right w:val="nil"/>
              <w:tl2br w:val="nil"/>
              <w:tr2bl w:val="nil"/>
            </w:tcBorders>
            <w:shd w:val="clear" w:color="FFFFFF" w:fill="FFFFFF"/>
            <w:tcMar>
              <w:left w:w="101" w:type="dxa"/>
              <w:right w:w="101" w:type="dxa"/>
            </w:tcMar>
          </w:tcPr>
          <w:p w14:paraId="12B0401F"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0E98B211"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83,584</w:t>
            </w:r>
          </w:p>
        </w:tc>
        <w:tc>
          <w:tcPr>
            <w:tcW w:w="1035" w:type="dxa"/>
            <w:tcBorders>
              <w:top w:val="nil"/>
              <w:left w:val="nil"/>
              <w:bottom w:val="nil"/>
              <w:right w:val="nil"/>
              <w:tl2br w:val="nil"/>
              <w:tr2bl w:val="nil"/>
            </w:tcBorders>
            <w:shd w:val="clear" w:color="FFFFFF" w:fill="FFFFFF"/>
            <w:tcMar>
              <w:left w:w="101" w:type="dxa"/>
              <w:right w:w="101" w:type="dxa"/>
            </w:tcMar>
          </w:tcPr>
          <w:p w14:paraId="12F3F09F"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98,612</w:t>
            </w:r>
          </w:p>
        </w:tc>
        <w:tc>
          <w:tcPr>
            <w:tcW w:w="600" w:type="dxa"/>
            <w:tcBorders>
              <w:top w:val="nil"/>
              <w:left w:val="nil"/>
              <w:bottom w:val="nil"/>
              <w:right w:val="nil"/>
              <w:tl2br w:val="nil"/>
              <w:tr2bl w:val="nil"/>
            </w:tcBorders>
            <w:shd w:val="clear" w:color="FFFFFF" w:fill="FFFFFF"/>
            <w:tcMar>
              <w:left w:w="101" w:type="dxa"/>
              <w:right w:w="101" w:type="dxa"/>
            </w:tcMar>
          </w:tcPr>
          <w:p w14:paraId="3362D150"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7104C3D3"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98,189</w:t>
            </w:r>
          </w:p>
        </w:tc>
        <w:tc>
          <w:tcPr>
            <w:tcW w:w="1035" w:type="dxa"/>
            <w:tcBorders>
              <w:top w:val="nil"/>
              <w:left w:val="nil"/>
              <w:bottom w:val="nil"/>
              <w:right w:val="nil"/>
              <w:tl2br w:val="nil"/>
              <w:tr2bl w:val="nil"/>
            </w:tcBorders>
            <w:shd w:val="clear" w:color="FFFFFF" w:fill="FFFFFF"/>
            <w:tcMar>
              <w:left w:w="101" w:type="dxa"/>
              <w:right w:w="101" w:type="dxa"/>
            </w:tcMar>
          </w:tcPr>
          <w:p w14:paraId="5ED966B8"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93,748</w:t>
            </w:r>
          </w:p>
        </w:tc>
        <w:tc>
          <w:tcPr>
            <w:tcW w:w="1035" w:type="dxa"/>
            <w:tcBorders>
              <w:top w:val="nil"/>
              <w:left w:val="nil"/>
              <w:bottom w:val="nil"/>
              <w:right w:val="nil"/>
              <w:tl2br w:val="nil"/>
              <w:tr2bl w:val="nil"/>
            </w:tcBorders>
            <w:shd w:val="clear" w:color="FFFFFF" w:fill="FFFFFF"/>
            <w:tcMar>
              <w:left w:w="101" w:type="dxa"/>
              <w:right w:w="101" w:type="dxa"/>
            </w:tcMar>
          </w:tcPr>
          <w:p w14:paraId="55467E6E"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90,502</w:t>
            </w:r>
          </w:p>
        </w:tc>
      </w:tr>
      <w:tr w:rsidR="002242F3" w:rsidRPr="005E3B44" w14:paraId="327BEFB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0FC1CF"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78B0329"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04F104"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9F1E58"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5BBB0E"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2404EB"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DD7687"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18D3A2"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7A5739B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A79DFD"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464C555"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38F3203A"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281C72"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D83747"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CD6DEA"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FEA304"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C0B7C8"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4F461D6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4DF4F2"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55,639</w:t>
            </w:r>
          </w:p>
        </w:tc>
        <w:tc>
          <w:tcPr>
            <w:tcW w:w="2385" w:type="dxa"/>
            <w:tcBorders>
              <w:top w:val="nil"/>
              <w:left w:val="nil"/>
              <w:bottom w:val="nil"/>
              <w:right w:val="nil"/>
              <w:tl2br w:val="nil"/>
              <w:tr2bl w:val="nil"/>
            </w:tcBorders>
            <w:shd w:val="clear" w:color="FFFFFF" w:fill="FFFFFF"/>
            <w:noWrap/>
            <w:tcMar>
              <w:left w:w="101" w:type="dxa"/>
              <w:right w:w="101" w:type="dxa"/>
            </w:tcMar>
          </w:tcPr>
          <w:p w14:paraId="6CBAF59A"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5B6D015D"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57,023</w:t>
            </w:r>
          </w:p>
        </w:tc>
        <w:tc>
          <w:tcPr>
            <w:tcW w:w="1035" w:type="dxa"/>
            <w:tcBorders>
              <w:top w:val="nil"/>
              <w:left w:val="nil"/>
              <w:bottom w:val="nil"/>
              <w:right w:val="nil"/>
              <w:tl2br w:val="nil"/>
              <w:tr2bl w:val="nil"/>
            </w:tcBorders>
            <w:shd w:val="clear" w:color="FFFFFF" w:fill="FFFFFF"/>
            <w:tcMar>
              <w:left w:w="101" w:type="dxa"/>
              <w:right w:w="101" w:type="dxa"/>
            </w:tcMar>
          </w:tcPr>
          <w:p w14:paraId="7FDA46B1"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58,827</w:t>
            </w:r>
          </w:p>
        </w:tc>
        <w:tc>
          <w:tcPr>
            <w:tcW w:w="600" w:type="dxa"/>
            <w:tcBorders>
              <w:top w:val="nil"/>
              <w:left w:val="nil"/>
              <w:bottom w:val="nil"/>
              <w:right w:val="nil"/>
              <w:tl2br w:val="nil"/>
              <w:tr2bl w:val="nil"/>
            </w:tcBorders>
            <w:shd w:val="clear" w:color="FFFFFF" w:fill="FFFFFF"/>
            <w:tcMar>
              <w:left w:w="101" w:type="dxa"/>
              <w:right w:w="101" w:type="dxa"/>
            </w:tcMar>
          </w:tcPr>
          <w:p w14:paraId="73D6E271"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5BA09DB"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59,395</w:t>
            </w:r>
          </w:p>
        </w:tc>
        <w:tc>
          <w:tcPr>
            <w:tcW w:w="1035" w:type="dxa"/>
            <w:tcBorders>
              <w:top w:val="nil"/>
              <w:left w:val="nil"/>
              <w:bottom w:val="nil"/>
              <w:right w:val="nil"/>
              <w:tl2br w:val="nil"/>
              <w:tr2bl w:val="nil"/>
            </w:tcBorders>
            <w:shd w:val="clear" w:color="FFFFFF" w:fill="FFFFFF"/>
            <w:tcMar>
              <w:left w:w="101" w:type="dxa"/>
              <w:right w:w="101" w:type="dxa"/>
            </w:tcMar>
          </w:tcPr>
          <w:p w14:paraId="1D18D35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58,090</w:t>
            </w:r>
          </w:p>
        </w:tc>
        <w:tc>
          <w:tcPr>
            <w:tcW w:w="1035" w:type="dxa"/>
            <w:tcBorders>
              <w:top w:val="nil"/>
              <w:left w:val="nil"/>
              <w:bottom w:val="nil"/>
              <w:right w:val="nil"/>
              <w:tl2br w:val="nil"/>
              <w:tr2bl w:val="nil"/>
            </w:tcBorders>
            <w:shd w:val="clear" w:color="FFFFFF" w:fill="FFFFFF"/>
            <w:tcMar>
              <w:left w:w="101" w:type="dxa"/>
              <w:right w:w="101" w:type="dxa"/>
            </w:tcMar>
          </w:tcPr>
          <w:p w14:paraId="5C6FFCE7"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58,559</w:t>
            </w:r>
          </w:p>
        </w:tc>
      </w:tr>
      <w:tr w:rsidR="002242F3" w:rsidRPr="005E3B44" w14:paraId="0A0284F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E20EEB"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6,388</w:t>
            </w:r>
          </w:p>
        </w:tc>
        <w:tc>
          <w:tcPr>
            <w:tcW w:w="2385" w:type="dxa"/>
            <w:tcBorders>
              <w:top w:val="nil"/>
              <w:left w:val="nil"/>
              <w:bottom w:val="nil"/>
              <w:right w:val="nil"/>
              <w:tl2br w:val="nil"/>
              <w:tr2bl w:val="nil"/>
            </w:tcBorders>
            <w:shd w:val="clear" w:color="FFFFFF" w:fill="FFFFFF"/>
            <w:noWrap/>
            <w:tcMar>
              <w:left w:w="101" w:type="dxa"/>
              <w:right w:w="101" w:type="dxa"/>
            </w:tcMar>
          </w:tcPr>
          <w:p w14:paraId="2E6330CD"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E5403BD"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7,412</w:t>
            </w:r>
          </w:p>
        </w:tc>
        <w:tc>
          <w:tcPr>
            <w:tcW w:w="1035" w:type="dxa"/>
            <w:tcBorders>
              <w:top w:val="nil"/>
              <w:left w:val="nil"/>
              <w:bottom w:val="nil"/>
              <w:right w:val="nil"/>
              <w:tl2br w:val="nil"/>
              <w:tr2bl w:val="nil"/>
            </w:tcBorders>
            <w:shd w:val="clear" w:color="FFFFFF" w:fill="FFFFFF"/>
            <w:tcMar>
              <w:left w:w="101" w:type="dxa"/>
              <w:right w:w="101" w:type="dxa"/>
            </w:tcMar>
          </w:tcPr>
          <w:p w14:paraId="68202646"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6,990</w:t>
            </w:r>
          </w:p>
        </w:tc>
        <w:tc>
          <w:tcPr>
            <w:tcW w:w="600" w:type="dxa"/>
            <w:tcBorders>
              <w:top w:val="nil"/>
              <w:left w:val="nil"/>
              <w:bottom w:val="nil"/>
              <w:right w:val="nil"/>
              <w:tl2br w:val="nil"/>
              <w:tr2bl w:val="nil"/>
            </w:tcBorders>
            <w:shd w:val="clear" w:color="FFFFFF" w:fill="FFFFFF"/>
            <w:tcMar>
              <w:left w:w="101" w:type="dxa"/>
              <w:right w:w="101" w:type="dxa"/>
            </w:tcMar>
          </w:tcPr>
          <w:p w14:paraId="3469499C"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4639BB0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6,811</w:t>
            </w:r>
          </w:p>
        </w:tc>
        <w:tc>
          <w:tcPr>
            <w:tcW w:w="1035" w:type="dxa"/>
            <w:tcBorders>
              <w:top w:val="nil"/>
              <w:left w:val="nil"/>
              <w:bottom w:val="nil"/>
              <w:right w:val="nil"/>
              <w:tl2br w:val="nil"/>
              <w:tr2bl w:val="nil"/>
            </w:tcBorders>
            <w:shd w:val="clear" w:color="FFFFFF" w:fill="FFFFFF"/>
            <w:tcMar>
              <w:left w:w="101" w:type="dxa"/>
              <w:right w:w="101" w:type="dxa"/>
            </w:tcMar>
          </w:tcPr>
          <w:p w14:paraId="2FC85E06"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6,490</w:t>
            </w:r>
          </w:p>
        </w:tc>
        <w:tc>
          <w:tcPr>
            <w:tcW w:w="1035" w:type="dxa"/>
            <w:tcBorders>
              <w:top w:val="nil"/>
              <w:left w:val="nil"/>
              <w:bottom w:val="nil"/>
              <w:right w:val="nil"/>
              <w:tl2br w:val="nil"/>
              <w:tr2bl w:val="nil"/>
            </w:tcBorders>
            <w:shd w:val="clear" w:color="FFFFFF" w:fill="FFFFFF"/>
            <w:tcMar>
              <w:left w:w="101" w:type="dxa"/>
              <w:right w:w="101" w:type="dxa"/>
            </w:tcMar>
          </w:tcPr>
          <w:p w14:paraId="34CBD04A"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6,870</w:t>
            </w:r>
          </w:p>
        </w:tc>
      </w:tr>
      <w:tr w:rsidR="002242F3" w:rsidRPr="005E3B44" w14:paraId="4D688E1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B4E382"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22,178</w:t>
            </w:r>
          </w:p>
        </w:tc>
        <w:tc>
          <w:tcPr>
            <w:tcW w:w="2385" w:type="dxa"/>
            <w:tcBorders>
              <w:top w:val="nil"/>
              <w:left w:val="nil"/>
              <w:bottom w:val="nil"/>
              <w:right w:val="nil"/>
              <w:tl2br w:val="nil"/>
              <w:tr2bl w:val="nil"/>
            </w:tcBorders>
            <w:shd w:val="clear" w:color="FFFFFF" w:fill="FFFFFF"/>
            <w:noWrap/>
            <w:tcMar>
              <w:left w:w="101" w:type="dxa"/>
              <w:right w:w="101" w:type="dxa"/>
            </w:tcMar>
          </w:tcPr>
          <w:p w14:paraId="3F88C6E5"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D4322C5"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22,817</w:t>
            </w:r>
          </w:p>
        </w:tc>
        <w:tc>
          <w:tcPr>
            <w:tcW w:w="1035" w:type="dxa"/>
            <w:tcBorders>
              <w:top w:val="nil"/>
              <w:left w:val="nil"/>
              <w:bottom w:val="nil"/>
              <w:right w:val="nil"/>
              <w:tl2br w:val="nil"/>
              <w:tr2bl w:val="nil"/>
            </w:tcBorders>
            <w:shd w:val="clear" w:color="FFFFFF" w:fill="FFFFFF"/>
            <w:tcMar>
              <w:left w:w="101" w:type="dxa"/>
              <w:right w:w="101" w:type="dxa"/>
            </w:tcMar>
          </w:tcPr>
          <w:p w14:paraId="1399C8C5"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32,204</w:t>
            </w:r>
          </w:p>
        </w:tc>
        <w:tc>
          <w:tcPr>
            <w:tcW w:w="600" w:type="dxa"/>
            <w:tcBorders>
              <w:top w:val="nil"/>
              <w:left w:val="nil"/>
              <w:bottom w:val="nil"/>
              <w:right w:val="nil"/>
              <w:tl2br w:val="nil"/>
              <w:tr2bl w:val="nil"/>
            </w:tcBorders>
            <w:shd w:val="clear" w:color="FFFFFF" w:fill="FFFFFF"/>
            <w:tcMar>
              <w:left w:w="101" w:type="dxa"/>
              <w:right w:w="101" w:type="dxa"/>
            </w:tcMar>
          </w:tcPr>
          <w:p w14:paraId="0DB7E1F2"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41 </w:t>
            </w:r>
          </w:p>
        </w:tc>
        <w:tc>
          <w:tcPr>
            <w:tcW w:w="1035" w:type="dxa"/>
            <w:tcBorders>
              <w:top w:val="nil"/>
              <w:left w:val="nil"/>
              <w:bottom w:val="nil"/>
              <w:right w:val="nil"/>
              <w:tl2br w:val="nil"/>
              <w:tr2bl w:val="nil"/>
            </w:tcBorders>
            <w:shd w:val="clear" w:color="FFFFFF" w:fill="FFFFFF"/>
            <w:tcMar>
              <w:left w:w="101" w:type="dxa"/>
              <w:right w:w="101" w:type="dxa"/>
            </w:tcMar>
          </w:tcPr>
          <w:p w14:paraId="6263B31D"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30,879</w:t>
            </w:r>
          </w:p>
        </w:tc>
        <w:tc>
          <w:tcPr>
            <w:tcW w:w="1035" w:type="dxa"/>
            <w:tcBorders>
              <w:top w:val="nil"/>
              <w:left w:val="nil"/>
              <w:bottom w:val="nil"/>
              <w:right w:val="nil"/>
              <w:tl2br w:val="nil"/>
              <w:tr2bl w:val="nil"/>
            </w:tcBorders>
            <w:shd w:val="clear" w:color="FFFFFF" w:fill="FFFFFF"/>
            <w:tcMar>
              <w:left w:w="101" w:type="dxa"/>
              <w:right w:w="101" w:type="dxa"/>
            </w:tcMar>
          </w:tcPr>
          <w:p w14:paraId="25DB5433"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28,588</w:t>
            </w:r>
          </w:p>
        </w:tc>
        <w:tc>
          <w:tcPr>
            <w:tcW w:w="1035" w:type="dxa"/>
            <w:tcBorders>
              <w:top w:val="nil"/>
              <w:left w:val="nil"/>
              <w:bottom w:val="nil"/>
              <w:right w:val="nil"/>
              <w:tl2br w:val="nil"/>
              <w:tr2bl w:val="nil"/>
            </w:tcBorders>
            <w:shd w:val="clear" w:color="FFFFFF" w:fill="FFFFFF"/>
            <w:tcMar>
              <w:left w:w="101" w:type="dxa"/>
              <w:right w:w="101" w:type="dxa"/>
            </w:tcMar>
          </w:tcPr>
          <w:p w14:paraId="6A39FB3F"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25,240</w:t>
            </w:r>
          </w:p>
        </w:tc>
      </w:tr>
      <w:tr w:rsidR="002242F3" w:rsidRPr="005E3B44" w14:paraId="0C6F75D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208311"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8,089</w:t>
            </w:r>
          </w:p>
        </w:tc>
        <w:tc>
          <w:tcPr>
            <w:tcW w:w="2385" w:type="dxa"/>
            <w:tcBorders>
              <w:top w:val="nil"/>
              <w:left w:val="nil"/>
              <w:bottom w:val="nil"/>
              <w:right w:val="nil"/>
              <w:tl2br w:val="nil"/>
              <w:tr2bl w:val="nil"/>
            </w:tcBorders>
            <w:shd w:val="clear" w:color="FFFFFF" w:fill="FFFFFF"/>
            <w:noWrap/>
            <w:tcMar>
              <w:left w:w="101" w:type="dxa"/>
              <w:right w:w="101" w:type="dxa"/>
            </w:tcMar>
          </w:tcPr>
          <w:p w14:paraId="5D50F42C"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05B4236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7,475</w:t>
            </w:r>
          </w:p>
        </w:tc>
        <w:tc>
          <w:tcPr>
            <w:tcW w:w="1035" w:type="dxa"/>
            <w:tcBorders>
              <w:top w:val="nil"/>
              <w:left w:val="nil"/>
              <w:bottom w:val="nil"/>
              <w:right w:val="nil"/>
              <w:tl2br w:val="nil"/>
              <w:tr2bl w:val="nil"/>
            </w:tcBorders>
            <w:shd w:val="clear" w:color="FFFFFF" w:fill="FFFFFF"/>
            <w:tcMar>
              <w:left w:w="101" w:type="dxa"/>
              <w:right w:w="101" w:type="dxa"/>
            </w:tcMar>
          </w:tcPr>
          <w:p w14:paraId="6ABE59EA"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10,378</w:t>
            </w:r>
          </w:p>
        </w:tc>
        <w:tc>
          <w:tcPr>
            <w:tcW w:w="600" w:type="dxa"/>
            <w:tcBorders>
              <w:top w:val="nil"/>
              <w:left w:val="nil"/>
              <w:bottom w:val="nil"/>
              <w:right w:val="nil"/>
              <w:tl2br w:val="nil"/>
              <w:tr2bl w:val="nil"/>
            </w:tcBorders>
            <w:shd w:val="clear" w:color="FFFFFF" w:fill="FFFFFF"/>
            <w:tcMar>
              <w:left w:w="101" w:type="dxa"/>
              <w:right w:w="101" w:type="dxa"/>
            </w:tcMar>
          </w:tcPr>
          <w:p w14:paraId="238C54C1"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39 </w:t>
            </w:r>
          </w:p>
        </w:tc>
        <w:tc>
          <w:tcPr>
            <w:tcW w:w="1035" w:type="dxa"/>
            <w:tcBorders>
              <w:top w:val="nil"/>
              <w:left w:val="nil"/>
              <w:bottom w:val="nil"/>
              <w:right w:val="nil"/>
              <w:tl2br w:val="nil"/>
              <w:tr2bl w:val="nil"/>
            </w:tcBorders>
            <w:shd w:val="clear" w:color="FFFFFF" w:fill="FFFFFF"/>
            <w:tcMar>
              <w:left w:w="101" w:type="dxa"/>
              <w:right w:w="101" w:type="dxa"/>
            </w:tcMar>
          </w:tcPr>
          <w:p w14:paraId="599C356C"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11,149</w:t>
            </w:r>
          </w:p>
        </w:tc>
        <w:tc>
          <w:tcPr>
            <w:tcW w:w="1035" w:type="dxa"/>
            <w:tcBorders>
              <w:top w:val="nil"/>
              <w:left w:val="nil"/>
              <w:bottom w:val="nil"/>
              <w:right w:val="nil"/>
              <w:tl2br w:val="nil"/>
              <w:tr2bl w:val="nil"/>
            </w:tcBorders>
            <w:shd w:val="clear" w:color="FFFFFF" w:fill="FFFFFF"/>
            <w:tcMar>
              <w:left w:w="101" w:type="dxa"/>
              <w:right w:w="101" w:type="dxa"/>
            </w:tcMar>
          </w:tcPr>
          <w:p w14:paraId="58BA4ABF"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12,881</w:t>
            </w:r>
          </w:p>
        </w:tc>
        <w:tc>
          <w:tcPr>
            <w:tcW w:w="1035" w:type="dxa"/>
            <w:tcBorders>
              <w:top w:val="nil"/>
              <w:left w:val="nil"/>
              <w:bottom w:val="nil"/>
              <w:right w:val="nil"/>
              <w:tl2br w:val="nil"/>
              <w:tr2bl w:val="nil"/>
            </w:tcBorders>
            <w:shd w:val="clear" w:color="FFFFFF" w:fill="FFFFFF"/>
            <w:tcMar>
              <w:left w:w="101" w:type="dxa"/>
              <w:right w:w="101" w:type="dxa"/>
            </w:tcMar>
          </w:tcPr>
          <w:p w14:paraId="7DD26B68"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12,881</w:t>
            </w:r>
          </w:p>
        </w:tc>
      </w:tr>
      <w:tr w:rsidR="002242F3" w:rsidRPr="005E3B44" w14:paraId="08FFA88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0757F3"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338</w:t>
            </w:r>
          </w:p>
        </w:tc>
        <w:tc>
          <w:tcPr>
            <w:tcW w:w="2385" w:type="dxa"/>
            <w:tcBorders>
              <w:top w:val="nil"/>
              <w:left w:val="nil"/>
              <w:bottom w:val="nil"/>
              <w:right w:val="nil"/>
              <w:tl2br w:val="nil"/>
              <w:tr2bl w:val="nil"/>
            </w:tcBorders>
            <w:shd w:val="clear" w:color="FFFFFF" w:fill="FFFFFF"/>
            <w:noWrap/>
            <w:tcMar>
              <w:left w:w="101" w:type="dxa"/>
              <w:right w:w="101" w:type="dxa"/>
            </w:tcMar>
          </w:tcPr>
          <w:p w14:paraId="53C5BF45"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447AA88"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643</w:t>
            </w:r>
          </w:p>
        </w:tc>
        <w:tc>
          <w:tcPr>
            <w:tcW w:w="1035" w:type="dxa"/>
            <w:tcBorders>
              <w:top w:val="nil"/>
              <w:left w:val="nil"/>
              <w:bottom w:val="nil"/>
              <w:right w:val="nil"/>
              <w:tl2br w:val="nil"/>
              <w:tr2bl w:val="nil"/>
            </w:tcBorders>
            <w:shd w:val="clear" w:color="FFFFFF" w:fill="FFFFFF"/>
            <w:tcMar>
              <w:left w:w="101" w:type="dxa"/>
              <w:right w:w="101" w:type="dxa"/>
            </w:tcMar>
          </w:tcPr>
          <w:p w14:paraId="2C6615E6"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1,532</w:t>
            </w:r>
          </w:p>
        </w:tc>
        <w:tc>
          <w:tcPr>
            <w:tcW w:w="600" w:type="dxa"/>
            <w:tcBorders>
              <w:top w:val="nil"/>
              <w:left w:val="nil"/>
              <w:bottom w:val="nil"/>
              <w:right w:val="nil"/>
              <w:tl2br w:val="nil"/>
              <w:tr2bl w:val="nil"/>
            </w:tcBorders>
            <w:shd w:val="clear" w:color="FFFFFF" w:fill="FFFFFF"/>
            <w:tcMar>
              <w:left w:w="101" w:type="dxa"/>
              <w:right w:w="101" w:type="dxa"/>
            </w:tcMar>
          </w:tcPr>
          <w:p w14:paraId="6362E102"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138 </w:t>
            </w:r>
          </w:p>
        </w:tc>
        <w:tc>
          <w:tcPr>
            <w:tcW w:w="1035" w:type="dxa"/>
            <w:tcBorders>
              <w:top w:val="nil"/>
              <w:left w:val="nil"/>
              <w:bottom w:val="nil"/>
              <w:right w:val="nil"/>
              <w:tl2br w:val="nil"/>
              <w:tr2bl w:val="nil"/>
            </w:tcBorders>
            <w:shd w:val="clear" w:color="FFFFFF" w:fill="FFFFFF"/>
            <w:tcMar>
              <w:left w:w="101" w:type="dxa"/>
              <w:right w:w="101" w:type="dxa"/>
            </w:tcMar>
          </w:tcPr>
          <w:p w14:paraId="635EFC5D"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2,038</w:t>
            </w:r>
          </w:p>
        </w:tc>
        <w:tc>
          <w:tcPr>
            <w:tcW w:w="1035" w:type="dxa"/>
            <w:tcBorders>
              <w:top w:val="nil"/>
              <w:left w:val="nil"/>
              <w:bottom w:val="nil"/>
              <w:right w:val="nil"/>
              <w:tl2br w:val="nil"/>
              <w:tr2bl w:val="nil"/>
            </w:tcBorders>
            <w:shd w:val="clear" w:color="FFFFFF" w:fill="FFFFFF"/>
            <w:tcMar>
              <w:left w:w="101" w:type="dxa"/>
              <w:right w:w="101" w:type="dxa"/>
            </w:tcMar>
          </w:tcPr>
          <w:p w14:paraId="4E04788A"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2,017</w:t>
            </w:r>
          </w:p>
        </w:tc>
        <w:tc>
          <w:tcPr>
            <w:tcW w:w="1035" w:type="dxa"/>
            <w:tcBorders>
              <w:top w:val="nil"/>
              <w:left w:val="nil"/>
              <w:bottom w:val="nil"/>
              <w:right w:val="nil"/>
              <w:tl2br w:val="nil"/>
              <w:tr2bl w:val="nil"/>
            </w:tcBorders>
            <w:shd w:val="clear" w:color="FFFFFF" w:fill="FFFFFF"/>
            <w:tcMar>
              <w:left w:w="101" w:type="dxa"/>
              <w:right w:w="101" w:type="dxa"/>
            </w:tcMar>
          </w:tcPr>
          <w:p w14:paraId="1C913089"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1,190</w:t>
            </w:r>
          </w:p>
        </w:tc>
      </w:tr>
      <w:tr w:rsidR="002242F3" w:rsidRPr="005E3B44" w14:paraId="27AE995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F1E637"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w:t>
            </w:r>
          </w:p>
        </w:tc>
        <w:tc>
          <w:tcPr>
            <w:tcW w:w="2385" w:type="dxa"/>
            <w:tcBorders>
              <w:top w:val="nil"/>
              <w:left w:val="nil"/>
              <w:bottom w:val="nil"/>
              <w:right w:val="nil"/>
              <w:tl2br w:val="nil"/>
              <w:tr2bl w:val="nil"/>
            </w:tcBorders>
            <w:shd w:val="clear" w:color="FFFFFF" w:fill="FFFFFF"/>
            <w:noWrap/>
            <w:tcMar>
              <w:left w:w="101" w:type="dxa"/>
              <w:right w:w="101" w:type="dxa"/>
            </w:tcMar>
          </w:tcPr>
          <w:p w14:paraId="2519A047"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63268487"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57B72CD9"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w:t>
            </w:r>
          </w:p>
        </w:tc>
        <w:tc>
          <w:tcPr>
            <w:tcW w:w="600" w:type="dxa"/>
            <w:tcBorders>
              <w:top w:val="nil"/>
              <w:left w:val="nil"/>
              <w:bottom w:val="nil"/>
              <w:right w:val="nil"/>
              <w:tl2br w:val="nil"/>
              <w:tr2bl w:val="nil"/>
            </w:tcBorders>
            <w:shd w:val="clear" w:color="FFFFFF" w:fill="FFFFFF"/>
            <w:tcMar>
              <w:left w:w="101" w:type="dxa"/>
              <w:right w:w="101" w:type="dxa"/>
            </w:tcMar>
          </w:tcPr>
          <w:p w14:paraId="294059B3"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65 </w:t>
            </w:r>
          </w:p>
        </w:tc>
        <w:tc>
          <w:tcPr>
            <w:tcW w:w="1035" w:type="dxa"/>
            <w:tcBorders>
              <w:top w:val="nil"/>
              <w:left w:val="nil"/>
              <w:bottom w:val="nil"/>
              <w:right w:val="nil"/>
              <w:tl2br w:val="nil"/>
              <w:tr2bl w:val="nil"/>
            </w:tcBorders>
            <w:shd w:val="clear" w:color="FFFFFF" w:fill="FFFFFF"/>
            <w:tcMar>
              <w:left w:w="101" w:type="dxa"/>
              <w:right w:w="101" w:type="dxa"/>
            </w:tcMar>
          </w:tcPr>
          <w:p w14:paraId="24BDEBD7"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250D5958"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0C294E5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28</w:t>
            </w:r>
          </w:p>
        </w:tc>
      </w:tr>
      <w:tr w:rsidR="002242F3" w:rsidRPr="005E3B44" w14:paraId="32612D6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3CD07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171</w:t>
            </w:r>
          </w:p>
        </w:tc>
        <w:tc>
          <w:tcPr>
            <w:tcW w:w="2385" w:type="dxa"/>
            <w:tcBorders>
              <w:top w:val="nil"/>
              <w:left w:val="nil"/>
              <w:bottom w:val="nil"/>
              <w:right w:val="nil"/>
              <w:tl2br w:val="nil"/>
              <w:tr2bl w:val="nil"/>
            </w:tcBorders>
            <w:shd w:val="clear" w:color="FFFFFF" w:fill="FFFFFF"/>
            <w:noWrap/>
            <w:tcMar>
              <w:left w:w="101" w:type="dxa"/>
              <w:right w:w="101" w:type="dxa"/>
            </w:tcMar>
          </w:tcPr>
          <w:p w14:paraId="6815E108" w14:textId="77777777" w:rsidR="002242F3" w:rsidRPr="005E3B44" w:rsidRDefault="002242F3" w:rsidP="005E3B44">
            <w:pPr>
              <w:pStyle w:val="Normal17"/>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2A66E984"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127</w:t>
            </w:r>
          </w:p>
        </w:tc>
        <w:tc>
          <w:tcPr>
            <w:tcW w:w="1035" w:type="dxa"/>
            <w:tcBorders>
              <w:top w:val="nil"/>
              <w:left w:val="nil"/>
              <w:bottom w:val="nil"/>
              <w:right w:val="nil"/>
              <w:tl2br w:val="nil"/>
              <w:tr2bl w:val="nil"/>
            </w:tcBorders>
            <w:shd w:val="clear" w:color="FFFFFF" w:fill="FFFFFF"/>
            <w:tcMar>
              <w:left w:w="101" w:type="dxa"/>
              <w:right w:w="101" w:type="dxa"/>
            </w:tcMar>
          </w:tcPr>
          <w:p w14:paraId="49193F39"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45</w:t>
            </w:r>
          </w:p>
        </w:tc>
        <w:tc>
          <w:tcPr>
            <w:tcW w:w="600" w:type="dxa"/>
            <w:tcBorders>
              <w:top w:val="nil"/>
              <w:left w:val="nil"/>
              <w:bottom w:val="nil"/>
              <w:right w:val="nil"/>
              <w:tl2br w:val="nil"/>
              <w:tr2bl w:val="nil"/>
            </w:tcBorders>
            <w:shd w:val="clear" w:color="FFFFFF" w:fill="FFFFFF"/>
            <w:tcMar>
              <w:left w:w="101" w:type="dxa"/>
              <w:right w:w="101" w:type="dxa"/>
            </w:tcMar>
          </w:tcPr>
          <w:p w14:paraId="689B587A"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-65 </w:t>
            </w:r>
          </w:p>
        </w:tc>
        <w:tc>
          <w:tcPr>
            <w:tcW w:w="1035" w:type="dxa"/>
            <w:tcBorders>
              <w:top w:val="nil"/>
              <w:left w:val="nil"/>
              <w:bottom w:val="nil"/>
              <w:right w:val="nil"/>
              <w:tl2br w:val="nil"/>
              <w:tr2bl w:val="nil"/>
            </w:tcBorders>
            <w:shd w:val="clear" w:color="FFFFFF" w:fill="FFFFFF"/>
            <w:tcMar>
              <w:left w:w="101" w:type="dxa"/>
              <w:right w:w="101" w:type="dxa"/>
            </w:tcMar>
          </w:tcPr>
          <w:p w14:paraId="2A9E3A4E"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132F9117"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22DDCF29" w14:textId="77777777" w:rsidR="002242F3" w:rsidRPr="005E3B44" w:rsidRDefault="002242F3" w:rsidP="005E3B44">
            <w:pPr>
              <w:pStyle w:val="Normal17"/>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48</w:t>
            </w:r>
          </w:p>
        </w:tc>
      </w:tr>
      <w:tr w:rsidR="002242F3" w:rsidRPr="005E3B44" w14:paraId="3A2F6FC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171278"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12C67D2" w14:textId="77777777" w:rsidR="002242F3" w:rsidRPr="005E3B44" w:rsidRDefault="002242F3" w:rsidP="005E3B44">
            <w:pPr>
              <w:pStyle w:val="Normal17"/>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97E883"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BFC1EF"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47FA739"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3EEE6E"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4DB8B1"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B34A20"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76CEBBA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8E05AC5"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92,831</w:t>
            </w:r>
          </w:p>
        </w:tc>
        <w:tc>
          <w:tcPr>
            <w:tcW w:w="2385" w:type="dxa"/>
            <w:tcBorders>
              <w:top w:val="nil"/>
              <w:left w:val="nil"/>
              <w:bottom w:val="nil"/>
              <w:right w:val="nil"/>
              <w:tl2br w:val="nil"/>
              <w:tr2bl w:val="nil"/>
            </w:tcBorders>
            <w:shd w:val="clear" w:color="FFFFFF" w:fill="FFFFFF"/>
            <w:tcMar>
              <w:left w:w="101" w:type="dxa"/>
              <w:right w:w="101" w:type="dxa"/>
            </w:tcMar>
          </w:tcPr>
          <w:p w14:paraId="62070EDB"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43D1D8DA"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95,514</w:t>
            </w:r>
          </w:p>
        </w:tc>
        <w:tc>
          <w:tcPr>
            <w:tcW w:w="1035" w:type="dxa"/>
            <w:tcBorders>
              <w:top w:val="nil"/>
              <w:left w:val="nil"/>
              <w:bottom w:val="nil"/>
              <w:right w:val="nil"/>
              <w:tl2br w:val="nil"/>
              <w:tr2bl w:val="nil"/>
            </w:tcBorders>
            <w:shd w:val="clear" w:color="FFFFFF" w:fill="FFFFFF"/>
            <w:tcMar>
              <w:left w:w="101" w:type="dxa"/>
              <w:right w:w="101" w:type="dxa"/>
            </w:tcMar>
          </w:tcPr>
          <w:p w14:paraId="6478EF3F"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110,004</w:t>
            </w:r>
          </w:p>
        </w:tc>
        <w:tc>
          <w:tcPr>
            <w:tcW w:w="600" w:type="dxa"/>
            <w:tcBorders>
              <w:top w:val="nil"/>
              <w:left w:val="nil"/>
              <w:bottom w:val="nil"/>
              <w:right w:val="nil"/>
              <w:tl2br w:val="nil"/>
              <w:tr2bl w:val="nil"/>
            </w:tcBorders>
            <w:shd w:val="clear" w:color="FFFFFF" w:fill="FFFFFF"/>
            <w:tcMar>
              <w:left w:w="101" w:type="dxa"/>
              <w:right w:w="101" w:type="dxa"/>
            </w:tcMar>
          </w:tcPr>
          <w:p w14:paraId="0E7F2BBE"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3FBDC20F"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110,346</w:t>
            </w:r>
          </w:p>
        </w:tc>
        <w:tc>
          <w:tcPr>
            <w:tcW w:w="1035" w:type="dxa"/>
            <w:tcBorders>
              <w:top w:val="nil"/>
              <w:left w:val="nil"/>
              <w:bottom w:val="nil"/>
              <w:right w:val="nil"/>
              <w:tl2br w:val="nil"/>
              <w:tr2bl w:val="nil"/>
            </w:tcBorders>
            <w:shd w:val="clear" w:color="FFFFFF" w:fill="FFFFFF"/>
            <w:tcMar>
              <w:left w:w="101" w:type="dxa"/>
              <w:right w:w="101" w:type="dxa"/>
            </w:tcMar>
          </w:tcPr>
          <w:p w14:paraId="6DCA8F77"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108,141</w:t>
            </w:r>
          </w:p>
        </w:tc>
        <w:tc>
          <w:tcPr>
            <w:tcW w:w="1035" w:type="dxa"/>
            <w:tcBorders>
              <w:top w:val="nil"/>
              <w:left w:val="nil"/>
              <w:bottom w:val="nil"/>
              <w:right w:val="nil"/>
              <w:tl2br w:val="nil"/>
              <w:tr2bl w:val="nil"/>
            </w:tcBorders>
            <w:shd w:val="clear" w:color="FFFFFF" w:fill="FFFFFF"/>
            <w:tcMar>
              <w:left w:w="101" w:type="dxa"/>
              <w:right w:w="101" w:type="dxa"/>
            </w:tcMar>
          </w:tcPr>
          <w:p w14:paraId="0EEEB627"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104,816</w:t>
            </w:r>
          </w:p>
        </w:tc>
      </w:tr>
      <w:tr w:rsidR="002242F3" w:rsidRPr="005E3B44" w14:paraId="57DBEE5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00D192"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E74D655"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4F644E"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C7CD9D"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27F29A"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92CD5F"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DD7DAC"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2ADFE4" w14:textId="77777777" w:rsidR="002242F3" w:rsidRPr="005E3B44" w:rsidRDefault="002242F3" w:rsidP="005E3B44">
            <w:pPr>
              <w:pStyle w:val="Normal17"/>
              <w:rPr>
                <w:rFonts w:asciiTheme="minorHAnsi" w:eastAsia="Calibri" w:hAnsiTheme="minorHAnsi" w:cstheme="minorHAnsi"/>
                <w:color w:val="000000"/>
                <w:sz w:val="18"/>
              </w:rPr>
            </w:pPr>
          </w:p>
        </w:tc>
      </w:tr>
      <w:tr w:rsidR="002242F3" w:rsidRPr="005E3B44" w14:paraId="126DCA0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536882"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-7,913</w:t>
            </w:r>
          </w:p>
        </w:tc>
        <w:tc>
          <w:tcPr>
            <w:tcW w:w="2385" w:type="dxa"/>
            <w:tcBorders>
              <w:top w:val="nil"/>
              <w:left w:val="nil"/>
              <w:bottom w:val="nil"/>
              <w:right w:val="nil"/>
              <w:tl2br w:val="nil"/>
              <w:tr2bl w:val="nil"/>
            </w:tcBorders>
            <w:shd w:val="clear" w:color="FFFFFF" w:fill="FFFFFF"/>
            <w:tcMar>
              <w:left w:w="101" w:type="dxa"/>
              <w:right w:w="101" w:type="dxa"/>
            </w:tcMar>
          </w:tcPr>
          <w:p w14:paraId="39DD0218" w14:textId="77777777" w:rsidR="002242F3" w:rsidRPr="005E3B44" w:rsidRDefault="002242F3" w:rsidP="005E3B44">
            <w:pPr>
              <w:pStyle w:val="Normal17"/>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6EA61567"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-11,930</w:t>
            </w:r>
          </w:p>
        </w:tc>
        <w:tc>
          <w:tcPr>
            <w:tcW w:w="1035" w:type="dxa"/>
            <w:tcBorders>
              <w:top w:val="nil"/>
              <w:left w:val="nil"/>
              <w:bottom w:val="nil"/>
              <w:right w:val="nil"/>
              <w:tl2br w:val="nil"/>
              <w:tr2bl w:val="nil"/>
            </w:tcBorders>
            <w:shd w:val="clear" w:color="FFFFFF" w:fill="FFFFFF"/>
            <w:tcMar>
              <w:left w:w="101" w:type="dxa"/>
              <w:right w:w="101" w:type="dxa"/>
            </w:tcMar>
          </w:tcPr>
          <w:p w14:paraId="74900394"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-11,392</w:t>
            </w:r>
          </w:p>
        </w:tc>
        <w:tc>
          <w:tcPr>
            <w:tcW w:w="600" w:type="dxa"/>
            <w:tcBorders>
              <w:top w:val="nil"/>
              <w:left w:val="nil"/>
              <w:bottom w:val="nil"/>
              <w:right w:val="nil"/>
              <w:tl2br w:val="nil"/>
              <w:tr2bl w:val="nil"/>
            </w:tcBorders>
            <w:shd w:val="clear" w:color="FFFFFF" w:fill="FFFFFF"/>
            <w:tcMar>
              <w:left w:w="101" w:type="dxa"/>
              <w:right w:w="101" w:type="dxa"/>
            </w:tcMar>
          </w:tcPr>
          <w:p w14:paraId="53E64C03"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4FEE3AF"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-12,157</w:t>
            </w:r>
          </w:p>
        </w:tc>
        <w:tc>
          <w:tcPr>
            <w:tcW w:w="1035" w:type="dxa"/>
            <w:tcBorders>
              <w:top w:val="nil"/>
              <w:left w:val="nil"/>
              <w:bottom w:val="nil"/>
              <w:right w:val="nil"/>
              <w:tl2br w:val="nil"/>
              <w:tr2bl w:val="nil"/>
            </w:tcBorders>
            <w:shd w:val="clear" w:color="FFFFFF" w:fill="FFFFFF"/>
            <w:tcMar>
              <w:left w:w="101" w:type="dxa"/>
              <w:right w:w="101" w:type="dxa"/>
            </w:tcMar>
          </w:tcPr>
          <w:p w14:paraId="01718D31"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-14,393</w:t>
            </w:r>
          </w:p>
        </w:tc>
        <w:tc>
          <w:tcPr>
            <w:tcW w:w="1035" w:type="dxa"/>
            <w:tcBorders>
              <w:top w:val="nil"/>
              <w:left w:val="nil"/>
              <w:bottom w:val="nil"/>
              <w:right w:val="nil"/>
              <w:tl2br w:val="nil"/>
              <w:tr2bl w:val="nil"/>
            </w:tcBorders>
            <w:shd w:val="clear" w:color="FFFFFF" w:fill="FFFFFF"/>
            <w:tcMar>
              <w:left w:w="101" w:type="dxa"/>
              <w:right w:w="101" w:type="dxa"/>
            </w:tcMar>
          </w:tcPr>
          <w:p w14:paraId="7C423164" w14:textId="77777777" w:rsidR="002242F3" w:rsidRPr="005E3B44" w:rsidRDefault="002242F3" w:rsidP="005E3B44">
            <w:pPr>
              <w:pStyle w:val="Normal17"/>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-14,314</w:t>
            </w:r>
          </w:p>
        </w:tc>
      </w:tr>
      <w:tr w:rsidR="002242F3" w:rsidRPr="005E3B44" w14:paraId="171F504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ED62B7" w14:textId="77777777" w:rsidR="002242F3" w:rsidRPr="005E3B44" w:rsidRDefault="002242F3" w:rsidP="005E3B44">
            <w:pPr>
              <w:pStyle w:val="Normal17"/>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5F0C1F9"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04E4FD6"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59B18A" w14:textId="77777777" w:rsidR="002242F3" w:rsidRPr="005E3B44" w:rsidRDefault="002242F3" w:rsidP="005E3B44">
            <w:pPr>
              <w:pStyle w:val="Normal17"/>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6FCCB16"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B07B734"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20BFFCF" w14:textId="77777777" w:rsidR="002242F3" w:rsidRPr="005E3B44" w:rsidRDefault="002242F3" w:rsidP="005E3B44">
            <w:pPr>
              <w:pStyle w:val="Normal17"/>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16191B4" w14:textId="77777777" w:rsidR="002242F3" w:rsidRPr="005E3B44" w:rsidRDefault="002242F3" w:rsidP="005E3B44">
            <w:pPr>
              <w:pStyle w:val="Normal17"/>
              <w:rPr>
                <w:rFonts w:asciiTheme="minorHAnsi" w:eastAsia="Calibri" w:hAnsiTheme="minorHAnsi" w:cstheme="minorHAnsi"/>
                <w:color w:val="000000"/>
                <w:sz w:val="18"/>
              </w:rPr>
            </w:pPr>
          </w:p>
        </w:tc>
      </w:tr>
    </w:tbl>
    <w:p w14:paraId="27577BE1" w14:textId="1858C139" w:rsidR="002242F3" w:rsidRPr="005E3B44" w:rsidRDefault="002242F3" w:rsidP="002242F3">
      <w:pPr>
        <w:pStyle w:val="Caption"/>
        <w:pageBreakBefore/>
        <w:pBdr>
          <w:top w:val="nil"/>
          <w:left w:val="nil"/>
          <w:bottom w:val="nil"/>
          <w:right w:val="nil"/>
          <w:between w:val="nil"/>
          <w:bar w:val="nil"/>
        </w:pBdr>
        <w:rPr>
          <w:rFonts w:asciiTheme="minorHAnsi" w:eastAsia="TimesNewRomanPS-ItalicMT" w:hAnsiTheme="minorHAnsi" w:cstheme="minorHAnsi"/>
          <w:bdr w:val="nil"/>
        </w:rPr>
      </w:pPr>
      <w:r w:rsidRPr="005E3B44">
        <w:rPr>
          <w:rFonts w:asciiTheme="minorHAnsi" w:hAnsiTheme="minorHAnsi" w:cstheme="minorHAnsi"/>
          <w:bdr w:val="nil"/>
        </w:rPr>
        <w:lastRenderedPageBreak/>
        <w:t>Table 3</w:t>
      </w:r>
      <w:r w:rsidR="004A6DD0">
        <w:rPr>
          <w:rFonts w:asciiTheme="minorHAnsi" w:hAnsiTheme="minorHAnsi" w:cstheme="minorHAnsi"/>
          <w:bdr w:val="nil"/>
        </w:rPr>
        <w:t>9</w:t>
      </w:r>
      <w:r w:rsidRPr="005E3B44">
        <w:rPr>
          <w:rFonts w:asciiTheme="minorHAnsi" w:hAnsiTheme="minorHAnsi" w:cstheme="minorHAnsi"/>
          <w:bdr w:val="nil"/>
        </w:rPr>
        <w:t>: Output Class 3: Courts and Tribunal Operating Statement</w:t>
      </w:r>
    </w:p>
    <w:tbl>
      <w:tblPr>
        <w:tblStyle w:val="CDMRange17"/>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04B2051E" w14:textId="77777777" w:rsidTr="005E3B44">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2381BAC"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1D8A8F22" w14:textId="77777777" w:rsidR="002242F3" w:rsidRPr="005E3B44" w:rsidRDefault="002242F3" w:rsidP="005E3B44">
            <w:pPr>
              <w:pStyle w:val="Normal18"/>
              <w:jc w:val="right"/>
              <w:rPr>
                <w:rFonts w:asciiTheme="minorHAnsi" w:eastAsia="Calibri" w:hAnsiTheme="minorHAnsi" w:cstheme="minorHAnsi"/>
                <w:b/>
                <w:color w:val="000000"/>
                <w:sz w:val="18"/>
              </w:rPr>
            </w:pPr>
          </w:p>
          <w:p w14:paraId="67A1CDE3"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56462B1"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72B095A"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9128E80"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w:t>
            </w:r>
          </w:p>
          <w:p w14:paraId="27F17EF2"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769FD776" w14:textId="77777777" w:rsidR="002242F3" w:rsidRPr="005E3B44" w:rsidRDefault="002242F3" w:rsidP="005E3B44">
            <w:pPr>
              <w:pStyle w:val="Normal18"/>
              <w:jc w:val="right"/>
              <w:rPr>
                <w:rFonts w:asciiTheme="minorHAnsi" w:eastAsia="Calibri" w:hAnsiTheme="minorHAnsi" w:cstheme="minorHAnsi"/>
                <w:b/>
                <w:color w:val="000000"/>
                <w:sz w:val="18"/>
              </w:rPr>
            </w:pPr>
          </w:p>
          <w:p w14:paraId="6D19C9F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67067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3870D4EF"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BA5A166"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w:t>
            </w:r>
          </w:p>
          <w:p w14:paraId="7C2DB851"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0104FBB5" w14:textId="77777777" w:rsidR="002242F3" w:rsidRPr="005E3B44" w:rsidRDefault="002242F3" w:rsidP="005E3B44">
            <w:pPr>
              <w:pStyle w:val="Normal18"/>
              <w:jc w:val="right"/>
              <w:rPr>
                <w:rFonts w:asciiTheme="minorHAnsi" w:eastAsia="Calibri" w:hAnsiTheme="minorHAnsi" w:cstheme="minorHAnsi"/>
                <w:b/>
                <w:color w:val="000000"/>
                <w:sz w:val="18"/>
              </w:rPr>
            </w:pPr>
          </w:p>
          <w:p w14:paraId="37390108"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E9652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w:t>
            </w:r>
          </w:p>
          <w:p w14:paraId="34DB496A"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5B9C27B8" w14:textId="77777777" w:rsidR="002242F3" w:rsidRPr="005E3B44" w:rsidRDefault="002242F3" w:rsidP="005E3B44">
            <w:pPr>
              <w:pStyle w:val="Normal18"/>
              <w:jc w:val="right"/>
              <w:rPr>
                <w:rFonts w:asciiTheme="minorHAnsi" w:eastAsia="Calibri" w:hAnsiTheme="minorHAnsi" w:cstheme="minorHAnsi"/>
                <w:b/>
                <w:color w:val="000000"/>
                <w:sz w:val="18"/>
              </w:rPr>
            </w:pPr>
          </w:p>
          <w:p w14:paraId="10ACB13D"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181A25"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w:t>
            </w:r>
          </w:p>
          <w:p w14:paraId="53AFE4F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1DF0BF2A" w14:textId="77777777" w:rsidR="002242F3" w:rsidRPr="005E3B44" w:rsidRDefault="002242F3" w:rsidP="005E3B44">
            <w:pPr>
              <w:pStyle w:val="Normal18"/>
              <w:jc w:val="right"/>
              <w:rPr>
                <w:rFonts w:asciiTheme="minorHAnsi" w:eastAsia="Calibri" w:hAnsiTheme="minorHAnsi" w:cstheme="minorHAnsi"/>
                <w:b/>
                <w:color w:val="000000"/>
                <w:sz w:val="18"/>
              </w:rPr>
            </w:pPr>
          </w:p>
          <w:p w14:paraId="37E26E66"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7E696E5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C7AFD01" w14:textId="77777777" w:rsidR="002242F3" w:rsidRPr="005E3B44" w:rsidRDefault="002242F3" w:rsidP="005E3B44">
            <w:pPr>
              <w:pStyle w:val="Normal18"/>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548F68A"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B26EA8A" w14:textId="77777777" w:rsidR="002242F3" w:rsidRPr="005E3B44" w:rsidRDefault="002242F3" w:rsidP="005E3B44">
            <w:pPr>
              <w:pStyle w:val="Normal1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F00AB3D" w14:textId="77777777" w:rsidR="002242F3" w:rsidRPr="005E3B44" w:rsidRDefault="002242F3" w:rsidP="005E3B44">
            <w:pPr>
              <w:pStyle w:val="Normal18"/>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7B62DC8" w14:textId="77777777" w:rsidR="002242F3" w:rsidRPr="005E3B44" w:rsidRDefault="002242F3" w:rsidP="005E3B44">
            <w:pPr>
              <w:pStyle w:val="Normal1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3073DB4" w14:textId="77777777" w:rsidR="002242F3" w:rsidRPr="005E3B44" w:rsidRDefault="002242F3" w:rsidP="005E3B44">
            <w:pPr>
              <w:pStyle w:val="Normal1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7D6F962" w14:textId="77777777" w:rsidR="002242F3" w:rsidRPr="005E3B44" w:rsidRDefault="002242F3" w:rsidP="005E3B44">
            <w:pPr>
              <w:pStyle w:val="Normal18"/>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D29FA04" w14:textId="77777777" w:rsidR="002242F3" w:rsidRPr="005E3B44" w:rsidRDefault="002242F3" w:rsidP="005E3B44">
            <w:pPr>
              <w:pStyle w:val="Normal18"/>
              <w:jc w:val="right"/>
              <w:rPr>
                <w:rFonts w:asciiTheme="minorHAnsi" w:eastAsia="Calibri" w:hAnsiTheme="minorHAnsi" w:cstheme="minorHAnsi"/>
                <w:b/>
                <w:i/>
                <w:color w:val="000000"/>
                <w:sz w:val="18"/>
              </w:rPr>
            </w:pPr>
          </w:p>
        </w:tc>
      </w:tr>
      <w:tr w:rsidR="002242F3" w:rsidRPr="005E3B44" w14:paraId="3410F98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BB5920"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756DFCB"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2AD426F2"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E6CE3C"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828FBD"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D12B7E"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7E2E7B"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C9F6E1"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576A595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42213E"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58,221</w:t>
            </w:r>
          </w:p>
        </w:tc>
        <w:tc>
          <w:tcPr>
            <w:tcW w:w="2385" w:type="dxa"/>
            <w:tcBorders>
              <w:top w:val="nil"/>
              <w:left w:val="nil"/>
              <w:bottom w:val="nil"/>
              <w:right w:val="nil"/>
              <w:tl2br w:val="nil"/>
              <w:tr2bl w:val="nil"/>
            </w:tcBorders>
            <w:shd w:val="clear" w:color="auto" w:fill="auto"/>
            <w:noWrap/>
            <w:tcMar>
              <w:left w:w="101" w:type="dxa"/>
              <w:right w:w="101" w:type="dxa"/>
            </w:tcMar>
          </w:tcPr>
          <w:p w14:paraId="2601EF89"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334F3476"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49,923</w:t>
            </w:r>
          </w:p>
        </w:tc>
        <w:tc>
          <w:tcPr>
            <w:tcW w:w="1035" w:type="dxa"/>
            <w:tcBorders>
              <w:top w:val="nil"/>
              <w:left w:val="nil"/>
              <w:bottom w:val="nil"/>
              <w:right w:val="nil"/>
              <w:tl2br w:val="nil"/>
              <w:tr2bl w:val="nil"/>
            </w:tcBorders>
            <w:shd w:val="clear" w:color="FFFFFF" w:fill="FFFFFF"/>
            <w:tcMar>
              <w:left w:w="101" w:type="dxa"/>
              <w:right w:w="101" w:type="dxa"/>
            </w:tcMar>
          </w:tcPr>
          <w:p w14:paraId="009C569B"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59,425</w:t>
            </w:r>
          </w:p>
        </w:tc>
        <w:tc>
          <w:tcPr>
            <w:tcW w:w="600" w:type="dxa"/>
            <w:tcBorders>
              <w:top w:val="nil"/>
              <w:left w:val="nil"/>
              <w:bottom w:val="nil"/>
              <w:right w:val="nil"/>
              <w:tl2br w:val="nil"/>
              <w:tr2bl w:val="nil"/>
            </w:tcBorders>
            <w:shd w:val="clear" w:color="FFFFFF" w:fill="FFFFFF"/>
            <w:tcMar>
              <w:left w:w="101" w:type="dxa"/>
              <w:right w:w="101" w:type="dxa"/>
            </w:tcMar>
          </w:tcPr>
          <w:p w14:paraId="08B33395"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19 </w:t>
            </w:r>
          </w:p>
        </w:tc>
        <w:tc>
          <w:tcPr>
            <w:tcW w:w="1035" w:type="dxa"/>
            <w:tcBorders>
              <w:top w:val="nil"/>
              <w:left w:val="nil"/>
              <w:bottom w:val="nil"/>
              <w:right w:val="nil"/>
              <w:tl2br w:val="nil"/>
              <w:tr2bl w:val="nil"/>
            </w:tcBorders>
            <w:shd w:val="clear" w:color="FFFFFF" w:fill="FFFFFF"/>
            <w:tcMar>
              <w:left w:w="101" w:type="dxa"/>
              <w:right w:w="101" w:type="dxa"/>
            </w:tcMar>
          </w:tcPr>
          <w:p w14:paraId="5DCE823E"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60,718</w:t>
            </w:r>
          </w:p>
        </w:tc>
        <w:tc>
          <w:tcPr>
            <w:tcW w:w="1035" w:type="dxa"/>
            <w:tcBorders>
              <w:top w:val="nil"/>
              <w:left w:val="nil"/>
              <w:bottom w:val="nil"/>
              <w:right w:val="nil"/>
              <w:tl2br w:val="nil"/>
              <w:tr2bl w:val="nil"/>
            </w:tcBorders>
            <w:shd w:val="clear" w:color="FFFFFF" w:fill="FFFFFF"/>
            <w:tcMar>
              <w:left w:w="101" w:type="dxa"/>
              <w:right w:w="101" w:type="dxa"/>
            </w:tcMar>
          </w:tcPr>
          <w:p w14:paraId="566762D2"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59,281</w:t>
            </w:r>
          </w:p>
        </w:tc>
        <w:tc>
          <w:tcPr>
            <w:tcW w:w="1035" w:type="dxa"/>
            <w:tcBorders>
              <w:top w:val="nil"/>
              <w:left w:val="nil"/>
              <w:bottom w:val="nil"/>
              <w:right w:val="nil"/>
              <w:tl2br w:val="nil"/>
              <w:tr2bl w:val="nil"/>
            </w:tcBorders>
            <w:shd w:val="clear" w:color="FFFFFF" w:fill="FFFFFF"/>
            <w:tcMar>
              <w:left w:w="101" w:type="dxa"/>
              <w:right w:w="101" w:type="dxa"/>
            </w:tcMar>
          </w:tcPr>
          <w:p w14:paraId="5746EFCC"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60,040</w:t>
            </w:r>
          </w:p>
        </w:tc>
      </w:tr>
      <w:tr w:rsidR="002242F3" w:rsidRPr="005E3B44" w14:paraId="4CE2211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F1946E"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997</w:t>
            </w:r>
          </w:p>
        </w:tc>
        <w:tc>
          <w:tcPr>
            <w:tcW w:w="2385" w:type="dxa"/>
            <w:tcBorders>
              <w:top w:val="nil"/>
              <w:left w:val="nil"/>
              <w:bottom w:val="nil"/>
              <w:right w:val="nil"/>
              <w:tl2br w:val="nil"/>
              <w:tr2bl w:val="nil"/>
            </w:tcBorders>
            <w:shd w:val="clear" w:color="auto" w:fill="auto"/>
            <w:noWrap/>
            <w:tcMar>
              <w:left w:w="101" w:type="dxa"/>
              <w:right w:w="101" w:type="dxa"/>
            </w:tcMar>
          </w:tcPr>
          <w:p w14:paraId="3FD7FA2E"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BA595B8"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990</w:t>
            </w:r>
          </w:p>
        </w:tc>
        <w:tc>
          <w:tcPr>
            <w:tcW w:w="1035" w:type="dxa"/>
            <w:tcBorders>
              <w:top w:val="nil"/>
              <w:left w:val="nil"/>
              <w:bottom w:val="nil"/>
              <w:right w:val="nil"/>
              <w:tl2br w:val="nil"/>
              <w:tr2bl w:val="nil"/>
            </w:tcBorders>
            <w:shd w:val="clear" w:color="FFFFFF" w:fill="FFFFFF"/>
            <w:tcMar>
              <w:left w:w="101" w:type="dxa"/>
              <w:right w:w="101" w:type="dxa"/>
            </w:tcMar>
          </w:tcPr>
          <w:p w14:paraId="7A6D99F8"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1,078</w:t>
            </w:r>
          </w:p>
        </w:tc>
        <w:tc>
          <w:tcPr>
            <w:tcW w:w="600" w:type="dxa"/>
            <w:tcBorders>
              <w:top w:val="nil"/>
              <w:left w:val="nil"/>
              <w:bottom w:val="nil"/>
              <w:right w:val="nil"/>
              <w:tl2br w:val="nil"/>
              <w:tr2bl w:val="nil"/>
            </w:tcBorders>
            <w:shd w:val="clear" w:color="FFFFFF" w:fill="FFFFFF"/>
            <w:tcMar>
              <w:left w:w="101" w:type="dxa"/>
              <w:right w:w="101" w:type="dxa"/>
            </w:tcMar>
          </w:tcPr>
          <w:p w14:paraId="59B8AF09"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1D1FD47F"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1,107</w:t>
            </w:r>
          </w:p>
        </w:tc>
        <w:tc>
          <w:tcPr>
            <w:tcW w:w="1035" w:type="dxa"/>
            <w:tcBorders>
              <w:top w:val="nil"/>
              <w:left w:val="nil"/>
              <w:bottom w:val="nil"/>
              <w:right w:val="nil"/>
              <w:tl2br w:val="nil"/>
              <w:tr2bl w:val="nil"/>
            </w:tcBorders>
            <w:shd w:val="clear" w:color="FFFFFF" w:fill="FFFFFF"/>
            <w:tcMar>
              <w:left w:w="101" w:type="dxa"/>
              <w:right w:w="101" w:type="dxa"/>
            </w:tcMar>
          </w:tcPr>
          <w:p w14:paraId="6927D903"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1,136</w:t>
            </w:r>
          </w:p>
        </w:tc>
        <w:tc>
          <w:tcPr>
            <w:tcW w:w="1035" w:type="dxa"/>
            <w:tcBorders>
              <w:top w:val="nil"/>
              <w:left w:val="nil"/>
              <w:bottom w:val="nil"/>
              <w:right w:val="nil"/>
              <w:tl2br w:val="nil"/>
              <w:tr2bl w:val="nil"/>
            </w:tcBorders>
            <w:shd w:val="clear" w:color="FFFFFF" w:fill="FFFFFF"/>
            <w:tcMar>
              <w:left w:w="101" w:type="dxa"/>
              <w:right w:w="101" w:type="dxa"/>
            </w:tcMar>
          </w:tcPr>
          <w:p w14:paraId="38BD2FDE"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1,159</w:t>
            </w:r>
          </w:p>
        </w:tc>
      </w:tr>
      <w:tr w:rsidR="002242F3" w:rsidRPr="005E3B44" w14:paraId="6C0CAA7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1BD668"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533</w:t>
            </w:r>
          </w:p>
        </w:tc>
        <w:tc>
          <w:tcPr>
            <w:tcW w:w="2385" w:type="dxa"/>
            <w:tcBorders>
              <w:top w:val="nil"/>
              <w:left w:val="nil"/>
              <w:bottom w:val="nil"/>
              <w:right w:val="nil"/>
              <w:tl2br w:val="nil"/>
              <w:tr2bl w:val="nil"/>
            </w:tcBorders>
            <w:shd w:val="clear" w:color="auto" w:fill="auto"/>
            <w:noWrap/>
            <w:tcMar>
              <w:left w:w="101" w:type="dxa"/>
              <w:right w:w="101" w:type="dxa"/>
            </w:tcMar>
          </w:tcPr>
          <w:p w14:paraId="38FD1AF7"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61003EA2"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643</w:t>
            </w:r>
          </w:p>
        </w:tc>
        <w:tc>
          <w:tcPr>
            <w:tcW w:w="1035" w:type="dxa"/>
            <w:tcBorders>
              <w:top w:val="nil"/>
              <w:left w:val="nil"/>
              <w:bottom w:val="nil"/>
              <w:right w:val="nil"/>
              <w:tl2br w:val="nil"/>
              <w:tr2bl w:val="nil"/>
            </w:tcBorders>
            <w:shd w:val="clear" w:color="FFFFFF" w:fill="FFFFFF"/>
            <w:tcMar>
              <w:left w:w="101" w:type="dxa"/>
              <w:right w:w="101" w:type="dxa"/>
            </w:tcMar>
          </w:tcPr>
          <w:p w14:paraId="616FC2F0"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745</w:t>
            </w:r>
          </w:p>
        </w:tc>
        <w:tc>
          <w:tcPr>
            <w:tcW w:w="600" w:type="dxa"/>
            <w:tcBorders>
              <w:top w:val="nil"/>
              <w:left w:val="nil"/>
              <w:bottom w:val="nil"/>
              <w:right w:val="nil"/>
              <w:tl2br w:val="nil"/>
              <w:tr2bl w:val="nil"/>
            </w:tcBorders>
            <w:shd w:val="clear" w:color="FFFFFF" w:fill="FFFFFF"/>
            <w:tcMar>
              <w:left w:w="101" w:type="dxa"/>
              <w:right w:w="101" w:type="dxa"/>
            </w:tcMar>
          </w:tcPr>
          <w:p w14:paraId="17965538"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7D500BA0"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751</w:t>
            </w:r>
          </w:p>
        </w:tc>
        <w:tc>
          <w:tcPr>
            <w:tcW w:w="1035" w:type="dxa"/>
            <w:tcBorders>
              <w:top w:val="nil"/>
              <w:left w:val="nil"/>
              <w:bottom w:val="nil"/>
              <w:right w:val="nil"/>
              <w:tl2br w:val="nil"/>
              <w:tr2bl w:val="nil"/>
            </w:tcBorders>
            <w:shd w:val="clear" w:color="FFFFFF" w:fill="FFFFFF"/>
            <w:tcMar>
              <w:left w:w="101" w:type="dxa"/>
              <w:right w:w="101" w:type="dxa"/>
            </w:tcMar>
          </w:tcPr>
          <w:p w14:paraId="02DAE181"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760</w:t>
            </w:r>
          </w:p>
        </w:tc>
        <w:tc>
          <w:tcPr>
            <w:tcW w:w="1035" w:type="dxa"/>
            <w:tcBorders>
              <w:top w:val="nil"/>
              <w:left w:val="nil"/>
              <w:bottom w:val="nil"/>
              <w:right w:val="nil"/>
              <w:tl2br w:val="nil"/>
              <w:tr2bl w:val="nil"/>
            </w:tcBorders>
            <w:shd w:val="clear" w:color="FFFFFF" w:fill="FFFFFF"/>
            <w:tcMar>
              <w:left w:w="101" w:type="dxa"/>
              <w:right w:w="101" w:type="dxa"/>
            </w:tcMar>
          </w:tcPr>
          <w:p w14:paraId="2209C664"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766</w:t>
            </w:r>
          </w:p>
        </w:tc>
      </w:tr>
      <w:tr w:rsidR="002242F3" w:rsidRPr="005E3B44" w14:paraId="6E9573C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F49AA8"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8,983</w:t>
            </w:r>
          </w:p>
        </w:tc>
        <w:tc>
          <w:tcPr>
            <w:tcW w:w="2385" w:type="dxa"/>
            <w:tcBorders>
              <w:top w:val="nil"/>
              <w:left w:val="nil"/>
              <w:bottom w:val="nil"/>
              <w:right w:val="nil"/>
              <w:tl2br w:val="nil"/>
              <w:tr2bl w:val="nil"/>
            </w:tcBorders>
            <w:shd w:val="clear" w:color="auto" w:fill="auto"/>
            <w:noWrap/>
            <w:tcMar>
              <w:left w:w="101" w:type="dxa"/>
              <w:right w:w="101" w:type="dxa"/>
            </w:tcMar>
          </w:tcPr>
          <w:p w14:paraId="0EDDE997"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7256EF10"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8,506</w:t>
            </w:r>
          </w:p>
        </w:tc>
        <w:tc>
          <w:tcPr>
            <w:tcW w:w="1035" w:type="dxa"/>
            <w:tcBorders>
              <w:top w:val="nil"/>
              <w:left w:val="nil"/>
              <w:bottom w:val="nil"/>
              <w:right w:val="nil"/>
              <w:tl2br w:val="nil"/>
              <w:tr2bl w:val="nil"/>
            </w:tcBorders>
            <w:shd w:val="clear" w:color="FFFFFF" w:fill="FFFFFF"/>
            <w:tcMar>
              <w:left w:w="101" w:type="dxa"/>
              <w:right w:w="101" w:type="dxa"/>
            </w:tcMar>
          </w:tcPr>
          <w:p w14:paraId="0C1E3546"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7,810</w:t>
            </w:r>
          </w:p>
        </w:tc>
        <w:tc>
          <w:tcPr>
            <w:tcW w:w="600" w:type="dxa"/>
            <w:tcBorders>
              <w:top w:val="nil"/>
              <w:left w:val="nil"/>
              <w:bottom w:val="nil"/>
              <w:right w:val="nil"/>
              <w:tl2br w:val="nil"/>
              <w:tr2bl w:val="nil"/>
            </w:tcBorders>
            <w:shd w:val="clear" w:color="FFFFFF" w:fill="FFFFFF"/>
            <w:tcMar>
              <w:left w:w="101" w:type="dxa"/>
              <w:right w:w="101" w:type="dxa"/>
            </w:tcMar>
          </w:tcPr>
          <w:p w14:paraId="7DEE66A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3DE5765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8,248</w:t>
            </w:r>
          </w:p>
        </w:tc>
        <w:tc>
          <w:tcPr>
            <w:tcW w:w="1035" w:type="dxa"/>
            <w:tcBorders>
              <w:top w:val="nil"/>
              <w:left w:val="nil"/>
              <w:bottom w:val="nil"/>
              <w:right w:val="nil"/>
              <w:tl2br w:val="nil"/>
              <w:tr2bl w:val="nil"/>
            </w:tcBorders>
            <w:shd w:val="clear" w:color="FFFFFF" w:fill="FFFFFF"/>
            <w:tcMar>
              <w:left w:w="101" w:type="dxa"/>
              <w:right w:w="101" w:type="dxa"/>
            </w:tcMar>
          </w:tcPr>
          <w:p w14:paraId="26FA386F"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8,536</w:t>
            </w:r>
          </w:p>
        </w:tc>
        <w:tc>
          <w:tcPr>
            <w:tcW w:w="1035" w:type="dxa"/>
            <w:tcBorders>
              <w:top w:val="nil"/>
              <w:left w:val="nil"/>
              <w:bottom w:val="nil"/>
              <w:right w:val="nil"/>
              <w:tl2br w:val="nil"/>
              <w:tr2bl w:val="nil"/>
            </w:tcBorders>
            <w:shd w:val="clear" w:color="FFFFFF" w:fill="FFFFFF"/>
            <w:tcMar>
              <w:left w:w="101" w:type="dxa"/>
              <w:right w:w="101" w:type="dxa"/>
            </w:tcMar>
          </w:tcPr>
          <w:p w14:paraId="6853B6B7"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8,728</w:t>
            </w:r>
          </w:p>
        </w:tc>
      </w:tr>
      <w:tr w:rsidR="002242F3" w:rsidRPr="005E3B44" w14:paraId="059A4AC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8694D1"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40810BC"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76CB0B"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586187"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5A24D8A"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56446"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64B3A9"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4D3941"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77BF7CA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B3492A9"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68,734</w:t>
            </w:r>
          </w:p>
        </w:tc>
        <w:tc>
          <w:tcPr>
            <w:tcW w:w="2385" w:type="dxa"/>
            <w:tcBorders>
              <w:top w:val="nil"/>
              <w:left w:val="nil"/>
              <w:bottom w:val="nil"/>
              <w:right w:val="nil"/>
              <w:tl2br w:val="nil"/>
              <w:tr2bl w:val="nil"/>
            </w:tcBorders>
            <w:shd w:val="clear" w:color="FFFFFF" w:fill="FFFFFF"/>
            <w:tcMar>
              <w:left w:w="101" w:type="dxa"/>
              <w:right w:w="101" w:type="dxa"/>
            </w:tcMar>
          </w:tcPr>
          <w:p w14:paraId="7AEB1E5B"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28F87568"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60,062</w:t>
            </w:r>
          </w:p>
        </w:tc>
        <w:tc>
          <w:tcPr>
            <w:tcW w:w="1035" w:type="dxa"/>
            <w:tcBorders>
              <w:top w:val="nil"/>
              <w:left w:val="nil"/>
              <w:bottom w:val="nil"/>
              <w:right w:val="nil"/>
              <w:tl2br w:val="nil"/>
              <w:tr2bl w:val="nil"/>
            </w:tcBorders>
            <w:shd w:val="clear" w:color="FFFFFF" w:fill="FFFFFF"/>
            <w:tcMar>
              <w:left w:w="101" w:type="dxa"/>
              <w:right w:w="101" w:type="dxa"/>
            </w:tcMar>
          </w:tcPr>
          <w:p w14:paraId="5EBCE36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69,058</w:t>
            </w:r>
          </w:p>
        </w:tc>
        <w:tc>
          <w:tcPr>
            <w:tcW w:w="600" w:type="dxa"/>
            <w:tcBorders>
              <w:top w:val="nil"/>
              <w:left w:val="nil"/>
              <w:bottom w:val="nil"/>
              <w:right w:val="nil"/>
              <w:tl2br w:val="nil"/>
              <w:tr2bl w:val="nil"/>
            </w:tcBorders>
            <w:shd w:val="clear" w:color="FFFFFF" w:fill="FFFFFF"/>
            <w:tcMar>
              <w:left w:w="101" w:type="dxa"/>
              <w:right w:w="101" w:type="dxa"/>
            </w:tcMar>
          </w:tcPr>
          <w:p w14:paraId="0F6DEC33"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070B0FF6"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70,824</w:t>
            </w:r>
          </w:p>
        </w:tc>
        <w:tc>
          <w:tcPr>
            <w:tcW w:w="1035" w:type="dxa"/>
            <w:tcBorders>
              <w:top w:val="nil"/>
              <w:left w:val="nil"/>
              <w:bottom w:val="nil"/>
              <w:right w:val="nil"/>
              <w:tl2br w:val="nil"/>
              <w:tr2bl w:val="nil"/>
            </w:tcBorders>
            <w:shd w:val="clear" w:color="FFFFFF" w:fill="FFFFFF"/>
            <w:tcMar>
              <w:left w:w="101" w:type="dxa"/>
              <w:right w:w="101" w:type="dxa"/>
            </w:tcMar>
          </w:tcPr>
          <w:p w14:paraId="4E700305"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69,713</w:t>
            </w:r>
          </w:p>
        </w:tc>
        <w:tc>
          <w:tcPr>
            <w:tcW w:w="1035" w:type="dxa"/>
            <w:tcBorders>
              <w:top w:val="nil"/>
              <w:left w:val="nil"/>
              <w:bottom w:val="nil"/>
              <w:right w:val="nil"/>
              <w:tl2br w:val="nil"/>
              <w:tr2bl w:val="nil"/>
            </w:tcBorders>
            <w:shd w:val="clear" w:color="FFFFFF" w:fill="FFFFFF"/>
            <w:tcMar>
              <w:left w:w="101" w:type="dxa"/>
              <w:right w:w="101" w:type="dxa"/>
            </w:tcMar>
          </w:tcPr>
          <w:p w14:paraId="3A30A890"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70,693</w:t>
            </w:r>
          </w:p>
        </w:tc>
      </w:tr>
      <w:tr w:rsidR="002242F3" w:rsidRPr="005E3B44" w14:paraId="2F71580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1E9C98"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96A190F"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5023E0"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7D1089"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F0082D"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7666DD"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54EED2"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5AD384"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3F51CF3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49EB2B"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0CF8B10"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6516D8BA"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853169"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C55AD0"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39DD50"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EC3AA7"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92E46C"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56E11B3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872B80"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C9CA206"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006F76"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C0CCF1"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8339E7"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513299"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0F1610"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CE2EAA"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5D0C3ED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DD85D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11653F50"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743A933C"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62F6753"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39B9ED0"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4286C39"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DCCBEAA"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2BB788B"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5E3B44" w14:paraId="5B2304B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D3AFD9"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90DE756"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707700"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923402"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E2180D"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C19725"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039E9"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4A86D3"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74D3B5C9"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69781BC5"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68,734</w:t>
            </w:r>
          </w:p>
        </w:tc>
        <w:tc>
          <w:tcPr>
            <w:tcW w:w="2385" w:type="dxa"/>
            <w:tcBorders>
              <w:top w:val="nil"/>
              <w:left w:val="nil"/>
              <w:bottom w:val="nil"/>
              <w:right w:val="nil"/>
              <w:tl2br w:val="nil"/>
              <w:tr2bl w:val="nil"/>
            </w:tcBorders>
            <w:shd w:val="clear" w:color="FFFFFF" w:fill="FFFFFF"/>
            <w:tcMar>
              <w:left w:w="101" w:type="dxa"/>
              <w:right w:w="101" w:type="dxa"/>
            </w:tcMar>
          </w:tcPr>
          <w:p w14:paraId="3FCE3F1D"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6658209D"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60,062</w:t>
            </w:r>
          </w:p>
        </w:tc>
        <w:tc>
          <w:tcPr>
            <w:tcW w:w="1035" w:type="dxa"/>
            <w:tcBorders>
              <w:top w:val="nil"/>
              <w:left w:val="nil"/>
              <w:bottom w:val="nil"/>
              <w:right w:val="nil"/>
              <w:tl2br w:val="nil"/>
              <w:tr2bl w:val="nil"/>
            </w:tcBorders>
            <w:shd w:val="clear" w:color="FFFFFF" w:fill="FFFFFF"/>
            <w:tcMar>
              <w:left w:w="101" w:type="dxa"/>
              <w:right w:w="101" w:type="dxa"/>
            </w:tcMar>
          </w:tcPr>
          <w:p w14:paraId="5DE80225"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69,058</w:t>
            </w:r>
          </w:p>
        </w:tc>
        <w:tc>
          <w:tcPr>
            <w:tcW w:w="600" w:type="dxa"/>
            <w:tcBorders>
              <w:top w:val="nil"/>
              <w:left w:val="nil"/>
              <w:bottom w:val="nil"/>
              <w:right w:val="nil"/>
              <w:tl2br w:val="nil"/>
              <w:tr2bl w:val="nil"/>
            </w:tcBorders>
            <w:shd w:val="clear" w:color="FFFFFF" w:fill="FFFFFF"/>
            <w:tcMar>
              <w:left w:w="101" w:type="dxa"/>
              <w:right w:w="101" w:type="dxa"/>
            </w:tcMar>
          </w:tcPr>
          <w:p w14:paraId="28A740DA"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336FA4E4"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70,824</w:t>
            </w:r>
          </w:p>
        </w:tc>
        <w:tc>
          <w:tcPr>
            <w:tcW w:w="1035" w:type="dxa"/>
            <w:tcBorders>
              <w:top w:val="nil"/>
              <w:left w:val="nil"/>
              <w:bottom w:val="nil"/>
              <w:right w:val="nil"/>
              <w:tl2br w:val="nil"/>
              <w:tr2bl w:val="nil"/>
            </w:tcBorders>
            <w:shd w:val="clear" w:color="FFFFFF" w:fill="FFFFFF"/>
            <w:tcMar>
              <w:left w:w="101" w:type="dxa"/>
              <w:right w:w="101" w:type="dxa"/>
            </w:tcMar>
          </w:tcPr>
          <w:p w14:paraId="5D15936C"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69,713</w:t>
            </w:r>
          </w:p>
        </w:tc>
        <w:tc>
          <w:tcPr>
            <w:tcW w:w="1035" w:type="dxa"/>
            <w:tcBorders>
              <w:top w:val="nil"/>
              <w:left w:val="nil"/>
              <w:bottom w:val="nil"/>
              <w:right w:val="nil"/>
              <w:tl2br w:val="nil"/>
              <w:tr2bl w:val="nil"/>
            </w:tcBorders>
            <w:shd w:val="clear" w:color="FFFFFF" w:fill="FFFFFF"/>
            <w:tcMar>
              <w:left w:w="101" w:type="dxa"/>
              <w:right w:w="101" w:type="dxa"/>
            </w:tcMar>
          </w:tcPr>
          <w:p w14:paraId="1FC572D9"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70,693</w:t>
            </w:r>
          </w:p>
        </w:tc>
      </w:tr>
      <w:tr w:rsidR="002242F3" w:rsidRPr="005E3B44" w14:paraId="724E85C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F1E0BE"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247DB9F"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C153AE"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B409DD"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EB19FB"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50A2F3"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882C47"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177E20"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6ABB492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6E78A9"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E17B7BF"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EF0F7BF"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5D40AA"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869146"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800A44"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169264"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FAEF4E"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0C5E48B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F2DB8D"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29,876</w:t>
            </w:r>
          </w:p>
        </w:tc>
        <w:tc>
          <w:tcPr>
            <w:tcW w:w="2385" w:type="dxa"/>
            <w:tcBorders>
              <w:top w:val="nil"/>
              <w:left w:val="nil"/>
              <w:bottom w:val="nil"/>
              <w:right w:val="nil"/>
              <w:tl2br w:val="nil"/>
              <w:tr2bl w:val="nil"/>
            </w:tcBorders>
            <w:shd w:val="clear" w:color="FFFFFF" w:fill="FFFFFF"/>
            <w:noWrap/>
            <w:tcMar>
              <w:left w:w="101" w:type="dxa"/>
              <w:right w:w="101" w:type="dxa"/>
            </w:tcMar>
          </w:tcPr>
          <w:p w14:paraId="58DD7D66"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4208F57"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30,188</w:t>
            </w:r>
          </w:p>
        </w:tc>
        <w:tc>
          <w:tcPr>
            <w:tcW w:w="1035" w:type="dxa"/>
            <w:tcBorders>
              <w:top w:val="nil"/>
              <w:left w:val="nil"/>
              <w:bottom w:val="nil"/>
              <w:right w:val="nil"/>
              <w:tl2br w:val="nil"/>
              <w:tr2bl w:val="nil"/>
            </w:tcBorders>
            <w:shd w:val="clear" w:color="FFFFFF" w:fill="FFFFFF"/>
            <w:tcMar>
              <w:left w:w="101" w:type="dxa"/>
              <w:right w:w="101" w:type="dxa"/>
            </w:tcMar>
          </w:tcPr>
          <w:p w14:paraId="3027DBE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31,672</w:t>
            </w:r>
          </w:p>
        </w:tc>
        <w:tc>
          <w:tcPr>
            <w:tcW w:w="600" w:type="dxa"/>
            <w:tcBorders>
              <w:top w:val="nil"/>
              <w:left w:val="nil"/>
              <w:bottom w:val="nil"/>
              <w:right w:val="nil"/>
              <w:tl2br w:val="nil"/>
              <w:tr2bl w:val="nil"/>
            </w:tcBorders>
            <w:shd w:val="clear" w:color="FFFFFF" w:fill="FFFFFF"/>
            <w:tcMar>
              <w:left w:w="101" w:type="dxa"/>
              <w:right w:w="101" w:type="dxa"/>
            </w:tcMar>
          </w:tcPr>
          <w:p w14:paraId="042C7BA6"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9904867"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31,076</w:t>
            </w:r>
          </w:p>
        </w:tc>
        <w:tc>
          <w:tcPr>
            <w:tcW w:w="1035" w:type="dxa"/>
            <w:tcBorders>
              <w:top w:val="nil"/>
              <w:left w:val="nil"/>
              <w:bottom w:val="nil"/>
              <w:right w:val="nil"/>
              <w:tl2br w:val="nil"/>
              <w:tr2bl w:val="nil"/>
            </w:tcBorders>
            <w:shd w:val="clear" w:color="FFFFFF" w:fill="FFFFFF"/>
            <w:tcMar>
              <w:left w:w="101" w:type="dxa"/>
              <w:right w:w="101" w:type="dxa"/>
            </w:tcMar>
          </w:tcPr>
          <w:p w14:paraId="6F365AA0"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30,201</w:t>
            </w:r>
          </w:p>
        </w:tc>
        <w:tc>
          <w:tcPr>
            <w:tcW w:w="1035" w:type="dxa"/>
            <w:tcBorders>
              <w:top w:val="nil"/>
              <w:left w:val="nil"/>
              <w:bottom w:val="nil"/>
              <w:right w:val="nil"/>
              <w:tl2br w:val="nil"/>
              <w:tr2bl w:val="nil"/>
            </w:tcBorders>
            <w:shd w:val="clear" w:color="FFFFFF" w:fill="FFFFFF"/>
            <w:tcMar>
              <w:left w:w="101" w:type="dxa"/>
              <w:right w:w="101" w:type="dxa"/>
            </w:tcMar>
          </w:tcPr>
          <w:p w14:paraId="133FA9B5"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30,589</w:t>
            </w:r>
          </w:p>
        </w:tc>
      </w:tr>
      <w:tr w:rsidR="002242F3" w:rsidRPr="005E3B44" w14:paraId="78D486FF"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1864A8"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4,255</w:t>
            </w:r>
          </w:p>
        </w:tc>
        <w:tc>
          <w:tcPr>
            <w:tcW w:w="2385" w:type="dxa"/>
            <w:tcBorders>
              <w:top w:val="nil"/>
              <w:left w:val="nil"/>
              <w:bottom w:val="nil"/>
              <w:right w:val="nil"/>
              <w:tl2br w:val="nil"/>
              <w:tr2bl w:val="nil"/>
            </w:tcBorders>
            <w:shd w:val="clear" w:color="FFFFFF" w:fill="FFFFFF"/>
            <w:noWrap/>
            <w:tcMar>
              <w:left w:w="101" w:type="dxa"/>
              <w:right w:w="101" w:type="dxa"/>
            </w:tcMar>
          </w:tcPr>
          <w:p w14:paraId="7ADA4224"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228595D"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4,414</w:t>
            </w:r>
          </w:p>
        </w:tc>
        <w:tc>
          <w:tcPr>
            <w:tcW w:w="1035" w:type="dxa"/>
            <w:tcBorders>
              <w:top w:val="nil"/>
              <w:left w:val="nil"/>
              <w:bottom w:val="nil"/>
              <w:right w:val="nil"/>
              <w:tl2br w:val="nil"/>
              <w:tr2bl w:val="nil"/>
            </w:tcBorders>
            <w:shd w:val="clear" w:color="FFFFFF" w:fill="FFFFFF"/>
            <w:tcMar>
              <w:left w:w="101" w:type="dxa"/>
              <w:right w:w="101" w:type="dxa"/>
            </w:tcMar>
          </w:tcPr>
          <w:p w14:paraId="00F9090D"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4,169</w:t>
            </w:r>
          </w:p>
        </w:tc>
        <w:tc>
          <w:tcPr>
            <w:tcW w:w="600" w:type="dxa"/>
            <w:tcBorders>
              <w:top w:val="nil"/>
              <w:left w:val="nil"/>
              <w:bottom w:val="nil"/>
              <w:right w:val="nil"/>
              <w:tl2br w:val="nil"/>
              <w:tr2bl w:val="nil"/>
            </w:tcBorders>
            <w:shd w:val="clear" w:color="FFFFFF" w:fill="FFFFFF"/>
            <w:tcMar>
              <w:left w:w="101" w:type="dxa"/>
              <w:right w:w="101" w:type="dxa"/>
            </w:tcMar>
          </w:tcPr>
          <w:p w14:paraId="6CDCD70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6F3297FD"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4,286</w:t>
            </w:r>
          </w:p>
        </w:tc>
        <w:tc>
          <w:tcPr>
            <w:tcW w:w="1035" w:type="dxa"/>
            <w:tcBorders>
              <w:top w:val="nil"/>
              <w:left w:val="nil"/>
              <w:bottom w:val="nil"/>
              <w:right w:val="nil"/>
              <w:tl2br w:val="nil"/>
              <w:tr2bl w:val="nil"/>
            </w:tcBorders>
            <w:shd w:val="clear" w:color="FFFFFF" w:fill="FFFFFF"/>
            <w:tcMar>
              <w:left w:w="101" w:type="dxa"/>
              <w:right w:w="101" w:type="dxa"/>
            </w:tcMar>
          </w:tcPr>
          <w:p w14:paraId="02FDA5F2"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4,178</w:t>
            </w:r>
          </w:p>
        </w:tc>
        <w:tc>
          <w:tcPr>
            <w:tcW w:w="1035" w:type="dxa"/>
            <w:tcBorders>
              <w:top w:val="nil"/>
              <w:left w:val="nil"/>
              <w:bottom w:val="nil"/>
              <w:right w:val="nil"/>
              <w:tl2br w:val="nil"/>
              <w:tr2bl w:val="nil"/>
            </w:tcBorders>
            <w:shd w:val="clear" w:color="FFFFFF" w:fill="FFFFFF"/>
            <w:tcMar>
              <w:left w:w="101" w:type="dxa"/>
              <w:right w:w="101" w:type="dxa"/>
            </w:tcMar>
          </w:tcPr>
          <w:p w14:paraId="57D3F115"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4,373</w:t>
            </w:r>
          </w:p>
        </w:tc>
      </w:tr>
      <w:tr w:rsidR="002242F3" w:rsidRPr="005E3B44" w14:paraId="00D427D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4BE9B6"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24,007</w:t>
            </w:r>
          </w:p>
        </w:tc>
        <w:tc>
          <w:tcPr>
            <w:tcW w:w="2385" w:type="dxa"/>
            <w:tcBorders>
              <w:top w:val="nil"/>
              <w:left w:val="nil"/>
              <w:bottom w:val="nil"/>
              <w:right w:val="nil"/>
              <w:tl2br w:val="nil"/>
              <w:tr2bl w:val="nil"/>
            </w:tcBorders>
            <w:shd w:val="clear" w:color="FFFFFF" w:fill="FFFFFF"/>
            <w:noWrap/>
            <w:tcMar>
              <w:left w:w="101" w:type="dxa"/>
              <w:right w:w="101" w:type="dxa"/>
            </w:tcMar>
          </w:tcPr>
          <w:p w14:paraId="5751B55F"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4A7D793"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17,064</w:t>
            </w:r>
          </w:p>
        </w:tc>
        <w:tc>
          <w:tcPr>
            <w:tcW w:w="1035" w:type="dxa"/>
            <w:tcBorders>
              <w:top w:val="nil"/>
              <w:left w:val="nil"/>
              <w:bottom w:val="nil"/>
              <w:right w:val="nil"/>
              <w:tl2br w:val="nil"/>
              <w:tr2bl w:val="nil"/>
            </w:tcBorders>
            <w:shd w:val="clear" w:color="FFFFFF" w:fill="FFFFFF"/>
            <w:tcMar>
              <w:left w:w="101" w:type="dxa"/>
              <w:right w:w="101" w:type="dxa"/>
            </w:tcMar>
          </w:tcPr>
          <w:p w14:paraId="660608F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23,689</w:t>
            </w:r>
          </w:p>
        </w:tc>
        <w:tc>
          <w:tcPr>
            <w:tcW w:w="600" w:type="dxa"/>
            <w:tcBorders>
              <w:top w:val="nil"/>
              <w:left w:val="nil"/>
              <w:bottom w:val="nil"/>
              <w:right w:val="nil"/>
              <w:tl2br w:val="nil"/>
              <w:tr2bl w:val="nil"/>
            </w:tcBorders>
            <w:shd w:val="clear" w:color="FFFFFF" w:fill="FFFFFF"/>
            <w:tcMar>
              <w:left w:w="101" w:type="dxa"/>
              <w:right w:w="101" w:type="dxa"/>
            </w:tcMar>
          </w:tcPr>
          <w:p w14:paraId="1093524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39 </w:t>
            </w:r>
          </w:p>
        </w:tc>
        <w:tc>
          <w:tcPr>
            <w:tcW w:w="1035" w:type="dxa"/>
            <w:tcBorders>
              <w:top w:val="nil"/>
              <w:left w:val="nil"/>
              <w:bottom w:val="nil"/>
              <w:right w:val="nil"/>
              <w:tl2br w:val="nil"/>
              <w:tr2bl w:val="nil"/>
            </w:tcBorders>
            <w:shd w:val="clear" w:color="FFFFFF" w:fill="FFFFFF"/>
            <w:tcMar>
              <w:left w:w="101" w:type="dxa"/>
              <w:right w:w="101" w:type="dxa"/>
            </w:tcMar>
          </w:tcPr>
          <w:p w14:paraId="7EC890D5"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25,185</w:t>
            </w:r>
          </w:p>
        </w:tc>
        <w:tc>
          <w:tcPr>
            <w:tcW w:w="1035" w:type="dxa"/>
            <w:tcBorders>
              <w:top w:val="nil"/>
              <w:left w:val="nil"/>
              <w:bottom w:val="nil"/>
              <w:right w:val="nil"/>
              <w:tl2br w:val="nil"/>
              <w:tr2bl w:val="nil"/>
            </w:tcBorders>
            <w:shd w:val="clear" w:color="FFFFFF" w:fill="FFFFFF"/>
            <w:tcMar>
              <w:left w:w="101" w:type="dxa"/>
              <w:right w:w="101" w:type="dxa"/>
            </w:tcMar>
          </w:tcPr>
          <w:p w14:paraId="6F69452B"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25,503</w:t>
            </w:r>
          </w:p>
        </w:tc>
        <w:tc>
          <w:tcPr>
            <w:tcW w:w="1035" w:type="dxa"/>
            <w:tcBorders>
              <w:top w:val="nil"/>
              <w:left w:val="nil"/>
              <w:bottom w:val="nil"/>
              <w:right w:val="nil"/>
              <w:tl2br w:val="nil"/>
              <w:tr2bl w:val="nil"/>
            </w:tcBorders>
            <w:shd w:val="clear" w:color="FFFFFF" w:fill="FFFFFF"/>
            <w:tcMar>
              <w:left w:w="101" w:type="dxa"/>
              <w:right w:w="101" w:type="dxa"/>
            </w:tcMar>
          </w:tcPr>
          <w:p w14:paraId="348F8453"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25,805</w:t>
            </w:r>
          </w:p>
        </w:tc>
      </w:tr>
      <w:tr w:rsidR="002242F3" w:rsidRPr="005E3B44" w14:paraId="6A3EB47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083139"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8,660</w:t>
            </w:r>
          </w:p>
        </w:tc>
        <w:tc>
          <w:tcPr>
            <w:tcW w:w="2385" w:type="dxa"/>
            <w:tcBorders>
              <w:top w:val="nil"/>
              <w:left w:val="nil"/>
              <w:bottom w:val="nil"/>
              <w:right w:val="nil"/>
              <w:tl2br w:val="nil"/>
              <w:tr2bl w:val="nil"/>
            </w:tcBorders>
            <w:shd w:val="clear" w:color="FFFFFF" w:fill="FFFFFF"/>
            <w:noWrap/>
            <w:tcMar>
              <w:left w:w="101" w:type="dxa"/>
              <w:right w:w="101" w:type="dxa"/>
            </w:tcMar>
          </w:tcPr>
          <w:p w14:paraId="63554FAB"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5ADE3101"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8,007</w:t>
            </w:r>
          </w:p>
        </w:tc>
        <w:tc>
          <w:tcPr>
            <w:tcW w:w="1035" w:type="dxa"/>
            <w:tcBorders>
              <w:top w:val="nil"/>
              <w:left w:val="nil"/>
              <w:bottom w:val="nil"/>
              <w:right w:val="nil"/>
              <w:tl2br w:val="nil"/>
              <w:tr2bl w:val="nil"/>
            </w:tcBorders>
            <w:shd w:val="clear" w:color="FFFFFF" w:fill="FFFFFF"/>
            <w:tcMar>
              <w:left w:w="101" w:type="dxa"/>
              <w:right w:w="101" w:type="dxa"/>
            </w:tcMar>
          </w:tcPr>
          <w:p w14:paraId="190AE40F"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9,230</w:t>
            </w:r>
          </w:p>
        </w:tc>
        <w:tc>
          <w:tcPr>
            <w:tcW w:w="600" w:type="dxa"/>
            <w:tcBorders>
              <w:top w:val="nil"/>
              <w:left w:val="nil"/>
              <w:bottom w:val="nil"/>
              <w:right w:val="nil"/>
              <w:tl2br w:val="nil"/>
              <w:tr2bl w:val="nil"/>
            </w:tcBorders>
            <w:shd w:val="clear" w:color="FFFFFF" w:fill="FFFFFF"/>
            <w:tcMar>
              <w:left w:w="101" w:type="dxa"/>
              <w:right w:w="101" w:type="dxa"/>
            </w:tcMar>
          </w:tcPr>
          <w:p w14:paraId="51DBCE1E"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787F375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9,634</w:t>
            </w:r>
          </w:p>
        </w:tc>
        <w:tc>
          <w:tcPr>
            <w:tcW w:w="1035" w:type="dxa"/>
            <w:tcBorders>
              <w:top w:val="nil"/>
              <w:left w:val="nil"/>
              <w:bottom w:val="nil"/>
              <w:right w:val="nil"/>
              <w:tl2br w:val="nil"/>
              <w:tr2bl w:val="nil"/>
            </w:tcBorders>
            <w:shd w:val="clear" w:color="FFFFFF" w:fill="FFFFFF"/>
            <w:tcMar>
              <w:left w:w="101" w:type="dxa"/>
              <w:right w:w="101" w:type="dxa"/>
            </w:tcMar>
          </w:tcPr>
          <w:p w14:paraId="437B6B76"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9,634</w:t>
            </w:r>
          </w:p>
        </w:tc>
        <w:tc>
          <w:tcPr>
            <w:tcW w:w="1035" w:type="dxa"/>
            <w:tcBorders>
              <w:top w:val="nil"/>
              <w:left w:val="nil"/>
              <w:bottom w:val="nil"/>
              <w:right w:val="nil"/>
              <w:tl2br w:val="nil"/>
              <w:tr2bl w:val="nil"/>
            </w:tcBorders>
            <w:shd w:val="clear" w:color="FFFFFF" w:fill="FFFFFF"/>
            <w:tcMar>
              <w:left w:w="101" w:type="dxa"/>
              <w:right w:w="101" w:type="dxa"/>
            </w:tcMar>
          </w:tcPr>
          <w:p w14:paraId="70D659C4"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9,634</w:t>
            </w:r>
          </w:p>
        </w:tc>
      </w:tr>
      <w:tr w:rsidR="002242F3" w:rsidRPr="005E3B44" w14:paraId="7D710B9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9EAB54"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12,468</w:t>
            </w:r>
          </w:p>
        </w:tc>
        <w:tc>
          <w:tcPr>
            <w:tcW w:w="2385" w:type="dxa"/>
            <w:tcBorders>
              <w:top w:val="nil"/>
              <w:left w:val="nil"/>
              <w:bottom w:val="nil"/>
              <w:right w:val="nil"/>
              <w:tl2br w:val="nil"/>
              <w:tr2bl w:val="nil"/>
            </w:tcBorders>
            <w:shd w:val="clear" w:color="FFFFFF" w:fill="FFFFFF"/>
            <w:noWrap/>
            <w:tcMar>
              <w:left w:w="101" w:type="dxa"/>
              <w:right w:w="101" w:type="dxa"/>
            </w:tcMar>
          </w:tcPr>
          <w:p w14:paraId="1C1F646C"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7B5C51D5"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12,433</w:t>
            </w:r>
          </w:p>
        </w:tc>
        <w:tc>
          <w:tcPr>
            <w:tcW w:w="1035" w:type="dxa"/>
            <w:tcBorders>
              <w:top w:val="nil"/>
              <w:left w:val="nil"/>
              <w:bottom w:val="nil"/>
              <w:right w:val="nil"/>
              <w:tl2br w:val="nil"/>
              <w:tr2bl w:val="nil"/>
            </w:tcBorders>
            <w:shd w:val="clear" w:color="FFFFFF" w:fill="FFFFFF"/>
            <w:tcMar>
              <w:left w:w="101" w:type="dxa"/>
              <w:right w:w="101" w:type="dxa"/>
            </w:tcMar>
          </w:tcPr>
          <w:p w14:paraId="1FBC5DFA"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12,066</w:t>
            </w:r>
          </w:p>
        </w:tc>
        <w:tc>
          <w:tcPr>
            <w:tcW w:w="600" w:type="dxa"/>
            <w:tcBorders>
              <w:top w:val="nil"/>
              <w:left w:val="nil"/>
              <w:bottom w:val="nil"/>
              <w:right w:val="nil"/>
              <w:tl2br w:val="nil"/>
              <w:tr2bl w:val="nil"/>
            </w:tcBorders>
            <w:shd w:val="clear" w:color="FFFFFF" w:fill="FFFFFF"/>
            <w:tcMar>
              <w:left w:w="101" w:type="dxa"/>
              <w:right w:w="101" w:type="dxa"/>
            </w:tcMar>
          </w:tcPr>
          <w:p w14:paraId="186E1491"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217C2DC"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11,848</w:t>
            </w:r>
          </w:p>
        </w:tc>
        <w:tc>
          <w:tcPr>
            <w:tcW w:w="1035" w:type="dxa"/>
            <w:tcBorders>
              <w:top w:val="nil"/>
              <w:left w:val="nil"/>
              <w:bottom w:val="nil"/>
              <w:right w:val="nil"/>
              <w:tl2br w:val="nil"/>
              <w:tr2bl w:val="nil"/>
            </w:tcBorders>
            <w:shd w:val="clear" w:color="FFFFFF" w:fill="FFFFFF"/>
            <w:tcMar>
              <w:left w:w="101" w:type="dxa"/>
              <w:right w:w="101" w:type="dxa"/>
            </w:tcMar>
          </w:tcPr>
          <w:p w14:paraId="749B56FF"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11,612</w:t>
            </w:r>
          </w:p>
        </w:tc>
        <w:tc>
          <w:tcPr>
            <w:tcW w:w="1035" w:type="dxa"/>
            <w:tcBorders>
              <w:top w:val="nil"/>
              <w:left w:val="nil"/>
              <w:bottom w:val="nil"/>
              <w:right w:val="nil"/>
              <w:tl2br w:val="nil"/>
              <w:tr2bl w:val="nil"/>
            </w:tcBorders>
            <w:shd w:val="clear" w:color="FFFFFF" w:fill="FFFFFF"/>
            <w:tcMar>
              <w:left w:w="101" w:type="dxa"/>
              <w:right w:w="101" w:type="dxa"/>
            </w:tcMar>
          </w:tcPr>
          <w:p w14:paraId="0665761E"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11,612</w:t>
            </w:r>
          </w:p>
        </w:tc>
      </w:tr>
      <w:tr w:rsidR="002242F3" w:rsidRPr="005E3B44" w14:paraId="09B99F68"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D60CD2"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w:t>
            </w:r>
          </w:p>
        </w:tc>
        <w:tc>
          <w:tcPr>
            <w:tcW w:w="2385" w:type="dxa"/>
            <w:tcBorders>
              <w:top w:val="nil"/>
              <w:left w:val="nil"/>
              <w:bottom w:val="nil"/>
              <w:right w:val="nil"/>
              <w:tl2br w:val="nil"/>
              <w:tr2bl w:val="nil"/>
            </w:tcBorders>
            <w:shd w:val="clear" w:color="FFFFFF" w:fill="FFFFFF"/>
            <w:noWrap/>
            <w:tcMar>
              <w:left w:w="101" w:type="dxa"/>
              <w:right w:w="101" w:type="dxa"/>
            </w:tcMar>
          </w:tcPr>
          <w:p w14:paraId="52B6CF65" w14:textId="77777777" w:rsidR="002242F3" w:rsidRPr="005E3B44" w:rsidRDefault="002242F3" w:rsidP="005E3B44">
            <w:pPr>
              <w:pStyle w:val="Normal18"/>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4A3F4050"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114</w:t>
            </w:r>
          </w:p>
        </w:tc>
        <w:tc>
          <w:tcPr>
            <w:tcW w:w="1035" w:type="dxa"/>
            <w:tcBorders>
              <w:top w:val="nil"/>
              <w:left w:val="nil"/>
              <w:bottom w:val="nil"/>
              <w:right w:val="nil"/>
              <w:tl2br w:val="nil"/>
              <w:tr2bl w:val="nil"/>
            </w:tcBorders>
            <w:shd w:val="clear" w:color="FFFFFF" w:fill="FFFFFF"/>
            <w:tcMar>
              <w:left w:w="101" w:type="dxa"/>
              <w:right w:w="101" w:type="dxa"/>
            </w:tcMar>
          </w:tcPr>
          <w:p w14:paraId="7793291B"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600" w:type="dxa"/>
            <w:tcBorders>
              <w:top w:val="nil"/>
              <w:left w:val="nil"/>
              <w:bottom w:val="nil"/>
              <w:right w:val="nil"/>
              <w:tl2br w:val="nil"/>
              <w:tr2bl w:val="nil"/>
            </w:tcBorders>
            <w:shd w:val="clear" w:color="FFFFFF" w:fill="FFFFFF"/>
            <w:tcMar>
              <w:left w:w="101" w:type="dxa"/>
              <w:right w:w="101" w:type="dxa"/>
            </w:tcMar>
          </w:tcPr>
          <w:p w14:paraId="639CEE29"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-96 </w:t>
            </w:r>
          </w:p>
        </w:tc>
        <w:tc>
          <w:tcPr>
            <w:tcW w:w="1035" w:type="dxa"/>
            <w:tcBorders>
              <w:top w:val="nil"/>
              <w:left w:val="nil"/>
              <w:bottom w:val="nil"/>
              <w:right w:val="nil"/>
              <w:tl2br w:val="nil"/>
              <w:tr2bl w:val="nil"/>
            </w:tcBorders>
            <w:shd w:val="clear" w:color="FFFFFF" w:fill="FFFFFF"/>
            <w:tcMar>
              <w:left w:w="101" w:type="dxa"/>
              <w:right w:w="101" w:type="dxa"/>
            </w:tcMar>
          </w:tcPr>
          <w:p w14:paraId="166996C1"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6BC92741"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1EF3CAD9" w14:textId="77777777" w:rsidR="002242F3" w:rsidRPr="005E3B44" w:rsidRDefault="002242F3" w:rsidP="005E3B44">
            <w:pPr>
              <w:pStyle w:val="Normal18"/>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p>
        </w:tc>
      </w:tr>
      <w:tr w:rsidR="002242F3" w:rsidRPr="005E3B44" w14:paraId="1B64E595"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251194"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6202877" w14:textId="77777777" w:rsidR="002242F3" w:rsidRPr="005E3B44" w:rsidRDefault="002242F3" w:rsidP="005E3B44">
            <w:pPr>
              <w:pStyle w:val="Normal18"/>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BD44EE"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0A4749"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5D99C7"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E15477"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7225A9"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1B825C"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5D2CE62A"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8C836A9"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79,272</w:t>
            </w:r>
          </w:p>
        </w:tc>
        <w:tc>
          <w:tcPr>
            <w:tcW w:w="2385" w:type="dxa"/>
            <w:tcBorders>
              <w:top w:val="nil"/>
              <w:left w:val="nil"/>
              <w:bottom w:val="nil"/>
              <w:right w:val="nil"/>
              <w:tl2br w:val="nil"/>
              <w:tr2bl w:val="nil"/>
            </w:tcBorders>
            <w:shd w:val="clear" w:color="FFFFFF" w:fill="FFFFFF"/>
            <w:tcMar>
              <w:left w:w="101" w:type="dxa"/>
              <w:right w:w="101" w:type="dxa"/>
            </w:tcMar>
          </w:tcPr>
          <w:p w14:paraId="03E5A759"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1C51AC6B"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72,220</w:t>
            </w:r>
          </w:p>
        </w:tc>
        <w:tc>
          <w:tcPr>
            <w:tcW w:w="1035" w:type="dxa"/>
            <w:tcBorders>
              <w:top w:val="nil"/>
              <w:left w:val="nil"/>
              <w:bottom w:val="nil"/>
              <w:right w:val="nil"/>
              <w:tl2br w:val="nil"/>
              <w:tr2bl w:val="nil"/>
            </w:tcBorders>
            <w:shd w:val="clear" w:color="FFFFFF" w:fill="FFFFFF"/>
            <w:tcMar>
              <w:left w:w="101" w:type="dxa"/>
              <w:right w:w="101" w:type="dxa"/>
            </w:tcMar>
          </w:tcPr>
          <w:p w14:paraId="0450495C"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80,831</w:t>
            </w:r>
          </w:p>
        </w:tc>
        <w:tc>
          <w:tcPr>
            <w:tcW w:w="600" w:type="dxa"/>
            <w:tcBorders>
              <w:top w:val="nil"/>
              <w:left w:val="nil"/>
              <w:bottom w:val="nil"/>
              <w:right w:val="nil"/>
              <w:tl2br w:val="nil"/>
              <w:tr2bl w:val="nil"/>
            </w:tcBorders>
            <w:shd w:val="clear" w:color="FFFFFF" w:fill="FFFFFF"/>
            <w:tcMar>
              <w:left w:w="101" w:type="dxa"/>
              <w:right w:w="101" w:type="dxa"/>
            </w:tcMar>
          </w:tcPr>
          <w:p w14:paraId="171B02A6"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024164F0"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82,034</w:t>
            </w:r>
          </w:p>
        </w:tc>
        <w:tc>
          <w:tcPr>
            <w:tcW w:w="1035" w:type="dxa"/>
            <w:tcBorders>
              <w:top w:val="nil"/>
              <w:left w:val="nil"/>
              <w:bottom w:val="nil"/>
              <w:right w:val="nil"/>
              <w:tl2br w:val="nil"/>
              <w:tr2bl w:val="nil"/>
            </w:tcBorders>
            <w:shd w:val="clear" w:color="FFFFFF" w:fill="FFFFFF"/>
            <w:tcMar>
              <w:left w:w="101" w:type="dxa"/>
              <w:right w:w="101" w:type="dxa"/>
            </w:tcMar>
          </w:tcPr>
          <w:p w14:paraId="21C9FB5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81,133</w:t>
            </w:r>
          </w:p>
        </w:tc>
        <w:tc>
          <w:tcPr>
            <w:tcW w:w="1035" w:type="dxa"/>
            <w:tcBorders>
              <w:top w:val="nil"/>
              <w:left w:val="nil"/>
              <w:bottom w:val="nil"/>
              <w:right w:val="nil"/>
              <w:tl2br w:val="nil"/>
              <w:tr2bl w:val="nil"/>
            </w:tcBorders>
            <w:shd w:val="clear" w:color="FFFFFF" w:fill="FFFFFF"/>
            <w:tcMar>
              <w:left w:w="101" w:type="dxa"/>
              <w:right w:w="101" w:type="dxa"/>
            </w:tcMar>
          </w:tcPr>
          <w:p w14:paraId="5CBD171F"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82,018</w:t>
            </w:r>
          </w:p>
        </w:tc>
      </w:tr>
      <w:tr w:rsidR="002242F3" w:rsidRPr="005E3B44" w14:paraId="74EAAFB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86B44C"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0BF95B0"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DE3EC1"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1A4656"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090B02"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F84DA7"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C7D84F"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C223F8" w14:textId="77777777" w:rsidR="002242F3" w:rsidRPr="005E3B44" w:rsidRDefault="002242F3" w:rsidP="005E3B44">
            <w:pPr>
              <w:pStyle w:val="Normal18"/>
              <w:rPr>
                <w:rFonts w:asciiTheme="minorHAnsi" w:eastAsia="Calibri" w:hAnsiTheme="minorHAnsi" w:cstheme="minorHAnsi"/>
                <w:color w:val="000000"/>
                <w:sz w:val="18"/>
              </w:rPr>
            </w:pPr>
          </w:p>
        </w:tc>
      </w:tr>
      <w:tr w:rsidR="002242F3" w:rsidRPr="005E3B44" w14:paraId="244139E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6307E5"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-10,538</w:t>
            </w:r>
          </w:p>
        </w:tc>
        <w:tc>
          <w:tcPr>
            <w:tcW w:w="2385" w:type="dxa"/>
            <w:tcBorders>
              <w:top w:val="nil"/>
              <w:left w:val="nil"/>
              <w:bottom w:val="nil"/>
              <w:right w:val="nil"/>
              <w:tl2br w:val="nil"/>
              <w:tr2bl w:val="nil"/>
            </w:tcBorders>
            <w:shd w:val="clear" w:color="FFFFFF" w:fill="FFFFFF"/>
            <w:tcMar>
              <w:left w:w="101" w:type="dxa"/>
              <w:right w:w="101" w:type="dxa"/>
            </w:tcMar>
          </w:tcPr>
          <w:p w14:paraId="7432B9ED" w14:textId="77777777" w:rsidR="002242F3" w:rsidRPr="005E3B44" w:rsidRDefault="002242F3" w:rsidP="005E3B44">
            <w:pPr>
              <w:pStyle w:val="Normal18"/>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59139BDA"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-12,158</w:t>
            </w:r>
          </w:p>
        </w:tc>
        <w:tc>
          <w:tcPr>
            <w:tcW w:w="1035" w:type="dxa"/>
            <w:tcBorders>
              <w:top w:val="nil"/>
              <w:left w:val="nil"/>
              <w:bottom w:val="nil"/>
              <w:right w:val="nil"/>
              <w:tl2br w:val="nil"/>
              <w:tr2bl w:val="nil"/>
            </w:tcBorders>
            <w:shd w:val="clear" w:color="FFFFFF" w:fill="FFFFFF"/>
            <w:tcMar>
              <w:left w:w="101" w:type="dxa"/>
              <w:right w:w="101" w:type="dxa"/>
            </w:tcMar>
          </w:tcPr>
          <w:p w14:paraId="604EE39E"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-11,773</w:t>
            </w:r>
          </w:p>
        </w:tc>
        <w:tc>
          <w:tcPr>
            <w:tcW w:w="600" w:type="dxa"/>
            <w:tcBorders>
              <w:top w:val="nil"/>
              <w:left w:val="nil"/>
              <w:bottom w:val="nil"/>
              <w:right w:val="nil"/>
              <w:tl2br w:val="nil"/>
              <w:tr2bl w:val="nil"/>
            </w:tcBorders>
            <w:shd w:val="clear" w:color="FFFFFF" w:fill="FFFFFF"/>
            <w:tcMar>
              <w:left w:w="101" w:type="dxa"/>
              <w:right w:w="101" w:type="dxa"/>
            </w:tcMar>
          </w:tcPr>
          <w:p w14:paraId="4D7F140B"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F30B633"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-11,210</w:t>
            </w:r>
          </w:p>
        </w:tc>
        <w:tc>
          <w:tcPr>
            <w:tcW w:w="1035" w:type="dxa"/>
            <w:tcBorders>
              <w:top w:val="nil"/>
              <w:left w:val="nil"/>
              <w:bottom w:val="nil"/>
              <w:right w:val="nil"/>
              <w:tl2br w:val="nil"/>
              <w:tr2bl w:val="nil"/>
            </w:tcBorders>
            <w:shd w:val="clear" w:color="FFFFFF" w:fill="FFFFFF"/>
            <w:tcMar>
              <w:left w:w="101" w:type="dxa"/>
              <w:right w:w="101" w:type="dxa"/>
            </w:tcMar>
          </w:tcPr>
          <w:p w14:paraId="2ACA91F4"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-11,420</w:t>
            </w:r>
          </w:p>
        </w:tc>
        <w:tc>
          <w:tcPr>
            <w:tcW w:w="1035" w:type="dxa"/>
            <w:tcBorders>
              <w:top w:val="nil"/>
              <w:left w:val="nil"/>
              <w:bottom w:val="nil"/>
              <w:right w:val="nil"/>
              <w:tl2br w:val="nil"/>
              <w:tr2bl w:val="nil"/>
            </w:tcBorders>
            <w:shd w:val="clear" w:color="FFFFFF" w:fill="FFFFFF"/>
            <w:tcMar>
              <w:left w:w="101" w:type="dxa"/>
              <w:right w:w="101" w:type="dxa"/>
            </w:tcMar>
          </w:tcPr>
          <w:p w14:paraId="384E05CC" w14:textId="77777777" w:rsidR="002242F3" w:rsidRPr="005E3B44" w:rsidRDefault="002242F3" w:rsidP="005E3B44">
            <w:pPr>
              <w:pStyle w:val="Normal18"/>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-11,325</w:t>
            </w:r>
          </w:p>
        </w:tc>
      </w:tr>
      <w:tr w:rsidR="002242F3" w:rsidRPr="005E3B44" w14:paraId="4FA69FD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5562D40" w14:textId="77777777" w:rsidR="002242F3" w:rsidRPr="005E3B44" w:rsidRDefault="002242F3" w:rsidP="005E3B44">
            <w:pPr>
              <w:pStyle w:val="Normal18"/>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612D927"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C216C09"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93A57F5" w14:textId="77777777" w:rsidR="002242F3" w:rsidRPr="005E3B44" w:rsidRDefault="002242F3" w:rsidP="005E3B44">
            <w:pPr>
              <w:pStyle w:val="Normal18"/>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E4D1ECE"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FA3A5A5"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416787E" w14:textId="77777777" w:rsidR="002242F3" w:rsidRPr="005E3B44" w:rsidRDefault="002242F3" w:rsidP="005E3B44">
            <w:pPr>
              <w:pStyle w:val="Normal18"/>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D195389" w14:textId="77777777" w:rsidR="002242F3" w:rsidRPr="005E3B44" w:rsidRDefault="002242F3" w:rsidP="005E3B44">
            <w:pPr>
              <w:pStyle w:val="Normal18"/>
              <w:rPr>
                <w:rFonts w:asciiTheme="minorHAnsi" w:eastAsia="Calibri" w:hAnsiTheme="minorHAnsi" w:cstheme="minorHAnsi"/>
                <w:color w:val="000000"/>
                <w:sz w:val="18"/>
              </w:rPr>
            </w:pPr>
          </w:p>
        </w:tc>
      </w:tr>
    </w:tbl>
    <w:p w14:paraId="464EB254" w14:textId="1FF9568A" w:rsidR="002242F3" w:rsidRPr="005E3B44" w:rsidRDefault="002242F3" w:rsidP="002242F3">
      <w:pPr>
        <w:pStyle w:val="Caption"/>
        <w:pageBreakBefore/>
        <w:pBdr>
          <w:top w:val="nil"/>
          <w:left w:val="nil"/>
          <w:bottom w:val="nil"/>
          <w:right w:val="nil"/>
          <w:between w:val="nil"/>
          <w:bar w:val="nil"/>
        </w:pBdr>
        <w:rPr>
          <w:rFonts w:asciiTheme="minorHAnsi" w:eastAsia="TimesNewRomanPS-ItalicMT" w:hAnsiTheme="minorHAnsi" w:cstheme="minorHAnsi"/>
          <w:bdr w:val="nil"/>
        </w:rPr>
      </w:pPr>
      <w:r w:rsidRPr="005E3B44">
        <w:rPr>
          <w:rFonts w:asciiTheme="minorHAnsi" w:hAnsiTheme="minorHAnsi" w:cstheme="minorHAnsi"/>
          <w:bdr w:val="nil"/>
        </w:rPr>
        <w:lastRenderedPageBreak/>
        <w:t xml:space="preserve">Table </w:t>
      </w:r>
      <w:r w:rsidR="004A6DD0">
        <w:rPr>
          <w:rFonts w:asciiTheme="minorHAnsi" w:hAnsiTheme="minorHAnsi" w:cstheme="minorHAnsi"/>
          <w:bdr w:val="nil"/>
        </w:rPr>
        <w:t>40</w:t>
      </w:r>
      <w:r w:rsidRPr="005E3B44">
        <w:rPr>
          <w:rFonts w:asciiTheme="minorHAnsi" w:hAnsiTheme="minorHAnsi" w:cstheme="minorHAnsi"/>
          <w:bdr w:val="nil"/>
        </w:rPr>
        <w:t>: Output Class 4: Emergency Services Operating Statement</w:t>
      </w:r>
    </w:p>
    <w:tbl>
      <w:tblPr>
        <w:tblStyle w:val="CDMRange27"/>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242F3" w:rsidRPr="005E3B44" w14:paraId="48A73A90" w14:textId="77777777" w:rsidTr="005E3B44">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1C1555"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546B4F65" w14:textId="77777777" w:rsidR="002242F3" w:rsidRPr="005E3B44" w:rsidRDefault="002242F3" w:rsidP="005E3B44">
            <w:pPr>
              <w:pStyle w:val="Normal19"/>
              <w:jc w:val="right"/>
              <w:rPr>
                <w:rFonts w:asciiTheme="minorHAnsi" w:eastAsia="Calibri" w:hAnsiTheme="minorHAnsi" w:cstheme="minorHAnsi"/>
                <w:b/>
                <w:color w:val="000000"/>
                <w:sz w:val="18"/>
              </w:rPr>
            </w:pPr>
          </w:p>
          <w:p w14:paraId="33D1B6A6"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F58D9CC"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A81244"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0D1AC84"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w:t>
            </w:r>
          </w:p>
          <w:p w14:paraId="36D440C9"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07C62A2D" w14:textId="77777777" w:rsidR="002242F3" w:rsidRPr="005E3B44" w:rsidRDefault="002242F3" w:rsidP="005E3B44">
            <w:pPr>
              <w:pStyle w:val="Normal19"/>
              <w:jc w:val="right"/>
              <w:rPr>
                <w:rFonts w:asciiTheme="minorHAnsi" w:eastAsia="Calibri" w:hAnsiTheme="minorHAnsi" w:cstheme="minorHAnsi"/>
                <w:b/>
                <w:color w:val="000000"/>
                <w:sz w:val="18"/>
              </w:rPr>
            </w:pPr>
          </w:p>
          <w:p w14:paraId="584CBAF1"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2AC8B0B"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005ED029"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6459FC"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w:t>
            </w:r>
          </w:p>
          <w:p w14:paraId="34DCEF04"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1ACA45D8" w14:textId="77777777" w:rsidR="002242F3" w:rsidRPr="005E3B44" w:rsidRDefault="002242F3" w:rsidP="005E3B44">
            <w:pPr>
              <w:pStyle w:val="Normal19"/>
              <w:jc w:val="right"/>
              <w:rPr>
                <w:rFonts w:asciiTheme="minorHAnsi" w:eastAsia="Calibri" w:hAnsiTheme="minorHAnsi" w:cstheme="minorHAnsi"/>
                <w:b/>
                <w:color w:val="000000"/>
                <w:sz w:val="18"/>
              </w:rPr>
            </w:pPr>
          </w:p>
          <w:p w14:paraId="5CE63DB1"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7D9A16C"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w:t>
            </w:r>
          </w:p>
          <w:p w14:paraId="431251D9"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30DAD2B7" w14:textId="77777777" w:rsidR="002242F3" w:rsidRPr="005E3B44" w:rsidRDefault="002242F3" w:rsidP="005E3B44">
            <w:pPr>
              <w:pStyle w:val="Normal19"/>
              <w:jc w:val="right"/>
              <w:rPr>
                <w:rFonts w:asciiTheme="minorHAnsi" w:eastAsia="Calibri" w:hAnsiTheme="minorHAnsi" w:cstheme="minorHAnsi"/>
                <w:b/>
                <w:color w:val="000000"/>
                <w:sz w:val="18"/>
              </w:rPr>
            </w:pPr>
          </w:p>
          <w:p w14:paraId="55D28B00"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92B54A6"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w:t>
            </w:r>
          </w:p>
          <w:p w14:paraId="5E5B0905"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6575DECE" w14:textId="77777777" w:rsidR="002242F3" w:rsidRPr="005E3B44" w:rsidRDefault="002242F3" w:rsidP="005E3B44">
            <w:pPr>
              <w:pStyle w:val="Normal19"/>
              <w:jc w:val="right"/>
              <w:rPr>
                <w:rFonts w:asciiTheme="minorHAnsi" w:eastAsia="Calibri" w:hAnsiTheme="minorHAnsi" w:cstheme="minorHAnsi"/>
                <w:b/>
                <w:color w:val="000000"/>
                <w:sz w:val="18"/>
              </w:rPr>
            </w:pPr>
          </w:p>
          <w:p w14:paraId="75F16471"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2242F3" w:rsidRPr="005E3B44" w14:paraId="1E080211"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7E755C" w14:textId="77777777" w:rsidR="002242F3" w:rsidRPr="005E3B44" w:rsidRDefault="002242F3" w:rsidP="005E3B44">
            <w:pPr>
              <w:pStyle w:val="Normal19"/>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8693C76"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841663D" w14:textId="77777777" w:rsidR="002242F3" w:rsidRPr="005E3B44" w:rsidRDefault="002242F3" w:rsidP="005E3B44">
            <w:pPr>
              <w:pStyle w:val="Normal1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FC1729" w14:textId="77777777" w:rsidR="002242F3" w:rsidRPr="005E3B44" w:rsidRDefault="002242F3" w:rsidP="005E3B44">
            <w:pPr>
              <w:pStyle w:val="Normal19"/>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5117A66" w14:textId="77777777" w:rsidR="002242F3" w:rsidRPr="005E3B44" w:rsidRDefault="002242F3" w:rsidP="005E3B44">
            <w:pPr>
              <w:pStyle w:val="Normal1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A919A95" w14:textId="77777777" w:rsidR="002242F3" w:rsidRPr="005E3B44" w:rsidRDefault="002242F3" w:rsidP="005E3B44">
            <w:pPr>
              <w:pStyle w:val="Normal1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EE425CF" w14:textId="77777777" w:rsidR="002242F3" w:rsidRPr="005E3B44" w:rsidRDefault="002242F3" w:rsidP="005E3B44">
            <w:pPr>
              <w:pStyle w:val="Normal19"/>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18B74AE" w14:textId="77777777" w:rsidR="002242F3" w:rsidRPr="005E3B44" w:rsidRDefault="002242F3" w:rsidP="005E3B44">
            <w:pPr>
              <w:pStyle w:val="Normal19"/>
              <w:jc w:val="right"/>
              <w:rPr>
                <w:rFonts w:asciiTheme="minorHAnsi" w:eastAsia="Calibri" w:hAnsiTheme="minorHAnsi" w:cstheme="minorHAnsi"/>
                <w:b/>
                <w:i/>
                <w:color w:val="000000"/>
                <w:sz w:val="18"/>
              </w:rPr>
            </w:pPr>
          </w:p>
        </w:tc>
      </w:tr>
      <w:tr w:rsidR="002242F3" w:rsidRPr="005E3B44" w14:paraId="770C0AD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440B43"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170CEF3"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4FC0104D"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3E3384"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4B04C0"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0223A0"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D7DED"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74CDE8"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21B28FB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08672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146,193</w:t>
            </w:r>
          </w:p>
        </w:tc>
        <w:tc>
          <w:tcPr>
            <w:tcW w:w="2385" w:type="dxa"/>
            <w:tcBorders>
              <w:top w:val="nil"/>
              <w:left w:val="nil"/>
              <w:bottom w:val="nil"/>
              <w:right w:val="nil"/>
              <w:tl2br w:val="nil"/>
              <w:tr2bl w:val="nil"/>
            </w:tcBorders>
            <w:shd w:val="clear" w:color="auto" w:fill="auto"/>
            <w:noWrap/>
            <w:tcMar>
              <w:left w:w="101" w:type="dxa"/>
              <w:right w:w="101" w:type="dxa"/>
            </w:tcMar>
          </w:tcPr>
          <w:p w14:paraId="7169C14B"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012945B3"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142,456</w:t>
            </w:r>
          </w:p>
        </w:tc>
        <w:tc>
          <w:tcPr>
            <w:tcW w:w="1035" w:type="dxa"/>
            <w:tcBorders>
              <w:top w:val="nil"/>
              <w:left w:val="nil"/>
              <w:bottom w:val="nil"/>
              <w:right w:val="nil"/>
              <w:tl2br w:val="nil"/>
              <w:tr2bl w:val="nil"/>
            </w:tcBorders>
            <w:shd w:val="clear" w:color="FFFFFF" w:fill="FFFFFF"/>
            <w:tcMar>
              <w:left w:w="101" w:type="dxa"/>
              <w:right w:w="101" w:type="dxa"/>
            </w:tcMar>
          </w:tcPr>
          <w:p w14:paraId="2763836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152,382</w:t>
            </w:r>
          </w:p>
        </w:tc>
        <w:tc>
          <w:tcPr>
            <w:tcW w:w="600" w:type="dxa"/>
            <w:tcBorders>
              <w:top w:val="nil"/>
              <w:left w:val="nil"/>
              <w:bottom w:val="nil"/>
              <w:right w:val="nil"/>
              <w:tl2br w:val="nil"/>
              <w:tr2bl w:val="nil"/>
            </w:tcBorders>
            <w:shd w:val="clear" w:color="FFFFFF" w:fill="FFFFFF"/>
            <w:tcMar>
              <w:left w:w="101" w:type="dxa"/>
              <w:right w:w="101" w:type="dxa"/>
            </w:tcMar>
          </w:tcPr>
          <w:p w14:paraId="2FB5A432"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6668EEF6"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158,225</w:t>
            </w:r>
          </w:p>
        </w:tc>
        <w:tc>
          <w:tcPr>
            <w:tcW w:w="1035" w:type="dxa"/>
            <w:tcBorders>
              <w:top w:val="nil"/>
              <w:left w:val="nil"/>
              <w:bottom w:val="nil"/>
              <w:right w:val="nil"/>
              <w:tl2br w:val="nil"/>
              <w:tr2bl w:val="nil"/>
            </w:tcBorders>
            <w:shd w:val="clear" w:color="FFFFFF" w:fill="FFFFFF"/>
            <w:tcMar>
              <w:left w:w="101" w:type="dxa"/>
              <w:right w:w="101" w:type="dxa"/>
            </w:tcMar>
          </w:tcPr>
          <w:p w14:paraId="62A43EE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167,316</w:t>
            </w:r>
          </w:p>
        </w:tc>
        <w:tc>
          <w:tcPr>
            <w:tcW w:w="1035" w:type="dxa"/>
            <w:tcBorders>
              <w:top w:val="nil"/>
              <w:left w:val="nil"/>
              <w:bottom w:val="nil"/>
              <w:right w:val="nil"/>
              <w:tl2br w:val="nil"/>
              <w:tr2bl w:val="nil"/>
            </w:tcBorders>
            <w:shd w:val="clear" w:color="FFFFFF" w:fill="FFFFFF"/>
            <w:tcMar>
              <w:left w:w="101" w:type="dxa"/>
              <w:right w:w="101" w:type="dxa"/>
            </w:tcMar>
          </w:tcPr>
          <w:p w14:paraId="520EED4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170,956</w:t>
            </w:r>
          </w:p>
        </w:tc>
      </w:tr>
      <w:tr w:rsidR="002242F3" w:rsidRPr="005E3B44" w14:paraId="3846AE7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3F68A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11,060</w:t>
            </w:r>
          </w:p>
        </w:tc>
        <w:tc>
          <w:tcPr>
            <w:tcW w:w="2385" w:type="dxa"/>
            <w:tcBorders>
              <w:top w:val="nil"/>
              <w:left w:val="nil"/>
              <w:bottom w:val="nil"/>
              <w:right w:val="nil"/>
              <w:tl2br w:val="nil"/>
              <w:tr2bl w:val="nil"/>
            </w:tcBorders>
            <w:shd w:val="clear" w:color="auto" w:fill="auto"/>
            <w:noWrap/>
            <w:tcMar>
              <w:left w:w="101" w:type="dxa"/>
              <w:right w:w="101" w:type="dxa"/>
            </w:tcMar>
          </w:tcPr>
          <w:p w14:paraId="4D9E58A2"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EBB1EC2"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12,678</w:t>
            </w:r>
          </w:p>
        </w:tc>
        <w:tc>
          <w:tcPr>
            <w:tcW w:w="1035" w:type="dxa"/>
            <w:tcBorders>
              <w:top w:val="nil"/>
              <w:left w:val="nil"/>
              <w:bottom w:val="nil"/>
              <w:right w:val="nil"/>
              <w:tl2br w:val="nil"/>
              <w:tr2bl w:val="nil"/>
            </w:tcBorders>
            <w:shd w:val="clear" w:color="FFFFFF" w:fill="FFFFFF"/>
            <w:tcMar>
              <w:left w:w="101" w:type="dxa"/>
              <w:right w:w="101" w:type="dxa"/>
            </w:tcMar>
          </w:tcPr>
          <w:p w14:paraId="7B97E57E"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12,283</w:t>
            </w:r>
          </w:p>
        </w:tc>
        <w:tc>
          <w:tcPr>
            <w:tcW w:w="600" w:type="dxa"/>
            <w:tcBorders>
              <w:top w:val="nil"/>
              <w:left w:val="nil"/>
              <w:bottom w:val="nil"/>
              <w:right w:val="nil"/>
              <w:tl2br w:val="nil"/>
              <w:tr2bl w:val="nil"/>
            </w:tcBorders>
            <w:shd w:val="clear" w:color="FFFFFF" w:fill="FFFFFF"/>
            <w:tcMar>
              <w:left w:w="101" w:type="dxa"/>
              <w:right w:w="101" w:type="dxa"/>
            </w:tcMar>
          </w:tcPr>
          <w:p w14:paraId="0D4C1DFE"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3C275FA2"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12,628</w:t>
            </w:r>
          </w:p>
        </w:tc>
        <w:tc>
          <w:tcPr>
            <w:tcW w:w="1035" w:type="dxa"/>
            <w:tcBorders>
              <w:top w:val="nil"/>
              <w:left w:val="nil"/>
              <w:bottom w:val="nil"/>
              <w:right w:val="nil"/>
              <w:tl2br w:val="nil"/>
              <w:tr2bl w:val="nil"/>
            </w:tcBorders>
            <w:shd w:val="clear" w:color="FFFFFF" w:fill="FFFFFF"/>
            <w:tcMar>
              <w:left w:w="101" w:type="dxa"/>
              <w:right w:w="101" w:type="dxa"/>
            </w:tcMar>
          </w:tcPr>
          <w:p w14:paraId="4D8C92D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12,978</w:t>
            </w:r>
          </w:p>
        </w:tc>
        <w:tc>
          <w:tcPr>
            <w:tcW w:w="1035" w:type="dxa"/>
            <w:tcBorders>
              <w:top w:val="nil"/>
              <w:left w:val="nil"/>
              <w:bottom w:val="nil"/>
              <w:right w:val="nil"/>
              <w:tl2br w:val="nil"/>
              <w:tr2bl w:val="nil"/>
            </w:tcBorders>
            <w:shd w:val="clear" w:color="FFFFFF" w:fill="FFFFFF"/>
            <w:tcMar>
              <w:left w:w="101" w:type="dxa"/>
              <w:right w:w="101" w:type="dxa"/>
            </w:tcMar>
          </w:tcPr>
          <w:p w14:paraId="24E9CC13"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13,256</w:t>
            </w:r>
          </w:p>
        </w:tc>
      </w:tr>
      <w:tr w:rsidR="002242F3" w:rsidRPr="005E3B44" w14:paraId="079304CD"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9F3870"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3,638</w:t>
            </w:r>
          </w:p>
        </w:tc>
        <w:tc>
          <w:tcPr>
            <w:tcW w:w="2385" w:type="dxa"/>
            <w:tcBorders>
              <w:top w:val="nil"/>
              <w:left w:val="nil"/>
              <w:bottom w:val="nil"/>
              <w:right w:val="nil"/>
              <w:tl2br w:val="nil"/>
              <w:tr2bl w:val="nil"/>
            </w:tcBorders>
            <w:shd w:val="clear" w:color="auto" w:fill="auto"/>
            <w:noWrap/>
            <w:tcMar>
              <w:left w:w="101" w:type="dxa"/>
              <w:right w:w="101" w:type="dxa"/>
            </w:tcMar>
          </w:tcPr>
          <w:p w14:paraId="1944DF2E"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0232ADEC"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3,797</w:t>
            </w:r>
          </w:p>
        </w:tc>
        <w:tc>
          <w:tcPr>
            <w:tcW w:w="1035" w:type="dxa"/>
            <w:tcBorders>
              <w:top w:val="nil"/>
              <w:left w:val="nil"/>
              <w:bottom w:val="nil"/>
              <w:right w:val="nil"/>
              <w:tl2br w:val="nil"/>
              <w:tr2bl w:val="nil"/>
            </w:tcBorders>
            <w:shd w:val="clear" w:color="FFFFFF" w:fill="FFFFFF"/>
            <w:tcMar>
              <w:left w:w="101" w:type="dxa"/>
              <w:right w:w="101" w:type="dxa"/>
            </w:tcMar>
          </w:tcPr>
          <w:p w14:paraId="6D46F1C7"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2,256</w:t>
            </w:r>
          </w:p>
        </w:tc>
        <w:tc>
          <w:tcPr>
            <w:tcW w:w="600" w:type="dxa"/>
            <w:tcBorders>
              <w:top w:val="nil"/>
              <w:left w:val="nil"/>
              <w:bottom w:val="nil"/>
              <w:right w:val="nil"/>
              <w:tl2br w:val="nil"/>
              <w:tr2bl w:val="nil"/>
            </w:tcBorders>
            <w:shd w:val="clear" w:color="FFFFFF" w:fill="FFFFFF"/>
            <w:tcMar>
              <w:left w:w="101" w:type="dxa"/>
              <w:right w:w="101" w:type="dxa"/>
            </w:tcMar>
          </w:tcPr>
          <w:p w14:paraId="55B63E3A"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-41 </w:t>
            </w:r>
          </w:p>
        </w:tc>
        <w:tc>
          <w:tcPr>
            <w:tcW w:w="1035" w:type="dxa"/>
            <w:tcBorders>
              <w:top w:val="nil"/>
              <w:left w:val="nil"/>
              <w:bottom w:val="nil"/>
              <w:right w:val="nil"/>
              <w:tl2br w:val="nil"/>
              <w:tr2bl w:val="nil"/>
            </w:tcBorders>
            <w:shd w:val="clear" w:color="FFFFFF" w:fill="FFFFFF"/>
            <w:tcMar>
              <w:left w:w="101" w:type="dxa"/>
              <w:right w:w="101" w:type="dxa"/>
            </w:tcMar>
          </w:tcPr>
          <w:p w14:paraId="4B7E2D3B"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2,306</w:t>
            </w:r>
          </w:p>
        </w:tc>
        <w:tc>
          <w:tcPr>
            <w:tcW w:w="1035" w:type="dxa"/>
            <w:tcBorders>
              <w:top w:val="nil"/>
              <w:left w:val="nil"/>
              <w:bottom w:val="nil"/>
              <w:right w:val="nil"/>
              <w:tl2br w:val="nil"/>
              <w:tr2bl w:val="nil"/>
            </w:tcBorders>
            <w:shd w:val="clear" w:color="FFFFFF" w:fill="FFFFFF"/>
            <w:tcMar>
              <w:left w:w="101" w:type="dxa"/>
              <w:right w:w="101" w:type="dxa"/>
            </w:tcMar>
          </w:tcPr>
          <w:p w14:paraId="429A1B6E"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2,358</w:t>
            </w:r>
          </w:p>
        </w:tc>
        <w:tc>
          <w:tcPr>
            <w:tcW w:w="1035" w:type="dxa"/>
            <w:tcBorders>
              <w:top w:val="nil"/>
              <w:left w:val="nil"/>
              <w:bottom w:val="nil"/>
              <w:right w:val="nil"/>
              <w:tl2br w:val="nil"/>
              <w:tr2bl w:val="nil"/>
            </w:tcBorders>
            <w:shd w:val="clear" w:color="FFFFFF" w:fill="FFFFFF"/>
            <w:tcMar>
              <w:left w:w="101" w:type="dxa"/>
              <w:right w:w="101" w:type="dxa"/>
            </w:tcMar>
          </w:tcPr>
          <w:p w14:paraId="2D1B337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2,412</w:t>
            </w:r>
          </w:p>
        </w:tc>
      </w:tr>
      <w:tr w:rsidR="002242F3" w:rsidRPr="005E3B44" w14:paraId="08BC1F4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2BDD67"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3,651</w:t>
            </w:r>
          </w:p>
        </w:tc>
        <w:tc>
          <w:tcPr>
            <w:tcW w:w="2385" w:type="dxa"/>
            <w:tcBorders>
              <w:top w:val="nil"/>
              <w:left w:val="nil"/>
              <w:bottom w:val="nil"/>
              <w:right w:val="nil"/>
              <w:tl2br w:val="nil"/>
              <w:tr2bl w:val="nil"/>
            </w:tcBorders>
            <w:shd w:val="clear" w:color="auto" w:fill="auto"/>
            <w:noWrap/>
            <w:tcMar>
              <w:left w:w="101" w:type="dxa"/>
              <w:right w:w="101" w:type="dxa"/>
            </w:tcMar>
          </w:tcPr>
          <w:p w14:paraId="63D98358"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2A90B963"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3,784</w:t>
            </w:r>
          </w:p>
        </w:tc>
        <w:tc>
          <w:tcPr>
            <w:tcW w:w="1035" w:type="dxa"/>
            <w:tcBorders>
              <w:top w:val="nil"/>
              <w:left w:val="nil"/>
              <w:bottom w:val="nil"/>
              <w:right w:val="nil"/>
              <w:tl2br w:val="nil"/>
              <w:tr2bl w:val="nil"/>
            </w:tcBorders>
            <w:shd w:val="clear" w:color="FFFFFF" w:fill="FFFFFF"/>
            <w:tcMar>
              <w:left w:w="101" w:type="dxa"/>
              <w:right w:w="101" w:type="dxa"/>
            </w:tcMar>
          </w:tcPr>
          <w:p w14:paraId="0D24CC7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2,489</w:t>
            </w:r>
          </w:p>
        </w:tc>
        <w:tc>
          <w:tcPr>
            <w:tcW w:w="600" w:type="dxa"/>
            <w:tcBorders>
              <w:top w:val="nil"/>
              <w:left w:val="nil"/>
              <w:bottom w:val="nil"/>
              <w:right w:val="nil"/>
              <w:tl2br w:val="nil"/>
              <w:tr2bl w:val="nil"/>
            </w:tcBorders>
            <w:shd w:val="clear" w:color="FFFFFF" w:fill="FFFFFF"/>
            <w:tcMar>
              <w:left w:w="101" w:type="dxa"/>
              <w:right w:w="101" w:type="dxa"/>
            </w:tcMar>
          </w:tcPr>
          <w:p w14:paraId="57C44E8A"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2105DA27"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2,555</w:t>
            </w:r>
          </w:p>
        </w:tc>
        <w:tc>
          <w:tcPr>
            <w:tcW w:w="1035" w:type="dxa"/>
            <w:tcBorders>
              <w:top w:val="nil"/>
              <w:left w:val="nil"/>
              <w:bottom w:val="nil"/>
              <w:right w:val="nil"/>
              <w:tl2br w:val="nil"/>
              <w:tr2bl w:val="nil"/>
            </w:tcBorders>
            <w:shd w:val="clear" w:color="FFFFFF" w:fill="FFFFFF"/>
            <w:tcMar>
              <w:left w:w="101" w:type="dxa"/>
              <w:right w:w="101" w:type="dxa"/>
            </w:tcMar>
          </w:tcPr>
          <w:p w14:paraId="788ED1B9"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2,607</w:t>
            </w:r>
          </w:p>
        </w:tc>
        <w:tc>
          <w:tcPr>
            <w:tcW w:w="1035" w:type="dxa"/>
            <w:tcBorders>
              <w:top w:val="nil"/>
              <w:left w:val="nil"/>
              <w:bottom w:val="nil"/>
              <w:right w:val="nil"/>
              <w:tl2br w:val="nil"/>
              <w:tr2bl w:val="nil"/>
            </w:tcBorders>
            <w:shd w:val="clear" w:color="FFFFFF" w:fill="FFFFFF"/>
            <w:tcMar>
              <w:left w:w="101" w:type="dxa"/>
              <w:right w:w="101" w:type="dxa"/>
            </w:tcMar>
          </w:tcPr>
          <w:p w14:paraId="1A1091F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2,665</w:t>
            </w:r>
          </w:p>
        </w:tc>
      </w:tr>
      <w:tr w:rsidR="002242F3" w:rsidRPr="005E3B44" w14:paraId="32BAE52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088DE8"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738D014"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935E17"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8D757E"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E13426"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9A5353"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7B4F81"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A5ABC2"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3860653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6F6D5ED"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164,542</w:t>
            </w:r>
          </w:p>
        </w:tc>
        <w:tc>
          <w:tcPr>
            <w:tcW w:w="2385" w:type="dxa"/>
            <w:tcBorders>
              <w:top w:val="nil"/>
              <w:left w:val="nil"/>
              <w:bottom w:val="nil"/>
              <w:right w:val="nil"/>
              <w:tl2br w:val="nil"/>
              <w:tr2bl w:val="nil"/>
            </w:tcBorders>
            <w:shd w:val="clear" w:color="FFFFFF" w:fill="FFFFFF"/>
            <w:tcMar>
              <w:left w:w="101" w:type="dxa"/>
              <w:right w:w="101" w:type="dxa"/>
            </w:tcMar>
          </w:tcPr>
          <w:p w14:paraId="0679B221"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05B344FA"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162,715</w:t>
            </w:r>
          </w:p>
        </w:tc>
        <w:tc>
          <w:tcPr>
            <w:tcW w:w="1035" w:type="dxa"/>
            <w:tcBorders>
              <w:top w:val="nil"/>
              <w:left w:val="nil"/>
              <w:bottom w:val="nil"/>
              <w:right w:val="nil"/>
              <w:tl2br w:val="nil"/>
              <w:tr2bl w:val="nil"/>
            </w:tcBorders>
            <w:shd w:val="clear" w:color="FFFFFF" w:fill="FFFFFF"/>
            <w:tcMar>
              <w:left w:w="101" w:type="dxa"/>
              <w:right w:w="101" w:type="dxa"/>
            </w:tcMar>
          </w:tcPr>
          <w:p w14:paraId="4969EC02"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169,410</w:t>
            </w:r>
          </w:p>
        </w:tc>
        <w:tc>
          <w:tcPr>
            <w:tcW w:w="600" w:type="dxa"/>
            <w:tcBorders>
              <w:top w:val="nil"/>
              <w:left w:val="nil"/>
              <w:bottom w:val="nil"/>
              <w:right w:val="nil"/>
              <w:tl2br w:val="nil"/>
              <w:tr2bl w:val="nil"/>
            </w:tcBorders>
            <w:shd w:val="clear" w:color="FFFFFF" w:fill="FFFFFF"/>
            <w:tcMar>
              <w:left w:w="101" w:type="dxa"/>
              <w:right w:w="101" w:type="dxa"/>
            </w:tcMar>
          </w:tcPr>
          <w:p w14:paraId="7F8FE39C"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4E1BE489"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175,714</w:t>
            </w:r>
          </w:p>
        </w:tc>
        <w:tc>
          <w:tcPr>
            <w:tcW w:w="1035" w:type="dxa"/>
            <w:tcBorders>
              <w:top w:val="nil"/>
              <w:left w:val="nil"/>
              <w:bottom w:val="nil"/>
              <w:right w:val="nil"/>
              <w:tl2br w:val="nil"/>
              <w:tr2bl w:val="nil"/>
            </w:tcBorders>
            <w:shd w:val="clear" w:color="FFFFFF" w:fill="FFFFFF"/>
            <w:tcMar>
              <w:left w:w="101" w:type="dxa"/>
              <w:right w:w="101" w:type="dxa"/>
            </w:tcMar>
          </w:tcPr>
          <w:p w14:paraId="1F1B4831"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185,259</w:t>
            </w:r>
          </w:p>
        </w:tc>
        <w:tc>
          <w:tcPr>
            <w:tcW w:w="1035" w:type="dxa"/>
            <w:tcBorders>
              <w:top w:val="nil"/>
              <w:left w:val="nil"/>
              <w:bottom w:val="nil"/>
              <w:right w:val="nil"/>
              <w:tl2br w:val="nil"/>
              <w:tr2bl w:val="nil"/>
            </w:tcBorders>
            <w:shd w:val="clear" w:color="FFFFFF" w:fill="FFFFFF"/>
            <w:tcMar>
              <w:left w:w="101" w:type="dxa"/>
              <w:right w:w="101" w:type="dxa"/>
            </w:tcMar>
          </w:tcPr>
          <w:p w14:paraId="74AD5345"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189,289</w:t>
            </w:r>
          </w:p>
        </w:tc>
      </w:tr>
      <w:tr w:rsidR="002242F3" w:rsidRPr="005E3B44" w14:paraId="4D84138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18DA02"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705A71"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4A611D"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7C7AFD"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871380"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03FC4D"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F2F7E7"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1D4245"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7B37D3A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EE004D"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B8E7724"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537D92DE"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7832FB"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4882FB"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D588B6"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EA8A6E"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CD6F69"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04659D7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7BEA214"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575CA3F8"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180B3E9B"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144</w:t>
            </w:r>
          </w:p>
        </w:tc>
        <w:tc>
          <w:tcPr>
            <w:tcW w:w="1035" w:type="dxa"/>
            <w:tcBorders>
              <w:top w:val="nil"/>
              <w:left w:val="nil"/>
              <w:bottom w:val="nil"/>
              <w:right w:val="nil"/>
              <w:tl2br w:val="nil"/>
              <w:tr2bl w:val="nil"/>
            </w:tcBorders>
            <w:shd w:val="clear" w:color="FFFFFF" w:fill="FFFFFF"/>
            <w:tcMar>
              <w:left w:w="101" w:type="dxa"/>
              <w:right w:w="101" w:type="dxa"/>
            </w:tcMar>
          </w:tcPr>
          <w:p w14:paraId="026D8E2A"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FF38A2B"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D087434"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5EE4E7"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B804F0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2242F3" w:rsidRPr="005E3B44" w14:paraId="62EB7B2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567588"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4E7CF0E"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FF0E1A"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CCAFE6"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84C3BA"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5580BF"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3918D8"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7B013E"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37F72EEB"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E00930"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73CD72F7"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2BC069BD"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144</w:t>
            </w:r>
          </w:p>
        </w:tc>
        <w:tc>
          <w:tcPr>
            <w:tcW w:w="1035" w:type="dxa"/>
            <w:tcBorders>
              <w:top w:val="nil"/>
              <w:left w:val="nil"/>
              <w:bottom w:val="nil"/>
              <w:right w:val="nil"/>
              <w:tl2br w:val="nil"/>
              <w:tr2bl w:val="nil"/>
            </w:tcBorders>
            <w:shd w:val="clear" w:color="FFFFFF" w:fill="FFFFFF"/>
            <w:tcMar>
              <w:left w:w="101" w:type="dxa"/>
              <w:right w:w="101" w:type="dxa"/>
            </w:tcMar>
          </w:tcPr>
          <w:p w14:paraId="0FA542D1"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2010685"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C63F7CF"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2266B5B"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6F173E0"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2242F3" w:rsidRPr="005E3B44" w14:paraId="351933F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CFBF58"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CEC61DE"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7365C0"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136A5E"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E4561D"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C878B1"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CAF631"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53921D"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2DD8FAB6"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2EC0F09"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164,542</w:t>
            </w:r>
          </w:p>
        </w:tc>
        <w:tc>
          <w:tcPr>
            <w:tcW w:w="2385" w:type="dxa"/>
            <w:tcBorders>
              <w:top w:val="nil"/>
              <w:left w:val="nil"/>
              <w:bottom w:val="nil"/>
              <w:right w:val="nil"/>
              <w:tl2br w:val="nil"/>
              <w:tr2bl w:val="nil"/>
            </w:tcBorders>
            <w:shd w:val="clear" w:color="FFFFFF" w:fill="FFFFFF"/>
            <w:tcMar>
              <w:left w:w="101" w:type="dxa"/>
              <w:right w:w="101" w:type="dxa"/>
            </w:tcMar>
          </w:tcPr>
          <w:p w14:paraId="5509807E"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689352C3"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162,859</w:t>
            </w:r>
          </w:p>
        </w:tc>
        <w:tc>
          <w:tcPr>
            <w:tcW w:w="1035" w:type="dxa"/>
            <w:tcBorders>
              <w:top w:val="nil"/>
              <w:left w:val="nil"/>
              <w:bottom w:val="nil"/>
              <w:right w:val="nil"/>
              <w:tl2br w:val="nil"/>
              <w:tr2bl w:val="nil"/>
            </w:tcBorders>
            <w:shd w:val="clear" w:color="FFFFFF" w:fill="FFFFFF"/>
            <w:tcMar>
              <w:left w:w="101" w:type="dxa"/>
              <w:right w:w="101" w:type="dxa"/>
            </w:tcMar>
          </w:tcPr>
          <w:p w14:paraId="76DAFFBE"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169,410</w:t>
            </w:r>
          </w:p>
        </w:tc>
        <w:tc>
          <w:tcPr>
            <w:tcW w:w="600" w:type="dxa"/>
            <w:tcBorders>
              <w:top w:val="nil"/>
              <w:left w:val="nil"/>
              <w:bottom w:val="nil"/>
              <w:right w:val="nil"/>
              <w:tl2br w:val="nil"/>
              <w:tr2bl w:val="nil"/>
            </w:tcBorders>
            <w:shd w:val="clear" w:color="FFFFFF" w:fill="FFFFFF"/>
            <w:tcMar>
              <w:left w:w="101" w:type="dxa"/>
              <w:right w:w="101" w:type="dxa"/>
            </w:tcMar>
          </w:tcPr>
          <w:p w14:paraId="4A92145C"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6123DC78"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175,714</w:t>
            </w:r>
          </w:p>
        </w:tc>
        <w:tc>
          <w:tcPr>
            <w:tcW w:w="1035" w:type="dxa"/>
            <w:tcBorders>
              <w:top w:val="nil"/>
              <w:left w:val="nil"/>
              <w:bottom w:val="nil"/>
              <w:right w:val="nil"/>
              <w:tl2br w:val="nil"/>
              <w:tr2bl w:val="nil"/>
            </w:tcBorders>
            <w:shd w:val="clear" w:color="FFFFFF" w:fill="FFFFFF"/>
            <w:tcMar>
              <w:left w:w="101" w:type="dxa"/>
              <w:right w:w="101" w:type="dxa"/>
            </w:tcMar>
          </w:tcPr>
          <w:p w14:paraId="37CDD9A3"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185,259</w:t>
            </w:r>
          </w:p>
        </w:tc>
        <w:tc>
          <w:tcPr>
            <w:tcW w:w="1035" w:type="dxa"/>
            <w:tcBorders>
              <w:top w:val="nil"/>
              <w:left w:val="nil"/>
              <w:bottom w:val="nil"/>
              <w:right w:val="nil"/>
              <w:tl2br w:val="nil"/>
              <w:tr2bl w:val="nil"/>
            </w:tcBorders>
            <w:shd w:val="clear" w:color="FFFFFF" w:fill="FFFFFF"/>
            <w:tcMar>
              <w:left w:w="101" w:type="dxa"/>
              <w:right w:w="101" w:type="dxa"/>
            </w:tcMar>
          </w:tcPr>
          <w:p w14:paraId="6F230739"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189,289</w:t>
            </w:r>
          </w:p>
        </w:tc>
      </w:tr>
      <w:tr w:rsidR="002242F3" w:rsidRPr="005E3B44" w14:paraId="5461EF5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16EC42"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2729F82"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5DF7B3"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F44DB8"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564E74"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0CA457"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095C2B"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21D129"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7776D02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2756C3"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C384A3D"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3684C001"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C6C8E5"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15CD8F"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7BD505"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A7F437"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09BD3"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1E328E32"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1D6F72"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100,550</w:t>
            </w:r>
          </w:p>
        </w:tc>
        <w:tc>
          <w:tcPr>
            <w:tcW w:w="2385" w:type="dxa"/>
            <w:tcBorders>
              <w:top w:val="nil"/>
              <w:left w:val="nil"/>
              <w:bottom w:val="nil"/>
              <w:right w:val="nil"/>
              <w:tl2br w:val="nil"/>
              <w:tr2bl w:val="nil"/>
            </w:tcBorders>
            <w:shd w:val="clear" w:color="FFFFFF" w:fill="FFFFFF"/>
            <w:noWrap/>
            <w:tcMar>
              <w:left w:w="101" w:type="dxa"/>
              <w:right w:w="101" w:type="dxa"/>
            </w:tcMar>
          </w:tcPr>
          <w:p w14:paraId="18493046"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ACDA853"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106,675</w:t>
            </w:r>
          </w:p>
        </w:tc>
        <w:tc>
          <w:tcPr>
            <w:tcW w:w="1035" w:type="dxa"/>
            <w:tcBorders>
              <w:top w:val="nil"/>
              <w:left w:val="nil"/>
              <w:bottom w:val="nil"/>
              <w:right w:val="nil"/>
              <w:tl2br w:val="nil"/>
              <w:tr2bl w:val="nil"/>
            </w:tcBorders>
            <w:shd w:val="clear" w:color="FFFFFF" w:fill="FFFFFF"/>
            <w:tcMar>
              <w:left w:w="101" w:type="dxa"/>
              <w:right w:w="101" w:type="dxa"/>
            </w:tcMar>
          </w:tcPr>
          <w:p w14:paraId="4EBF4926"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105,670</w:t>
            </w:r>
          </w:p>
        </w:tc>
        <w:tc>
          <w:tcPr>
            <w:tcW w:w="600" w:type="dxa"/>
            <w:tcBorders>
              <w:top w:val="nil"/>
              <w:left w:val="nil"/>
              <w:bottom w:val="nil"/>
              <w:right w:val="nil"/>
              <w:tl2br w:val="nil"/>
              <w:tr2bl w:val="nil"/>
            </w:tcBorders>
            <w:shd w:val="clear" w:color="FFFFFF" w:fill="FFFFFF"/>
            <w:tcMar>
              <w:left w:w="101" w:type="dxa"/>
              <w:right w:w="101" w:type="dxa"/>
            </w:tcMar>
          </w:tcPr>
          <w:p w14:paraId="1B661E3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7A1A43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110,284</w:t>
            </w:r>
          </w:p>
        </w:tc>
        <w:tc>
          <w:tcPr>
            <w:tcW w:w="1035" w:type="dxa"/>
            <w:tcBorders>
              <w:top w:val="nil"/>
              <w:left w:val="nil"/>
              <w:bottom w:val="nil"/>
              <w:right w:val="nil"/>
              <w:tl2br w:val="nil"/>
              <w:tr2bl w:val="nil"/>
            </w:tcBorders>
            <w:shd w:val="clear" w:color="FFFFFF" w:fill="FFFFFF"/>
            <w:tcMar>
              <w:left w:w="101" w:type="dxa"/>
              <w:right w:w="101" w:type="dxa"/>
            </w:tcMar>
          </w:tcPr>
          <w:p w14:paraId="4F254DA2"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117,454</w:t>
            </w:r>
          </w:p>
        </w:tc>
        <w:tc>
          <w:tcPr>
            <w:tcW w:w="1035" w:type="dxa"/>
            <w:tcBorders>
              <w:top w:val="nil"/>
              <w:left w:val="nil"/>
              <w:bottom w:val="nil"/>
              <w:right w:val="nil"/>
              <w:tl2br w:val="nil"/>
              <w:tr2bl w:val="nil"/>
            </w:tcBorders>
            <w:shd w:val="clear" w:color="FFFFFF" w:fill="FFFFFF"/>
            <w:tcMar>
              <w:left w:w="101" w:type="dxa"/>
              <w:right w:w="101" w:type="dxa"/>
            </w:tcMar>
          </w:tcPr>
          <w:p w14:paraId="65202B86"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119,730</w:t>
            </w:r>
          </w:p>
        </w:tc>
      </w:tr>
      <w:tr w:rsidR="002242F3" w:rsidRPr="005E3B44" w14:paraId="3FB52390"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85D7D4"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16,653</w:t>
            </w:r>
          </w:p>
        </w:tc>
        <w:tc>
          <w:tcPr>
            <w:tcW w:w="2385" w:type="dxa"/>
            <w:tcBorders>
              <w:top w:val="nil"/>
              <w:left w:val="nil"/>
              <w:bottom w:val="nil"/>
              <w:right w:val="nil"/>
              <w:tl2br w:val="nil"/>
              <w:tr2bl w:val="nil"/>
            </w:tcBorders>
            <w:shd w:val="clear" w:color="FFFFFF" w:fill="FFFFFF"/>
            <w:noWrap/>
            <w:tcMar>
              <w:left w:w="101" w:type="dxa"/>
              <w:right w:w="101" w:type="dxa"/>
            </w:tcMar>
          </w:tcPr>
          <w:p w14:paraId="6DB59450"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6A07B90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15,535</w:t>
            </w:r>
          </w:p>
        </w:tc>
        <w:tc>
          <w:tcPr>
            <w:tcW w:w="1035" w:type="dxa"/>
            <w:tcBorders>
              <w:top w:val="nil"/>
              <w:left w:val="nil"/>
              <w:bottom w:val="nil"/>
              <w:right w:val="nil"/>
              <w:tl2br w:val="nil"/>
              <w:tr2bl w:val="nil"/>
            </w:tcBorders>
            <w:shd w:val="clear" w:color="FFFFFF" w:fill="FFFFFF"/>
            <w:tcMar>
              <w:left w:w="101" w:type="dxa"/>
              <w:right w:w="101" w:type="dxa"/>
            </w:tcMar>
          </w:tcPr>
          <w:p w14:paraId="4551EDA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18,768</w:t>
            </w:r>
          </w:p>
        </w:tc>
        <w:tc>
          <w:tcPr>
            <w:tcW w:w="600" w:type="dxa"/>
            <w:tcBorders>
              <w:top w:val="nil"/>
              <w:left w:val="nil"/>
              <w:bottom w:val="nil"/>
              <w:right w:val="nil"/>
              <w:tl2br w:val="nil"/>
              <w:tr2bl w:val="nil"/>
            </w:tcBorders>
            <w:shd w:val="clear" w:color="FFFFFF" w:fill="FFFFFF"/>
            <w:tcMar>
              <w:left w:w="101" w:type="dxa"/>
              <w:right w:w="101" w:type="dxa"/>
            </w:tcMar>
          </w:tcPr>
          <w:p w14:paraId="7317DF29"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75D91583"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19,553</w:t>
            </w:r>
          </w:p>
        </w:tc>
        <w:tc>
          <w:tcPr>
            <w:tcW w:w="1035" w:type="dxa"/>
            <w:tcBorders>
              <w:top w:val="nil"/>
              <w:left w:val="nil"/>
              <w:bottom w:val="nil"/>
              <w:right w:val="nil"/>
              <w:tl2br w:val="nil"/>
              <w:tr2bl w:val="nil"/>
            </w:tcBorders>
            <w:shd w:val="clear" w:color="FFFFFF" w:fill="FFFFFF"/>
            <w:tcMar>
              <w:left w:w="101" w:type="dxa"/>
              <w:right w:w="101" w:type="dxa"/>
            </w:tcMar>
          </w:tcPr>
          <w:p w14:paraId="241B38E7"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20,240</w:t>
            </w:r>
          </w:p>
        </w:tc>
        <w:tc>
          <w:tcPr>
            <w:tcW w:w="1035" w:type="dxa"/>
            <w:tcBorders>
              <w:top w:val="nil"/>
              <w:left w:val="nil"/>
              <w:bottom w:val="nil"/>
              <w:right w:val="nil"/>
              <w:tl2br w:val="nil"/>
              <w:tr2bl w:val="nil"/>
            </w:tcBorders>
            <w:shd w:val="clear" w:color="FFFFFF" w:fill="FFFFFF"/>
            <w:tcMar>
              <w:left w:w="101" w:type="dxa"/>
              <w:right w:w="101" w:type="dxa"/>
            </w:tcMar>
          </w:tcPr>
          <w:p w14:paraId="4362C890"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21,051</w:t>
            </w:r>
          </w:p>
        </w:tc>
      </w:tr>
      <w:tr w:rsidR="002242F3" w:rsidRPr="005E3B44" w14:paraId="7055611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2230B1"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43,781</w:t>
            </w:r>
          </w:p>
        </w:tc>
        <w:tc>
          <w:tcPr>
            <w:tcW w:w="2385" w:type="dxa"/>
            <w:tcBorders>
              <w:top w:val="nil"/>
              <w:left w:val="nil"/>
              <w:bottom w:val="nil"/>
              <w:right w:val="nil"/>
              <w:tl2br w:val="nil"/>
              <w:tr2bl w:val="nil"/>
            </w:tcBorders>
            <w:shd w:val="clear" w:color="FFFFFF" w:fill="FFFFFF"/>
            <w:noWrap/>
            <w:tcMar>
              <w:left w:w="101" w:type="dxa"/>
              <w:right w:w="101" w:type="dxa"/>
            </w:tcMar>
          </w:tcPr>
          <w:p w14:paraId="71B2C6EC"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28636A7"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49,648</w:t>
            </w:r>
          </w:p>
        </w:tc>
        <w:tc>
          <w:tcPr>
            <w:tcW w:w="1035" w:type="dxa"/>
            <w:tcBorders>
              <w:top w:val="nil"/>
              <w:left w:val="nil"/>
              <w:bottom w:val="nil"/>
              <w:right w:val="nil"/>
              <w:tl2br w:val="nil"/>
              <w:tr2bl w:val="nil"/>
            </w:tcBorders>
            <w:shd w:val="clear" w:color="FFFFFF" w:fill="FFFFFF"/>
            <w:tcMar>
              <w:left w:w="101" w:type="dxa"/>
              <w:right w:w="101" w:type="dxa"/>
            </w:tcMar>
          </w:tcPr>
          <w:p w14:paraId="21EBACAA"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41,667</w:t>
            </w:r>
          </w:p>
        </w:tc>
        <w:tc>
          <w:tcPr>
            <w:tcW w:w="600" w:type="dxa"/>
            <w:tcBorders>
              <w:top w:val="nil"/>
              <w:left w:val="nil"/>
              <w:bottom w:val="nil"/>
              <w:right w:val="nil"/>
              <w:tl2br w:val="nil"/>
              <w:tr2bl w:val="nil"/>
            </w:tcBorders>
            <w:shd w:val="clear" w:color="FFFFFF" w:fill="FFFFFF"/>
            <w:tcMar>
              <w:left w:w="101" w:type="dxa"/>
              <w:right w:w="101" w:type="dxa"/>
            </w:tcMar>
          </w:tcPr>
          <w:p w14:paraId="694BC34E"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1A908777"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42,715</w:t>
            </w:r>
          </w:p>
        </w:tc>
        <w:tc>
          <w:tcPr>
            <w:tcW w:w="1035" w:type="dxa"/>
            <w:tcBorders>
              <w:top w:val="nil"/>
              <w:left w:val="nil"/>
              <w:bottom w:val="nil"/>
              <w:right w:val="nil"/>
              <w:tl2br w:val="nil"/>
              <w:tr2bl w:val="nil"/>
            </w:tcBorders>
            <w:shd w:val="clear" w:color="FFFFFF" w:fill="FFFFFF"/>
            <w:tcMar>
              <w:left w:w="101" w:type="dxa"/>
              <w:right w:w="101" w:type="dxa"/>
            </w:tcMar>
          </w:tcPr>
          <w:p w14:paraId="35A9AAEF"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44,850</w:t>
            </w:r>
          </w:p>
        </w:tc>
        <w:tc>
          <w:tcPr>
            <w:tcW w:w="1035" w:type="dxa"/>
            <w:tcBorders>
              <w:top w:val="nil"/>
              <w:left w:val="nil"/>
              <w:bottom w:val="nil"/>
              <w:right w:val="nil"/>
              <w:tl2br w:val="nil"/>
              <w:tr2bl w:val="nil"/>
            </w:tcBorders>
            <w:shd w:val="clear" w:color="FFFFFF" w:fill="FFFFFF"/>
            <w:tcMar>
              <w:left w:w="101" w:type="dxa"/>
              <w:right w:w="101" w:type="dxa"/>
            </w:tcMar>
          </w:tcPr>
          <w:p w14:paraId="490F7056"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46,111</w:t>
            </w:r>
          </w:p>
        </w:tc>
      </w:tr>
      <w:tr w:rsidR="002242F3" w:rsidRPr="005E3B44" w14:paraId="2ACC238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7AA4FF"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10,530</w:t>
            </w:r>
          </w:p>
        </w:tc>
        <w:tc>
          <w:tcPr>
            <w:tcW w:w="2385" w:type="dxa"/>
            <w:tcBorders>
              <w:top w:val="nil"/>
              <w:left w:val="nil"/>
              <w:bottom w:val="nil"/>
              <w:right w:val="nil"/>
              <w:tl2br w:val="nil"/>
              <w:tr2bl w:val="nil"/>
            </w:tcBorders>
            <w:shd w:val="clear" w:color="FFFFFF" w:fill="FFFFFF"/>
            <w:noWrap/>
            <w:tcMar>
              <w:left w:w="101" w:type="dxa"/>
              <w:right w:w="101" w:type="dxa"/>
            </w:tcMar>
          </w:tcPr>
          <w:p w14:paraId="7A188501"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19B36450"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10,750</w:t>
            </w:r>
          </w:p>
        </w:tc>
        <w:tc>
          <w:tcPr>
            <w:tcW w:w="1035" w:type="dxa"/>
            <w:tcBorders>
              <w:top w:val="nil"/>
              <w:left w:val="nil"/>
              <w:bottom w:val="nil"/>
              <w:right w:val="nil"/>
              <w:tl2br w:val="nil"/>
              <w:tr2bl w:val="nil"/>
            </w:tcBorders>
            <w:shd w:val="clear" w:color="FFFFFF" w:fill="FFFFFF"/>
            <w:tcMar>
              <w:left w:w="101" w:type="dxa"/>
              <w:right w:w="101" w:type="dxa"/>
            </w:tcMar>
          </w:tcPr>
          <w:p w14:paraId="121C08B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14,149</w:t>
            </w:r>
          </w:p>
        </w:tc>
        <w:tc>
          <w:tcPr>
            <w:tcW w:w="600" w:type="dxa"/>
            <w:tcBorders>
              <w:top w:val="nil"/>
              <w:left w:val="nil"/>
              <w:bottom w:val="nil"/>
              <w:right w:val="nil"/>
              <w:tl2br w:val="nil"/>
              <w:tr2bl w:val="nil"/>
            </w:tcBorders>
            <w:shd w:val="clear" w:color="FFFFFF" w:fill="FFFFFF"/>
            <w:tcMar>
              <w:left w:w="101" w:type="dxa"/>
              <w:right w:w="101" w:type="dxa"/>
            </w:tcMar>
          </w:tcPr>
          <w:p w14:paraId="5887EC90"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718B291A"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14,531</w:t>
            </w:r>
          </w:p>
        </w:tc>
        <w:tc>
          <w:tcPr>
            <w:tcW w:w="1035" w:type="dxa"/>
            <w:tcBorders>
              <w:top w:val="nil"/>
              <w:left w:val="nil"/>
              <w:bottom w:val="nil"/>
              <w:right w:val="nil"/>
              <w:tl2br w:val="nil"/>
              <w:tr2bl w:val="nil"/>
            </w:tcBorders>
            <w:shd w:val="clear" w:color="FFFFFF" w:fill="FFFFFF"/>
            <w:tcMar>
              <w:left w:w="101" w:type="dxa"/>
              <w:right w:w="101" w:type="dxa"/>
            </w:tcMar>
          </w:tcPr>
          <w:p w14:paraId="02B4ADA8"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16,648</w:t>
            </w:r>
          </w:p>
        </w:tc>
        <w:tc>
          <w:tcPr>
            <w:tcW w:w="1035" w:type="dxa"/>
            <w:tcBorders>
              <w:top w:val="nil"/>
              <w:left w:val="nil"/>
              <w:bottom w:val="nil"/>
              <w:right w:val="nil"/>
              <w:tl2br w:val="nil"/>
              <w:tr2bl w:val="nil"/>
            </w:tcBorders>
            <w:shd w:val="clear" w:color="FFFFFF" w:fill="FFFFFF"/>
            <w:tcMar>
              <w:left w:w="101" w:type="dxa"/>
              <w:right w:w="101" w:type="dxa"/>
            </w:tcMar>
          </w:tcPr>
          <w:p w14:paraId="6876A606"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17,184</w:t>
            </w:r>
          </w:p>
        </w:tc>
      </w:tr>
      <w:tr w:rsidR="002242F3" w:rsidRPr="005E3B44" w14:paraId="5CF1B5C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7BB95F"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w:t>
            </w:r>
          </w:p>
        </w:tc>
        <w:tc>
          <w:tcPr>
            <w:tcW w:w="2385" w:type="dxa"/>
            <w:tcBorders>
              <w:top w:val="nil"/>
              <w:left w:val="nil"/>
              <w:bottom w:val="nil"/>
              <w:right w:val="nil"/>
              <w:tl2br w:val="nil"/>
              <w:tr2bl w:val="nil"/>
            </w:tcBorders>
            <w:shd w:val="clear" w:color="FFFFFF" w:fill="FFFFFF"/>
            <w:noWrap/>
            <w:tcMar>
              <w:left w:w="101" w:type="dxa"/>
              <w:right w:w="101" w:type="dxa"/>
            </w:tcMar>
          </w:tcPr>
          <w:p w14:paraId="49836EB7"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23B5066"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488844C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197</w:t>
            </w:r>
          </w:p>
        </w:tc>
        <w:tc>
          <w:tcPr>
            <w:tcW w:w="600" w:type="dxa"/>
            <w:tcBorders>
              <w:top w:val="nil"/>
              <w:left w:val="nil"/>
              <w:bottom w:val="nil"/>
              <w:right w:val="nil"/>
              <w:tl2br w:val="nil"/>
              <w:tr2bl w:val="nil"/>
            </w:tcBorders>
            <w:shd w:val="clear" w:color="FFFFFF" w:fill="FFFFFF"/>
            <w:tcMar>
              <w:left w:w="101" w:type="dxa"/>
              <w:right w:w="101" w:type="dxa"/>
            </w:tcMar>
          </w:tcPr>
          <w:p w14:paraId="2EC44DF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BEF6F8B"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193</w:t>
            </w:r>
          </w:p>
        </w:tc>
        <w:tc>
          <w:tcPr>
            <w:tcW w:w="1035" w:type="dxa"/>
            <w:tcBorders>
              <w:top w:val="nil"/>
              <w:left w:val="nil"/>
              <w:bottom w:val="nil"/>
              <w:right w:val="nil"/>
              <w:tl2br w:val="nil"/>
              <w:tr2bl w:val="nil"/>
            </w:tcBorders>
            <w:shd w:val="clear" w:color="FFFFFF" w:fill="FFFFFF"/>
            <w:tcMar>
              <w:left w:w="101" w:type="dxa"/>
              <w:right w:w="101" w:type="dxa"/>
            </w:tcMar>
          </w:tcPr>
          <w:p w14:paraId="6B970288"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82</w:t>
            </w:r>
          </w:p>
        </w:tc>
        <w:tc>
          <w:tcPr>
            <w:tcW w:w="1035" w:type="dxa"/>
            <w:tcBorders>
              <w:top w:val="nil"/>
              <w:left w:val="nil"/>
              <w:bottom w:val="nil"/>
              <w:right w:val="nil"/>
              <w:tl2br w:val="nil"/>
              <w:tr2bl w:val="nil"/>
            </w:tcBorders>
            <w:shd w:val="clear" w:color="FFFFFF" w:fill="FFFFFF"/>
            <w:tcMar>
              <w:left w:w="101" w:type="dxa"/>
              <w:right w:w="101" w:type="dxa"/>
            </w:tcMar>
          </w:tcPr>
          <w:p w14:paraId="1B490FD9"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80</w:t>
            </w:r>
          </w:p>
        </w:tc>
      </w:tr>
      <w:tr w:rsidR="002242F3" w:rsidRPr="005E3B44" w14:paraId="06F51EB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D83544"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w:t>
            </w:r>
          </w:p>
        </w:tc>
        <w:tc>
          <w:tcPr>
            <w:tcW w:w="2385" w:type="dxa"/>
            <w:tcBorders>
              <w:top w:val="nil"/>
              <w:left w:val="nil"/>
              <w:bottom w:val="nil"/>
              <w:right w:val="nil"/>
              <w:tl2br w:val="nil"/>
              <w:tr2bl w:val="nil"/>
            </w:tcBorders>
            <w:shd w:val="clear" w:color="FFFFFF" w:fill="FFFFFF"/>
            <w:noWrap/>
            <w:tcMar>
              <w:left w:w="101" w:type="dxa"/>
              <w:right w:w="101" w:type="dxa"/>
            </w:tcMar>
          </w:tcPr>
          <w:p w14:paraId="64804998"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28942888"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w:t>
            </w:r>
          </w:p>
        </w:tc>
        <w:tc>
          <w:tcPr>
            <w:tcW w:w="1035" w:type="dxa"/>
            <w:tcBorders>
              <w:top w:val="nil"/>
              <w:left w:val="nil"/>
              <w:bottom w:val="nil"/>
              <w:right w:val="nil"/>
              <w:tl2br w:val="nil"/>
              <w:tr2bl w:val="nil"/>
            </w:tcBorders>
            <w:shd w:val="clear" w:color="FFFFFF" w:fill="FFFFFF"/>
            <w:tcMar>
              <w:left w:w="101" w:type="dxa"/>
              <w:right w:w="101" w:type="dxa"/>
            </w:tcMar>
          </w:tcPr>
          <w:p w14:paraId="56E3BADA"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w:t>
            </w:r>
          </w:p>
        </w:tc>
        <w:tc>
          <w:tcPr>
            <w:tcW w:w="600" w:type="dxa"/>
            <w:tcBorders>
              <w:top w:val="nil"/>
              <w:left w:val="nil"/>
              <w:bottom w:val="nil"/>
              <w:right w:val="nil"/>
              <w:tl2br w:val="nil"/>
              <w:tr2bl w:val="nil"/>
            </w:tcBorders>
            <w:shd w:val="clear" w:color="FFFFFF" w:fill="FFFFFF"/>
            <w:tcMar>
              <w:left w:w="101" w:type="dxa"/>
              <w:right w:w="101" w:type="dxa"/>
            </w:tcMar>
          </w:tcPr>
          <w:p w14:paraId="7984280A"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225 </w:t>
            </w:r>
          </w:p>
        </w:tc>
        <w:tc>
          <w:tcPr>
            <w:tcW w:w="1035" w:type="dxa"/>
            <w:tcBorders>
              <w:top w:val="nil"/>
              <w:left w:val="nil"/>
              <w:bottom w:val="nil"/>
              <w:right w:val="nil"/>
              <w:tl2br w:val="nil"/>
              <w:tr2bl w:val="nil"/>
            </w:tcBorders>
            <w:shd w:val="clear" w:color="FFFFFF" w:fill="FFFFFF"/>
            <w:tcMar>
              <w:left w:w="101" w:type="dxa"/>
              <w:right w:w="101" w:type="dxa"/>
            </w:tcMar>
          </w:tcPr>
          <w:p w14:paraId="5E010895"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w:t>
            </w:r>
          </w:p>
        </w:tc>
        <w:tc>
          <w:tcPr>
            <w:tcW w:w="1035" w:type="dxa"/>
            <w:tcBorders>
              <w:top w:val="nil"/>
              <w:left w:val="nil"/>
              <w:bottom w:val="nil"/>
              <w:right w:val="nil"/>
              <w:tl2br w:val="nil"/>
              <w:tr2bl w:val="nil"/>
            </w:tcBorders>
            <w:shd w:val="clear" w:color="FFFFFF" w:fill="FFFFFF"/>
            <w:tcMar>
              <w:left w:w="101" w:type="dxa"/>
              <w:right w:w="101" w:type="dxa"/>
            </w:tcMar>
          </w:tcPr>
          <w:p w14:paraId="68B32D32"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w:t>
            </w:r>
          </w:p>
        </w:tc>
        <w:tc>
          <w:tcPr>
            <w:tcW w:w="1035" w:type="dxa"/>
            <w:tcBorders>
              <w:top w:val="nil"/>
              <w:left w:val="nil"/>
              <w:bottom w:val="nil"/>
              <w:right w:val="nil"/>
              <w:tl2br w:val="nil"/>
              <w:tr2bl w:val="nil"/>
            </w:tcBorders>
            <w:shd w:val="clear" w:color="FFFFFF" w:fill="FFFFFF"/>
            <w:tcMar>
              <w:left w:w="101" w:type="dxa"/>
              <w:right w:w="101" w:type="dxa"/>
            </w:tcMar>
          </w:tcPr>
          <w:p w14:paraId="3CD9B4A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78</w:t>
            </w:r>
          </w:p>
        </w:tc>
      </w:tr>
      <w:tr w:rsidR="002242F3" w:rsidRPr="005E3B44" w14:paraId="4BF580F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A7884E"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2,395</w:t>
            </w:r>
          </w:p>
        </w:tc>
        <w:tc>
          <w:tcPr>
            <w:tcW w:w="2385" w:type="dxa"/>
            <w:tcBorders>
              <w:top w:val="nil"/>
              <w:left w:val="nil"/>
              <w:bottom w:val="nil"/>
              <w:right w:val="nil"/>
              <w:tl2br w:val="nil"/>
              <w:tr2bl w:val="nil"/>
            </w:tcBorders>
            <w:shd w:val="clear" w:color="FFFFFF" w:fill="FFFFFF"/>
            <w:noWrap/>
            <w:tcMar>
              <w:left w:w="101" w:type="dxa"/>
              <w:right w:w="101" w:type="dxa"/>
            </w:tcMar>
          </w:tcPr>
          <w:p w14:paraId="2A24D28F" w14:textId="77777777" w:rsidR="002242F3" w:rsidRPr="005E3B44" w:rsidRDefault="002242F3" w:rsidP="005E3B44">
            <w:pPr>
              <w:pStyle w:val="Normal19"/>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61AE7098"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1,571</w:t>
            </w:r>
          </w:p>
        </w:tc>
        <w:tc>
          <w:tcPr>
            <w:tcW w:w="1035" w:type="dxa"/>
            <w:tcBorders>
              <w:top w:val="nil"/>
              <w:left w:val="nil"/>
              <w:bottom w:val="nil"/>
              <w:right w:val="nil"/>
              <w:tl2br w:val="nil"/>
              <w:tr2bl w:val="nil"/>
            </w:tcBorders>
            <w:shd w:val="clear" w:color="FFFFFF" w:fill="FFFFFF"/>
            <w:tcMar>
              <w:left w:w="101" w:type="dxa"/>
              <w:right w:w="101" w:type="dxa"/>
            </w:tcMar>
          </w:tcPr>
          <w:p w14:paraId="7C225D58"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2,397</w:t>
            </w:r>
          </w:p>
        </w:tc>
        <w:tc>
          <w:tcPr>
            <w:tcW w:w="600" w:type="dxa"/>
            <w:tcBorders>
              <w:top w:val="nil"/>
              <w:left w:val="nil"/>
              <w:bottom w:val="nil"/>
              <w:right w:val="nil"/>
              <w:tl2br w:val="nil"/>
              <w:tr2bl w:val="nil"/>
            </w:tcBorders>
            <w:shd w:val="clear" w:color="FFFFFF" w:fill="FFFFFF"/>
            <w:tcMar>
              <w:left w:w="101" w:type="dxa"/>
              <w:right w:w="101" w:type="dxa"/>
            </w:tcMar>
          </w:tcPr>
          <w:p w14:paraId="4D63E8E9"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0CEB1AE0"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2,400</w:t>
            </w:r>
          </w:p>
        </w:tc>
        <w:tc>
          <w:tcPr>
            <w:tcW w:w="1035" w:type="dxa"/>
            <w:tcBorders>
              <w:top w:val="nil"/>
              <w:left w:val="nil"/>
              <w:bottom w:val="nil"/>
              <w:right w:val="nil"/>
              <w:tl2br w:val="nil"/>
              <w:tr2bl w:val="nil"/>
            </w:tcBorders>
            <w:shd w:val="clear" w:color="FFFFFF" w:fill="FFFFFF"/>
            <w:tcMar>
              <w:left w:w="101" w:type="dxa"/>
              <w:right w:w="101" w:type="dxa"/>
            </w:tcMar>
          </w:tcPr>
          <w:p w14:paraId="3272A9E4"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2,403</w:t>
            </w:r>
          </w:p>
        </w:tc>
        <w:tc>
          <w:tcPr>
            <w:tcW w:w="1035" w:type="dxa"/>
            <w:tcBorders>
              <w:top w:val="nil"/>
              <w:left w:val="nil"/>
              <w:bottom w:val="nil"/>
              <w:right w:val="nil"/>
              <w:tl2br w:val="nil"/>
              <w:tr2bl w:val="nil"/>
            </w:tcBorders>
            <w:shd w:val="clear" w:color="FFFFFF" w:fill="FFFFFF"/>
            <w:tcMar>
              <w:left w:w="101" w:type="dxa"/>
              <w:right w:w="101" w:type="dxa"/>
            </w:tcMar>
          </w:tcPr>
          <w:p w14:paraId="73EC513D" w14:textId="77777777" w:rsidR="002242F3" w:rsidRPr="005E3B44" w:rsidRDefault="002242F3" w:rsidP="005E3B44">
            <w:pPr>
              <w:pStyle w:val="Normal19"/>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2,405</w:t>
            </w:r>
          </w:p>
        </w:tc>
      </w:tr>
      <w:tr w:rsidR="002242F3" w:rsidRPr="005E3B44" w14:paraId="61CA26EC"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60EAC8"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51BC1D7" w14:textId="77777777" w:rsidR="002242F3" w:rsidRPr="005E3B44" w:rsidRDefault="002242F3" w:rsidP="005E3B44">
            <w:pPr>
              <w:pStyle w:val="Normal19"/>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E81E04"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D428D0"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12E9799"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7A6880"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07DEE1"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FE1DCD"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1C89F86E"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34429B1"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173,994</w:t>
            </w:r>
          </w:p>
        </w:tc>
        <w:tc>
          <w:tcPr>
            <w:tcW w:w="2385" w:type="dxa"/>
            <w:tcBorders>
              <w:top w:val="nil"/>
              <w:left w:val="nil"/>
              <w:bottom w:val="nil"/>
              <w:right w:val="nil"/>
              <w:tl2br w:val="nil"/>
              <w:tr2bl w:val="nil"/>
            </w:tcBorders>
            <w:shd w:val="clear" w:color="FFFFFF" w:fill="FFFFFF"/>
            <w:tcMar>
              <w:left w:w="101" w:type="dxa"/>
              <w:right w:w="101" w:type="dxa"/>
            </w:tcMar>
          </w:tcPr>
          <w:p w14:paraId="09002BBE"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669AD397"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184,212</w:t>
            </w:r>
          </w:p>
        </w:tc>
        <w:tc>
          <w:tcPr>
            <w:tcW w:w="1035" w:type="dxa"/>
            <w:tcBorders>
              <w:top w:val="nil"/>
              <w:left w:val="nil"/>
              <w:bottom w:val="nil"/>
              <w:right w:val="nil"/>
              <w:tl2br w:val="nil"/>
              <w:tr2bl w:val="nil"/>
            </w:tcBorders>
            <w:shd w:val="clear" w:color="FFFFFF" w:fill="FFFFFF"/>
            <w:tcMar>
              <w:left w:w="101" w:type="dxa"/>
              <w:right w:w="101" w:type="dxa"/>
            </w:tcMar>
          </w:tcPr>
          <w:p w14:paraId="5CB43134"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182,926</w:t>
            </w:r>
          </w:p>
        </w:tc>
        <w:tc>
          <w:tcPr>
            <w:tcW w:w="600" w:type="dxa"/>
            <w:tcBorders>
              <w:top w:val="nil"/>
              <w:left w:val="nil"/>
              <w:bottom w:val="nil"/>
              <w:right w:val="nil"/>
              <w:tl2br w:val="nil"/>
              <w:tr2bl w:val="nil"/>
            </w:tcBorders>
            <w:shd w:val="clear" w:color="FFFFFF" w:fill="FFFFFF"/>
            <w:tcMar>
              <w:left w:w="101" w:type="dxa"/>
              <w:right w:w="101" w:type="dxa"/>
            </w:tcMar>
          </w:tcPr>
          <w:p w14:paraId="07D08092"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4E10AFF"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189,754</w:t>
            </w:r>
          </w:p>
        </w:tc>
        <w:tc>
          <w:tcPr>
            <w:tcW w:w="1035" w:type="dxa"/>
            <w:tcBorders>
              <w:top w:val="nil"/>
              <w:left w:val="nil"/>
              <w:bottom w:val="nil"/>
              <w:right w:val="nil"/>
              <w:tl2br w:val="nil"/>
              <w:tr2bl w:val="nil"/>
            </w:tcBorders>
            <w:shd w:val="clear" w:color="FFFFFF" w:fill="FFFFFF"/>
            <w:tcMar>
              <w:left w:w="101" w:type="dxa"/>
              <w:right w:w="101" w:type="dxa"/>
            </w:tcMar>
          </w:tcPr>
          <w:p w14:paraId="286FCE0D"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201,755</w:t>
            </w:r>
          </w:p>
        </w:tc>
        <w:tc>
          <w:tcPr>
            <w:tcW w:w="1035" w:type="dxa"/>
            <w:tcBorders>
              <w:top w:val="nil"/>
              <w:left w:val="nil"/>
              <w:bottom w:val="nil"/>
              <w:right w:val="nil"/>
              <w:tl2br w:val="nil"/>
              <w:tr2bl w:val="nil"/>
            </w:tcBorders>
            <w:shd w:val="clear" w:color="FFFFFF" w:fill="FFFFFF"/>
            <w:tcMar>
              <w:left w:w="101" w:type="dxa"/>
              <w:right w:w="101" w:type="dxa"/>
            </w:tcMar>
          </w:tcPr>
          <w:p w14:paraId="64409466"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206,639</w:t>
            </w:r>
          </w:p>
        </w:tc>
      </w:tr>
      <w:tr w:rsidR="002242F3" w:rsidRPr="005E3B44" w14:paraId="552391C4"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0C5299"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7C9B218"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C1F599"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F7AEDF"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FC7502"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2198F4"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F5B092"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83821E" w14:textId="77777777" w:rsidR="002242F3" w:rsidRPr="005E3B44" w:rsidRDefault="002242F3" w:rsidP="005E3B44">
            <w:pPr>
              <w:pStyle w:val="Normal19"/>
              <w:rPr>
                <w:rFonts w:asciiTheme="minorHAnsi" w:eastAsia="Calibri" w:hAnsiTheme="minorHAnsi" w:cstheme="minorHAnsi"/>
                <w:color w:val="000000"/>
                <w:sz w:val="18"/>
              </w:rPr>
            </w:pPr>
          </w:p>
        </w:tc>
      </w:tr>
      <w:tr w:rsidR="002242F3" w:rsidRPr="005E3B44" w14:paraId="35BA64B7"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9BE704"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-9,452</w:t>
            </w:r>
          </w:p>
        </w:tc>
        <w:tc>
          <w:tcPr>
            <w:tcW w:w="2385" w:type="dxa"/>
            <w:tcBorders>
              <w:top w:val="nil"/>
              <w:left w:val="nil"/>
              <w:bottom w:val="nil"/>
              <w:right w:val="nil"/>
              <w:tl2br w:val="nil"/>
              <w:tr2bl w:val="nil"/>
            </w:tcBorders>
            <w:shd w:val="clear" w:color="FFFFFF" w:fill="FFFFFF"/>
            <w:tcMar>
              <w:left w:w="101" w:type="dxa"/>
              <w:right w:w="101" w:type="dxa"/>
            </w:tcMar>
          </w:tcPr>
          <w:p w14:paraId="07FA63FE" w14:textId="77777777" w:rsidR="002242F3" w:rsidRPr="005E3B44" w:rsidRDefault="002242F3" w:rsidP="005E3B44">
            <w:pPr>
              <w:pStyle w:val="Normal19"/>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BDAAB17"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-21,353</w:t>
            </w:r>
          </w:p>
        </w:tc>
        <w:tc>
          <w:tcPr>
            <w:tcW w:w="1035" w:type="dxa"/>
            <w:tcBorders>
              <w:top w:val="nil"/>
              <w:left w:val="nil"/>
              <w:bottom w:val="nil"/>
              <w:right w:val="nil"/>
              <w:tl2br w:val="nil"/>
              <w:tr2bl w:val="nil"/>
            </w:tcBorders>
            <w:shd w:val="clear" w:color="FFFFFF" w:fill="FFFFFF"/>
            <w:tcMar>
              <w:left w:w="101" w:type="dxa"/>
              <w:right w:w="101" w:type="dxa"/>
            </w:tcMar>
          </w:tcPr>
          <w:p w14:paraId="7EE26473"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-13,516</w:t>
            </w:r>
          </w:p>
        </w:tc>
        <w:tc>
          <w:tcPr>
            <w:tcW w:w="600" w:type="dxa"/>
            <w:tcBorders>
              <w:top w:val="nil"/>
              <w:left w:val="nil"/>
              <w:bottom w:val="nil"/>
              <w:right w:val="nil"/>
              <w:tl2br w:val="nil"/>
              <w:tr2bl w:val="nil"/>
            </w:tcBorders>
            <w:shd w:val="clear" w:color="FFFFFF" w:fill="FFFFFF"/>
            <w:tcMar>
              <w:left w:w="101" w:type="dxa"/>
              <w:right w:w="101" w:type="dxa"/>
            </w:tcMar>
          </w:tcPr>
          <w:p w14:paraId="4E347A7A"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4E4B66F9"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-14,040</w:t>
            </w:r>
          </w:p>
        </w:tc>
        <w:tc>
          <w:tcPr>
            <w:tcW w:w="1035" w:type="dxa"/>
            <w:tcBorders>
              <w:top w:val="nil"/>
              <w:left w:val="nil"/>
              <w:bottom w:val="nil"/>
              <w:right w:val="nil"/>
              <w:tl2br w:val="nil"/>
              <w:tr2bl w:val="nil"/>
            </w:tcBorders>
            <w:shd w:val="clear" w:color="FFFFFF" w:fill="FFFFFF"/>
            <w:tcMar>
              <w:left w:w="101" w:type="dxa"/>
              <w:right w:w="101" w:type="dxa"/>
            </w:tcMar>
          </w:tcPr>
          <w:p w14:paraId="3DBA3154"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-16,496</w:t>
            </w:r>
          </w:p>
        </w:tc>
        <w:tc>
          <w:tcPr>
            <w:tcW w:w="1035" w:type="dxa"/>
            <w:tcBorders>
              <w:top w:val="nil"/>
              <w:left w:val="nil"/>
              <w:bottom w:val="nil"/>
              <w:right w:val="nil"/>
              <w:tl2br w:val="nil"/>
              <w:tr2bl w:val="nil"/>
            </w:tcBorders>
            <w:shd w:val="clear" w:color="FFFFFF" w:fill="FFFFFF"/>
            <w:tcMar>
              <w:left w:w="101" w:type="dxa"/>
              <w:right w:w="101" w:type="dxa"/>
            </w:tcMar>
          </w:tcPr>
          <w:p w14:paraId="2B03394F" w14:textId="77777777" w:rsidR="002242F3" w:rsidRPr="005E3B44" w:rsidRDefault="002242F3" w:rsidP="005E3B44">
            <w:pPr>
              <w:pStyle w:val="Normal19"/>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-17,350</w:t>
            </w:r>
          </w:p>
        </w:tc>
      </w:tr>
      <w:tr w:rsidR="002242F3" w:rsidRPr="005E3B44" w14:paraId="26F4E3C3" w14:textId="77777777" w:rsidTr="005E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AB6923A" w14:textId="77777777" w:rsidR="002242F3" w:rsidRPr="005E3B44" w:rsidRDefault="002242F3" w:rsidP="005E3B44">
            <w:pPr>
              <w:pStyle w:val="Normal19"/>
              <w:rPr>
                <w:rFonts w:asciiTheme="minorHAnsi" w:eastAsia="Calibri" w:hAnsiTheme="minorHAnsi" w:cstheme="minorHAns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9149B6D"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69B9512"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9B2794E" w14:textId="77777777" w:rsidR="002242F3" w:rsidRPr="005E3B44" w:rsidRDefault="002242F3" w:rsidP="005E3B44">
            <w:pPr>
              <w:pStyle w:val="Normal19"/>
              <w:rPr>
                <w:rFonts w:asciiTheme="minorHAnsi" w:eastAsia="Calibri" w:hAnsiTheme="minorHAnsi" w:cstheme="minorHAns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EE46DCA"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C54D106"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CE3A9B8" w14:textId="77777777" w:rsidR="002242F3" w:rsidRPr="005E3B44" w:rsidRDefault="002242F3" w:rsidP="005E3B44">
            <w:pPr>
              <w:pStyle w:val="Normal19"/>
              <w:rPr>
                <w:rFonts w:asciiTheme="minorHAnsi" w:eastAsia="Calibri" w:hAnsiTheme="minorHAnsi" w:cstheme="minorHAns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4F2F02D" w14:textId="77777777" w:rsidR="002242F3" w:rsidRPr="005E3B44" w:rsidRDefault="002242F3" w:rsidP="005E3B44">
            <w:pPr>
              <w:pStyle w:val="Normal19"/>
              <w:rPr>
                <w:rFonts w:asciiTheme="minorHAnsi" w:eastAsia="Calibri" w:hAnsiTheme="minorHAnsi" w:cstheme="minorHAnsi"/>
                <w:color w:val="000000"/>
                <w:sz w:val="18"/>
              </w:rPr>
            </w:pPr>
          </w:p>
        </w:tc>
      </w:tr>
    </w:tbl>
    <w:p w14:paraId="1BD27B98" w14:textId="77777777" w:rsidR="002242F3" w:rsidRPr="005E3B44" w:rsidRDefault="002242F3" w:rsidP="002242F3">
      <w:pPr>
        <w:rPr>
          <w:rFonts w:asciiTheme="minorHAnsi" w:hAnsiTheme="minorHAnsi" w:cstheme="minorHAnsi"/>
        </w:rPr>
      </w:pPr>
    </w:p>
    <w:p w14:paraId="2CF90886" w14:textId="757E7133" w:rsidR="00B55EED" w:rsidRPr="005E3B44" w:rsidRDefault="00B55EED">
      <w:pPr>
        <w:rPr>
          <w:rFonts w:asciiTheme="minorHAnsi" w:hAnsiTheme="minorHAnsi" w:cstheme="minorHAnsi"/>
        </w:rPr>
      </w:pPr>
    </w:p>
    <w:p w14:paraId="5BE08381" w14:textId="7559B072" w:rsidR="00B55EED" w:rsidRPr="005E3B44" w:rsidRDefault="00B55EED" w:rsidP="00C6567E">
      <w:pPr>
        <w:pBdr>
          <w:top w:val="nil"/>
          <w:left w:val="nil"/>
          <w:bottom w:val="nil"/>
          <w:right w:val="nil"/>
          <w:between w:val="nil"/>
          <w:bar w:val="nil"/>
        </w:pBdr>
        <w:jc w:val="center"/>
        <w:rPr>
          <w:rFonts w:asciiTheme="minorHAnsi" w:eastAsia="TimesNewRomanPS-ItalicMT" w:hAnsiTheme="minorHAnsi" w:cstheme="minorHAnsi"/>
          <w:bdr w:val="none" w:sz="0" w:space="0" w:color="auto" w:frame="1"/>
        </w:rPr>
      </w:pPr>
      <w:r w:rsidRPr="005E3B44">
        <w:rPr>
          <w:rFonts w:asciiTheme="minorHAnsi" w:hAnsiTheme="minorHAnsi" w:cstheme="minorHAnsi"/>
        </w:rPr>
        <w:br w:type="page"/>
      </w:r>
    </w:p>
    <w:p w14:paraId="163FBB7B" w14:textId="77777777" w:rsidR="00B0421E" w:rsidRDefault="00B0421E" w:rsidP="00B55EED">
      <w:pPr>
        <w:jc w:val="center"/>
        <w:rPr>
          <w:rFonts w:asciiTheme="minorHAnsi" w:hAnsiTheme="minorHAnsi" w:cstheme="minorHAnsi"/>
          <w:i/>
          <w:bdr w:val="none" w:sz="0" w:space="0" w:color="auto" w:frame="1"/>
        </w:rPr>
        <w:sectPr w:rsidR="00B0421E" w:rsidSect="00B0421E">
          <w:headerReference w:type="even" r:id="rId53"/>
          <w:headerReference w:type="default" r:id="rId54"/>
          <w:footerReference w:type="even" r:id="rId55"/>
          <w:footerReference w:type="default" r:id="rId56"/>
          <w:headerReference w:type="first" r:id="rId57"/>
          <w:footerReference w:type="first" r:id="rId58"/>
          <w:pgSz w:w="11906" w:h="16838"/>
          <w:pgMar w:top="1151" w:right="1440" w:bottom="1729" w:left="1440" w:header="720" w:footer="720" w:gutter="0"/>
          <w:cols w:space="720"/>
          <w:docGrid w:linePitch="326"/>
        </w:sectPr>
      </w:pPr>
    </w:p>
    <w:p w14:paraId="4F21DF8D" w14:textId="05B1EF8E" w:rsidR="00B55EED" w:rsidRPr="005E3B44" w:rsidRDefault="00B55EED" w:rsidP="00B55EED">
      <w:pPr>
        <w:jc w:val="center"/>
        <w:rPr>
          <w:rFonts w:asciiTheme="minorHAnsi" w:eastAsia="TimesNewRomanPS-ItalicMT" w:hAnsiTheme="minorHAnsi" w:cstheme="minorHAnsi"/>
          <w:bdr w:val="none" w:sz="0" w:space="0" w:color="auto" w:frame="1"/>
        </w:rPr>
      </w:pPr>
      <w:r w:rsidRPr="005E3B44">
        <w:rPr>
          <w:rFonts w:asciiTheme="minorHAnsi" w:hAnsiTheme="minorHAnsi" w:cstheme="minorHAnsi"/>
          <w:i/>
          <w:bdr w:val="none" w:sz="0" w:space="0" w:color="auto" w:frame="1"/>
        </w:rPr>
        <w:lastRenderedPageBreak/>
        <w:t>This page deliberately left blank</w:t>
      </w:r>
    </w:p>
    <w:p w14:paraId="618A0F71" w14:textId="77777777" w:rsidR="00B55EED" w:rsidRPr="005E3B44" w:rsidRDefault="00B55EED" w:rsidP="00B55EED">
      <w:pPr>
        <w:spacing w:before="0" w:after="0"/>
        <w:rPr>
          <w:rFonts w:asciiTheme="minorHAnsi" w:eastAsia="TimesNewRomanPS-ItalicMT" w:hAnsiTheme="minorHAnsi" w:cstheme="minorHAnsi"/>
          <w:bdr w:val="none" w:sz="0" w:space="0" w:color="auto" w:frame="1"/>
        </w:rPr>
        <w:sectPr w:rsidR="00B55EED" w:rsidRPr="005E3B44" w:rsidSect="00B0421E">
          <w:footerReference w:type="default" r:id="rId59"/>
          <w:pgSz w:w="11906" w:h="16838"/>
          <w:pgMar w:top="1151" w:right="1440" w:bottom="1729" w:left="1440" w:header="720" w:footer="720" w:gutter="0"/>
          <w:cols w:space="720"/>
          <w:docGrid w:linePitch="326"/>
        </w:sectPr>
      </w:pPr>
    </w:p>
    <w:p w14:paraId="087F5F7C" w14:textId="77777777" w:rsidR="00B55EED" w:rsidRPr="005E3B44" w:rsidRDefault="00B55EED" w:rsidP="00B55EED">
      <w:pPr>
        <w:pStyle w:val="Heading10"/>
        <w:pageBreakBefore/>
        <w:rPr>
          <w:rFonts w:asciiTheme="minorHAnsi" w:hAnsiTheme="minorHAnsi" w:cstheme="minorHAnsi"/>
          <w:sz w:val="48"/>
          <w:szCs w:val="48"/>
        </w:rPr>
      </w:pPr>
      <w:r w:rsidRPr="005E3B44">
        <w:rPr>
          <w:rFonts w:asciiTheme="minorHAnsi" w:hAnsiTheme="minorHAnsi" w:cstheme="minorHAnsi"/>
          <w:sz w:val="48"/>
          <w:szCs w:val="48"/>
        </w:rPr>
        <w:lastRenderedPageBreak/>
        <w:t xml:space="preserve">LEGAL AID COMMISSION (ACT) </w:t>
      </w:r>
    </w:p>
    <w:p w14:paraId="672CDD57" w14:textId="6257809D" w:rsidR="00B55EED" w:rsidRPr="005E3B44" w:rsidRDefault="00F9791F" w:rsidP="00B55EED">
      <w:pPr>
        <w:pStyle w:val="Normal0"/>
        <w:jc w:val="center"/>
        <w:rPr>
          <w:rFonts w:asciiTheme="minorHAnsi" w:hAnsiTheme="minorHAnsi" w:cstheme="minorHAnsi"/>
          <w:i/>
        </w:rPr>
      </w:pPr>
      <w:r>
        <w:rPr>
          <w:noProof/>
        </w:rPr>
        <w:drawing>
          <wp:inline distT="0" distB="0" distL="0" distR="0" wp14:anchorId="51EDFF98" wp14:editId="32734E06">
            <wp:extent cx="5248275" cy="666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248275" cy="6667500"/>
                    </a:xfrm>
                    <a:prstGeom prst="rect">
                      <a:avLst/>
                    </a:prstGeom>
                  </pic:spPr>
                </pic:pic>
              </a:graphicData>
            </a:graphic>
          </wp:inline>
        </w:drawing>
      </w:r>
    </w:p>
    <w:p w14:paraId="3F342E9E" w14:textId="77777777" w:rsidR="00B55EED" w:rsidRPr="005E3B44" w:rsidRDefault="00B55EED" w:rsidP="00B55EED">
      <w:pPr>
        <w:pStyle w:val="Heading11"/>
        <w:pageBreakBefore/>
        <w:rPr>
          <w:rFonts w:asciiTheme="minorHAnsi" w:hAnsiTheme="minorHAnsi" w:cstheme="minorHAnsi"/>
        </w:rPr>
      </w:pPr>
      <w:r w:rsidRPr="005E3B44">
        <w:rPr>
          <w:rFonts w:asciiTheme="minorHAnsi" w:hAnsiTheme="minorHAnsi" w:cstheme="minorHAnsi"/>
        </w:rPr>
        <w:lastRenderedPageBreak/>
        <w:t>LEGAL AID COMMISSION (ACT)</w:t>
      </w:r>
    </w:p>
    <w:p w14:paraId="4FED3F56" w14:textId="77777777" w:rsidR="00B55EED" w:rsidRPr="005E3B44" w:rsidRDefault="00B55EED" w:rsidP="00B55EED">
      <w:pPr>
        <w:pStyle w:val="Heading2"/>
        <w:rPr>
          <w:rFonts w:asciiTheme="minorHAnsi" w:hAnsiTheme="minorHAnsi" w:cstheme="minorHAnsi"/>
        </w:rPr>
      </w:pPr>
      <w:r w:rsidRPr="005E3B44">
        <w:rPr>
          <w:rFonts w:asciiTheme="minorHAnsi" w:hAnsiTheme="minorHAnsi" w:cstheme="minorHAnsi"/>
        </w:rPr>
        <w:t>Purpose</w:t>
      </w:r>
    </w:p>
    <w:p w14:paraId="5BA39B36" w14:textId="77777777" w:rsidR="00B55EED" w:rsidRPr="005E3B44" w:rsidRDefault="00B55EED" w:rsidP="00B55EED">
      <w:pPr>
        <w:pStyle w:val="BodyText"/>
        <w:jc w:val="left"/>
        <w:rPr>
          <w:rFonts w:asciiTheme="minorHAnsi" w:hAnsiTheme="minorHAnsi" w:cstheme="minorHAnsi"/>
        </w:rPr>
      </w:pPr>
      <w:r w:rsidRPr="005E3B44">
        <w:rPr>
          <w:rFonts w:asciiTheme="minorHAnsi" w:hAnsiTheme="minorHAnsi" w:cstheme="minorHAnsi"/>
          <w:szCs w:val="24"/>
        </w:rPr>
        <w:t xml:space="preserve">The Commission is established by the </w:t>
      </w:r>
      <w:r w:rsidRPr="005E3B44">
        <w:rPr>
          <w:rFonts w:asciiTheme="minorHAnsi" w:hAnsiTheme="minorHAnsi" w:cstheme="minorHAnsi"/>
          <w:i/>
          <w:szCs w:val="24"/>
        </w:rPr>
        <w:t xml:space="preserve">Legal Aid Act 1977 </w:t>
      </w:r>
      <w:r w:rsidRPr="005E3B44">
        <w:rPr>
          <w:rFonts w:asciiTheme="minorHAnsi" w:hAnsiTheme="minorHAnsi" w:cstheme="minorHAnsi"/>
          <w:szCs w:val="24"/>
        </w:rPr>
        <w:t xml:space="preserve">(the Act).  The primary purpose of the Commission is to provide vulnerable and disadvantaged Australians with access to justice through a range of legal aid services.  </w:t>
      </w:r>
    </w:p>
    <w:p w14:paraId="2E863FB5" w14:textId="77777777" w:rsidR="00B55EED" w:rsidRPr="005E3B44" w:rsidRDefault="00B55EED" w:rsidP="00B55EED">
      <w:pPr>
        <w:pStyle w:val="Heading2"/>
        <w:rPr>
          <w:rFonts w:asciiTheme="minorHAnsi" w:hAnsiTheme="minorHAnsi" w:cstheme="minorHAnsi"/>
        </w:rPr>
      </w:pPr>
      <w:bookmarkStart w:id="35" w:name="_Toc434844181"/>
      <w:bookmarkStart w:id="36" w:name="_Toc451181527"/>
      <w:r w:rsidRPr="005E3B44">
        <w:rPr>
          <w:rFonts w:asciiTheme="minorHAnsi" w:hAnsiTheme="minorHAnsi" w:cstheme="minorHAnsi"/>
        </w:rPr>
        <w:t>Nature and scope of activities</w:t>
      </w:r>
      <w:bookmarkEnd w:id="35"/>
      <w:bookmarkEnd w:id="36"/>
    </w:p>
    <w:p w14:paraId="6F46DB77" w14:textId="77777777" w:rsidR="00B55EED" w:rsidRPr="005E3B44" w:rsidRDefault="00B55EED" w:rsidP="00B55EED">
      <w:pPr>
        <w:pStyle w:val="Heading3"/>
        <w:rPr>
          <w:rFonts w:asciiTheme="minorHAnsi" w:hAnsiTheme="minorHAnsi" w:cstheme="minorHAnsi"/>
        </w:rPr>
      </w:pPr>
      <w:r w:rsidRPr="005E3B44">
        <w:rPr>
          <w:rFonts w:asciiTheme="minorHAnsi" w:hAnsiTheme="minorHAnsi" w:cstheme="minorHAnsi"/>
        </w:rPr>
        <w:t>General activities</w:t>
      </w:r>
    </w:p>
    <w:p w14:paraId="0C5E66D5"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The Commission seeks to improve access by vulnerable and disadvantaged people to the justice system by providing a range of legal services through in-house legal and paralegal staff and lawyers in private practice.</w:t>
      </w:r>
    </w:p>
    <w:p w14:paraId="1C9BC3EF"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The services provided by the Commission are wide-ranging and encompass the provision of information and referrals, legal </w:t>
      </w:r>
      <w:proofErr w:type="gramStart"/>
      <w:r w:rsidRPr="005E3B44">
        <w:rPr>
          <w:rFonts w:asciiTheme="minorHAnsi" w:hAnsiTheme="minorHAnsi" w:cstheme="minorHAnsi"/>
        </w:rPr>
        <w:t>advice</w:t>
      </w:r>
      <w:proofErr w:type="gramEnd"/>
      <w:r w:rsidRPr="005E3B44">
        <w:rPr>
          <w:rFonts w:asciiTheme="minorHAnsi" w:hAnsiTheme="minorHAnsi" w:cstheme="minorHAnsi"/>
        </w:rPr>
        <w:t xml:space="preserve"> and discrete assistance (legal and non-legal), duty lawyer services, grants of legal assistance, dispute resolution services, community legal education programs and submissions on law reform issues.</w:t>
      </w:r>
    </w:p>
    <w:p w14:paraId="1EB87767"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Following negotiations between the Territory and Commonwealth Governments an updated National Legal Assistance Partnership (NLAP) 2020-25 came into force.  This NPA identified </w:t>
      </w:r>
      <w:proofErr w:type="gramStart"/>
      <w:r w:rsidRPr="005E3B44">
        <w:rPr>
          <w:rFonts w:asciiTheme="minorHAnsi" w:hAnsiTheme="minorHAnsi" w:cstheme="minorHAnsi"/>
        </w:rPr>
        <w:t>a number of</w:t>
      </w:r>
      <w:proofErr w:type="gramEnd"/>
      <w:r w:rsidRPr="005E3B44">
        <w:rPr>
          <w:rFonts w:asciiTheme="minorHAnsi" w:hAnsiTheme="minorHAnsi" w:cstheme="minorHAnsi"/>
        </w:rPr>
        <w:t xml:space="preserve"> specific services to the Commission which are described below.</w:t>
      </w:r>
    </w:p>
    <w:p w14:paraId="25C95A26"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Discrete Assistance</w:t>
      </w:r>
    </w:p>
    <w:p w14:paraId="38943255"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Discrete Assistance is the provision of unbundled, individual, </w:t>
      </w:r>
      <w:proofErr w:type="gramStart"/>
      <w:r w:rsidRPr="005E3B44">
        <w:rPr>
          <w:rFonts w:asciiTheme="minorHAnsi" w:hAnsiTheme="minorHAnsi" w:cstheme="minorHAnsi"/>
        </w:rPr>
        <w:t>legal</w:t>
      </w:r>
      <w:proofErr w:type="gramEnd"/>
      <w:r w:rsidRPr="005E3B44">
        <w:rPr>
          <w:rFonts w:asciiTheme="minorHAnsi" w:hAnsiTheme="minorHAnsi" w:cstheme="minorHAnsi"/>
        </w:rPr>
        <w:t xml:space="preserve"> and non-legal services to service users.  These intermittent services differ from Representation Services, where the Commission takes carriage of a matter in an ongoing, representative capacity.</w:t>
      </w:r>
    </w:p>
    <w:p w14:paraId="285BA825"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Discrete Assistance may be provided at any location (that is, in the Commission’s office or in an outreach location).  They may also be delivered in a range of modes including in person, telephone, letter, video conference, online chat, email, </w:t>
      </w:r>
      <w:proofErr w:type="gramStart"/>
      <w:r w:rsidRPr="005E3B44">
        <w:rPr>
          <w:rFonts w:asciiTheme="minorHAnsi" w:hAnsiTheme="minorHAnsi" w:cstheme="minorHAnsi"/>
        </w:rPr>
        <w:t>mail</w:t>
      </w:r>
      <w:proofErr w:type="gramEnd"/>
      <w:r w:rsidRPr="005E3B44">
        <w:rPr>
          <w:rFonts w:asciiTheme="minorHAnsi" w:hAnsiTheme="minorHAnsi" w:cstheme="minorHAnsi"/>
        </w:rPr>
        <w:t xml:space="preserve"> or fax.</w:t>
      </w:r>
    </w:p>
    <w:p w14:paraId="5F4E4EEF"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Information Services</w:t>
      </w:r>
    </w:p>
    <w:p w14:paraId="5A370934"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An Information Service is the provision of information to a service user in response to an enquiry about the law, legal systems and processes, or legal and other support services to assist in the resolution of legal and related problems.  The information provided is of general application.</w:t>
      </w:r>
    </w:p>
    <w:p w14:paraId="0C68FCB1"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An Information Service involves a direct communication and/or a provision of material by the Commission to a service user. Information Services do not include administrative tasks such as booking appointments for legal advice sessions or information obtained from the Commission’s website.</w:t>
      </w:r>
    </w:p>
    <w:p w14:paraId="32B2BBE3"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lastRenderedPageBreak/>
        <w:t>Information about the law and the legal system is provided by the Commission to individuals and community groups.  It is information of general application about legal rights and responsibilities, court and tribunal processes, alternative ways of resolving disputes, the availability of financial assistance and other legal assistance services.  It includes referral to other community services appropriate to people’s needs.</w:t>
      </w:r>
    </w:p>
    <w:p w14:paraId="0DDEC60A"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Information and referral </w:t>
      </w:r>
      <w:proofErr w:type="gramStart"/>
      <w:r w:rsidRPr="005E3B44">
        <w:rPr>
          <w:rFonts w:asciiTheme="minorHAnsi" w:hAnsiTheme="minorHAnsi" w:cstheme="minorHAnsi"/>
        </w:rPr>
        <w:t>is</w:t>
      </w:r>
      <w:proofErr w:type="gramEnd"/>
      <w:r w:rsidRPr="005E3B44">
        <w:rPr>
          <w:rFonts w:asciiTheme="minorHAnsi" w:hAnsiTheme="minorHAnsi" w:cstheme="minorHAnsi"/>
        </w:rPr>
        <w:t xml:space="preserve"> provided through the Legal Aid Helpdesk and by other Commission staff in person at the Commission’s office and at courts, outreach services and by telephone through the Legal Aid Helpline.  </w:t>
      </w:r>
    </w:p>
    <w:p w14:paraId="3660278E"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Information is also provided through the Commission’s website, by dissemination of written materials about common legal issues to individuals and organisations, and by attendance at information hubs and other public events.</w:t>
      </w:r>
    </w:p>
    <w:p w14:paraId="21DA35B9"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If the Commission cannot help a person because their problem is not a legal problem, or because another legal service is better placed to assist them, a referral of the person to an appropriate service is facilitated.</w:t>
      </w:r>
    </w:p>
    <w:p w14:paraId="4B4BCA74"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Referral</w:t>
      </w:r>
    </w:p>
    <w:p w14:paraId="35A2B296"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A Referral is when the Commission determines that a service user can be assisted by another individual or organisation and provides the user with the contact details for that service. </w:t>
      </w:r>
    </w:p>
    <w:p w14:paraId="3DA9F44B"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A Referral may be recorded as either a simple referral or a facilitated referral.</w:t>
      </w:r>
    </w:p>
    <w:p w14:paraId="3C0DA5E2"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Legal Advice</w:t>
      </w:r>
    </w:p>
    <w:p w14:paraId="72A19143"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A Legal Advice service is the provision of fact-specific legal advice to a service user in response to a request for assistance to resolve specific legal problems.  </w:t>
      </w:r>
    </w:p>
    <w:p w14:paraId="3B4EA017" w14:textId="77777777" w:rsidR="00B55EED" w:rsidRPr="005E3B44" w:rsidRDefault="00B55EED" w:rsidP="00B55EED">
      <w:pPr>
        <w:pStyle w:val="Normal1"/>
        <w:rPr>
          <w:rFonts w:asciiTheme="minorHAnsi" w:hAnsiTheme="minorHAnsi" w:cstheme="minorHAnsi"/>
        </w:rPr>
      </w:pPr>
      <w:r w:rsidRPr="005E3B44">
        <w:rPr>
          <w:rFonts w:asciiTheme="minorHAnsi" w:hAnsiTheme="minorHAnsi" w:cstheme="minorHAnsi"/>
        </w:rPr>
        <w:t xml:space="preserve">Legal advice is specific advice of a legal nature concerning a person’s individual circumstances.  It includes analysis of the options available to a person to resolve a legal matter.  Legal advice is provided free of charge in face-to-face interviews arranged through the Commission’s Legal Aid Helpdesk, at specialist Legal Aid Clinics (such as migration, employment, and small business clinics), the Youth Law Centre, the Older Persons Legal Service </w:t>
      </w:r>
      <w:proofErr w:type="gramStart"/>
      <w:r w:rsidRPr="005E3B44">
        <w:rPr>
          <w:rFonts w:asciiTheme="minorHAnsi" w:hAnsiTheme="minorHAnsi" w:cstheme="minorHAnsi"/>
        </w:rPr>
        <w:t>ACT,  and</w:t>
      </w:r>
      <w:proofErr w:type="gramEnd"/>
      <w:r w:rsidRPr="005E3B44">
        <w:rPr>
          <w:rFonts w:asciiTheme="minorHAnsi" w:hAnsiTheme="minorHAnsi" w:cstheme="minorHAnsi"/>
        </w:rPr>
        <w:t xml:space="preserve"> at outreach services such as the Youth Justice/Education Project in ACT Colleges, Prisoners Legal Service, the Hospital Health Justice Partnership, and at Communities at Work. </w:t>
      </w:r>
    </w:p>
    <w:p w14:paraId="526069CC"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Legal Advice services are usually limited to half an hour but may be extended for up to two hours at the discretion of the adviser.  Legal Advice is provided free of charge in relation to a range of legal matters, including:</w:t>
      </w:r>
    </w:p>
    <w:p w14:paraId="57C78FF9"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criminal and traffic </w:t>
      </w:r>
      <w:proofErr w:type="gramStart"/>
      <w:r w:rsidRPr="005E3B44">
        <w:rPr>
          <w:rFonts w:asciiTheme="minorHAnsi" w:hAnsiTheme="minorHAnsi" w:cstheme="minorHAnsi"/>
          <w:szCs w:val="24"/>
        </w:rPr>
        <w:t>charges;</w:t>
      </w:r>
      <w:proofErr w:type="gramEnd"/>
    </w:p>
    <w:p w14:paraId="1DEB2DA2"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family separation, parenting and property </w:t>
      </w:r>
      <w:proofErr w:type="gramStart"/>
      <w:r w:rsidRPr="005E3B44">
        <w:rPr>
          <w:rFonts w:asciiTheme="minorHAnsi" w:hAnsiTheme="minorHAnsi" w:cstheme="minorHAnsi"/>
          <w:szCs w:val="24"/>
        </w:rPr>
        <w:t>disputes;</w:t>
      </w:r>
      <w:proofErr w:type="gramEnd"/>
    </w:p>
    <w:p w14:paraId="62426216"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domestic violence and personal </w:t>
      </w:r>
      <w:proofErr w:type="gramStart"/>
      <w:r w:rsidRPr="005E3B44">
        <w:rPr>
          <w:rFonts w:asciiTheme="minorHAnsi" w:hAnsiTheme="minorHAnsi" w:cstheme="minorHAnsi"/>
          <w:szCs w:val="24"/>
        </w:rPr>
        <w:t>protection;</w:t>
      </w:r>
      <w:proofErr w:type="gramEnd"/>
    </w:p>
    <w:p w14:paraId="27B9D5B6"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mental </w:t>
      </w:r>
      <w:proofErr w:type="gramStart"/>
      <w:r w:rsidRPr="005E3B44">
        <w:rPr>
          <w:rFonts w:asciiTheme="minorHAnsi" w:hAnsiTheme="minorHAnsi" w:cstheme="minorHAnsi"/>
          <w:szCs w:val="24"/>
        </w:rPr>
        <w:t>health;</w:t>
      </w:r>
      <w:proofErr w:type="gramEnd"/>
    </w:p>
    <w:p w14:paraId="1F487A4A"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lastRenderedPageBreak/>
        <w:t xml:space="preserve">victims of crime </w:t>
      </w:r>
      <w:proofErr w:type="gramStart"/>
      <w:r w:rsidRPr="005E3B44">
        <w:rPr>
          <w:rFonts w:asciiTheme="minorHAnsi" w:hAnsiTheme="minorHAnsi" w:cstheme="minorHAnsi"/>
          <w:szCs w:val="24"/>
        </w:rPr>
        <w:t>assistance;</w:t>
      </w:r>
      <w:proofErr w:type="gramEnd"/>
    </w:p>
    <w:p w14:paraId="3A883430"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contract and </w:t>
      </w:r>
      <w:proofErr w:type="gramStart"/>
      <w:r w:rsidRPr="005E3B44">
        <w:rPr>
          <w:rFonts w:asciiTheme="minorHAnsi" w:hAnsiTheme="minorHAnsi" w:cstheme="minorHAnsi"/>
          <w:szCs w:val="24"/>
        </w:rPr>
        <w:t>debt;</w:t>
      </w:r>
      <w:proofErr w:type="gramEnd"/>
    </w:p>
    <w:p w14:paraId="1646DDF9"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employment; and</w:t>
      </w:r>
    </w:p>
    <w:p w14:paraId="37BE4657"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administrative decisions.</w:t>
      </w:r>
    </w:p>
    <w:p w14:paraId="199D49E1"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Non-Legal Support</w:t>
      </w:r>
    </w:p>
    <w:p w14:paraId="42280126"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A Non-Legal Support service is provided by an appropriately qualified person (either through an internal or external appointment) to a service user in response to a request for assistance to resolve specific, non-legal problems. Examples include general counselling, financial counselling, trauma-informed counselling, Aboriginal and Torres Strait Islander community liaison and liaison with the Culturally and Linguistically Diverse Communities, and disability and mental health assessments and support. </w:t>
      </w:r>
    </w:p>
    <w:p w14:paraId="13C0E26D"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Non-Legal Support services may be recorded as either a Discrete or an Ongoing Non</w:t>
      </w:r>
      <w:r w:rsidRPr="005E3B44">
        <w:rPr>
          <w:rFonts w:asciiTheme="minorHAnsi" w:hAnsiTheme="minorHAnsi" w:cstheme="minorHAnsi"/>
        </w:rPr>
        <w:noBreakHyphen/>
        <w:t>Legal Support service.</w:t>
      </w:r>
    </w:p>
    <w:p w14:paraId="69BB3E58"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Legal Task</w:t>
      </w:r>
    </w:p>
    <w:p w14:paraId="4F53B280" w14:textId="77777777" w:rsidR="00B55EED" w:rsidRPr="005E3B44" w:rsidRDefault="00B55EED" w:rsidP="00B55EED">
      <w:pPr>
        <w:pStyle w:val="Normal100"/>
        <w:widowControl w:val="0"/>
        <w:rPr>
          <w:rFonts w:asciiTheme="minorHAnsi" w:hAnsiTheme="minorHAnsi" w:cstheme="minorHAnsi"/>
        </w:rPr>
      </w:pPr>
      <w:r w:rsidRPr="005E3B44">
        <w:rPr>
          <w:rFonts w:asciiTheme="minorHAnsi" w:hAnsiTheme="minorHAnsi" w:cstheme="minorHAnsi"/>
        </w:rPr>
        <w:t>A Legal Task is where the Commission completes a discrete piece of legal work to assist a service user to resolve a problem or a particular stage of a problem. Examples of a Legal Task include:</w:t>
      </w:r>
    </w:p>
    <w:p w14:paraId="58F3ADFE"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preparation or assistance with the drafting of </w:t>
      </w:r>
      <w:proofErr w:type="gramStart"/>
      <w:r w:rsidRPr="005E3B44">
        <w:rPr>
          <w:rFonts w:asciiTheme="minorHAnsi" w:hAnsiTheme="minorHAnsi" w:cstheme="minorHAnsi"/>
          <w:szCs w:val="24"/>
        </w:rPr>
        <w:t>documents;</w:t>
      </w:r>
      <w:proofErr w:type="gramEnd"/>
    </w:p>
    <w:p w14:paraId="1766CCC8"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writing a submission letter to the Police to negotiate </w:t>
      </w:r>
      <w:proofErr w:type="gramStart"/>
      <w:r w:rsidRPr="005E3B44">
        <w:rPr>
          <w:rFonts w:asciiTheme="minorHAnsi" w:hAnsiTheme="minorHAnsi" w:cstheme="minorHAnsi"/>
          <w:szCs w:val="24"/>
        </w:rPr>
        <w:t>charges;</w:t>
      </w:r>
      <w:proofErr w:type="gramEnd"/>
    </w:p>
    <w:p w14:paraId="5DCAD086"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writing a letter to another party asking them to do something or stop doing something; and </w:t>
      </w:r>
    </w:p>
    <w:p w14:paraId="48AE838A"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advocating on behalf of a service user without taking ongoing carriage of the matter.</w:t>
      </w:r>
    </w:p>
    <w:p w14:paraId="69F91D52"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If the Commission takes carriage of a matter in an ongoing, representative capacity, including representing a service user in court or tribunal proceedings, this is no longer a Legal Task but a Representation Service.</w:t>
      </w:r>
    </w:p>
    <w:p w14:paraId="14E6CAFA"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Facilitated Resolution Process</w:t>
      </w:r>
    </w:p>
    <w:p w14:paraId="750599C8" w14:textId="77777777" w:rsidR="00B55EED" w:rsidRPr="005E3B44" w:rsidRDefault="00B55EED" w:rsidP="00B55EED">
      <w:pPr>
        <w:pStyle w:val="Normal100"/>
        <w:keepNext/>
        <w:rPr>
          <w:rFonts w:asciiTheme="minorHAnsi" w:hAnsiTheme="minorHAnsi" w:cstheme="minorHAnsi"/>
        </w:rPr>
      </w:pPr>
      <w:r w:rsidRPr="005E3B44">
        <w:rPr>
          <w:rFonts w:asciiTheme="minorHAnsi" w:hAnsiTheme="minorHAnsi" w:cstheme="minorHAnsi"/>
        </w:rPr>
        <w:t xml:space="preserve">Facilitated Resolution Processes include specific processes that are aimed at resolving disputes without going to court. This category is relevant for the process only. The actual representation of a service user within a Facilitated Resolution Process is defined as a Dispute Resolution Service. </w:t>
      </w:r>
    </w:p>
    <w:p w14:paraId="72E97A00" w14:textId="77777777" w:rsidR="00B55EED" w:rsidRPr="005E3B44" w:rsidRDefault="00B55EED" w:rsidP="00B55EED">
      <w:pPr>
        <w:pStyle w:val="Normal100"/>
        <w:keepNext/>
        <w:rPr>
          <w:rFonts w:asciiTheme="minorHAnsi" w:hAnsiTheme="minorHAnsi" w:cstheme="minorHAnsi"/>
        </w:rPr>
      </w:pPr>
      <w:r w:rsidRPr="005E3B44">
        <w:rPr>
          <w:rFonts w:asciiTheme="minorHAnsi" w:hAnsiTheme="minorHAnsi" w:cstheme="minorHAnsi"/>
        </w:rPr>
        <w:t xml:space="preserve">A Facilitated Resolution Process is where the Commission conducts an activity (for example a conference) to assist the parties to resolve or narrow issues in dispute. Generally, a </w:t>
      </w:r>
      <w:r w:rsidRPr="005E3B44">
        <w:rPr>
          <w:rFonts w:asciiTheme="minorHAnsi" w:hAnsiTheme="minorHAnsi" w:cstheme="minorHAnsi"/>
        </w:rPr>
        <w:lastRenderedPageBreak/>
        <w:t>Facilitated Resolution Process will involve a screening process and the provision of an independent, suitably qualified professional to facilitate resolution of the issues in dispute.</w:t>
      </w:r>
    </w:p>
    <w:p w14:paraId="01FA4505"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A Facilitated Resolution Process may be provided in person at any location or by telephone or videoconference.</w:t>
      </w:r>
    </w:p>
    <w:p w14:paraId="79367D65"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There are </w:t>
      </w:r>
      <w:proofErr w:type="gramStart"/>
      <w:r w:rsidRPr="005E3B44">
        <w:rPr>
          <w:rFonts w:asciiTheme="minorHAnsi" w:hAnsiTheme="minorHAnsi" w:cstheme="minorHAnsi"/>
        </w:rPr>
        <w:t>a number of</w:t>
      </w:r>
      <w:proofErr w:type="gramEnd"/>
      <w:r w:rsidRPr="005E3B44">
        <w:rPr>
          <w:rFonts w:asciiTheme="minorHAnsi" w:hAnsiTheme="minorHAnsi" w:cstheme="minorHAnsi"/>
        </w:rPr>
        <w:t xml:space="preserve"> activity types within this service category including screening, arbitration, conferences and mediation.</w:t>
      </w:r>
    </w:p>
    <w:p w14:paraId="3A758ED2"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The Commission provides a lawyer-assisted model of alternative dispute resolution in family law and child protection matters with the objective of settling disputes at an early stage without the need for recourse to the courts.</w:t>
      </w:r>
    </w:p>
    <w:p w14:paraId="4AF4D3E6"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Duty Lawyer Services</w:t>
      </w:r>
    </w:p>
    <w:p w14:paraId="2D71EE94" w14:textId="77777777" w:rsidR="00B55EED" w:rsidRPr="005E3B44" w:rsidRDefault="00B55EED" w:rsidP="00B55EED">
      <w:pPr>
        <w:pStyle w:val="Normal100"/>
        <w:keepNext/>
        <w:widowControl w:val="0"/>
        <w:tabs>
          <w:tab w:val="left" w:pos="36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4"/>
        </w:rPr>
      </w:pPr>
      <w:r w:rsidRPr="005E3B44">
        <w:rPr>
          <w:rFonts w:asciiTheme="minorHAnsi" w:hAnsiTheme="minorHAnsi" w:cstheme="minorHAnsi"/>
          <w:szCs w:val="24"/>
        </w:rPr>
        <w:t xml:space="preserve">Duty Lawyer Services are legal services provided by a duty lawyer to a service user at a court or tribunal. </w:t>
      </w:r>
    </w:p>
    <w:p w14:paraId="06DA7D4F"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Duty Lawyer Services are provided free of charge at courts and tribunals to people who would otherwise be unrepresented in relation to an event or proceeding on that day.  The Commission provides Duty Lawyer Services in:</w:t>
      </w:r>
    </w:p>
    <w:p w14:paraId="0705F580"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criminal cases at the ACT Magistrates Court and the ACT Children’s </w:t>
      </w:r>
      <w:proofErr w:type="gramStart"/>
      <w:r w:rsidRPr="005E3B44">
        <w:rPr>
          <w:rFonts w:asciiTheme="minorHAnsi" w:hAnsiTheme="minorHAnsi" w:cstheme="minorHAnsi"/>
          <w:szCs w:val="24"/>
        </w:rPr>
        <w:t>Court;</w:t>
      </w:r>
      <w:proofErr w:type="gramEnd"/>
    </w:p>
    <w:p w14:paraId="0AA7F304"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domestic violence and personal protection </w:t>
      </w:r>
      <w:proofErr w:type="gramStart"/>
      <w:r w:rsidRPr="005E3B44">
        <w:rPr>
          <w:rFonts w:asciiTheme="minorHAnsi" w:hAnsiTheme="minorHAnsi" w:cstheme="minorHAnsi"/>
          <w:szCs w:val="24"/>
        </w:rPr>
        <w:t>matters</w:t>
      </w:r>
      <w:proofErr w:type="gramEnd"/>
      <w:r w:rsidRPr="005E3B44">
        <w:rPr>
          <w:rFonts w:asciiTheme="minorHAnsi" w:hAnsiTheme="minorHAnsi" w:cstheme="minorHAnsi"/>
          <w:szCs w:val="24"/>
        </w:rPr>
        <w:t xml:space="preserve"> at the ACT Magistrates Court; and</w:t>
      </w:r>
    </w:p>
    <w:p w14:paraId="682286D0"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family law and family violence related matters at the Canberra Registry of the Family Court and Federal Magistrates Court.</w:t>
      </w:r>
    </w:p>
    <w:p w14:paraId="0F9AD9C5"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Duty Lawyer Services consist of advising a person in relation to the proceeding or event and in appropriate circumstances appearing on their behalf.  These services can include assistance with bail applications, guilty </w:t>
      </w:r>
      <w:proofErr w:type="gramStart"/>
      <w:r w:rsidRPr="005E3B44">
        <w:rPr>
          <w:rFonts w:asciiTheme="minorHAnsi" w:hAnsiTheme="minorHAnsi" w:cstheme="minorHAnsi"/>
        </w:rPr>
        <w:t>pleas</w:t>
      </w:r>
      <w:proofErr w:type="gramEnd"/>
      <w:r w:rsidRPr="005E3B44">
        <w:rPr>
          <w:rFonts w:asciiTheme="minorHAnsi" w:hAnsiTheme="minorHAnsi" w:cstheme="minorHAnsi"/>
        </w:rPr>
        <w:t xml:space="preserve"> and representation of applicants for urgent interim protection, parenting, child recovery and restraining orders.</w:t>
      </w:r>
    </w:p>
    <w:p w14:paraId="42A105E0"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Representation</w:t>
      </w:r>
    </w:p>
    <w:p w14:paraId="366B3BC4"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Representation Services are where the Commission takes carriage of a matter in an ongoing, representative capacity.</w:t>
      </w:r>
    </w:p>
    <w:p w14:paraId="4AE09C6E" w14:textId="77777777" w:rsidR="00B55EED" w:rsidRPr="005E3B44" w:rsidRDefault="00B55EED" w:rsidP="00B55EED">
      <w:pPr>
        <w:pStyle w:val="Normal1"/>
        <w:rPr>
          <w:rFonts w:asciiTheme="minorHAnsi" w:hAnsiTheme="minorHAnsi" w:cstheme="minorHAnsi"/>
        </w:rPr>
      </w:pPr>
      <w:r w:rsidRPr="005E3B44">
        <w:rPr>
          <w:rFonts w:asciiTheme="minorHAnsi" w:hAnsiTheme="minorHAnsi" w:cstheme="minorHAnsi"/>
        </w:rPr>
        <w:t xml:space="preserve">Grants of legal assistance enable people who would not otherwise be able to afford legal services to obtain legal representation in legal proceedings, dispute resolution, or other legal matters of a substantial and ongoing nature.  Grants of legal assistance are provided in criminal, </w:t>
      </w:r>
      <w:proofErr w:type="gramStart"/>
      <w:r w:rsidRPr="005E3B44">
        <w:rPr>
          <w:rFonts w:asciiTheme="minorHAnsi" w:hAnsiTheme="minorHAnsi" w:cstheme="minorHAnsi"/>
        </w:rPr>
        <w:t>family</w:t>
      </w:r>
      <w:proofErr w:type="gramEnd"/>
      <w:r w:rsidRPr="005E3B44">
        <w:rPr>
          <w:rFonts w:asciiTheme="minorHAnsi" w:hAnsiTheme="minorHAnsi" w:cstheme="minorHAnsi"/>
        </w:rPr>
        <w:t xml:space="preserve"> and civil law matters.</w:t>
      </w:r>
    </w:p>
    <w:p w14:paraId="25DDF3B7"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In determining applications for grants of legal assistance the Commission examines whether the application satisfies the eligibility requirements of the </w:t>
      </w:r>
      <w:r w:rsidRPr="005E3B44">
        <w:rPr>
          <w:rFonts w:asciiTheme="minorHAnsi" w:hAnsiTheme="minorHAnsi" w:cstheme="minorHAnsi"/>
          <w:i/>
        </w:rPr>
        <w:t>Legal Aid Act 1977</w:t>
      </w:r>
      <w:r w:rsidRPr="005E3B44">
        <w:rPr>
          <w:rFonts w:asciiTheme="minorHAnsi" w:hAnsiTheme="minorHAnsi" w:cstheme="minorHAnsi"/>
        </w:rPr>
        <w:t xml:space="preserve"> and guidelines set by the Commission under the Act.</w:t>
      </w:r>
    </w:p>
    <w:p w14:paraId="4EDB7F75" w14:textId="77777777" w:rsidR="00B55EED" w:rsidRPr="005E3B44" w:rsidRDefault="00B55EED" w:rsidP="00B55EED">
      <w:pPr>
        <w:pStyle w:val="Normal100"/>
        <w:rPr>
          <w:rFonts w:asciiTheme="minorHAnsi" w:hAnsiTheme="minorHAnsi" w:cstheme="minorHAnsi"/>
          <w:bCs/>
        </w:rPr>
      </w:pPr>
      <w:r w:rsidRPr="005E3B44">
        <w:rPr>
          <w:rFonts w:asciiTheme="minorHAnsi" w:hAnsiTheme="minorHAnsi" w:cstheme="minorHAnsi"/>
          <w:bCs/>
        </w:rPr>
        <w:t>There are three service types within this service category.</w:t>
      </w:r>
    </w:p>
    <w:p w14:paraId="55B58C63" w14:textId="77777777" w:rsidR="00B55EED" w:rsidRPr="005E3B44" w:rsidRDefault="00B55EED" w:rsidP="00B55EED">
      <w:pPr>
        <w:pStyle w:val="Normal100"/>
        <w:rPr>
          <w:rFonts w:asciiTheme="minorHAnsi" w:hAnsiTheme="minorHAnsi" w:cstheme="minorHAnsi"/>
          <w:i/>
          <w:szCs w:val="24"/>
          <w:u w:val="single"/>
        </w:rPr>
      </w:pPr>
    </w:p>
    <w:p w14:paraId="30D7867C" w14:textId="77777777" w:rsidR="00B55EED" w:rsidRPr="005E3B44" w:rsidRDefault="00B55EED" w:rsidP="00B55EED">
      <w:pPr>
        <w:pStyle w:val="Normal100"/>
        <w:rPr>
          <w:rFonts w:asciiTheme="minorHAnsi" w:hAnsiTheme="minorHAnsi" w:cstheme="minorHAnsi"/>
          <w:i/>
          <w:szCs w:val="24"/>
          <w:u w:val="single"/>
        </w:rPr>
      </w:pPr>
      <w:r w:rsidRPr="005E3B44">
        <w:rPr>
          <w:rFonts w:asciiTheme="minorHAnsi" w:hAnsiTheme="minorHAnsi" w:cstheme="minorHAnsi"/>
          <w:i/>
          <w:szCs w:val="24"/>
          <w:u w:val="single"/>
        </w:rPr>
        <w:lastRenderedPageBreak/>
        <w:t>Dispute Resolution</w:t>
      </w:r>
    </w:p>
    <w:p w14:paraId="574F18B0"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This service is the legal representation of a service user in a Facilitated Resolution Process, or an alternative dispute resolution process. This service type does not include court/tribunal based alternative dispute resolution, which is incorporated in the definition of Court /Tribunal Services.</w:t>
      </w:r>
    </w:p>
    <w:p w14:paraId="10730962"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A Dispute Resolution Service includes preparation for, and representation at, a Facilitated Resolution Process. It also includes the work involved in recording agreement following a Facilitated Resolution Process.  </w:t>
      </w:r>
    </w:p>
    <w:p w14:paraId="283BA83B"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Assistance provided to self-representing parties preparing to attend Facilitated Resolution Processes should be categorised as Legal Task or Duty Lawyer Service as relevant.</w:t>
      </w:r>
    </w:p>
    <w:p w14:paraId="13B198AF" w14:textId="77777777" w:rsidR="00B55EED" w:rsidRPr="005E3B44" w:rsidRDefault="00B55EED" w:rsidP="00B55EED">
      <w:pPr>
        <w:pStyle w:val="Normal100"/>
        <w:rPr>
          <w:rFonts w:asciiTheme="minorHAnsi" w:hAnsiTheme="minorHAnsi" w:cstheme="minorHAnsi"/>
          <w:i/>
          <w:u w:val="single"/>
        </w:rPr>
      </w:pPr>
      <w:r w:rsidRPr="005E3B44">
        <w:rPr>
          <w:rFonts w:asciiTheme="minorHAnsi" w:hAnsiTheme="minorHAnsi" w:cstheme="minorHAnsi"/>
          <w:i/>
          <w:u w:val="single"/>
        </w:rPr>
        <w:t>Court/Tribunal Service</w:t>
      </w:r>
    </w:p>
    <w:p w14:paraId="1F3B1C5C"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A Court/Tribunal Service relates to any ongoing representation for any matter before a court, </w:t>
      </w:r>
      <w:proofErr w:type="gramStart"/>
      <w:r w:rsidRPr="005E3B44">
        <w:rPr>
          <w:rFonts w:asciiTheme="minorHAnsi" w:hAnsiTheme="minorHAnsi" w:cstheme="minorHAnsi"/>
        </w:rPr>
        <w:t>tribunal</w:t>
      </w:r>
      <w:proofErr w:type="gramEnd"/>
      <w:r w:rsidRPr="005E3B44">
        <w:rPr>
          <w:rFonts w:asciiTheme="minorHAnsi" w:hAnsiTheme="minorHAnsi" w:cstheme="minorHAnsi"/>
        </w:rPr>
        <w:t xml:space="preserve"> or inquiry where the Commission provides legal representation to a service user and takes carriage of a matter in an ongoing, representative capacity. This includes court/tribunal based alternative dispute resolution.</w:t>
      </w:r>
    </w:p>
    <w:p w14:paraId="39BBC466"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A Court/Tribunal Service does not include services provided by a duty lawyer or assistance to self-representing parties where the Commission does not take carriage of a matter in an ongoing, representative capacity. This type of service is counted as a Legal Task, Legal Advice or Duty Lawyer Service, as appropriate.</w:t>
      </w:r>
    </w:p>
    <w:p w14:paraId="736A41C3" w14:textId="77777777" w:rsidR="00B55EED" w:rsidRPr="005E3B44" w:rsidRDefault="00B55EED" w:rsidP="00B55EED">
      <w:pPr>
        <w:pStyle w:val="Normal100"/>
        <w:rPr>
          <w:rFonts w:asciiTheme="minorHAnsi" w:hAnsiTheme="minorHAnsi" w:cstheme="minorHAnsi"/>
          <w:i/>
          <w:u w:val="single"/>
        </w:rPr>
      </w:pPr>
      <w:r w:rsidRPr="005E3B44">
        <w:rPr>
          <w:rFonts w:asciiTheme="minorHAnsi" w:hAnsiTheme="minorHAnsi" w:cstheme="minorHAnsi"/>
          <w:i/>
          <w:u w:val="single"/>
        </w:rPr>
        <w:t>Other Representation</w:t>
      </w:r>
    </w:p>
    <w:p w14:paraId="4E69C555"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Other Representation services relates to any matter where the Commission:</w:t>
      </w:r>
    </w:p>
    <w:p w14:paraId="4AC43282"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takes carriage of a matter in an ongoing, representative capacity, but due to the nature of the matter it does not proceed to a court, </w:t>
      </w:r>
      <w:proofErr w:type="gramStart"/>
      <w:r w:rsidRPr="005E3B44">
        <w:rPr>
          <w:rFonts w:asciiTheme="minorHAnsi" w:hAnsiTheme="minorHAnsi" w:cstheme="minorHAnsi"/>
          <w:szCs w:val="24"/>
        </w:rPr>
        <w:t>tribunal</w:t>
      </w:r>
      <w:proofErr w:type="gramEnd"/>
      <w:r w:rsidRPr="005E3B44">
        <w:rPr>
          <w:rFonts w:asciiTheme="minorHAnsi" w:hAnsiTheme="minorHAnsi" w:cstheme="minorHAnsi"/>
          <w:szCs w:val="24"/>
        </w:rPr>
        <w:t xml:space="preserve"> or inquiry; or </w:t>
      </w:r>
    </w:p>
    <w:p w14:paraId="63D27CE4"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 xml:space="preserve">is not required to appear before a court, </w:t>
      </w:r>
      <w:proofErr w:type="gramStart"/>
      <w:r w:rsidRPr="005E3B44">
        <w:rPr>
          <w:rFonts w:asciiTheme="minorHAnsi" w:hAnsiTheme="minorHAnsi" w:cstheme="minorHAnsi"/>
          <w:szCs w:val="24"/>
        </w:rPr>
        <w:t>tribunal</w:t>
      </w:r>
      <w:proofErr w:type="gramEnd"/>
      <w:r w:rsidRPr="005E3B44">
        <w:rPr>
          <w:rFonts w:asciiTheme="minorHAnsi" w:hAnsiTheme="minorHAnsi" w:cstheme="minorHAnsi"/>
          <w:szCs w:val="24"/>
        </w:rPr>
        <w:t xml:space="preserve"> or inquiry. </w:t>
      </w:r>
    </w:p>
    <w:p w14:paraId="1D0E249A"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Other Representation services does not include assistance to self-representing parties where the Commission does not take carriage of a matter in an ongoing, representative capacity. This type of service is counted as a Legal Task, Legal Advice or Duty Lawyer Service, as appropriate.</w:t>
      </w:r>
    </w:p>
    <w:p w14:paraId="429EDF64" w14:textId="77777777" w:rsidR="00B55EED" w:rsidRPr="005E3B44" w:rsidRDefault="00B55EED" w:rsidP="00B55EED">
      <w:pPr>
        <w:pStyle w:val="Normal100"/>
        <w:rPr>
          <w:rFonts w:asciiTheme="minorHAnsi" w:hAnsiTheme="minorHAnsi" w:cstheme="minorHAnsi"/>
          <w:szCs w:val="24"/>
        </w:rPr>
      </w:pPr>
      <w:r w:rsidRPr="005E3B44">
        <w:rPr>
          <w:rFonts w:asciiTheme="minorHAnsi" w:hAnsiTheme="minorHAnsi" w:cstheme="minorHAnsi"/>
          <w:b/>
          <w:i/>
        </w:rPr>
        <w:t>Community Legal Education</w:t>
      </w:r>
    </w:p>
    <w:p w14:paraId="63ECE90D" w14:textId="77777777" w:rsidR="00B55EED" w:rsidRPr="005E3B44" w:rsidRDefault="00B55EED" w:rsidP="00B55EED">
      <w:pPr>
        <w:pStyle w:val="Normal100"/>
        <w:rPr>
          <w:rFonts w:asciiTheme="minorHAnsi" w:hAnsiTheme="minorHAnsi" w:cstheme="minorHAnsi"/>
          <w:szCs w:val="24"/>
        </w:rPr>
      </w:pPr>
      <w:r w:rsidRPr="005E3B44">
        <w:rPr>
          <w:rFonts w:asciiTheme="minorHAnsi" w:hAnsiTheme="minorHAnsi" w:cstheme="minorHAnsi"/>
          <w:szCs w:val="24"/>
        </w:rPr>
        <w:t xml:space="preserve">Community Legal Education (CLE) is the provision of information and education to members of the community (especially vulnerable and disadvantaged people) on an individual or group basis concerning the law and legal processes and the place of these in the structure of society.  The ‘community’ may be defined geographically, by issue or by need.  Effective CLE sets out to ensure that people understand and apply the knowledge in ways that benefit their behaviours, </w:t>
      </w:r>
      <w:proofErr w:type="gramStart"/>
      <w:r w:rsidRPr="005E3B44">
        <w:rPr>
          <w:rFonts w:asciiTheme="minorHAnsi" w:hAnsiTheme="minorHAnsi" w:cstheme="minorHAnsi"/>
          <w:szCs w:val="24"/>
        </w:rPr>
        <w:t>decisions</w:t>
      </w:r>
      <w:proofErr w:type="gramEnd"/>
      <w:r w:rsidRPr="005E3B44">
        <w:rPr>
          <w:rFonts w:asciiTheme="minorHAnsi" w:hAnsiTheme="minorHAnsi" w:cstheme="minorHAnsi"/>
          <w:szCs w:val="24"/>
        </w:rPr>
        <w:t xml:space="preserve"> and life outcomes.  CLE increases the ability of an individual or community to understand and critically assess the impact of the legal system on them and their ability to deal with and use the law and the legal system.</w:t>
      </w:r>
    </w:p>
    <w:p w14:paraId="12B57CE1" w14:textId="77777777" w:rsidR="00B55EED" w:rsidRPr="005E3B44" w:rsidRDefault="00B55EED" w:rsidP="00B55EED">
      <w:pPr>
        <w:pStyle w:val="Normal100"/>
        <w:rPr>
          <w:rFonts w:asciiTheme="minorHAnsi" w:hAnsiTheme="minorHAnsi" w:cstheme="minorHAnsi"/>
          <w:szCs w:val="24"/>
        </w:rPr>
      </w:pPr>
      <w:r w:rsidRPr="005E3B44">
        <w:rPr>
          <w:rFonts w:asciiTheme="minorHAnsi" w:hAnsiTheme="minorHAnsi" w:cstheme="minorHAnsi"/>
          <w:szCs w:val="22"/>
        </w:rPr>
        <w:lastRenderedPageBreak/>
        <w:t xml:space="preserve">CLE is provided to the general community, community services, community groups, </w:t>
      </w:r>
      <w:proofErr w:type="gramStart"/>
      <w:r w:rsidRPr="005E3B44">
        <w:rPr>
          <w:rFonts w:asciiTheme="minorHAnsi" w:hAnsiTheme="minorHAnsi" w:cstheme="minorHAnsi"/>
          <w:szCs w:val="22"/>
        </w:rPr>
        <w:t>organisations</w:t>
      </w:r>
      <w:proofErr w:type="gramEnd"/>
      <w:r w:rsidRPr="005E3B44">
        <w:rPr>
          <w:rFonts w:asciiTheme="minorHAnsi" w:hAnsiTheme="minorHAnsi" w:cstheme="minorHAnsi"/>
          <w:szCs w:val="22"/>
        </w:rPr>
        <w:t xml:space="preserve"> or schools. These services inform and build individual and community </w:t>
      </w:r>
      <w:r w:rsidRPr="005E3B44">
        <w:rPr>
          <w:rFonts w:asciiTheme="minorHAnsi" w:hAnsiTheme="minorHAnsi" w:cstheme="minorHAnsi"/>
          <w:szCs w:val="24"/>
        </w:rPr>
        <w:t xml:space="preserve">resilience by enhancing: </w:t>
      </w:r>
    </w:p>
    <w:p w14:paraId="57847F74" w14:textId="77777777" w:rsidR="00B55EED" w:rsidRPr="005E3B44" w:rsidRDefault="00B55EED" w:rsidP="00B55EED">
      <w:pPr>
        <w:pStyle w:val="Normal100"/>
        <w:numPr>
          <w:ilvl w:val="0"/>
          <w:numId w:val="62"/>
        </w:numPr>
        <w:spacing w:after="120"/>
        <w:jc w:val="both"/>
        <w:rPr>
          <w:rFonts w:asciiTheme="minorHAnsi" w:hAnsiTheme="minorHAnsi" w:cstheme="minorHAnsi"/>
          <w:szCs w:val="24"/>
        </w:rPr>
      </w:pPr>
      <w:r w:rsidRPr="005E3B44">
        <w:rPr>
          <w:rFonts w:asciiTheme="minorHAnsi" w:hAnsiTheme="minorHAnsi" w:cstheme="minorHAnsi"/>
          <w:szCs w:val="24"/>
        </w:rPr>
        <w:t>awareness and understanding about the law and how to identify, prevent and deal with problems; and</w:t>
      </w:r>
    </w:p>
    <w:p w14:paraId="111A7C6E" w14:textId="77777777" w:rsidR="00B55EED" w:rsidRPr="005E3B44" w:rsidRDefault="00B55EED" w:rsidP="00B55EED">
      <w:pPr>
        <w:pStyle w:val="Normal1"/>
        <w:keepNext/>
        <w:numPr>
          <w:ilvl w:val="0"/>
          <w:numId w:val="63"/>
        </w:numPr>
        <w:spacing w:line="276" w:lineRule="auto"/>
        <w:contextualSpacing/>
        <w:rPr>
          <w:rFonts w:asciiTheme="minorHAnsi" w:hAnsiTheme="minorHAnsi" w:cstheme="minorHAnsi"/>
        </w:rPr>
      </w:pPr>
      <w:r w:rsidRPr="005E3B44">
        <w:rPr>
          <w:rFonts w:asciiTheme="minorHAnsi" w:hAnsiTheme="minorHAnsi" w:cstheme="minorHAnsi"/>
        </w:rPr>
        <w:t xml:space="preserve">awareness of the help available from legal and support services. </w:t>
      </w:r>
    </w:p>
    <w:p w14:paraId="415F29A6" w14:textId="77777777" w:rsidR="008C4A8F" w:rsidRDefault="008C4A8F" w:rsidP="00B55EED">
      <w:pPr>
        <w:pStyle w:val="Normal1"/>
        <w:rPr>
          <w:rFonts w:asciiTheme="minorHAnsi" w:hAnsiTheme="minorHAnsi" w:cstheme="minorHAnsi"/>
          <w:bCs/>
        </w:rPr>
      </w:pPr>
    </w:p>
    <w:p w14:paraId="40244208" w14:textId="2D3E12AC" w:rsidR="00B55EED" w:rsidRPr="005E3B44" w:rsidRDefault="00B55EED" w:rsidP="00B55EED">
      <w:pPr>
        <w:pStyle w:val="Normal1"/>
        <w:rPr>
          <w:rFonts w:asciiTheme="minorHAnsi" w:hAnsiTheme="minorHAnsi" w:cstheme="minorHAnsi"/>
          <w:bCs/>
        </w:rPr>
      </w:pPr>
      <w:r w:rsidRPr="005E3B44">
        <w:rPr>
          <w:rFonts w:asciiTheme="minorHAnsi" w:hAnsiTheme="minorHAnsi" w:cstheme="minorHAnsi"/>
          <w:bCs/>
        </w:rPr>
        <w:t>There are two service types within this service category.</w:t>
      </w:r>
    </w:p>
    <w:p w14:paraId="4D5D11E9" w14:textId="77777777" w:rsidR="005E3B44" w:rsidRDefault="005E3B44" w:rsidP="00B55EED">
      <w:pPr>
        <w:pStyle w:val="Normal1"/>
        <w:rPr>
          <w:rFonts w:asciiTheme="minorHAnsi" w:hAnsiTheme="minorHAnsi" w:cstheme="minorHAnsi"/>
          <w:i/>
          <w:u w:val="single"/>
        </w:rPr>
      </w:pPr>
      <w:bookmarkStart w:id="37" w:name="_Toc396135493"/>
      <w:bookmarkStart w:id="38" w:name="_Toc423617758"/>
    </w:p>
    <w:p w14:paraId="4A05FDFA" w14:textId="50905D6D" w:rsidR="00B55EED" w:rsidRPr="005E3B44" w:rsidRDefault="00B55EED" w:rsidP="00B55EED">
      <w:pPr>
        <w:pStyle w:val="Normal1"/>
        <w:rPr>
          <w:rFonts w:asciiTheme="minorHAnsi" w:hAnsiTheme="minorHAnsi" w:cstheme="minorHAnsi"/>
          <w:i/>
          <w:u w:val="single"/>
        </w:rPr>
      </w:pPr>
      <w:r w:rsidRPr="005E3B44">
        <w:rPr>
          <w:rFonts w:asciiTheme="minorHAnsi" w:hAnsiTheme="minorHAnsi" w:cstheme="minorHAnsi"/>
          <w:i/>
          <w:u w:val="single"/>
        </w:rPr>
        <w:t>Community Legal Education Resources</w:t>
      </w:r>
      <w:bookmarkEnd w:id="37"/>
      <w:bookmarkEnd w:id="38"/>
    </w:p>
    <w:p w14:paraId="62ED4E30" w14:textId="77777777" w:rsidR="00B55EED" w:rsidRPr="005E3B44" w:rsidRDefault="00B55EED" w:rsidP="00B55EED">
      <w:pPr>
        <w:pStyle w:val="Normal1"/>
        <w:rPr>
          <w:rFonts w:asciiTheme="minorHAnsi" w:hAnsiTheme="minorHAnsi" w:cstheme="minorHAnsi"/>
          <w:szCs w:val="22"/>
        </w:rPr>
      </w:pPr>
      <w:r w:rsidRPr="005E3B44">
        <w:rPr>
          <w:rFonts w:asciiTheme="minorHAnsi" w:hAnsiTheme="minorHAnsi" w:cstheme="minorHAnsi"/>
          <w:szCs w:val="22"/>
        </w:rPr>
        <w:t xml:space="preserve">CLE Resources involve the development or substantial amendment of publications and resources that provide </w:t>
      </w:r>
      <w:r w:rsidRPr="005E3B44">
        <w:rPr>
          <w:rFonts w:asciiTheme="minorHAnsi" w:hAnsiTheme="minorHAnsi" w:cstheme="minorHAnsi"/>
        </w:rPr>
        <w:t>information about the law and legal system</w:t>
      </w:r>
      <w:r w:rsidRPr="005E3B44">
        <w:rPr>
          <w:rFonts w:asciiTheme="minorHAnsi" w:hAnsiTheme="minorHAnsi" w:cstheme="minorHAnsi"/>
          <w:szCs w:val="22"/>
        </w:rPr>
        <w:t xml:space="preserve">, </w:t>
      </w:r>
      <w:r w:rsidRPr="005E3B44">
        <w:rPr>
          <w:rFonts w:asciiTheme="minorHAnsi" w:hAnsiTheme="minorHAnsi" w:cstheme="minorHAnsi"/>
        </w:rPr>
        <w:t xml:space="preserve">legal and support </w:t>
      </w:r>
      <w:proofErr w:type="gramStart"/>
      <w:r w:rsidRPr="005E3B44">
        <w:rPr>
          <w:rFonts w:asciiTheme="minorHAnsi" w:hAnsiTheme="minorHAnsi" w:cstheme="minorHAnsi"/>
        </w:rPr>
        <w:t>services</w:t>
      </w:r>
      <w:proofErr w:type="gramEnd"/>
      <w:r w:rsidRPr="005E3B44">
        <w:rPr>
          <w:rFonts w:asciiTheme="minorHAnsi" w:hAnsiTheme="minorHAnsi" w:cstheme="minorHAnsi"/>
          <w:szCs w:val="22"/>
        </w:rPr>
        <w:t xml:space="preserve"> and </w:t>
      </w:r>
      <w:r w:rsidRPr="005E3B44">
        <w:rPr>
          <w:rFonts w:asciiTheme="minorHAnsi" w:hAnsiTheme="minorHAnsi" w:cstheme="minorHAnsi"/>
        </w:rPr>
        <w:t>guidance for identifying, preventing or dealing with particular legal problems.</w:t>
      </w:r>
    </w:p>
    <w:p w14:paraId="3E3F5607" w14:textId="77777777" w:rsidR="008C4A8F" w:rsidRDefault="008C4A8F" w:rsidP="00B55EED">
      <w:pPr>
        <w:pStyle w:val="Normal1"/>
        <w:rPr>
          <w:rFonts w:asciiTheme="minorHAnsi" w:hAnsiTheme="minorHAnsi" w:cstheme="minorHAnsi"/>
          <w:szCs w:val="22"/>
        </w:rPr>
      </w:pPr>
    </w:p>
    <w:p w14:paraId="44DD76A2" w14:textId="7ACDA4FC" w:rsidR="00B55EED" w:rsidRPr="005E3B44" w:rsidRDefault="00B55EED" w:rsidP="00B55EED">
      <w:pPr>
        <w:pStyle w:val="Normal1"/>
        <w:rPr>
          <w:rFonts w:asciiTheme="minorHAnsi" w:hAnsiTheme="minorHAnsi" w:cstheme="minorHAnsi"/>
          <w:szCs w:val="22"/>
        </w:rPr>
      </w:pPr>
      <w:r w:rsidRPr="005E3B44">
        <w:rPr>
          <w:rFonts w:asciiTheme="minorHAnsi" w:hAnsiTheme="minorHAnsi" w:cstheme="minorHAnsi"/>
          <w:szCs w:val="22"/>
        </w:rPr>
        <w:t xml:space="preserve">Examples of CLE Resources include </w:t>
      </w:r>
      <w:r w:rsidRPr="005E3B44">
        <w:rPr>
          <w:rFonts w:asciiTheme="minorHAnsi" w:hAnsiTheme="minorHAnsi" w:cstheme="minorHAnsi"/>
        </w:rPr>
        <w:t>booklets</w:t>
      </w:r>
      <w:r w:rsidRPr="005E3B44">
        <w:rPr>
          <w:rFonts w:asciiTheme="minorHAnsi" w:hAnsiTheme="minorHAnsi" w:cstheme="minorHAnsi"/>
          <w:szCs w:val="22"/>
        </w:rPr>
        <w:t xml:space="preserve">, </w:t>
      </w:r>
      <w:r w:rsidRPr="005E3B44">
        <w:rPr>
          <w:rFonts w:asciiTheme="minorHAnsi" w:hAnsiTheme="minorHAnsi" w:cstheme="minorHAnsi"/>
        </w:rPr>
        <w:t>pamphlets, self-help kits</w:t>
      </w:r>
      <w:r w:rsidRPr="005E3B44">
        <w:rPr>
          <w:rFonts w:asciiTheme="minorHAnsi" w:hAnsiTheme="minorHAnsi" w:cstheme="minorHAnsi"/>
          <w:szCs w:val="22"/>
        </w:rPr>
        <w:t xml:space="preserve">, </w:t>
      </w:r>
      <w:r w:rsidRPr="005E3B44">
        <w:rPr>
          <w:rFonts w:asciiTheme="minorHAnsi" w:hAnsiTheme="minorHAnsi" w:cstheme="minorHAnsi"/>
        </w:rPr>
        <w:t>legal information websites</w:t>
      </w:r>
      <w:r w:rsidRPr="005E3B44">
        <w:rPr>
          <w:rFonts w:asciiTheme="minorHAnsi" w:hAnsiTheme="minorHAnsi" w:cstheme="minorHAnsi"/>
          <w:szCs w:val="22"/>
        </w:rPr>
        <w:t xml:space="preserve"> and </w:t>
      </w:r>
      <w:r w:rsidRPr="005E3B44">
        <w:rPr>
          <w:rFonts w:asciiTheme="minorHAnsi" w:hAnsiTheme="minorHAnsi" w:cstheme="minorHAnsi"/>
        </w:rPr>
        <w:t xml:space="preserve">development of CLE Activities (such as modules, </w:t>
      </w:r>
      <w:proofErr w:type="gramStart"/>
      <w:r w:rsidRPr="005E3B44">
        <w:rPr>
          <w:rFonts w:asciiTheme="minorHAnsi" w:hAnsiTheme="minorHAnsi" w:cstheme="minorHAnsi"/>
        </w:rPr>
        <w:t>workshops</w:t>
      </w:r>
      <w:proofErr w:type="gramEnd"/>
      <w:r w:rsidRPr="005E3B44">
        <w:rPr>
          <w:rFonts w:asciiTheme="minorHAnsi" w:hAnsiTheme="minorHAnsi" w:cstheme="minorHAnsi"/>
        </w:rPr>
        <w:t xml:space="preserve"> or presentations).</w:t>
      </w:r>
    </w:p>
    <w:p w14:paraId="4945AF23" w14:textId="77777777" w:rsidR="008C4A8F" w:rsidRDefault="008C4A8F" w:rsidP="00B55EED">
      <w:pPr>
        <w:pStyle w:val="Normal1"/>
        <w:rPr>
          <w:rFonts w:asciiTheme="minorHAnsi" w:hAnsiTheme="minorHAnsi" w:cstheme="minorHAnsi"/>
        </w:rPr>
      </w:pPr>
    </w:p>
    <w:p w14:paraId="7F1CED9A" w14:textId="1ED41566" w:rsidR="00B55EED" w:rsidRPr="005E3B44" w:rsidRDefault="00B55EED" w:rsidP="00B55EED">
      <w:pPr>
        <w:pStyle w:val="Normal1"/>
        <w:rPr>
          <w:rFonts w:asciiTheme="minorHAnsi" w:hAnsiTheme="minorHAnsi" w:cstheme="minorHAnsi"/>
        </w:rPr>
      </w:pPr>
      <w:r w:rsidRPr="005E3B44">
        <w:rPr>
          <w:rFonts w:asciiTheme="minorHAnsi" w:hAnsiTheme="minorHAnsi" w:cstheme="minorHAnsi"/>
        </w:rPr>
        <w:t>CLE Resources may be developed to be delivered via a variety of media including:</w:t>
      </w:r>
    </w:p>
    <w:p w14:paraId="13D43B76" w14:textId="77777777" w:rsidR="00B55EED" w:rsidRPr="005E3B44" w:rsidRDefault="00B55EED" w:rsidP="00B55EED">
      <w:pPr>
        <w:pStyle w:val="Normal1"/>
        <w:numPr>
          <w:ilvl w:val="0"/>
          <w:numId w:val="63"/>
        </w:numPr>
        <w:spacing w:line="276" w:lineRule="auto"/>
        <w:contextualSpacing/>
        <w:rPr>
          <w:rFonts w:asciiTheme="minorHAnsi" w:hAnsiTheme="minorHAnsi" w:cstheme="minorHAnsi"/>
        </w:rPr>
      </w:pPr>
      <w:r w:rsidRPr="005E3B44">
        <w:rPr>
          <w:rFonts w:asciiTheme="minorHAnsi" w:hAnsiTheme="minorHAnsi" w:cstheme="minorHAnsi"/>
        </w:rPr>
        <w:t xml:space="preserve">printed/hard </w:t>
      </w:r>
      <w:proofErr w:type="gramStart"/>
      <w:r w:rsidRPr="005E3B44">
        <w:rPr>
          <w:rFonts w:asciiTheme="minorHAnsi" w:hAnsiTheme="minorHAnsi" w:cstheme="minorHAnsi"/>
        </w:rPr>
        <w:t>copy;</w:t>
      </w:r>
      <w:proofErr w:type="gramEnd"/>
      <w:r w:rsidRPr="005E3B44">
        <w:rPr>
          <w:rFonts w:asciiTheme="minorHAnsi" w:hAnsiTheme="minorHAnsi" w:cstheme="minorHAnsi"/>
        </w:rPr>
        <w:t xml:space="preserve"> </w:t>
      </w:r>
    </w:p>
    <w:p w14:paraId="4FF9E3ED" w14:textId="77777777" w:rsidR="00B55EED" w:rsidRPr="005E3B44" w:rsidRDefault="00B55EED" w:rsidP="00B55EED">
      <w:pPr>
        <w:pStyle w:val="Normal1"/>
        <w:numPr>
          <w:ilvl w:val="0"/>
          <w:numId w:val="63"/>
        </w:numPr>
        <w:spacing w:line="276" w:lineRule="auto"/>
        <w:contextualSpacing/>
        <w:rPr>
          <w:rFonts w:asciiTheme="minorHAnsi" w:hAnsiTheme="minorHAnsi" w:cstheme="minorHAnsi"/>
        </w:rPr>
      </w:pPr>
      <w:r w:rsidRPr="005E3B44">
        <w:rPr>
          <w:rFonts w:asciiTheme="minorHAnsi" w:hAnsiTheme="minorHAnsi" w:cstheme="minorHAnsi"/>
        </w:rPr>
        <w:t xml:space="preserve">audio </w:t>
      </w:r>
      <w:proofErr w:type="gramStart"/>
      <w:r w:rsidRPr="005E3B44">
        <w:rPr>
          <w:rFonts w:asciiTheme="minorHAnsi" w:hAnsiTheme="minorHAnsi" w:cstheme="minorHAnsi"/>
        </w:rPr>
        <w:t>products;</w:t>
      </w:r>
      <w:proofErr w:type="gramEnd"/>
    </w:p>
    <w:p w14:paraId="40A9CE91" w14:textId="77777777" w:rsidR="00B55EED" w:rsidRPr="005E3B44" w:rsidRDefault="00B55EED" w:rsidP="00B55EED">
      <w:pPr>
        <w:pStyle w:val="Normal1"/>
        <w:numPr>
          <w:ilvl w:val="0"/>
          <w:numId w:val="63"/>
        </w:numPr>
        <w:spacing w:line="276" w:lineRule="auto"/>
        <w:contextualSpacing/>
        <w:rPr>
          <w:rFonts w:asciiTheme="minorHAnsi" w:hAnsiTheme="minorHAnsi" w:cstheme="minorHAnsi"/>
        </w:rPr>
      </w:pPr>
      <w:r w:rsidRPr="005E3B44">
        <w:rPr>
          <w:rFonts w:asciiTheme="minorHAnsi" w:hAnsiTheme="minorHAnsi" w:cstheme="minorHAnsi"/>
        </w:rPr>
        <w:t>DVD/</w:t>
      </w:r>
      <w:proofErr w:type="gramStart"/>
      <w:r w:rsidRPr="005E3B44">
        <w:rPr>
          <w:rFonts w:asciiTheme="minorHAnsi" w:hAnsiTheme="minorHAnsi" w:cstheme="minorHAnsi"/>
        </w:rPr>
        <w:t>video;</w:t>
      </w:r>
      <w:proofErr w:type="gramEnd"/>
    </w:p>
    <w:p w14:paraId="4D6677DA" w14:textId="77777777" w:rsidR="00B55EED" w:rsidRPr="005E3B44" w:rsidRDefault="00B55EED" w:rsidP="00B55EED">
      <w:pPr>
        <w:pStyle w:val="Normal1"/>
        <w:numPr>
          <w:ilvl w:val="0"/>
          <w:numId w:val="63"/>
        </w:numPr>
        <w:spacing w:line="276" w:lineRule="auto"/>
        <w:contextualSpacing/>
        <w:rPr>
          <w:rFonts w:asciiTheme="minorHAnsi" w:hAnsiTheme="minorHAnsi" w:cstheme="minorHAnsi"/>
        </w:rPr>
      </w:pPr>
      <w:r w:rsidRPr="005E3B44">
        <w:rPr>
          <w:rFonts w:asciiTheme="minorHAnsi" w:hAnsiTheme="minorHAnsi" w:cstheme="minorHAnsi"/>
        </w:rPr>
        <w:t>web based; and</w:t>
      </w:r>
    </w:p>
    <w:p w14:paraId="6F10C49A" w14:textId="77777777" w:rsidR="00B55EED" w:rsidRPr="005E3B44" w:rsidRDefault="00B55EED" w:rsidP="00B55EED">
      <w:pPr>
        <w:pStyle w:val="Normal1"/>
        <w:numPr>
          <w:ilvl w:val="0"/>
          <w:numId w:val="63"/>
        </w:numPr>
        <w:spacing w:line="276" w:lineRule="auto"/>
        <w:contextualSpacing/>
        <w:rPr>
          <w:rFonts w:asciiTheme="minorHAnsi" w:hAnsiTheme="minorHAnsi" w:cstheme="minorHAnsi"/>
        </w:rPr>
      </w:pPr>
      <w:r w:rsidRPr="005E3B44">
        <w:rPr>
          <w:rFonts w:asciiTheme="minorHAnsi" w:hAnsiTheme="minorHAnsi" w:cstheme="minorHAnsi"/>
        </w:rPr>
        <w:t>workshops or presentations.</w:t>
      </w:r>
    </w:p>
    <w:p w14:paraId="34DAFFB4" w14:textId="77777777" w:rsidR="005E3B44" w:rsidRDefault="005E3B44" w:rsidP="00B55EED">
      <w:pPr>
        <w:pStyle w:val="Normal1"/>
        <w:rPr>
          <w:rFonts w:asciiTheme="minorHAnsi" w:hAnsiTheme="minorHAnsi" w:cstheme="minorHAnsi"/>
          <w:i/>
          <w:u w:val="single"/>
        </w:rPr>
      </w:pPr>
    </w:p>
    <w:p w14:paraId="7153430D" w14:textId="18D81644" w:rsidR="00B55EED" w:rsidRPr="005E3B44" w:rsidRDefault="00B55EED" w:rsidP="00B55EED">
      <w:pPr>
        <w:pStyle w:val="Normal1"/>
        <w:rPr>
          <w:rFonts w:asciiTheme="minorHAnsi" w:hAnsiTheme="minorHAnsi" w:cstheme="minorHAnsi"/>
          <w:i/>
          <w:u w:val="single"/>
        </w:rPr>
      </w:pPr>
      <w:r w:rsidRPr="005E3B44">
        <w:rPr>
          <w:rFonts w:asciiTheme="minorHAnsi" w:hAnsiTheme="minorHAnsi" w:cstheme="minorHAnsi"/>
          <w:i/>
          <w:u w:val="single"/>
        </w:rPr>
        <w:t>Community Legal Education Activities</w:t>
      </w:r>
    </w:p>
    <w:p w14:paraId="22403459" w14:textId="77777777" w:rsidR="00B55EED" w:rsidRPr="005E3B44" w:rsidRDefault="00B55EED" w:rsidP="00B55EED">
      <w:pPr>
        <w:pStyle w:val="Normal1"/>
        <w:rPr>
          <w:rFonts w:asciiTheme="minorHAnsi" w:hAnsiTheme="minorHAnsi" w:cstheme="minorHAnsi"/>
        </w:rPr>
      </w:pPr>
      <w:r w:rsidRPr="005E3B44">
        <w:rPr>
          <w:rFonts w:asciiTheme="minorHAnsi" w:hAnsiTheme="minorHAnsi" w:cstheme="minorHAnsi"/>
        </w:rPr>
        <w:t xml:space="preserve">CLE Activities are delivered to raise awareness and educate other service providers, community groups, organisations, schools, or the general community about the law and how to recognise, prevent and deal with legal problems.  </w:t>
      </w:r>
    </w:p>
    <w:p w14:paraId="2DE5D8F6" w14:textId="77777777" w:rsidR="008C4A8F" w:rsidRDefault="008C4A8F" w:rsidP="00B55EED">
      <w:pPr>
        <w:pStyle w:val="Normal1"/>
        <w:rPr>
          <w:rFonts w:asciiTheme="minorHAnsi" w:hAnsiTheme="minorHAnsi" w:cstheme="minorHAnsi"/>
        </w:rPr>
      </w:pPr>
    </w:p>
    <w:p w14:paraId="14250018" w14:textId="115CBDB1" w:rsidR="00B55EED" w:rsidRPr="005E3B44" w:rsidRDefault="00B55EED" w:rsidP="00B55EED">
      <w:pPr>
        <w:pStyle w:val="Normal1"/>
        <w:rPr>
          <w:rFonts w:asciiTheme="minorHAnsi" w:hAnsiTheme="minorHAnsi" w:cstheme="minorHAnsi"/>
        </w:rPr>
      </w:pPr>
      <w:r w:rsidRPr="005E3B44">
        <w:rPr>
          <w:rFonts w:asciiTheme="minorHAnsi" w:hAnsiTheme="minorHAnsi" w:cstheme="minorHAnsi"/>
        </w:rPr>
        <w:t xml:space="preserve">CLE Activities may be delivered through a variety of formats, including workshops, </w:t>
      </w:r>
      <w:proofErr w:type="gramStart"/>
      <w:r w:rsidRPr="005E3B44">
        <w:rPr>
          <w:rFonts w:asciiTheme="minorHAnsi" w:hAnsiTheme="minorHAnsi" w:cstheme="minorHAnsi"/>
        </w:rPr>
        <w:t>presentations</w:t>
      </w:r>
      <w:proofErr w:type="gramEnd"/>
      <w:r w:rsidRPr="005E3B44">
        <w:rPr>
          <w:rFonts w:asciiTheme="minorHAnsi" w:hAnsiTheme="minorHAnsi" w:cstheme="minorHAnsi"/>
        </w:rPr>
        <w:t xml:space="preserve"> and meetings in person as well as web-based and electronic media.</w:t>
      </w:r>
    </w:p>
    <w:p w14:paraId="6A815050" w14:textId="77777777" w:rsidR="00B55EED" w:rsidRPr="005E3B44" w:rsidRDefault="00B55EED" w:rsidP="00B55EED">
      <w:pPr>
        <w:pStyle w:val="Normal100"/>
        <w:rPr>
          <w:rFonts w:asciiTheme="minorHAnsi" w:hAnsiTheme="minorHAnsi" w:cstheme="minorHAnsi"/>
          <w:szCs w:val="24"/>
        </w:rPr>
      </w:pPr>
      <w:r w:rsidRPr="005E3B44">
        <w:rPr>
          <w:rFonts w:asciiTheme="minorHAnsi" w:hAnsiTheme="minorHAnsi" w:cstheme="minorHAnsi"/>
          <w:szCs w:val="24"/>
        </w:rPr>
        <w:t xml:space="preserve">The Commission’s CLE programs include training the staff of organisations that assist vulnerable and disadvantaged members of the community in how to recognise when their clients have legal problems and where to refer them for help, as well as </w:t>
      </w:r>
      <w:proofErr w:type="gramStart"/>
      <w:r w:rsidRPr="005E3B44">
        <w:rPr>
          <w:rFonts w:asciiTheme="minorHAnsi" w:hAnsiTheme="minorHAnsi" w:cstheme="minorHAnsi"/>
          <w:szCs w:val="24"/>
        </w:rPr>
        <w:t xml:space="preserve">targeted </w:t>
      </w:r>
      <w:r w:rsidRPr="005E3B44">
        <w:rPr>
          <w:rFonts w:asciiTheme="minorHAnsi" w:hAnsiTheme="minorHAnsi" w:cstheme="minorHAnsi"/>
        </w:rPr>
        <w:t xml:space="preserve"> </w:t>
      </w:r>
      <w:r w:rsidRPr="005E3B44">
        <w:rPr>
          <w:rFonts w:asciiTheme="minorHAnsi" w:hAnsiTheme="minorHAnsi" w:cstheme="minorHAnsi"/>
          <w:szCs w:val="24"/>
        </w:rPr>
        <w:t>information</w:t>
      </w:r>
      <w:proofErr w:type="gramEnd"/>
      <w:r w:rsidRPr="005E3B44">
        <w:rPr>
          <w:rFonts w:asciiTheme="minorHAnsi" w:hAnsiTheme="minorHAnsi" w:cstheme="minorHAnsi"/>
          <w:szCs w:val="24"/>
        </w:rPr>
        <w:t xml:space="preserve"> sessions on a range of specific legal issues.  CLE sessions are held on the Commission’s premises, and provided at schools, community centres and community organisations.</w:t>
      </w:r>
    </w:p>
    <w:p w14:paraId="7DF304B8" w14:textId="77777777" w:rsidR="00B55EED" w:rsidRPr="005E3B44" w:rsidRDefault="00B55EED" w:rsidP="005E3B44">
      <w:pPr>
        <w:pStyle w:val="Normal100"/>
        <w:rPr>
          <w:rFonts w:asciiTheme="minorHAnsi" w:hAnsiTheme="minorHAnsi" w:cstheme="minorHAnsi"/>
          <w:b/>
          <w:i/>
        </w:rPr>
      </w:pPr>
      <w:r w:rsidRPr="005E3B44">
        <w:rPr>
          <w:rFonts w:asciiTheme="minorHAnsi" w:hAnsiTheme="minorHAnsi" w:cstheme="minorHAnsi"/>
          <w:b/>
          <w:i/>
        </w:rPr>
        <w:t>Law Reform</w:t>
      </w:r>
    </w:p>
    <w:p w14:paraId="6F090A1E" w14:textId="77777777" w:rsidR="00B55EED" w:rsidRPr="005E3B44" w:rsidRDefault="00B55EED" w:rsidP="00B55EED">
      <w:pPr>
        <w:pStyle w:val="Normal100"/>
        <w:rPr>
          <w:rFonts w:asciiTheme="minorHAnsi" w:hAnsiTheme="minorHAnsi" w:cstheme="minorHAnsi"/>
          <w:sz w:val="22"/>
        </w:rPr>
      </w:pPr>
      <w:r w:rsidRPr="005E3B44">
        <w:rPr>
          <w:rFonts w:asciiTheme="minorHAnsi" w:hAnsiTheme="minorHAnsi" w:cstheme="minorHAnsi"/>
        </w:rPr>
        <w:t xml:space="preserve">The Commission has a statutory obligation to advise the Attorney-General of the ACT in relation to existing legislation or proposals for new legislation that may adversely impact on vulnerable and disadvantaged groups in the community that make up the Commission’s principal client base.  Access to justice can be enhanced by focusing on the impact of legislative change on disadvantaged members of the community and legal aid programs. </w:t>
      </w:r>
      <w:r w:rsidRPr="005E3B44">
        <w:rPr>
          <w:rFonts w:asciiTheme="minorHAnsi" w:hAnsiTheme="minorHAnsi" w:cstheme="minorHAnsi"/>
        </w:rPr>
        <w:lastRenderedPageBreak/>
        <w:t xml:space="preserve">More broadly, including in relation to Commonwealth areas of responsibility, the Commission plays a key role in providing submissions to government or parliamentary bodies with </w:t>
      </w:r>
      <w:proofErr w:type="gramStart"/>
      <w:r w:rsidRPr="005E3B44">
        <w:rPr>
          <w:rFonts w:asciiTheme="minorHAnsi" w:hAnsiTheme="minorHAnsi" w:cstheme="minorHAnsi"/>
        </w:rPr>
        <w:t>factual information</w:t>
      </w:r>
      <w:proofErr w:type="gramEnd"/>
      <w:r w:rsidRPr="005E3B44">
        <w:rPr>
          <w:rFonts w:asciiTheme="minorHAnsi" w:hAnsiTheme="minorHAnsi" w:cstheme="minorHAnsi"/>
        </w:rPr>
        <w:t xml:space="preserve"> and /or advice with a focus on systemic issues affecting access to justice and the immediate legal impact or consequences of legislation.</w:t>
      </w:r>
    </w:p>
    <w:p w14:paraId="48D603BB" w14:textId="77777777" w:rsidR="00B55EED" w:rsidRPr="005E3B44" w:rsidRDefault="00B55EED" w:rsidP="00B55EED">
      <w:pPr>
        <w:pStyle w:val="Normal100"/>
        <w:rPr>
          <w:rFonts w:asciiTheme="minorHAnsi" w:hAnsiTheme="minorHAnsi" w:cstheme="minorHAnsi"/>
          <w:szCs w:val="24"/>
        </w:rPr>
      </w:pPr>
      <w:r w:rsidRPr="005E3B44">
        <w:rPr>
          <w:rFonts w:asciiTheme="minorHAnsi" w:hAnsiTheme="minorHAnsi" w:cstheme="minorHAnsi"/>
        </w:rPr>
        <w:t>Critically, and in alignment with our leading role in the ACT, the Commission is committed to developing and advising on law reforms that promote the modernisation of legal practice, the accessibility of services, and innovative strategies that empower residents of the ACT to actively participate in civil society.</w:t>
      </w:r>
    </w:p>
    <w:p w14:paraId="5559E6E3"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Services to Aboriginal and Torres Strait Islander and Culturally and Linguistically Diverse Communities</w:t>
      </w:r>
    </w:p>
    <w:p w14:paraId="74FB7704"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The Commission is committed to increasing the accessibility of services to people from Aboriginal and Torres Strait Islander and Culturally and Linguistically Diverse Communities. </w:t>
      </w:r>
    </w:p>
    <w:p w14:paraId="6E11CB83"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The Commission’s strategy also involves conducting cultural awareness training for staff, engaging with communities and agencies, and providing practical support for members of these communities in need of grants of legal assistance or other legal assistance services.</w:t>
      </w:r>
    </w:p>
    <w:p w14:paraId="3BB9528E" w14:textId="77777777" w:rsidR="00B55EED" w:rsidRPr="005E3B44" w:rsidRDefault="00B55EED" w:rsidP="00B55EED">
      <w:pPr>
        <w:pStyle w:val="Normal100"/>
        <w:keepNext/>
        <w:keepLines/>
        <w:spacing w:before="240" w:after="120"/>
        <w:outlineLvl w:val="3"/>
        <w:rPr>
          <w:rFonts w:asciiTheme="minorHAnsi" w:hAnsiTheme="minorHAnsi" w:cstheme="minorHAnsi"/>
          <w:b/>
          <w:i/>
        </w:rPr>
      </w:pPr>
      <w:r w:rsidRPr="005E3B44">
        <w:rPr>
          <w:rFonts w:asciiTheme="minorHAnsi" w:hAnsiTheme="minorHAnsi" w:cstheme="minorHAnsi"/>
          <w:b/>
          <w:i/>
        </w:rPr>
        <w:t>New Initiatives</w:t>
      </w:r>
    </w:p>
    <w:p w14:paraId="4FA0F610" w14:textId="77777777" w:rsidR="00B55EED" w:rsidRPr="005E3B44" w:rsidRDefault="00B55EED" w:rsidP="00B55EED">
      <w:pPr>
        <w:rPr>
          <w:rFonts w:asciiTheme="minorHAnsi" w:hAnsiTheme="minorHAnsi" w:cstheme="minorHAnsi"/>
          <w:i/>
          <w:sz w:val="22"/>
          <w:u w:val="single"/>
        </w:rPr>
      </w:pPr>
      <w:r w:rsidRPr="005E3B44">
        <w:rPr>
          <w:rFonts w:asciiTheme="minorHAnsi" w:hAnsiTheme="minorHAnsi" w:cstheme="minorHAnsi"/>
          <w:i/>
          <w:u w:val="single"/>
        </w:rPr>
        <w:t>Community Sector Partnerships - Better justice support for vulnerable Canberrans</w:t>
      </w:r>
    </w:p>
    <w:p w14:paraId="6D0CB3E7" w14:textId="77777777" w:rsidR="00B55EED" w:rsidRPr="005E3B44" w:rsidRDefault="00B55EED" w:rsidP="00B55EED">
      <w:pPr>
        <w:jc w:val="both"/>
        <w:rPr>
          <w:rFonts w:asciiTheme="minorHAnsi" w:hAnsiTheme="minorHAnsi" w:cstheme="minorHAnsi"/>
        </w:rPr>
      </w:pPr>
      <w:r w:rsidRPr="005E3B44">
        <w:rPr>
          <w:rFonts w:asciiTheme="minorHAnsi" w:hAnsiTheme="minorHAnsi" w:cstheme="minorHAnsi"/>
        </w:rPr>
        <w:t xml:space="preserve">The Government will strengthen its support to the Legal Aid Commission to meet increased demand for the Commission’s services, including services to support victims of family violence, the elderly and to those seeking legal advice and representation and Legal Aid’s costs in participating in the Intermediary Scheme. </w:t>
      </w:r>
    </w:p>
    <w:p w14:paraId="1B5E9AEF" w14:textId="77777777" w:rsidR="00B55EED" w:rsidRPr="005E3B44" w:rsidRDefault="00B55EED" w:rsidP="00B55EED">
      <w:pPr>
        <w:jc w:val="both"/>
        <w:rPr>
          <w:rFonts w:asciiTheme="minorHAnsi" w:hAnsiTheme="minorHAnsi" w:cstheme="minorHAnsi"/>
        </w:rPr>
      </w:pPr>
      <w:r w:rsidRPr="005E3B44">
        <w:rPr>
          <w:rFonts w:asciiTheme="minorHAnsi" w:hAnsiTheme="minorHAnsi" w:cstheme="minorHAnsi"/>
        </w:rPr>
        <w:t xml:space="preserve">This initiative consolidates the Government’s existing support to vulnerable people engaged in the criminal justice system.  </w:t>
      </w:r>
    </w:p>
    <w:p w14:paraId="176A7999" w14:textId="77777777" w:rsidR="00B55EED" w:rsidRPr="005E3B44" w:rsidRDefault="00B55EED" w:rsidP="00B55EED">
      <w:pPr>
        <w:rPr>
          <w:rFonts w:asciiTheme="minorHAnsi" w:hAnsiTheme="minorHAnsi" w:cstheme="minorHAnsi"/>
          <w:color w:val="FF0000"/>
        </w:rPr>
      </w:pPr>
      <w:r w:rsidRPr="005E3B44">
        <w:rPr>
          <w:rFonts w:asciiTheme="minorHAnsi" w:hAnsiTheme="minorHAnsi" w:cstheme="minorHAnsi"/>
        </w:rPr>
        <w:t>This initiative contributes to the wellbeing domain of Governance and institutions and Safety.</w:t>
      </w:r>
    </w:p>
    <w:p w14:paraId="6AC7B3F4" w14:textId="77777777" w:rsidR="00B55EED" w:rsidRPr="005E3B44" w:rsidRDefault="00B55EED" w:rsidP="00B55EED">
      <w:pPr>
        <w:rPr>
          <w:rFonts w:asciiTheme="minorHAnsi" w:hAnsiTheme="minorHAnsi" w:cstheme="minorHAnsi"/>
          <w:i/>
          <w:sz w:val="22"/>
          <w:u w:val="single"/>
        </w:rPr>
      </w:pPr>
      <w:r w:rsidRPr="005E3B44">
        <w:rPr>
          <w:rFonts w:asciiTheme="minorHAnsi" w:hAnsiTheme="minorHAnsi" w:cstheme="minorHAnsi"/>
          <w:i/>
          <w:u w:val="single"/>
        </w:rPr>
        <w:t>Streamlining court proceedings</w:t>
      </w:r>
    </w:p>
    <w:p w14:paraId="0A4F7B86" w14:textId="77777777" w:rsidR="00B55EED" w:rsidRPr="005E3B44" w:rsidRDefault="00B55EED" w:rsidP="00B55EED">
      <w:pPr>
        <w:rPr>
          <w:rFonts w:asciiTheme="minorHAnsi" w:hAnsiTheme="minorHAnsi" w:cstheme="minorHAnsi"/>
        </w:rPr>
      </w:pPr>
      <w:r w:rsidRPr="005E3B44">
        <w:rPr>
          <w:rFonts w:asciiTheme="minorHAnsi" w:hAnsiTheme="minorHAnsi" w:cstheme="minorHAnsi"/>
        </w:rPr>
        <w:t>This initiative funds criminal case conferencing in the ACT Supreme Court. Criminal case conferencing improves the efficiency of criminal justice processes by encouraging negotiated settlement or, if settlement is not possible, a reduction of the issues at trial and early identification of charges that may not be sustainable.</w:t>
      </w:r>
    </w:p>
    <w:p w14:paraId="26427C1A" w14:textId="77777777" w:rsidR="00B55EED" w:rsidRPr="005E3B44" w:rsidRDefault="00B55EED" w:rsidP="00B55EED">
      <w:pPr>
        <w:rPr>
          <w:rFonts w:asciiTheme="minorHAnsi" w:hAnsiTheme="minorHAnsi" w:cstheme="minorHAnsi"/>
          <w:i/>
          <w:u w:val="single"/>
        </w:rPr>
      </w:pPr>
      <w:r w:rsidRPr="005E3B44">
        <w:rPr>
          <w:rFonts w:asciiTheme="minorHAnsi" w:hAnsiTheme="minorHAnsi" w:cstheme="minorHAnsi"/>
          <w:i/>
          <w:u w:val="single"/>
        </w:rPr>
        <w:t>Dedicated Coroners Court for the ACT</w:t>
      </w:r>
    </w:p>
    <w:p w14:paraId="5F9FC2AA" w14:textId="335E0537" w:rsidR="00B55EED" w:rsidRPr="005E3B44" w:rsidRDefault="00C1655C" w:rsidP="00B55EED">
      <w:pPr>
        <w:spacing w:before="120"/>
        <w:rPr>
          <w:rFonts w:asciiTheme="minorHAnsi" w:hAnsiTheme="minorHAnsi" w:cstheme="minorHAnsi"/>
          <w:szCs w:val="24"/>
          <w:lang w:eastAsia="en-AU"/>
        </w:rPr>
      </w:pPr>
      <w:r>
        <w:rPr>
          <w:rFonts w:asciiTheme="minorHAnsi" w:hAnsiTheme="minorHAnsi" w:cstheme="minorHAnsi"/>
        </w:rPr>
        <w:t>In addition to the funding for a Coroner, this initiative includes funding for a Special</w:t>
      </w:r>
      <w:r w:rsidR="00A92584">
        <w:rPr>
          <w:rFonts w:asciiTheme="minorHAnsi" w:hAnsiTheme="minorHAnsi" w:cstheme="minorHAnsi"/>
        </w:rPr>
        <w:t xml:space="preserve"> </w:t>
      </w:r>
      <w:r>
        <w:rPr>
          <w:rFonts w:asciiTheme="minorHAnsi" w:hAnsiTheme="minorHAnsi" w:cstheme="minorHAnsi"/>
        </w:rPr>
        <w:t xml:space="preserve">Magistrate to help clear the backlog of cases in the Magistrate’s Court. </w:t>
      </w:r>
      <w:r w:rsidR="00B55EED" w:rsidRPr="005E3B44">
        <w:rPr>
          <w:rFonts w:asciiTheme="minorHAnsi" w:hAnsiTheme="minorHAnsi" w:cstheme="minorHAnsi"/>
        </w:rPr>
        <w:t>The ACT G</w:t>
      </w:r>
      <w:r w:rsidR="00B55EED" w:rsidRPr="005E3B44">
        <w:rPr>
          <w:rFonts w:asciiTheme="minorHAnsi" w:hAnsiTheme="minorHAnsi" w:cstheme="minorHAnsi"/>
          <w:lang w:eastAsia="en-AU"/>
        </w:rPr>
        <w:t xml:space="preserve">overnment will fund Legal Aid ACT with additional resourcing </w:t>
      </w:r>
      <w:r>
        <w:rPr>
          <w:rFonts w:asciiTheme="minorHAnsi" w:hAnsiTheme="minorHAnsi" w:cstheme="minorHAnsi"/>
          <w:lang w:eastAsia="en-AU"/>
        </w:rPr>
        <w:t xml:space="preserve">required to </w:t>
      </w:r>
      <w:r w:rsidR="00B55EED" w:rsidRPr="005E3B44">
        <w:rPr>
          <w:rFonts w:asciiTheme="minorHAnsi" w:hAnsiTheme="minorHAnsi" w:cstheme="minorHAnsi"/>
          <w:lang w:eastAsia="en-AU"/>
        </w:rPr>
        <w:t xml:space="preserve">support a Special Magistrate. </w:t>
      </w:r>
    </w:p>
    <w:p w14:paraId="0EFBF011" w14:textId="77777777" w:rsidR="00B55EED" w:rsidRPr="005E3B44" w:rsidRDefault="00B55EED" w:rsidP="00B55EED">
      <w:pPr>
        <w:spacing w:before="120"/>
        <w:rPr>
          <w:rFonts w:asciiTheme="minorHAnsi" w:hAnsiTheme="minorHAnsi" w:cstheme="minorHAnsi"/>
        </w:rPr>
      </w:pPr>
      <w:r w:rsidRPr="005E3B44">
        <w:rPr>
          <w:rFonts w:asciiTheme="minorHAnsi" w:hAnsiTheme="minorHAnsi" w:cstheme="minorHAnsi"/>
        </w:rPr>
        <w:t xml:space="preserve">This initiative contributes to the wellbeing domain of Safety. </w:t>
      </w:r>
    </w:p>
    <w:p w14:paraId="0BABBE82" w14:textId="77777777" w:rsidR="00EF514D" w:rsidRDefault="00EF514D" w:rsidP="00B55EED">
      <w:pPr>
        <w:rPr>
          <w:rFonts w:asciiTheme="minorHAnsi" w:hAnsiTheme="minorHAnsi" w:cstheme="minorHAnsi"/>
          <w:i/>
          <w:u w:val="single"/>
        </w:rPr>
      </w:pPr>
    </w:p>
    <w:p w14:paraId="090034B6" w14:textId="38FAE18D" w:rsidR="00B55EED" w:rsidRPr="005E3B44" w:rsidRDefault="00B55EED" w:rsidP="00B55EED">
      <w:pPr>
        <w:rPr>
          <w:rFonts w:asciiTheme="minorHAnsi" w:hAnsiTheme="minorHAnsi" w:cstheme="minorHAnsi"/>
          <w:i/>
          <w:sz w:val="22"/>
          <w:u w:val="single"/>
        </w:rPr>
      </w:pPr>
      <w:r w:rsidRPr="005E3B44">
        <w:rPr>
          <w:rFonts w:asciiTheme="minorHAnsi" w:hAnsiTheme="minorHAnsi" w:cstheme="minorHAnsi"/>
          <w:i/>
          <w:u w:val="single"/>
        </w:rPr>
        <w:lastRenderedPageBreak/>
        <w:t>Drug and Alcohol Court – more support</w:t>
      </w:r>
    </w:p>
    <w:p w14:paraId="67F2E4EF" w14:textId="77777777" w:rsidR="00B55EED" w:rsidRPr="005E3B44" w:rsidRDefault="00B55EED" w:rsidP="00B55EED">
      <w:pPr>
        <w:spacing w:before="0" w:after="0"/>
        <w:rPr>
          <w:rFonts w:asciiTheme="minorHAnsi" w:hAnsiTheme="minorHAnsi" w:cstheme="minorHAnsi"/>
          <w:szCs w:val="24"/>
          <w:lang w:eastAsia="en-AU"/>
        </w:rPr>
      </w:pPr>
      <w:r w:rsidRPr="005E3B44">
        <w:rPr>
          <w:rFonts w:asciiTheme="minorHAnsi" w:hAnsiTheme="minorHAnsi" w:cstheme="minorHAnsi"/>
        </w:rPr>
        <w:t xml:space="preserve">The </w:t>
      </w:r>
      <w:r w:rsidRPr="005E3B44">
        <w:rPr>
          <w:rFonts w:asciiTheme="minorHAnsi" w:hAnsiTheme="minorHAnsi" w:cstheme="minorHAnsi"/>
          <w:szCs w:val="24"/>
          <w:lang w:eastAsia="en-AU"/>
        </w:rPr>
        <w:t xml:space="preserve">ACT Government will continue funding Legal Aid ACT to support a drug and alcohol court with a view to reducing or eliminating drug and alcohol </w:t>
      </w:r>
      <w:proofErr w:type="gramStart"/>
      <w:r w:rsidRPr="005E3B44">
        <w:rPr>
          <w:rFonts w:asciiTheme="minorHAnsi" w:hAnsiTheme="minorHAnsi" w:cstheme="minorHAnsi"/>
          <w:szCs w:val="24"/>
          <w:lang w:eastAsia="en-AU"/>
        </w:rPr>
        <w:t>dependency, and</w:t>
      </w:r>
      <w:proofErr w:type="gramEnd"/>
      <w:r w:rsidRPr="005E3B44">
        <w:rPr>
          <w:rFonts w:asciiTheme="minorHAnsi" w:hAnsiTheme="minorHAnsi" w:cstheme="minorHAnsi"/>
          <w:szCs w:val="24"/>
          <w:lang w:eastAsia="en-AU"/>
        </w:rPr>
        <w:t xml:space="preserve"> reducing related criminal activities. </w:t>
      </w:r>
    </w:p>
    <w:p w14:paraId="6C459537" w14:textId="3067D92D" w:rsidR="00B55EED" w:rsidRPr="005E3B44" w:rsidRDefault="00B55EED" w:rsidP="00B55EED">
      <w:pPr>
        <w:rPr>
          <w:rFonts w:asciiTheme="minorHAnsi" w:hAnsiTheme="minorHAnsi" w:cstheme="minorHAnsi"/>
          <w:i/>
          <w:sz w:val="22"/>
          <w:u w:val="single"/>
        </w:rPr>
      </w:pPr>
      <w:r w:rsidRPr="005E3B44">
        <w:rPr>
          <w:rFonts w:asciiTheme="minorHAnsi" w:hAnsiTheme="minorHAnsi" w:cstheme="minorHAnsi"/>
          <w:i/>
          <w:u w:val="single"/>
        </w:rPr>
        <w:t>Therapeutic Care Court - continuation</w:t>
      </w:r>
    </w:p>
    <w:p w14:paraId="447A4A81" w14:textId="77777777" w:rsidR="00B55EED" w:rsidRPr="005E3B44" w:rsidRDefault="00B55EED" w:rsidP="00B55EED">
      <w:pPr>
        <w:spacing w:before="0" w:after="0"/>
        <w:rPr>
          <w:rFonts w:asciiTheme="minorHAnsi" w:hAnsiTheme="minorHAnsi" w:cstheme="minorHAnsi"/>
          <w:szCs w:val="24"/>
          <w:lang w:eastAsia="en-AU"/>
        </w:rPr>
      </w:pPr>
      <w:r w:rsidRPr="005E3B44">
        <w:rPr>
          <w:rFonts w:asciiTheme="minorHAnsi" w:hAnsiTheme="minorHAnsi" w:cstheme="minorHAnsi"/>
          <w:szCs w:val="24"/>
          <w:lang w:eastAsia="en-AU"/>
        </w:rPr>
        <w:t xml:space="preserve">The ACT Government will continue funding Legal Aid ACT to undertake a new duty solicitor service in the Children’s Court, which would provide extended services to parents and grandparents who are involved in care and protection proceedings. The provision of timely and clear legal assistance is integral to ensuring court processes are optimised and essential to achieving the key outcomes sought through the Therapeutic Care Court. </w:t>
      </w:r>
    </w:p>
    <w:p w14:paraId="22890384" w14:textId="77777777" w:rsidR="00B55EED" w:rsidRPr="005E3B44" w:rsidRDefault="00B55EED" w:rsidP="00B55EED">
      <w:pPr>
        <w:pStyle w:val="Normal100"/>
        <w:rPr>
          <w:rFonts w:asciiTheme="minorHAnsi" w:hAnsiTheme="minorHAnsi" w:cstheme="minorHAnsi"/>
          <w:color w:val="FF0000"/>
        </w:rPr>
      </w:pPr>
    </w:p>
    <w:p w14:paraId="7D58B1D2" w14:textId="77777777" w:rsidR="00B55EED" w:rsidRPr="005E3B44" w:rsidRDefault="00B55EED" w:rsidP="00B55EED">
      <w:pPr>
        <w:pStyle w:val="Normal100"/>
        <w:rPr>
          <w:rFonts w:asciiTheme="minorHAnsi" w:hAnsiTheme="minorHAnsi" w:cstheme="minorHAnsi"/>
          <w:color w:val="FF0000"/>
        </w:rPr>
      </w:pPr>
    </w:p>
    <w:p w14:paraId="4EAAC172" w14:textId="77777777" w:rsidR="00B55EED" w:rsidRPr="005E3B44" w:rsidRDefault="00B55EED" w:rsidP="00B55EED">
      <w:pPr>
        <w:pStyle w:val="Normal100"/>
        <w:rPr>
          <w:rFonts w:asciiTheme="minorHAnsi" w:hAnsiTheme="minorHAnsi" w:cstheme="minorHAnsi"/>
          <w:color w:val="FF0000"/>
        </w:rPr>
      </w:pPr>
    </w:p>
    <w:p w14:paraId="07CC0B82" w14:textId="77777777" w:rsidR="00B55EED" w:rsidRPr="005E3B44" w:rsidRDefault="00B55EED" w:rsidP="00B55EED">
      <w:pPr>
        <w:pStyle w:val="Normal100"/>
        <w:rPr>
          <w:rFonts w:asciiTheme="minorHAnsi" w:hAnsiTheme="minorHAnsi" w:cstheme="minorHAnsi"/>
          <w:color w:val="FF0000"/>
        </w:rPr>
      </w:pPr>
    </w:p>
    <w:p w14:paraId="39E22C94" w14:textId="77777777" w:rsidR="00B55EED" w:rsidRPr="005E3B44" w:rsidRDefault="00B55EED" w:rsidP="00B55EED">
      <w:pPr>
        <w:pStyle w:val="Normal100"/>
        <w:keepNext/>
        <w:keepLines/>
        <w:spacing w:before="120"/>
        <w:outlineLvl w:val="2"/>
        <w:rPr>
          <w:rFonts w:asciiTheme="minorHAnsi" w:hAnsiTheme="minorHAnsi" w:cstheme="minorHAnsi"/>
          <w:b/>
          <w:bCs/>
          <w:color w:val="FF0000"/>
          <w:sz w:val="28"/>
          <w:szCs w:val="26"/>
        </w:rPr>
      </w:pPr>
      <w:r w:rsidRPr="005E3B44">
        <w:rPr>
          <w:rFonts w:asciiTheme="minorHAnsi" w:hAnsiTheme="minorHAnsi" w:cstheme="minorHAnsi"/>
          <w:b/>
          <w:bCs/>
          <w:color w:val="FF0000"/>
          <w:sz w:val="28"/>
          <w:szCs w:val="26"/>
        </w:rPr>
        <w:br w:type="page"/>
      </w:r>
    </w:p>
    <w:p w14:paraId="34D50601" w14:textId="77777777" w:rsidR="00B55EED" w:rsidRPr="005E3B44" w:rsidRDefault="00B55EED" w:rsidP="00B55EED">
      <w:pPr>
        <w:pStyle w:val="Normal100"/>
        <w:keepNext/>
        <w:keepLines/>
        <w:spacing w:before="120"/>
        <w:outlineLvl w:val="2"/>
        <w:rPr>
          <w:rFonts w:asciiTheme="minorHAnsi" w:hAnsiTheme="minorHAnsi" w:cstheme="minorHAnsi"/>
          <w:b/>
          <w:bCs/>
          <w:sz w:val="28"/>
          <w:szCs w:val="26"/>
        </w:rPr>
      </w:pPr>
      <w:r w:rsidRPr="005E3B44">
        <w:rPr>
          <w:rFonts w:asciiTheme="minorHAnsi" w:hAnsiTheme="minorHAnsi" w:cstheme="minorHAnsi"/>
          <w:b/>
          <w:bCs/>
          <w:sz w:val="28"/>
          <w:szCs w:val="26"/>
        </w:rPr>
        <w:lastRenderedPageBreak/>
        <w:t>Risks</w:t>
      </w:r>
    </w:p>
    <w:p w14:paraId="6B541ED7" w14:textId="77777777" w:rsidR="00B55EED" w:rsidRPr="005E3B44" w:rsidRDefault="00B55EED" w:rsidP="00B55EED">
      <w:pPr>
        <w:pStyle w:val="Normal1"/>
        <w:rPr>
          <w:rFonts w:asciiTheme="minorHAnsi" w:hAnsiTheme="minorHAnsi" w:cstheme="minorHAnsi"/>
        </w:rPr>
      </w:pPr>
      <w:r w:rsidRPr="005E3B44">
        <w:rPr>
          <w:rFonts w:asciiTheme="minorHAnsi" w:hAnsiTheme="minorHAnsi" w:cstheme="minorHAnsi"/>
        </w:rPr>
        <w:t>The Commission’s primary risk is meeting the emerging needs in the civil law area, such as family violence and elder abuse and an increasing demand for legal assistance through telephone Helpline and chatline, without reducing litigation services in the core family and criminal areas.  The two main drivers of the Commission’s litigation work are children in family law disputes and people before the courts at risk of incarceration.  In this context the Commission’s capacity to respond to the breadth of demand will be limited by the necessity to meet the cost of legally assisted cases, particularly in large criminal case litigation.</w:t>
      </w:r>
    </w:p>
    <w:p w14:paraId="76237408" w14:textId="77777777" w:rsidR="00EF514D" w:rsidRDefault="00EF514D" w:rsidP="00B55EED">
      <w:pPr>
        <w:pStyle w:val="Normal1"/>
        <w:rPr>
          <w:rFonts w:asciiTheme="minorHAnsi" w:hAnsiTheme="minorHAnsi" w:cstheme="minorHAnsi"/>
        </w:rPr>
      </w:pPr>
    </w:p>
    <w:p w14:paraId="15300D14" w14:textId="56B8445C" w:rsidR="00B55EED" w:rsidRPr="005E3B44" w:rsidRDefault="00B55EED" w:rsidP="00B55EED">
      <w:pPr>
        <w:pStyle w:val="Normal1"/>
        <w:rPr>
          <w:rFonts w:asciiTheme="minorHAnsi" w:hAnsiTheme="minorHAnsi" w:cstheme="minorHAnsi"/>
        </w:rPr>
      </w:pPr>
      <w:r w:rsidRPr="005E3B44">
        <w:rPr>
          <w:rFonts w:asciiTheme="minorHAnsi" w:hAnsiTheme="minorHAnsi" w:cstheme="minorHAnsi"/>
        </w:rPr>
        <w:t xml:space="preserve">The COVID-19 pandemic has forced a change in the delivery methods of the Legal Aid business.  Where possible teleconference or phone communication is being utilised rather than face-to-face meetings.  However, given the Legal Aid client base and the demands of the </w:t>
      </w:r>
      <w:proofErr w:type="gramStart"/>
      <w:r w:rsidRPr="005E3B44">
        <w:rPr>
          <w:rFonts w:asciiTheme="minorHAnsi" w:hAnsiTheme="minorHAnsi" w:cstheme="minorHAnsi"/>
        </w:rPr>
        <w:t>Courts,  limited</w:t>
      </w:r>
      <w:proofErr w:type="gramEnd"/>
      <w:r w:rsidRPr="005E3B44">
        <w:rPr>
          <w:rFonts w:asciiTheme="minorHAnsi" w:hAnsiTheme="minorHAnsi" w:cstheme="minorHAnsi"/>
        </w:rPr>
        <w:t xml:space="preserve"> face-to-face services must continue.   The Commission needs to manage this risk to clients and staff while maintaining the delivery of services the community demands. In this context there is an increased pressure on ensuring the Commission maintains appropriate IT capacity.</w:t>
      </w:r>
    </w:p>
    <w:p w14:paraId="6F726C30"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Demand on legal aid services is growing, in part as a reflection of the increase in the Territory population but also due to a greater appreciation of the need for legal assistance across the community. </w:t>
      </w:r>
      <w:proofErr w:type="gramStart"/>
      <w:r w:rsidRPr="005E3B44">
        <w:rPr>
          <w:rFonts w:asciiTheme="minorHAnsi" w:hAnsiTheme="minorHAnsi" w:cstheme="minorHAnsi"/>
        </w:rPr>
        <w:t>In order to</w:t>
      </w:r>
      <w:proofErr w:type="gramEnd"/>
      <w:r w:rsidRPr="005E3B44">
        <w:rPr>
          <w:rFonts w:asciiTheme="minorHAnsi" w:hAnsiTheme="minorHAnsi" w:cstheme="minorHAnsi"/>
        </w:rPr>
        <w:t xml:space="preserve"> support the demands of the Territory’s client basis and improving access to services, the Commission must conduct a large number of community legal education activities (seminars, brochures, newsletters, posters etc), provide extended telephone and chat line access, and undertake outreach legal clinics in partnership with health providers, community and university agencies.   </w:t>
      </w:r>
    </w:p>
    <w:p w14:paraId="13AD68EC" w14:textId="77777777" w:rsidR="00B55EED" w:rsidRPr="005E3B44" w:rsidRDefault="00B55EED" w:rsidP="00B55EED">
      <w:pPr>
        <w:pStyle w:val="Normal100"/>
        <w:rPr>
          <w:rFonts w:asciiTheme="minorHAnsi" w:hAnsiTheme="minorHAnsi" w:cstheme="minorHAnsi"/>
        </w:rPr>
      </w:pPr>
      <w:r w:rsidRPr="005E3B44">
        <w:rPr>
          <w:rFonts w:asciiTheme="minorHAnsi" w:hAnsiTheme="minorHAnsi" w:cstheme="minorHAnsi"/>
        </w:rPr>
        <w:t xml:space="preserve">The Commission’s operational structure and practices must continue to embrace new and innovative modes of service delivery to adequately respond to emerging client needs.  </w:t>
      </w:r>
    </w:p>
    <w:p w14:paraId="7E9EE665" w14:textId="77777777" w:rsidR="00B55EED" w:rsidRPr="005E3B44" w:rsidRDefault="00B55EED" w:rsidP="00B55EED">
      <w:pPr>
        <w:pStyle w:val="Normal100"/>
        <w:rPr>
          <w:rFonts w:asciiTheme="minorHAnsi" w:hAnsiTheme="minorHAnsi" w:cstheme="minorHAnsi"/>
          <w:color w:val="FF0000"/>
        </w:rPr>
      </w:pPr>
    </w:p>
    <w:p w14:paraId="30F9A787" w14:textId="77777777" w:rsidR="00B55EED" w:rsidRPr="005E3B44" w:rsidRDefault="00B55EED" w:rsidP="00B55EED">
      <w:pPr>
        <w:pStyle w:val="Normal100"/>
        <w:rPr>
          <w:rFonts w:asciiTheme="minorHAnsi" w:hAnsiTheme="minorHAnsi" w:cstheme="minorHAnsi"/>
          <w:color w:val="FF0000"/>
        </w:rPr>
      </w:pPr>
    </w:p>
    <w:p w14:paraId="749CC32D" w14:textId="77777777" w:rsidR="00B55EED" w:rsidRPr="005E3B44" w:rsidRDefault="00B55EED" w:rsidP="00B55EED">
      <w:pPr>
        <w:pStyle w:val="Normal100"/>
        <w:rPr>
          <w:rFonts w:asciiTheme="minorHAnsi" w:hAnsiTheme="minorHAnsi" w:cstheme="minorHAnsi"/>
          <w:color w:val="FF0000"/>
        </w:rPr>
      </w:pPr>
    </w:p>
    <w:p w14:paraId="3CF88D15" w14:textId="77777777" w:rsidR="00B55EED" w:rsidRPr="005E3B44" w:rsidRDefault="00B55EED" w:rsidP="00B55EED">
      <w:pPr>
        <w:pStyle w:val="Normal100"/>
        <w:rPr>
          <w:rFonts w:asciiTheme="minorHAnsi" w:hAnsiTheme="minorHAnsi" w:cstheme="minorHAnsi"/>
          <w:color w:val="FF0000"/>
        </w:rPr>
      </w:pPr>
    </w:p>
    <w:p w14:paraId="264942A9" w14:textId="77777777" w:rsidR="00B55EED" w:rsidRPr="005E3B44" w:rsidRDefault="00B55EED" w:rsidP="00B55EED">
      <w:pPr>
        <w:pStyle w:val="Normal100"/>
        <w:rPr>
          <w:rFonts w:asciiTheme="minorHAnsi" w:hAnsiTheme="minorHAnsi" w:cstheme="minorHAnsi"/>
          <w:color w:val="FF0000"/>
        </w:rPr>
      </w:pPr>
    </w:p>
    <w:p w14:paraId="638F13AD" w14:textId="77777777" w:rsidR="00B55EED" w:rsidRPr="005E3B44" w:rsidRDefault="00B55EED" w:rsidP="00B55EED">
      <w:pPr>
        <w:pStyle w:val="Normal1"/>
        <w:rPr>
          <w:rFonts w:asciiTheme="minorHAnsi" w:hAnsiTheme="minorHAnsi" w:cstheme="minorHAnsi"/>
          <w:color w:val="FF0000"/>
        </w:rPr>
      </w:pPr>
      <w:r w:rsidRPr="005E3B44">
        <w:rPr>
          <w:rFonts w:asciiTheme="minorHAnsi" w:hAnsiTheme="minorHAnsi" w:cstheme="minorHAnsi"/>
          <w:color w:val="FF0000"/>
        </w:rPr>
        <w:t xml:space="preserve"> </w:t>
      </w:r>
    </w:p>
    <w:p w14:paraId="02F2BC3A" w14:textId="77777777" w:rsidR="00B55EED" w:rsidRPr="005E3B44" w:rsidRDefault="00B55EED" w:rsidP="00B55EED">
      <w:pPr>
        <w:spacing w:before="0" w:after="0"/>
        <w:rPr>
          <w:rFonts w:asciiTheme="minorHAnsi" w:hAnsiTheme="minorHAnsi" w:cstheme="minorHAnsi"/>
          <w:b/>
          <w:snapToGrid w:val="0"/>
          <w:color w:val="FF0000"/>
          <w:sz w:val="32"/>
        </w:rPr>
      </w:pPr>
      <w:r w:rsidRPr="005E3B44">
        <w:rPr>
          <w:rFonts w:asciiTheme="minorHAnsi" w:hAnsiTheme="minorHAnsi" w:cstheme="minorHAnsi"/>
          <w:color w:val="FF0000"/>
        </w:rPr>
        <w:br w:type="page"/>
      </w:r>
    </w:p>
    <w:p w14:paraId="352BB185" w14:textId="73559E8C" w:rsidR="00B55EED" w:rsidRPr="005E3B44" w:rsidRDefault="00B55EED" w:rsidP="00B55EED">
      <w:pPr>
        <w:pStyle w:val="Heading20"/>
        <w:spacing w:before="120"/>
        <w:rPr>
          <w:rFonts w:asciiTheme="minorHAnsi" w:hAnsiTheme="minorHAnsi" w:cstheme="minorHAnsi"/>
        </w:rPr>
      </w:pPr>
      <w:r w:rsidRPr="005E3B44">
        <w:rPr>
          <w:rFonts w:asciiTheme="minorHAnsi" w:hAnsiTheme="minorHAnsi" w:cstheme="minorHAnsi"/>
        </w:rPr>
        <w:lastRenderedPageBreak/>
        <w:t>202</w:t>
      </w:r>
      <w:r w:rsidR="00BB4111">
        <w:rPr>
          <w:rFonts w:asciiTheme="minorHAnsi" w:hAnsiTheme="minorHAnsi" w:cstheme="minorHAnsi"/>
        </w:rPr>
        <w:t>1</w:t>
      </w:r>
      <w:r w:rsidRPr="005E3B44">
        <w:rPr>
          <w:rFonts w:asciiTheme="minorHAnsi" w:hAnsiTheme="minorHAnsi" w:cstheme="minorHAnsi"/>
        </w:rPr>
        <w:t>-2</w:t>
      </w:r>
      <w:r w:rsidR="00BB4111">
        <w:rPr>
          <w:rFonts w:asciiTheme="minorHAnsi" w:hAnsiTheme="minorHAnsi" w:cstheme="minorHAnsi"/>
        </w:rPr>
        <w:t>2</w:t>
      </w:r>
      <w:r w:rsidRPr="005E3B44">
        <w:rPr>
          <w:rFonts w:asciiTheme="minorHAnsi" w:hAnsiTheme="minorHAnsi" w:cstheme="minorHAnsi"/>
        </w:rPr>
        <w:t xml:space="preserve"> priorities and next three financial years</w:t>
      </w:r>
    </w:p>
    <w:p w14:paraId="68461ADA" w14:textId="77777777" w:rsidR="00B55EED" w:rsidRPr="005E3B44" w:rsidRDefault="00B55EED" w:rsidP="00B55EED">
      <w:pPr>
        <w:pStyle w:val="Normal2"/>
        <w:rPr>
          <w:rFonts w:asciiTheme="minorHAnsi" w:hAnsiTheme="minorHAnsi" w:cstheme="minorHAnsi"/>
        </w:rPr>
      </w:pPr>
      <w:r w:rsidRPr="005E3B44">
        <w:rPr>
          <w:rFonts w:asciiTheme="minorHAnsi" w:hAnsiTheme="minorHAnsi" w:cstheme="minorHAnsi"/>
        </w:rPr>
        <w:t>The Commission’s priorities for 2021-22 and across the out-years are to:</w:t>
      </w:r>
    </w:p>
    <w:p w14:paraId="6480FE60" w14:textId="77777777" w:rsidR="00B55EED" w:rsidRPr="005E3B44" w:rsidRDefault="00B55EED" w:rsidP="00B55EED">
      <w:pPr>
        <w:pStyle w:val="Normal2"/>
        <w:numPr>
          <w:ilvl w:val="0"/>
          <w:numId w:val="64"/>
        </w:numPr>
        <w:spacing w:before="200" w:after="200"/>
        <w:rPr>
          <w:rFonts w:asciiTheme="minorHAnsi" w:hAnsiTheme="minorHAnsi" w:cstheme="minorHAnsi"/>
        </w:rPr>
      </w:pPr>
      <w:r w:rsidRPr="005E3B44">
        <w:rPr>
          <w:rFonts w:asciiTheme="minorHAnsi" w:hAnsiTheme="minorHAnsi" w:cstheme="minorHAnsi"/>
        </w:rPr>
        <w:t xml:space="preserve">support victims of family and domestic violence through the provision of legal assistance services, including the Health Justice Partnership which is operating from the Canberra </w:t>
      </w:r>
      <w:proofErr w:type="gramStart"/>
      <w:r w:rsidRPr="005E3B44">
        <w:rPr>
          <w:rFonts w:asciiTheme="minorHAnsi" w:hAnsiTheme="minorHAnsi" w:cstheme="minorHAnsi"/>
        </w:rPr>
        <w:t>Hospital;</w:t>
      </w:r>
      <w:proofErr w:type="gramEnd"/>
      <w:r w:rsidRPr="005E3B44">
        <w:rPr>
          <w:rFonts w:asciiTheme="minorHAnsi" w:hAnsiTheme="minorHAnsi" w:cstheme="minorHAnsi"/>
        </w:rPr>
        <w:t xml:space="preserve"> </w:t>
      </w:r>
    </w:p>
    <w:p w14:paraId="43AB9944" w14:textId="77777777" w:rsidR="00B55EED" w:rsidRPr="005E3B44" w:rsidRDefault="00B55EED" w:rsidP="00B55EED">
      <w:pPr>
        <w:pStyle w:val="Normal2"/>
        <w:numPr>
          <w:ilvl w:val="0"/>
          <w:numId w:val="64"/>
        </w:numPr>
        <w:spacing w:before="200" w:after="200"/>
        <w:rPr>
          <w:rFonts w:asciiTheme="minorHAnsi" w:hAnsiTheme="minorHAnsi" w:cstheme="minorHAnsi"/>
        </w:rPr>
      </w:pPr>
      <w:r w:rsidRPr="005E3B44">
        <w:rPr>
          <w:rFonts w:asciiTheme="minorHAnsi" w:hAnsiTheme="minorHAnsi" w:cstheme="minorHAnsi"/>
        </w:rPr>
        <w:t xml:space="preserve">improve the provision of legal assistance services to the Aboriginal and Torres Strait Islander and culturally and linguistically diverse </w:t>
      </w:r>
      <w:proofErr w:type="gramStart"/>
      <w:r w:rsidRPr="005E3B44">
        <w:rPr>
          <w:rFonts w:asciiTheme="minorHAnsi" w:hAnsiTheme="minorHAnsi" w:cstheme="minorHAnsi"/>
        </w:rPr>
        <w:t>communities;</w:t>
      </w:r>
      <w:proofErr w:type="gramEnd"/>
      <w:r w:rsidRPr="005E3B44">
        <w:rPr>
          <w:rFonts w:asciiTheme="minorHAnsi" w:hAnsiTheme="minorHAnsi" w:cstheme="minorHAnsi"/>
        </w:rPr>
        <w:t xml:space="preserve"> </w:t>
      </w:r>
    </w:p>
    <w:p w14:paraId="2923B13A" w14:textId="77777777" w:rsidR="00B55EED" w:rsidRPr="005E3B44" w:rsidRDefault="00B55EED" w:rsidP="00B55EED">
      <w:pPr>
        <w:pStyle w:val="BSbullet1"/>
        <w:numPr>
          <w:ilvl w:val="0"/>
          <w:numId w:val="64"/>
        </w:numPr>
        <w:rPr>
          <w:rFonts w:asciiTheme="minorHAnsi" w:hAnsiTheme="minorHAnsi" w:cstheme="minorHAnsi"/>
        </w:rPr>
      </w:pPr>
      <w:r w:rsidRPr="005E3B44">
        <w:rPr>
          <w:rFonts w:asciiTheme="minorHAnsi" w:hAnsiTheme="minorHAnsi" w:cstheme="minorHAnsi"/>
        </w:rPr>
        <w:t xml:space="preserve">provide support to victims of elder abuse in line with Government </w:t>
      </w:r>
      <w:proofErr w:type="gramStart"/>
      <w:r w:rsidRPr="005E3B44">
        <w:rPr>
          <w:rFonts w:asciiTheme="minorHAnsi" w:hAnsiTheme="minorHAnsi" w:cstheme="minorHAnsi"/>
        </w:rPr>
        <w:t>priorities;</w:t>
      </w:r>
      <w:proofErr w:type="gramEnd"/>
    </w:p>
    <w:p w14:paraId="5952CAA5" w14:textId="77777777" w:rsidR="00B55EED" w:rsidRPr="005E3B44" w:rsidRDefault="00B55EED" w:rsidP="00B55EED">
      <w:pPr>
        <w:pStyle w:val="Normal2"/>
        <w:numPr>
          <w:ilvl w:val="0"/>
          <w:numId w:val="64"/>
        </w:numPr>
        <w:spacing w:before="200" w:after="200"/>
        <w:rPr>
          <w:rFonts w:asciiTheme="minorHAnsi" w:hAnsiTheme="minorHAnsi" w:cstheme="minorHAnsi"/>
        </w:rPr>
      </w:pPr>
      <w:r w:rsidRPr="005E3B44">
        <w:rPr>
          <w:rFonts w:asciiTheme="minorHAnsi" w:hAnsiTheme="minorHAnsi" w:cstheme="minorHAnsi"/>
        </w:rPr>
        <w:t xml:space="preserve">develop and implement legal education programs tailored to the needs of people experiencing a high incidence of adverse legal events, and those working in community organisations that assist them. This includes having a presence at Colleges across </w:t>
      </w:r>
      <w:proofErr w:type="gramStart"/>
      <w:r w:rsidRPr="005E3B44">
        <w:rPr>
          <w:rFonts w:asciiTheme="minorHAnsi" w:hAnsiTheme="minorHAnsi" w:cstheme="minorHAnsi"/>
        </w:rPr>
        <w:t>Canberra;</w:t>
      </w:r>
      <w:proofErr w:type="gramEnd"/>
    </w:p>
    <w:p w14:paraId="58350E35" w14:textId="77777777" w:rsidR="00B55EED" w:rsidRPr="005E3B44" w:rsidRDefault="00B55EED" w:rsidP="00B55EED">
      <w:pPr>
        <w:pStyle w:val="Normal2"/>
        <w:numPr>
          <w:ilvl w:val="0"/>
          <w:numId w:val="64"/>
        </w:numPr>
        <w:spacing w:before="200" w:after="200"/>
        <w:rPr>
          <w:rFonts w:asciiTheme="minorHAnsi" w:hAnsiTheme="minorHAnsi" w:cstheme="minorHAnsi"/>
        </w:rPr>
      </w:pPr>
      <w:r w:rsidRPr="005E3B44">
        <w:rPr>
          <w:rFonts w:asciiTheme="minorHAnsi" w:hAnsiTheme="minorHAnsi" w:cstheme="minorHAnsi"/>
        </w:rPr>
        <w:t xml:space="preserve">promote the prevention of legal problems by providing timely information about the law and legal processes and referring people to other legal or non-legal services where necessary to meet their </w:t>
      </w:r>
      <w:proofErr w:type="gramStart"/>
      <w:r w:rsidRPr="005E3B44">
        <w:rPr>
          <w:rFonts w:asciiTheme="minorHAnsi" w:hAnsiTheme="minorHAnsi" w:cstheme="minorHAnsi"/>
        </w:rPr>
        <w:t>needs;</w:t>
      </w:r>
      <w:proofErr w:type="gramEnd"/>
      <w:r w:rsidRPr="005E3B44">
        <w:rPr>
          <w:rFonts w:asciiTheme="minorHAnsi" w:hAnsiTheme="minorHAnsi" w:cstheme="minorHAnsi"/>
        </w:rPr>
        <w:t xml:space="preserve"> </w:t>
      </w:r>
    </w:p>
    <w:p w14:paraId="066EE12C" w14:textId="77777777" w:rsidR="00B55EED" w:rsidRPr="005E3B44" w:rsidRDefault="00B55EED" w:rsidP="00B55EED">
      <w:pPr>
        <w:pStyle w:val="Normal2"/>
        <w:numPr>
          <w:ilvl w:val="0"/>
          <w:numId w:val="64"/>
        </w:numPr>
        <w:spacing w:before="200" w:after="200"/>
        <w:rPr>
          <w:rFonts w:asciiTheme="minorHAnsi" w:hAnsiTheme="minorHAnsi" w:cstheme="minorHAnsi"/>
        </w:rPr>
      </w:pPr>
      <w:r w:rsidRPr="005E3B44">
        <w:rPr>
          <w:rFonts w:asciiTheme="minorHAnsi" w:hAnsiTheme="minorHAnsi" w:cstheme="minorHAnsi"/>
        </w:rPr>
        <w:t xml:space="preserve">promote the early resolution of legal problems through providing legal advice, advocacy, minor legal assistance and dispute resolution </w:t>
      </w:r>
      <w:proofErr w:type="gramStart"/>
      <w:r w:rsidRPr="005E3B44">
        <w:rPr>
          <w:rFonts w:asciiTheme="minorHAnsi" w:hAnsiTheme="minorHAnsi" w:cstheme="minorHAnsi"/>
        </w:rPr>
        <w:t>services;</w:t>
      </w:r>
      <w:proofErr w:type="gramEnd"/>
      <w:r w:rsidRPr="005E3B44">
        <w:rPr>
          <w:rFonts w:asciiTheme="minorHAnsi" w:hAnsiTheme="minorHAnsi" w:cstheme="minorHAnsi"/>
        </w:rPr>
        <w:t xml:space="preserve"> </w:t>
      </w:r>
    </w:p>
    <w:p w14:paraId="66C10742" w14:textId="77777777" w:rsidR="00B55EED" w:rsidRPr="005E3B44" w:rsidRDefault="00B55EED" w:rsidP="00B55EED">
      <w:pPr>
        <w:pStyle w:val="Normal2"/>
        <w:numPr>
          <w:ilvl w:val="0"/>
          <w:numId w:val="64"/>
        </w:numPr>
        <w:spacing w:before="200" w:after="200"/>
        <w:rPr>
          <w:rFonts w:asciiTheme="minorHAnsi" w:hAnsiTheme="minorHAnsi" w:cstheme="minorHAnsi"/>
        </w:rPr>
      </w:pPr>
      <w:r w:rsidRPr="005E3B44">
        <w:rPr>
          <w:rFonts w:asciiTheme="minorHAnsi" w:hAnsiTheme="minorHAnsi" w:cstheme="minorHAnsi"/>
        </w:rPr>
        <w:t xml:space="preserve">advise and assist people appearing unrepresented before courts and tribunals, particularly those persons experiencing family violence and in care and protection matters in the Children’s </w:t>
      </w:r>
      <w:proofErr w:type="gramStart"/>
      <w:r w:rsidRPr="005E3B44">
        <w:rPr>
          <w:rFonts w:asciiTheme="minorHAnsi" w:hAnsiTheme="minorHAnsi" w:cstheme="minorHAnsi"/>
        </w:rPr>
        <w:t>Court;</w:t>
      </w:r>
      <w:proofErr w:type="gramEnd"/>
    </w:p>
    <w:p w14:paraId="16406A9C" w14:textId="77777777" w:rsidR="00B55EED" w:rsidRPr="005E3B44" w:rsidRDefault="00B55EED" w:rsidP="00B55EED">
      <w:pPr>
        <w:pStyle w:val="Normal2"/>
        <w:numPr>
          <w:ilvl w:val="0"/>
          <w:numId w:val="64"/>
        </w:numPr>
        <w:spacing w:before="200" w:after="200"/>
        <w:rPr>
          <w:rFonts w:asciiTheme="minorHAnsi" w:hAnsiTheme="minorHAnsi" w:cstheme="minorHAnsi"/>
        </w:rPr>
      </w:pPr>
      <w:r w:rsidRPr="005E3B44">
        <w:rPr>
          <w:rFonts w:asciiTheme="minorHAnsi" w:hAnsiTheme="minorHAnsi" w:cstheme="minorHAnsi"/>
        </w:rPr>
        <w:t xml:space="preserve">provide legal representation to people in need to enable them to assert or defend their legal rights, including for those people appearing in the Drug and Alcohol </w:t>
      </w:r>
      <w:proofErr w:type="gramStart"/>
      <w:r w:rsidRPr="005E3B44">
        <w:rPr>
          <w:rFonts w:asciiTheme="minorHAnsi" w:hAnsiTheme="minorHAnsi" w:cstheme="minorHAnsi"/>
        </w:rPr>
        <w:t>Court;</w:t>
      </w:r>
      <w:proofErr w:type="gramEnd"/>
      <w:r w:rsidRPr="005E3B44">
        <w:rPr>
          <w:rFonts w:asciiTheme="minorHAnsi" w:hAnsiTheme="minorHAnsi" w:cstheme="minorHAnsi"/>
        </w:rPr>
        <w:t xml:space="preserve"> </w:t>
      </w:r>
    </w:p>
    <w:p w14:paraId="4046B146" w14:textId="77777777" w:rsidR="00B55EED" w:rsidRPr="005E3B44" w:rsidRDefault="00B55EED" w:rsidP="00B55EED">
      <w:pPr>
        <w:pStyle w:val="BSbullet1"/>
        <w:numPr>
          <w:ilvl w:val="0"/>
          <w:numId w:val="64"/>
        </w:numPr>
        <w:rPr>
          <w:rFonts w:asciiTheme="minorHAnsi" w:hAnsiTheme="minorHAnsi" w:cstheme="minorHAnsi"/>
        </w:rPr>
      </w:pPr>
      <w:r w:rsidRPr="005E3B44">
        <w:rPr>
          <w:rFonts w:asciiTheme="minorHAnsi" w:hAnsiTheme="minorHAnsi" w:cstheme="minorHAnsi"/>
        </w:rPr>
        <w:t xml:space="preserve">maintain the high level of service on the Legal Aid Helpline and Tenancy Advice Service.  The high level of telephone service has increased greatly over the last 3 years and are expected to continue to </w:t>
      </w:r>
      <w:proofErr w:type="gramStart"/>
      <w:r w:rsidRPr="005E3B44">
        <w:rPr>
          <w:rFonts w:asciiTheme="minorHAnsi" w:hAnsiTheme="minorHAnsi" w:cstheme="minorHAnsi"/>
        </w:rPr>
        <w:t>increase;</w:t>
      </w:r>
      <w:proofErr w:type="gramEnd"/>
      <w:r w:rsidRPr="005E3B44">
        <w:rPr>
          <w:rFonts w:asciiTheme="minorHAnsi" w:hAnsiTheme="minorHAnsi" w:cstheme="minorHAnsi"/>
        </w:rPr>
        <w:t xml:space="preserve"> </w:t>
      </w:r>
    </w:p>
    <w:p w14:paraId="730B92A8" w14:textId="77777777" w:rsidR="00B55EED" w:rsidRPr="005E3B44" w:rsidRDefault="00B55EED" w:rsidP="00B55EED">
      <w:pPr>
        <w:pStyle w:val="BSbullet1"/>
        <w:numPr>
          <w:ilvl w:val="0"/>
          <w:numId w:val="64"/>
        </w:numPr>
        <w:rPr>
          <w:rFonts w:asciiTheme="minorHAnsi" w:hAnsiTheme="minorHAnsi" w:cstheme="minorHAnsi"/>
        </w:rPr>
      </w:pPr>
      <w:r w:rsidRPr="005E3B44">
        <w:rPr>
          <w:rFonts w:asciiTheme="minorHAnsi" w:hAnsiTheme="minorHAnsi" w:cstheme="minorHAnsi"/>
        </w:rPr>
        <w:t>continue to find ways of delivering the service to clients remotely, due to the COVID-19 Pandemic</w:t>
      </w:r>
    </w:p>
    <w:p w14:paraId="1E063B22" w14:textId="77777777" w:rsidR="00B55EED" w:rsidRPr="005E3B44" w:rsidRDefault="00B55EED" w:rsidP="00B55EED">
      <w:pPr>
        <w:pStyle w:val="BSbullet1"/>
        <w:numPr>
          <w:ilvl w:val="0"/>
          <w:numId w:val="64"/>
        </w:numPr>
        <w:rPr>
          <w:rFonts w:asciiTheme="minorHAnsi" w:hAnsiTheme="minorHAnsi" w:cstheme="minorHAnsi"/>
        </w:rPr>
      </w:pPr>
      <w:r w:rsidRPr="005E3B44">
        <w:rPr>
          <w:rFonts w:asciiTheme="minorHAnsi" w:hAnsiTheme="minorHAnsi" w:cstheme="minorHAnsi"/>
        </w:rPr>
        <w:t>maintain and build the capacity of the Commission’s IT infrastructure to meet new demand; and</w:t>
      </w:r>
    </w:p>
    <w:p w14:paraId="701743D1" w14:textId="77777777" w:rsidR="00B55EED" w:rsidRPr="005E3B44" w:rsidRDefault="00B55EED" w:rsidP="00B55EED">
      <w:pPr>
        <w:pStyle w:val="BSbullet1"/>
        <w:numPr>
          <w:ilvl w:val="0"/>
          <w:numId w:val="64"/>
        </w:numPr>
        <w:rPr>
          <w:rFonts w:asciiTheme="minorHAnsi" w:hAnsiTheme="minorHAnsi" w:cstheme="minorHAnsi"/>
        </w:rPr>
      </w:pPr>
      <w:r w:rsidRPr="005E3B44">
        <w:rPr>
          <w:rFonts w:asciiTheme="minorHAnsi" w:hAnsiTheme="minorHAnsi" w:cstheme="minorHAnsi"/>
        </w:rPr>
        <w:t>finalise the long-term accommodation requirements of the Commission.</w:t>
      </w:r>
    </w:p>
    <w:p w14:paraId="4791992B" w14:textId="77777777" w:rsidR="00B55EED" w:rsidRPr="005E3B44" w:rsidRDefault="00B55EED" w:rsidP="00B55EED">
      <w:pPr>
        <w:pStyle w:val="Normal2"/>
        <w:rPr>
          <w:rFonts w:asciiTheme="minorHAnsi" w:hAnsiTheme="minorHAnsi" w:cstheme="minorHAnsi"/>
          <w:b/>
          <w:snapToGrid w:val="0"/>
          <w:color w:val="FF0000"/>
          <w:sz w:val="32"/>
        </w:rPr>
      </w:pPr>
    </w:p>
    <w:p w14:paraId="37ADE45B" w14:textId="77777777" w:rsidR="00B55EED" w:rsidRPr="005E3B44" w:rsidRDefault="00B55EED" w:rsidP="00B55EED">
      <w:pPr>
        <w:pStyle w:val="Normal2"/>
        <w:rPr>
          <w:rFonts w:asciiTheme="minorHAnsi" w:hAnsiTheme="minorHAnsi" w:cstheme="minorHAnsi"/>
          <w:b/>
          <w:snapToGrid w:val="0"/>
          <w:color w:val="FF0000"/>
          <w:sz w:val="32"/>
        </w:rPr>
      </w:pPr>
    </w:p>
    <w:p w14:paraId="251E59D1" w14:textId="77777777" w:rsidR="00B55EED" w:rsidRPr="005E3B44" w:rsidRDefault="00B55EED" w:rsidP="00B55EED">
      <w:pPr>
        <w:pStyle w:val="Normal2"/>
        <w:rPr>
          <w:rFonts w:asciiTheme="minorHAnsi" w:hAnsiTheme="minorHAnsi" w:cstheme="minorHAnsi"/>
          <w:b/>
          <w:snapToGrid w:val="0"/>
          <w:color w:val="FF0000"/>
          <w:sz w:val="32"/>
        </w:rPr>
      </w:pPr>
    </w:p>
    <w:p w14:paraId="186869D7" w14:textId="77777777" w:rsidR="00B55EED" w:rsidRPr="005E3B44" w:rsidRDefault="00B55EED" w:rsidP="00B55EED">
      <w:pPr>
        <w:pStyle w:val="Normal2"/>
        <w:rPr>
          <w:rFonts w:asciiTheme="minorHAnsi" w:hAnsiTheme="minorHAnsi" w:cstheme="minorHAnsi"/>
          <w:b/>
          <w:snapToGrid w:val="0"/>
          <w:color w:val="FF0000"/>
          <w:sz w:val="32"/>
        </w:rPr>
      </w:pPr>
    </w:p>
    <w:p w14:paraId="78B11872" w14:textId="77777777" w:rsidR="00B55EED" w:rsidRPr="005E3B44" w:rsidRDefault="00B55EED" w:rsidP="00B55EED">
      <w:pPr>
        <w:pStyle w:val="Normal2"/>
        <w:rPr>
          <w:rFonts w:asciiTheme="minorHAnsi" w:hAnsiTheme="minorHAnsi" w:cstheme="minorHAnsi"/>
          <w:b/>
          <w:snapToGrid w:val="0"/>
          <w:color w:val="FF0000"/>
          <w:sz w:val="32"/>
        </w:rPr>
      </w:pPr>
    </w:p>
    <w:p w14:paraId="3D03C839" w14:textId="77777777" w:rsidR="00B55EED" w:rsidRPr="005E3B44" w:rsidRDefault="00B55EED" w:rsidP="00B55EED">
      <w:pPr>
        <w:pStyle w:val="Heading21"/>
        <w:rPr>
          <w:rFonts w:asciiTheme="minorHAnsi" w:hAnsiTheme="minorHAnsi" w:cstheme="minorHAnsi"/>
        </w:rPr>
      </w:pPr>
      <w:bookmarkStart w:id="39" w:name="_Toc452127431"/>
      <w:bookmarkStart w:id="40" w:name="_Toc434844183"/>
      <w:bookmarkStart w:id="41" w:name="_Toc434844184"/>
      <w:r w:rsidRPr="005E3B44">
        <w:rPr>
          <w:rFonts w:asciiTheme="minorHAnsi" w:hAnsiTheme="minorHAnsi" w:cstheme="minorHAnsi"/>
        </w:rPr>
        <w:lastRenderedPageBreak/>
        <w:t>Estimated employment level and employment profile</w:t>
      </w:r>
      <w:bookmarkEnd w:id="39"/>
      <w:bookmarkEnd w:id="40"/>
    </w:p>
    <w:p w14:paraId="55250175" w14:textId="4CCA8AA7" w:rsidR="00B55EED" w:rsidRPr="005E3B44" w:rsidRDefault="00B55EED" w:rsidP="00B55EED">
      <w:pPr>
        <w:pStyle w:val="Caption"/>
        <w:rPr>
          <w:rFonts w:asciiTheme="minorHAnsi" w:hAnsiTheme="minorHAnsi" w:cstheme="minorHAnsi"/>
          <w:color w:val="auto"/>
        </w:rPr>
      </w:pPr>
      <w:r w:rsidRPr="005E3B44">
        <w:rPr>
          <w:rFonts w:asciiTheme="minorHAnsi" w:hAnsiTheme="minorHAnsi" w:cstheme="minorHAnsi"/>
          <w:color w:val="auto"/>
        </w:rPr>
        <w:t xml:space="preserve">Table </w:t>
      </w:r>
      <w:r w:rsidRPr="005E3B44">
        <w:rPr>
          <w:rFonts w:asciiTheme="minorHAnsi" w:hAnsiTheme="minorHAnsi" w:cstheme="minorHAnsi"/>
        </w:rPr>
        <w:fldChar w:fldCharType="begin"/>
      </w:r>
      <w:r w:rsidRPr="005E3B44">
        <w:rPr>
          <w:rFonts w:asciiTheme="minorHAnsi" w:hAnsiTheme="minorHAnsi" w:cstheme="minorHAnsi"/>
          <w:noProof/>
          <w:color w:val="auto"/>
        </w:rPr>
        <w:instrText xml:space="preserve"> SEQ Table \* ARABIC </w:instrText>
      </w:r>
      <w:r w:rsidRPr="005E3B44">
        <w:rPr>
          <w:rFonts w:asciiTheme="minorHAnsi" w:hAnsiTheme="minorHAnsi" w:cstheme="minorHAnsi"/>
        </w:rPr>
        <w:fldChar w:fldCharType="separate"/>
      </w:r>
      <w:r w:rsidR="006E5D30">
        <w:rPr>
          <w:rFonts w:asciiTheme="minorHAnsi" w:hAnsiTheme="minorHAnsi" w:cstheme="minorHAnsi"/>
          <w:noProof/>
          <w:color w:val="auto"/>
        </w:rPr>
        <w:t>2</w:t>
      </w:r>
      <w:r w:rsidRPr="005E3B44">
        <w:rPr>
          <w:rFonts w:asciiTheme="minorHAnsi" w:hAnsiTheme="minorHAnsi" w:cstheme="minorHAnsi"/>
        </w:rPr>
        <w:fldChar w:fldCharType="end"/>
      </w:r>
      <w:r w:rsidRPr="005E3B44">
        <w:rPr>
          <w:rFonts w:asciiTheme="minorHAnsi" w:hAnsiTheme="minorHAnsi" w:cstheme="minorHAnsi"/>
          <w:color w:val="auto"/>
        </w:rPr>
        <w:t>: Estimated employment level</w:t>
      </w:r>
    </w:p>
    <w:tbl>
      <w:tblPr>
        <w:tblW w:w="8261" w:type="dxa"/>
        <w:tblBorders>
          <w:top w:val="single" w:sz="12" w:space="0" w:color="000000"/>
        </w:tblBorders>
        <w:tblLayout w:type="fixed"/>
        <w:tblLook w:val="04A0" w:firstRow="1" w:lastRow="0" w:firstColumn="1" w:lastColumn="0" w:noHBand="0" w:noVBand="1"/>
      </w:tblPr>
      <w:tblGrid>
        <w:gridCol w:w="2451"/>
        <w:gridCol w:w="1453"/>
        <w:gridCol w:w="1452"/>
        <w:gridCol w:w="1452"/>
        <w:gridCol w:w="1453"/>
      </w:tblGrid>
      <w:tr w:rsidR="00A71F7D" w:rsidRPr="005E3B44" w14:paraId="12EBD1DA" w14:textId="77777777" w:rsidTr="00A71F7D">
        <w:trPr>
          <w:trHeight w:val="386"/>
          <w:tblHeader/>
        </w:trPr>
        <w:tc>
          <w:tcPr>
            <w:tcW w:w="2451" w:type="dxa"/>
            <w:tcBorders>
              <w:top w:val="single" w:sz="12" w:space="0" w:color="000000"/>
              <w:left w:val="nil"/>
              <w:bottom w:val="nil"/>
              <w:right w:val="nil"/>
            </w:tcBorders>
            <w:vAlign w:val="bottom"/>
          </w:tcPr>
          <w:p w14:paraId="07B5BBAD" w14:textId="77777777" w:rsidR="00A71F7D" w:rsidRPr="005E3B44" w:rsidRDefault="00A71F7D">
            <w:pPr>
              <w:pStyle w:val="BStabletext"/>
              <w:rPr>
                <w:rFonts w:asciiTheme="minorHAnsi" w:hAnsiTheme="minorHAnsi" w:cstheme="minorHAnsi"/>
              </w:rPr>
            </w:pPr>
          </w:p>
        </w:tc>
        <w:tc>
          <w:tcPr>
            <w:tcW w:w="1453" w:type="dxa"/>
            <w:tcBorders>
              <w:top w:val="single" w:sz="12" w:space="0" w:color="000000"/>
              <w:left w:val="nil"/>
              <w:bottom w:val="nil"/>
              <w:right w:val="nil"/>
            </w:tcBorders>
            <w:hideMark/>
          </w:tcPr>
          <w:p w14:paraId="61ED8AFA"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2019-20</w:t>
            </w:r>
          </w:p>
          <w:p w14:paraId="70F97C53"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Actual</w:t>
            </w:r>
          </w:p>
          <w:p w14:paraId="2E235E62"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Outcome</w:t>
            </w:r>
          </w:p>
        </w:tc>
        <w:tc>
          <w:tcPr>
            <w:tcW w:w="1452" w:type="dxa"/>
            <w:tcBorders>
              <w:top w:val="single" w:sz="12" w:space="0" w:color="000000"/>
              <w:left w:val="nil"/>
              <w:bottom w:val="nil"/>
              <w:right w:val="nil"/>
            </w:tcBorders>
            <w:hideMark/>
          </w:tcPr>
          <w:p w14:paraId="1DE8B48A" w14:textId="77777777" w:rsidR="00A71F7D" w:rsidRPr="005E3B44" w:rsidRDefault="00A71F7D">
            <w:pPr>
              <w:pStyle w:val="BStableheading1"/>
              <w:framePr w:wrap="auto" w:vAnchor="margin" w:yAlign="inline"/>
              <w:rPr>
                <w:rFonts w:asciiTheme="minorHAnsi" w:hAnsiTheme="minorHAnsi" w:cstheme="minorHAnsi"/>
              </w:rPr>
            </w:pPr>
            <w:r w:rsidRPr="005E3B44">
              <w:rPr>
                <w:rFonts w:asciiTheme="minorHAnsi" w:hAnsiTheme="minorHAnsi" w:cstheme="minorHAnsi"/>
              </w:rPr>
              <w:t>2020-21</w:t>
            </w:r>
          </w:p>
          <w:p w14:paraId="0362CAEF"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Budget</w:t>
            </w:r>
          </w:p>
        </w:tc>
        <w:tc>
          <w:tcPr>
            <w:tcW w:w="1452" w:type="dxa"/>
            <w:tcBorders>
              <w:top w:val="single" w:sz="12" w:space="0" w:color="000000"/>
              <w:left w:val="nil"/>
              <w:bottom w:val="nil"/>
              <w:right w:val="nil"/>
            </w:tcBorders>
            <w:hideMark/>
          </w:tcPr>
          <w:p w14:paraId="000FDA2A"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2020-21</w:t>
            </w:r>
          </w:p>
          <w:p w14:paraId="7B313E98"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Actual</w:t>
            </w:r>
          </w:p>
          <w:p w14:paraId="2B3B360C"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Outcome</w:t>
            </w:r>
          </w:p>
        </w:tc>
        <w:tc>
          <w:tcPr>
            <w:tcW w:w="1453" w:type="dxa"/>
            <w:tcBorders>
              <w:top w:val="single" w:sz="12" w:space="0" w:color="000000"/>
              <w:left w:val="nil"/>
              <w:bottom w:val="nil"/>
              <w:right w:val="nil"/>
            </w:tcBorders>
            <w:noWrap/>
            <w:hideMark/>
          </w:tcPr>
          <w:p w14:paraId="19952FF8"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2021-22</w:t>
            </w:r>
          </w:p>
          <w:p w14:paraId="0B5E0D1F" w14:textId="77777777" w:rsidR="00A71F7D" w:rsidRPr="005E3B44" w:rsidRDefault="00A71F7D">
            <w:pPr>
              <w:pStyle w:val="BStableheading1"/>
              <w:framePr w:wrap="around"/>
              <w:rPr>
                <w:rFonts w:asciiTheme="minorHAnsi" w:hAnsiTheme="minorHAnsi" w:cstheme="minorHAnsi"/>
              </w:rPr>
            </w:pPr>
            <w:r w:rsidRPr="005E3B44">
              <w:rPr>
                <w:rFonts w:asciiTheme="minorHAnsi" w:hAnsiTheme="minorHAnsi" w:cstheme="minorHAnsi"/>
              </w:rPr>
              <w:t>Budget</w:t>
            </w:r>
          </w:p>
        </w:tc>
      </w:tr>
      <w:tr w:rsidR="00A71F7D" w:rsidRPr="005E3B44" w14:paraId="25B8CD19" w14:textId="77777777" w:rsidTr="00A71F7D">
        <w:trPr>
          <w:trHeight w:val="314"/>
          <w:tblHeader/>
        </w:trPr>
        <w:tc>
          <w:tcPr>
            <w:tcW w:w="2451" w:type="dxa"/>
            <w:tcBorders>
              <w:top w:val="single" w:sz="6" w:space="0" w:color="000000"/>
              <w:left w:val="nil"/>
              <w:bottom w:val="single" w:sz="12" w:space="0" w:color="000000"/>
              <w:right w:val="nil"/>
            </w:tcBorders>
            <w:vAlign w:val="bottom"/>
            <w:hideMark/>
          </w:tcPr>
          <w:p w14:paraId="7BDE5BB4" w14:textId="77777777" w:rsidR="00A71F7D" w:rsidRPr="005E3B44" w:rsidRDefault="00A71F7D">
            <w:pPr>
              <w:pStyle w:val="BStabletext"/>
              <w:rPr>
                <w:rStyle w:val="Strong0"/>
                <w:rFonts w:asciiTheme="minorHAnsi" w:hAnsiTheme="minorHAnsi" w:cstheme="minorHAnsi"/>
                <w:bCs/>
              </w:rPr>
            </w:pPr>
            <w:r w:rsidRPr="005E3B44">
              <w:rPr>
                <w:rStyle w:val="Strong0"/>
                <w:rFonts w:asciiTheme="minorHAnsi" w:hAnsiTheme="minorHAnsi" w:cstheme="minorHAnsi"/>
              </w:rPr>
              <w:t>Staffing (FTE)</w:t>
            </w:r>
          </w:p>
        </w:tc>
        <w:tc>
          <w:tcPr>
            <w:tcW w:w="1453" w:type="dxa"/>
            <w:tcBorders>
              <w:top w:val="single" w:sz="6" w:space="0" w:color="000000"/>
              <w:left w:val="nil"/>
              <w:bottom w:val="single" w:sz="12" w:space="0" w:color="000000"/>
              <w:right w:val="nil"/>
            </w:tcBorders>
            <w:vAlign w:val="bottom"/>
            <w:hideMark/>
          </w:tcPr>
          <w:p w14:paraId="1C70FB7C" w14:textId="77777777" w:rsidR="00A71F7D" w:rsidRPr="005E3B44" w:rsidRDefault="00A71F7D">
            <w:pPr>
              <w:pStyle w:val="BStablefigures"/>
              <w:rPr>
                <w:rFonts w:asciiTheme="minorHAnsi" w:hAnsiTheme="minorHAnsi" w:cstheme="minorHAnsi"/>
              </w:rPr>
            </w:pPr>
            <w:r w:rsidRPr="005E3B44">
              <w:rPr>
                <w:rFonts w:asciiTheme="minorHAnsi" w:hAnsiTheme="minorHAnsi" w:cstheme="minorHAnsi"/>
              </w:rPr>
              <w:t>88.2</w:t>
            </w:r>
            <w:r w:rsidRPr="005E3B44">
              <w:rPr>
                <w:rFonts w:asciiTheme="minorHAnsi" w:hAnsiTheme="minorHAnsi" w:cstheme="minorHAnsi"/>
                <w:vertAlign w:val="superscript"/>
              </w:rPr>
              <w:t>1</w:t>
            </w:r>
          </w:p>
        </w:tc>
        <w:tc>
          <w:tcPr>
            <w:tcW w:w="1452" w:type="dxa"/>
            <w:tcBorders>
              <w:top w:val="single" w:sz="6" w:space="0" w:color="000000"/>
              <w:left w:val="nil"/>
              <w:bottom w:val="single" w:sz="12" w:space="0" w:color="000000"/>
              <w:right w:val="nil"/>
            </w:tcBorders>
            <w:vAlign w:val="bottom"/>
            <w:hideMark/>
          </w:tcPr>
          <w:p w14:paraId="356C7786" w14:textId="77777777" w:rsidR="00A71F7D" w:rsidRPr="005E3B44" w:rsidRDefault="00A71F7D">
            <w:pPr>
              <w:pStyle w:val="BStablefigures"/>
              <w:rPr>
                <w:rFonts w:asciiTheme="minorHAnsi" w:hAnsiTheme="minorHAnsi" w:cstheme="minorHAnsi"/>
              </w:rPr>
            </w:pPr>
            <w:r w:rsidRPr="005E3B44">
              <w:rPr>
                <w:rFonts w:asciiTheme="minorHAnsi" w:hAnsiTheme="minorHAnsi" w:cstheme="minorHAnsi"/>
              </w:rPr>
              <w:t>98.9</w:t>
            </w:r>
          </w:p>
        </w:tc>
        <w:tc>
          <w:tcPr>
            <w:tcW w:w="1452" w:type="dxa"/>
            <w:tcBorders>
              <w:top w:val="single" w:sz="6" w:space="0" w:color="000000"/>
              <w:left w:val="nil"/>
              <w:bottom w:val="single" w:sz="12" w:space="0" w:color="000000"/>
              <w:right w:val="nil"/>
            </w:tcBorders>
            <w:vAlign w:val="bottom"/>
            <w:hideMark/>
          </w:tcPr>
          <w:p w14:paraId="1D32215B" w14:textId="77777777" w:rsidR="00A71F7D" w:rsidRPr="005E3B44" w:rsidRDefault="00A71F7D">
            <w:pPr>
              <w:pStyle w:val="BStablefigures"/>
              <w:rPr>
                <w:rFonts w:asciiTheme="minorHAnsi" w:hAnsiTheme="minorHAnsi" w:cstheme="minorHAnsi"/>
              </w:rPr>
            </w:pPr>
            <w:r w:rsidRPr="005E3B44">
              <w:rPr>
                <w:rFonts w:asciiTheme="minorHAnsi" w:hAnsiTheme="minorHAnsi" w:cstheme="minorHAnsi"/>
              </w:rPr>
              <w:t>97.9</w:t>
            </w:r>
            <w:r w:rsidRPr="005E3B44">
              <w:rPr>
                <w:rFonts w:asciiTheme="minorHAnsi" w:hAnsiTheme="minorHAnsi" w:cstheme="minorHAnsi"/>
                <w:vertAlign w:val="superscript"/>
              </w:rPr>
              <w:t>1</w:t>
            </w:r>
          </w:p>
        </w:tc>
        <w:tc>
          <w:tcPr>
            <w:tcW w:w="1453" w:type="dxa"/>
            <w:tcBorders>
              <w:top w:val="single" w:sz="6" w:space="0" w:color="000000"/>
              <w:left w:val="nil"/>
              <w:bottom w:val="single" w:sz="12" w:space="0" w:color="000000"/>
              <w:right w:val="nil"/>
            </w:tcBorders>
            <w:noWrap/>
            <w:vAlign w:val="bottom"/>
            <w:hideMark/>
          </w:tcPr>
          <w:p w14:paraId="27365316" w14:textId="77777777" w:rsidR="00A71F7D" w:rsidRPr="005E3B44" w:rsidRDefault="00A71F7D">
            <w:pPr>
              <w:pStyle w:val="BStablefigures"/>
              <w:rPr>
                <w:rFonts w:asciiTheme="minorHAnsi" w:hAnsiTheme="minorHAnsi" w:cstheme="minorHAnsi"/>
              </w:rPr>
            </w:pPr>
            <w:r w:rsidRPr="005E3B44">
              <w:rPr>
                <w:rFonts w:asciiTheme="minorHAnsi" w:hAnsiTheme="minorHAnsi" w:cstheme="minorHAnsi"/>
              </w:rPr>
              <w:t>104.9</w:t>
            </w:r>
          </w:p>
        </w:tc>
      </w:tr>
    </w:tbl>
    <w:p w14:paraId="3DA1040F" w14:textId="77777777" w:rsidR="00B55EED" w:rsidRPr="005E3B44" w:rsidRDefault="00B55EED" w:rsidP="00B55EED">
      <w:pPr>
        <w:pStyle w:val="BSnote"/>
        <w:rPr>
          <w:rFonts w:asciiTheme="minorHAnsi" w:hAnsiTheme="minorHAnsi" w:cstheme="minorHAnsi"/>
        </w:rPr>
      </w:pPr>
      <w:r w:rsidRPr="005E3B44">
        <w:rPr>
          <w:rFonts w:asciiTheme="minorHAnsi" w:hAnsiTheme="minorHAnsi" w:cstheme="minorHAnsi"/>
        </w:rPr>
        <w:t>Note:</w:t>
      </w:r>
    </w:p>
    <w:p w14:paraId="65259454" w14:textId="77777777" w:rsidR="00B55EED" w:rsidRPr="005E3B44" w:rsidRDefault="00B55EED" w:rsidP="00B55EED">
      <w:pPr>
        <w:pStyle w:val="BSnoteslist"/>
        <w:numPr>
          <w:ilvl w:val="0"/>
          <w:numId w:val="65"/>
        </w:numPr>
        <w:rPr>
          <w:rFonts w:asciiTheme="minorHAnsi" w:hAnsiTheme="minorHAnsi" w:cstheme="minorHAnsi"/>
        </w:rPr>
      </w:pPr>
      <w:r w:rsidRPr="005E3B44">
        <w:rPr>
          <w:rFonts w:asciiTheme="minorHAnsi" w:hAnsiTheme="minorHAnsi" w:cstheme="minorHAnsi"/>
        </w:rPr>
        <w:t xml:space="preserve">The FTE for the 2019-20 Actual Outcome and 2020-21 Actual Outcome is the average for the full year, rather than simply at a point in time.   </w:t>
      </w:r>
    </w:p>
    <w:p w14:paraId="6DB85565" w14:textId="77777777" w:rsidR="00B55EED" w:rsidRPr="005E3B44" w:rsidRDefault="00B55EED" w:rsidP="00B55EED">
      <w:pPr>
        <w:pStyle w:val="BSnoteslist"/>
        <w:numPr>
          <w:ilvl w:val="0"/>
          <w:numId w:val="0"/>
        </w:numPr>
        <w:ind w:left="360"/>
        <w:rPr>
          <w:rFonts w:asciiTheme="minorHAnsi" w:hAnsiTheme="minorHAnsi" w:cstheme="minorHAnsi"/>
          <w:color w:val="FF0000"/>
        </w:rPr>
      </w:pPr>
    </w:p>
    <w:p w14:paraId="53B0FFB2" w14:textId="77777777" w:rsidR="00B55EED" w:rsidRPr="005E3B44" w:rsidRDefault="00B55EED" w:rsidP="00B55EED">
      <w:pPr>
        <w:pStyle w:val="BSnoteslist"/>
        <w:numPr>
          <w:ilvl w:val="0"/>
          <w:numId w:val="0"/>
        </w:numPr>
        <w:ind w:left="360"/>
        <w:rPr>
          <w:rFonts w:asciiTheme="minorHAnsi" w:hAnsiTheme="minorHAnsi" w:cstheme="minorHAnsi"/>
          <w:color w:val="FF0000"/>
        </w:rPr>
      </w:pPr>
    </w:p>
    <w:p w14:paraId="484E412E" w14:textId="7014BE32" w:rsidR="00B55EED" w:rsidRDefault="00B55EED" w:rsidP="00B55EED">
      <w:pPr>
        <w:pStyle w:val="Normal3"/>
        <w:rPr>
          <w:rFonts w:asciiTheme="minorHAnsi" w:hAnsiTheme="minorHAnsi" w:cstheme="minorHAnsi"/>
        </w:rPr>
      </w:pPr>
      <w:r w:rsidRPr="005E3B44">
        <w:rPr>
          <w:rFonts w:asciiTheme="minorHAnsi" w:hAnsiTheme="minorHAnsi" w:cstheme="minorHAnsi"/>
        </w:rPr>
        <w:t xml:space="preserve">The Board of the Commission comprises seven part-time commissioners and the CEO who bring to the Commission a wide range of expertise and experience in management, legal, community services and finance. </w:t>
      </w:r>
    </w:p>
    <w:p w14:paraId="66D16784" w14:textId="77777777" w:rsidR="00775054" w:rsidRPr="005E3B44" w:rsidRDefault="00775054" w:rsidP="00B55EED">
      <w:pPr>
        <w:pStyle w:val="Normal3"/>
        <w:rPr>
          <w:rFonts w:asciiTheme="minorHAnsi" w:hAnsiTheme="minorHAnsi" w:cstheme="minorHAnsi"/>
        </w:rPr>
      </w:pPr>
    </w:p>
    <w:p w14:paraId="7D2762AA" w14:textId="77777777" w:rsidR="00B55EED" w:rsidRPr="005E3B44" w:rsidRDefault="00B55EED" w:rsidP="00B55EED">
      <w:pPr>
        <w:pStyle w:val="Normal3"/>
        <w:rPr>
          <w:rFonts w:asciiTheme="minorHAnsi" w:hAnsiTheme="minorHAnsi" w:cstheme="minorHAnsi"/>
        </w:rPr>
      </w:pPr>
      <w:r w:rsidRPr="005E3B44">
        <w:rPr>
          <w:rFonts w:asciiTheme="minorHAnsi" w:hAnsiTheme="minorHAnsi" w:cstheme="minorHAnsi"/>
        </w:rPr>
        <w:t>An estimated staffing breakdown by classification and gender for the 2021-22 budget year is outlined below.</w:t>
      </w:r>
    </w:p>
    <w:p w14:paraId="6B01159B" w14:textId="7A259753" w:rsidR="00B55EED" w:rsidRPr="005E3B44" w:rsidRDefault="00B55EED" w:rsidP="00B55EED">
      <w:pPr>
        <w:pStyle w:val="Caption"/>
        <w:rPr>
          <w:rFonts w:asciiTheme="minorHAnsi" w:hAnsiTheme="minorHAnsi" w:cstheme="minorHAnsi"/>
          <w:color w:val="auto"/>
        </w:rPr>
      </w:pPr>
      <w:r w:rsidRPr="005E3B44">
        <w:rPr>
          <w:rFonts w:asciiTheme="minorHAnsi" w:hAnsiTheme="minorHAnsi" w:cstheme="minorHAnsi"/>
          <w:color w:val="auto"/>
        </w:rPr>
        <w:t xml:space="preserve">Table </w:t>
      </w:r>
      <w:r w:rsidRPr="005E3B44">
        <w:rPr>
          <w:rFonts w:asciiTheme="minorHAnsi" w:hAnsiTheme="minorHAnsi" w:cstheme="minorHAnsi"/>
        </w:rPr>
        <w:fldChar w:fldCharType="begin"/>
      </w:r>
      <w:r w:rsidRPr="005E3B44">
        <w:rPr>
          <w:rFonts w:asciiTheme="minorHAnsi" w:hAnsiTheme="minorHAnsi" w:cstheme="minorHAnsi"/>
          <w:color w:val="auto"/>
        </w:rPr>
        <w:instrText xml:space="preserve"> SEQ Table \* ARABIC </w:instrText>
      </w:r>
      <w:r w:rsidRPr="005E3B44">
        <w:rPr>
          <w:rFonts w:asciiTheme="minorHAnsi" w:hAnsiTheme="minorHAnsi" w:cstheme="minorHAnsi"/>
        </w:rPr>
        <w:fldChar w:fldCharType="separate"/>
      </w:r>
      <w:r w:rsidR="006E5D30">
        <w:rPr>
          <w:rFonts w:asciiTheme="minorHAnsi" w:hAnsiTheme="minorHAnsi" w:cstheme="minorHAnsi"/>
          <w:noProof/>
          <w:color w:val="auto"/>
        </w:rPr>
        <w:t>3</w:t>
      </w:r>
      <w:r w:rsidRPr="005E3B44">
        <w:rPr>
          <w:rFonts w:asciiTheme="minorHAnsi" w:hAnsiTheme="minorHAnsi" w:cstheme="minorHAnsi"/>
        </w:rPr>
        <w:fldChar w:fldCharType="end"/>
      </w:r>
      <w:r w:rsidRPr="005E3B44">
        <w:rPr>
          <w:rFonts w:asciiTheme="minorHAnsi" w:hAnsiTheme="minorHAnsi" w:cstheme="minorHAnsi"/>
          <w:color w:val="auto"/>
        </w:rPr>
        <w:t>: 2021-22 employment profile</w:t>
      </w:r>
      <w:bookmarkEnd w:id="41"/>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72"/>
        <w:gridCol w:w="2249"/>
        <w:gridCol w:w="2256"/>
        <w:gridCol w:w="2249"/>
      </w:tblGrid>
      <w:tr w:rsidR="00B55EED" w:rsidRPr="005E3B44" w14:paraId="01EEFF57" w14:textId="77777777" w:rsidTr="00B55EED">
        <w:trPr>
          <w:cantSplit/>
          <w:tblHeader/>
        </w:trPr>
        <w:tc>
          <w:tcPr>
            <w:tcW w:w="2272" w:type="dxa"/>
            <w:tcBorders>
              <w:top w:val="single" w:sz="4" w:space="0" w:color="auto"/>
              <w:left w:val="nil"/>
              <w:bottom w:val="single" w:sz="4" w:space="0" w:color="auto"/>
              <w:right w:val="nil"/>
            </w:tcBorders>
            <w:hideMark/>
          </w:tcPr>
          <w:p w14:paraId="23A6D345" w14:textId="77777777" w:rsidR="00B55EED" w:rsidRPr="005E3B44" w:rsidRDefault="00B55EED">
            <w:pPr>
              <w:pStyle w:val="Normal30"/>
              <w:spacing w:before="0" w:after="0"/>
              <w:ind w:left="227" w:hanging="227"/>
              <w:rPr>
                <w:rFonts w:asciiTheme="minorHAnsi" w:hAnsiTheme="minorHAnsi" w:cstheme="minorHAnsi"/>
                <w:b/>
                <w:bCs/>
                <w:sz w:val="20"/>
                <w:lang w:eastAsia="en-AU"/>
              </w:rPr>
            </w:pPr>
            <w:r w:rsidRPr="005E3B44">
              <w:rPr>
                <w:rFonts w:asciiTheme="minorHAnsi" w:hAnsiTheme="minorHAnsi" w:cstheme="minorHAnsi"/>
                <w:b/>
                <w:bCs/>
                <w:sz w:val="20"/>
                <w:lang w:eastAsia="en-AU"/>
              </w:rPr>
              <w:t>Classification</w:t>
            </w:r>
          </w:p>
        </w:tc>
        <w:tc>
          <w:tcPr>
            <w:tcW w:w="2249" w:type="dxa"/>
            <w:tcBorders>
              <w:top w:val="single" w:sz="4" w:space="0" w:color="auto"/>
              <w:left w:val="nil"/>
              <w:bottom w:val="single" w:sz="4" w:space="0" w:color="auto"/>
              <w:right w:val="nil"/>
            </w:tcBorders>
            <w:hideMark/>
          </w:tcPr>
          <w:p w14:paraId="5203D090" w14:textId="77777777" w:rsidR="00B55EED" w:rsidRPr="005E3B44" w:rsidRDefault="00B55EED">
            <w:pPr>
              <w:pStyle w:val="Normal30"/>
              <w:spacing w:before="0" w:after="0"/>
              <w:ind w:left="227" w:hanging="227"/>
              <w:jc w:val="right"/>
              <w:rPr>
                <w:rFonts w:asciiTheme="minorHAnsi" w:hAnsiTheme="minorHAnsi" w:cstheme="minorHAnsi"/>
                <w:b/>
                <w:bCs/>
                <w:sz w:val="20"/>
                <w:lang w:eastAsia="en-AU"/>
              </w:rPr>
            </w:pPr>
            <w:r w:rsidRPr="005E3B44">
              <w:rPr>
                <w:rFonts w:asciiTheme="minorHAnsi" w:hAnsiTheme="minorHAnsi" w:cstheme="minorHAnsi"/>
                <w:b/>
                <w:bCs/>
                <w:sz w:val="20"/>
                <w:lang w:eastAsia="en-AU"/>
              </w:rPr>
              <w:t>Male</w:t>
            </w:r>
            <w:r w:rsidRPr="005E3B44">
              <w:rPr>
                <w:rFonts w:asciiTheme="minorHAnsi" w:hAnsiTheme="minorHAnsi" w:cstheme="minorHAnsi"/>
                <w:b/>
                <w:bCs/>
                <w:sz w:val="20"/>
                <w:vertAlign w:val="superscript"/>
                <w:lang w:eastAsia="en-AU"/>
              </w:rPr>
              <w:t>1</w:t>
            </w:r>
          </w:p>
        </w:tc>
        <w:tc>
          <w:tcPr>
            <w:tcW w:w="2256" w:type="dxa"/>
            <w:tcBorders>
              <w:top w:val="single" w:sz="4" w:space="0" w:color="auto"/>
              <w:left w:val="nil"/>
              <w:bottom w:val="single" w:sz="4" w:space="0" w:color="auto"/>
              <w:right w:val="nil"/>
            </w:tcBorders>
            <w:hideMark/>
          </w:tcPr>
          <w:p w14:paraId="7764FDA0" w14:textId="77777777" w:rsidR="00B55EED" w:rsidRPr="005E3B44" w:rsidRDefault="00B55EED">
            <w:pPr>
              <w:pStyle w:val="Normal30"/>
              <w:spacing w:before="0" w:after="0"/>
              <w:ind w:left="227" w:hanging="227"/>
              <w:jc w:val="right"/>
              <w:rPr>
                <w:rFonts w:asciiTheme="minorHAnsi" w:hAnsiTheme="minorHAnsi" w:cstheme="minorHAnsi"/>
                <w:b/>
                <w:bCs/>
                <w:sz w:val="20"/>
                <w:lang w:eastAsia="en-AU"/>
              </w:rPr>
            </w:pPr>
            <w:r w:rsidRPr="005E3B44">
              <w:rPr>
                <w:rFonts w:asciiTheme="minorHAnsi" w:hAnsiTheme="minorHAnsi" w:cstheme="minorHAnsi"/>
                <w:b/>
                <w:bCs/>
                <w:sz w:val="20"/>
                <w:lang w:eastAsia="en-AU"/>
              </w:rPr>
              <w:t>Female</w:t>
            </w:r>
            <w:r w:rsidRPr="005E3B44">
              <w:rPr>
                <w:rFonts w:asciiTheme="minorHAnsi" w:hAnsiTheme="minorHAnsi" w:cstheme="minorHAnsi"/>
                <w:b/>
                <w:bCs/>
                <w:sz w:val="20"/>
                <w:vertAlign w:val="superscript"/>
                <w:lang w:eastAsia="en-AU"/>
              </w:rPr>
              <w:t>1</w:t>
            </w:r>
          </w:p>
        </w:tc>
        <w:tc>
          <w:tcPr>
            <w:tcW w:w="2249" w:type="dxa"/>
            <w:tcBorders>
              <w:top w:val="single" w:sz="4" w:space="0" w:color="auto"/>
              <w:left w:val="nil"/>
              <w:bottom w:val="single" w:sz="4" w:space="0" w:color="auto"/>
              <w:right w:val="nil"/>
            </w:tcBorders>
            <w:hideMark/>
          </w:tcPr>
          <w:p w14:paraId="7862D0BE" w14:textId="77777777" w:rsidR="00B55EED" w:rsidRPr="005E3B44" w:rsidRDefault="00B55EED">
            <w:pPr>
              <w:pStyle w:val="Normal30"/>
              <w:spacing w:before="0" w:after="0"/>
              <w:ind w:left="227" w:hanging="227"/>
              <w:jc w:val="right"/>
              <w:rPr>
                <w:rFonts w:asciiTheme="minorHAnsi" w:hAnsiTheme="minorHAnsi" w:cstheme="minorHAnsi"/>
                <w:b/>
                <w:bCs/>
                <w:sz w:val="20"/>
                <w:lang w:eastAsia="en-AU"/>
              </w:rPr>
            </w:pPr>
            <w:r w:rsidRPr="005E3B44">
              <w:rPr>
                <w:rFonts w:asciiTheme="minorHAnsi" w:hAnsiTheme="minorHAnsi" w:cstheme="minorHAnsi"/>
                <w:b/>
                <w:bCs/>
                <w:sz w:val="20"/>
                <w:lang w:eastAsia="en-AU"/>
              </w:rPr>
              <w:t>Total</w:t>
            </w:r>
            <w:r w:rsidRPr="005E3B44">
              <w:rPr>
                <w:rFonts w:asciiTheme="minorHAnsi" w:hAnsiTheme="minorHAnsi" w:cstheme="minorHAnsi"/>
                <w:b/>
                <w:bCs/>
                <w:sz w:val="20"/>
                <w:vertAlign w:val="superscript"/>
                <w:lang w:eastAsia="en-AU"/>
              </w:rPr>
              <w:t>1</w:t>
            </w:r>
          </w:p>
        </w:tc>
      </w:tr>
      <w:tr w:rsidR="00B55EED" w:rsidRPr="005E3B44" w14:paraId="22316BDB" w14:textId="77777777" w:rsidTr="00B55EED">
        <w:trPr>
          <w:cantSplit/>
        </w:trPr>
        <w:tc>
          <w:tcPr>
            <w:tcW w:w="2272" w:type="dxa"/>
            <w:tcBorders>
              <w:top w:val="single" w:sz="4" w:space="0" w:color="auto"/>
              <w:left w:val="nil"/>
              <w:bottom w:val="nil"/>
              <w:right w:val="nil"/>
            </w:tcBorders>
            <w:hideMark/>
          </w:tcPr>
          <w:p w14:paraId="48C658E3"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ASO1</w:t>
            </w:r>
          </w:p>
        </w:tc>
        <w:tc>
          <w:tcPr>
            <w:tcW w:w="2249" w:type="dxa"/>
            <w:tcBorders>
              <w:top w:val="single" w:sz="4" w:space="0" w:color="auto"/>
              <w:left w:val="nil"/>
              <w:bottom w:val="nil"/>
              <w:right w:val="nil"/>
            </w:tcBorders>
            <w:hideMark/>
          </w:tcPr>
          <w:p w14:paraId="7C4CE3B7"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0.3</w:t>
            </w:r>
          </w:p>
        </w:tc>
        <w:tc>
          <w:tcPr>
            <w:tcW w:w="2256" w:type="dxa"/>
            <w:tcBorders>
              <w:top w:val="single" w:sz="4" w:space="0" w:color="auto"/>
              <w:left w:val="nil"/>
              <w:bottom w:val="nil"/>
              <w:right w:val="nil"/>
            </w:tcBorders>
            <w:hideMark/>
          </w:tcPr>
          <w:p w14:paraId="2CC8DFDD"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0.6</w:t>
            </w:r>
          </w:p>
        </w:tc>
        <w:tc>
          <w:tcPr>
            <w:tcW w:w="2249" w:type="dxa"/>
            <w:tcBorders>
              <w:top w:val="single" w:sz="4" w:space="0" w:color="auto"/>
              <w:left w:val="nil"/>
              <w:bottom w:val="nil"/>
              <w:right w:val="nil"/>
            </w:tcBorders>
            <w:hideMark/>
          </w:tcPr>
          <w:p w14:paraId="3140E8D8"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0.9</w:t>
            </w:r>
          </w:p>
        </w:tc>
      </w:tr>
      <w:tr w:rsidR="00B55EED" w:rsidRPr="005E3B44" w14:paraId="6F0E68AE" w14:textId="77777777" w:rsidTr="00B55EED">
        <w:trPr>
          <w:cantSplit/>
        </w:trPr>
        <w:tc>
          <w:tcPr>
            <w:tcW w:w="2272" w:type="dxa"/>
            <w:tcBorders>
              <w:top w:val="nil"/>
              <w:left w:val="nil"/>
              <w:bottom w:val="nil"/>
              <w:right w:val="nil"/>
            </w:tcBorders>
            <w:hideMark/>
          </w:tcPr>
          <w:p w14:paraId="5D036BAD"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ASO2</w:t>
            </w:r>
          </w:p>
        </w:tc>
        <w:tc>
          <w:tcPr>
            <w:tcW w:w="2249" w:type="dxa"/>
            <w:tcBorders>
              <w:top w:val="nil"/>
              <w:left w:val="nil"/>
              <w:bottom w:val="nil"/>
              <w:right w:val="nil"/>
            </w:tcBorders>
            <w:hideMark/>
          </w:tcPr>
          <w:p w14:paraId="6746B1C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5.9</w:t>
            </w:r>
          </w:p>
        </w:tc>
        <w:tc>
          <w:tcPr>
            <w:tcW w:w="2256" w:type="dxa"/>
            <w:tcBorders>
              <w:top w:val="nil"/>
              <w:left w:val="nil"/>
              <w:bottom w:val="nil"/>
              <w:right w:val="nil"/>
            </w:tcBorders>
            <w:hideMark/>
          </w:tcPr>
          <w:p w14:paraId="1E1DEDCA"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21.7</w:t>
            </w:r>
          </w:p>
        </w:tc>
        <w:tc>
          <w:tcPr>
            <w:tcW w:w="2249" w:type="dxa"/>
            <w:tcBorders>
              <w:top w:val="nil"/>
              <w:left w:val="nil"/>
              <w:bottom w:val="nil"/>
              <w:right w:val="nil"/>
            </w:tcBorders>
            <w:hideMark/>
          </w:tcPr>
          <w:p w14:paraId="7D382C74"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27.6</w:t>
            </w:r>
          </w:p>
        </w:tc>
      </w:tr>
      <w:tr w:rsidR="00B55EED" w:rsidRPr="005E3B44" w14:paraId="43CF2522" w14:textId="77777777" w:rsidTr="00B55EED">
        <w:trPr>
          <w:cantSplit/>
        </w:trPr>
        <w:tc>
          <w:tcPr>
            <w:tcW w:w="2272" w:type="dxa"/>
            <w:tcBorders>
              <w:top w:val="nil"/>
              <w:left w:val="nil"/>
              <w:bottom w:val="nil"/>
              <w:right w:val="nil"/>
            </w:tcBorders>
            <w:hideMark/>
          </w:tcPr>
          <w:p w14:paraId="16D2D5DF"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ASO3</w:t>
            </w:r>
          </w:p>
        </w:tc>
        <w:tc>
          <w:tcPr>
            <w:tcW w:w="2249" w:type="dxa"/>
            <w:tcBorders>
              <w:top w:val="nil"/>
              <w:left w:val="nil"/>
              <w:bottom w:val="nil"/>
              <w:right w:val="nil"/>
            </w:tcBorders>
            <w:hideMark/>
          </w:tcPr>
          <w:p w14:paraId="31638CD3"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2.0</w:t>
            </w:r>
          </w:p>
        </w:tc>
        <w:tc>
          <w:tcPr>
            <w:tcW w:w="2256" w:type="dxa"/>
            <w:tcBorders>
              <w:top w:val="nil"/>
              <w:left w:val="nil"/>
              <w:bottom w:val="nil"/>
              <w:right w:val="nil"/>
            </w:tcBorders>
            <w:hideMark/>
          </w:tcPr>
          <w:p w14:paraId="531E591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6.0</w:t>
            </w:r>
          </w:p>
        </w:tc>
        <w:tc>
          <w:tcPr>
            <w:tcW w:w="2249" w:type="dxa"/>
            <w:tcBorders>
              <w:top w:val="nil"/>
              <w:left w:val="nil"/>
              <w:bottom w:val="nil"/>
              <w:right w:val="nil"/>
            </w:tcBorders>
            <w:hideMark/>
          </w:tcPr>
          <w:p w14:paraId="4E4B8F8E"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8.0</w:t>
            </w:r>
          </w:p>
        </w:tc>
      </w:tr>
      <w:tr w:rsidR="00B55EED" w:rsidRPr="005E3B44" w14:paraId="573C320D" w14:textId="77777777" w:rsidTr="00B55EED">
        <w:trPr>
          <w:cantSplit/>
        </w:trPr>
        <w:tc>
          <w:tcPr>
            <w:tcW w:w="2272" w:type="dxa"/>
            <w:tcBorders>
              <w:top w:val="nil"/>
              <w:left w:val="nil"/>
              <w:bottom w:val="nil"/>
              <w:right w:val="nil"/>
            </w:tcBorders>
            <w:hideMark/>
          </w:tcPr>
          <w:p w14:paraId="7CD06E6D"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ASO4</w:t>
            </w:r>
          </w:p>
        </w:tc>
        <w:tc>
          <w:tcPr>
            <w:tcW w:w="2249" w:type="dxa"/>
            <w:tcBorders>
              <w:top w:val="nil"/>
              <w:left w:val="nil"/>
              <w:bottom w:val="nil"/>
              <w:right w:val="nil"/>
            </w:tcBorders>
            <w:hideMark/>
          </w:tcPr>
          <w:p w14:paraId="63294D12"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56" w:type="dxa"/>
            <w:tcBorders>
              <w:top w:val="nil"/>
              <w:left w:val="nil"/>
              <w:bottom w:val="nil"/>
              <w:right w:val="nil"/>
            </w:tcBorders>
            <w:hideMark/>
          </w:tcPr>
          <w:p w14:paraId="427EA6F2"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6.4</w:t>
            </w:r>
          </w:p>
        </w:tc>
        <w:tc>
          <w:tcPr>
            <w:tcW w:w="2249" w:type="dxa"/>
            <w:tcBorders>
              <w:top w:val="nil"/>
              <w:left w:val="nil"/>
              <w:bottom w:val="nil"/>
              <w:right w:val="nil"/>
            </w:tcBorders>
            <w:hideMark/>
          </w:tcPr>
          <w:p w14:paraId="0FD771FA"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7.4</w:t>
            </w:r>
          </w:p>
        </w:tc>
      </w:tr>
      <w:tr w:rsidR="00B55EED" w:rsidRPr="005E3B44" w14:paraId="6E68AAE9" w14:textId="77777777" w:rsidTr="00B55EED">
        <w:trPr>
          <w:cantSplit/>
        </w:trPr>
        <w:tc>
          <w:tcPr>
            <w:tcW w:w="2272" w:type="dxa"/>
            <w:tcBorders>
              <w:top w:val="nil"/>
              <w:left w:val="nil"/>
              <w:bottom w:val="nil"/>
              <w:right w:val="nil"/>
            </w:tcBorders>
            <w:hideMark/>
          </w:tcPr>
          <w:p w14:paraId="3B58F956"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ASO5</w:t>
            </w:r>
          </w:p>
        </w:tc>
        <w:tc>
          <w:tcPr>
            <w:tcW w:w="2249" w:type="dxa"/>
            <w:tcBorders>
              <w:top w:val="nil"/>
              <w:left w:val="nil"/>
              <w:bottom w:val="nil"/>
              <w:right w:val="nil"/>
            </w:tcBorders>
            <w:hideMark/>
          </w:tcPr>
          <w:p w14:paraId="5F621F33"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0.0</w:t>
            </w:r>
          </w:p>
        </w:tc>
        <w:tc>
          <w:tcPr>
            <w:tcW w:w="2256" w:type="dxa"/>
            <w:tcBorders>
              <w:top w:val="nil"/>
              <w:left w:val="nil"/>
              <w:bottom w:val="nil"/>
              <w:right w:val="nil"/>
            </w:tcBorders>
            <w:hideMark/>
          </w:tcPr>
          <w:p w14:paraId="5253C1E4"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2.0</w:t>
            </w:r>
          </w:p>
        </w:tc>
        <w:tc>
          <w:tcPr>
            <w:tcW w:w="2249" w:type="dxa"/>
            <w:tcBorders>
              <w:top w:val="nil"/>
              <w:left w:val="nil"/>
              <w:bottom w:val="nil"/>
              <w:right w:val="nil"/>
            </w:tcBorders>
            <w:hideMark/>
          </w:tcPr>
          <w:p w14:paraId="724223EA"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2.0</w:t>
            </w:r>
          </w:p>
        </w:tc>
      </w:tr>
      <w:tr w:rsidR="00B55EED" w:rsidRPr="005E3B44" w14:paraId="413516C8" w14:textId="77777777" w:rsidTr="00B55EED">
        <w:trPr>
          <w:cantSplit/>
        </w:trPr>
        <w:tc>
          <w:tcPr>
            <w:tcW w:w="2272" w:type="dxa"/>
            <w:tcBorders>
              <w:top w:val="nil"/>
              <w:left w:val="nil"/>
              <w:bottom w:val="nil"/>
              <w:right w:val="nil"/>
            </w:tcBorders>
            <w:hideMark/>
          </w:tcPr>
          <w:p w14:paraId="4071A3DB"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ASO6</w:t>
            </w:r>
          </w:p>
        </w:tc>
        <w:tc>
          <w:tcPr>
            <w:tcW w:w="2249" w:type="dxa"/>
            <w:tcBorders>
              <w:top w:val="nil"/>
              <w:left w:val="nil"/>
              <w:bottom w:val="nil"/>
              <w:right w:val="nil"/>
            </w:tcBorders>
            <w:hideMark/>
          </w:tcPr>
          <w:p w14:paraId="62A7E219"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0.0</w:t>
            </w:r>
          </w:p>
        </w:tc>
        <w:tc>
          <w:tcPr>
            <w:tcW w:w="2256" w:type="dxa"/>
            <w:tcBorders>
              <w:top w:val="nil"/>
              <w:left w:val="nil"/>
              <w:bottom w:val="nil"/>
              <w:right w:val="nil"/>
            </w:tcBorders>
            <w:hideMark/>
          </w:tcPr>
          <w:p w14:paraId="5D99B53E"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49" w:type="dxa"/>
            <w:tcBorders>
              <w:top w:val="nil"/>
              <w:left w:val="nil"/>
              <w:bottom w:val="nil"/>
              <w:right w:val="nil"/>
            </w:tcBorders>
            <w:hideMark/>
          </w:tcPr>
          <w:p w14:paraId="6CCAF565"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r>
      <w:tr w:rsidR="00B55EED" w:rsidRPr="005E3B44" w14:paraId="4EA89F61" w14:textId="77777777" w:rsidTr="00B55EED">
        <w:trPr>
          <w:cantSplit/>
        </w:trPr>
        <w:tc>
          <w:tcPr>
            <w:tcW w:w="2272" w:type="dxa"/>
            <w:tcBorders>
              <w:top w:val="nil"/>
              <w:left w:val="nil"/>
              <w:bottom w:val="nil"/>
              <w:right w:val="nil"/>
            </w:tcBorders>
            <w:hideMark/>
          </w:tcPr>
          <w:p w14:paraId="2CB7D07F"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SOG C</w:t>
            </w:r>
          </w:p>
        </w:tc>
        <w:tc>
          <w:tcPr>
            <w:tcW w:w="2249" w:type="dxa"/>
            <w:tcBorders>
              <w:top w:val="nil"/>
              <w:left w:val="nil"/>
              <w:bottom w:val="nil"/>
              <w:right w:val="nil"/>
            </w:tcBorders>
            <w:hideMark/>
          </w:tcPr>
          <w:p w14:paraId="22C669D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56" w:type="dxa"/>
            <w:tcBorders>
              <w:top w:val="nil"/>
              <w:left w:val="nil"/>
              <w:bottom w:val="nil"/>
              <w:right w:val="nil"/>
            </w:tcBorders>
            <w:hideMark/>
          </w:tcPr>
          <w:p w14:paraId="30D60397"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0.0</w:t>
            </w:r>
          </w:p>
        </w:tc>
        <w:tc>
          <w:tcPr>
            <w:tcW w:w="2249" w:type="dxa"/>
            <w:tcBorders>
              <w:top w:val="nil"/>
              <w:left w:val="nil"/>
              <w:bottom w:val="nil"/>
              <w:right w:val="nil"/>
            </w:tcBorders>
            <w:hideMark/>
          </w:tcPr>
          <w:p w14:paraId="1D548615"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r>
      <w:tr w:rsidR="00B55EED" w:rsidRPr="005E3B44" w14:paraId="435F8AB0" w14:textId="77777777" w:rsidTr="00B55EED">
        <w:trPr>
          <w:cantSplit/>
        </w:trPr>
        <w:tc>
          <w:tcPr>
            <w:tcW w:w="2272" w:type="dxa"/>
            <w:tcBorders>
              <w:top w:val="nil"/>
              <w:left w:val="nil"/>
              <w:bottom w:val="nil"/>
              <w:right w:val="nil"/>
            </w:tcBorders>
            <w:hideMark/>
          </w:tcPr>
          <w:p w14:paraId="35F73E94"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SOG B</w:t>
            </w:r>
          </w:p>
        </w:tc>
        <w:tc>
          <w:tcPr>
            <w:tcW w:w="2249" w:type="dxa"/>
            <w:tcBorders>
              <w:top w:val="nil"/>
              <w:left w:val="nil"/>
              <w:bottom w:val="nil"/>
              <w:right w:val="nil"/>
            </w:tcBorders>
            <w:hideMark/>
          </w:tcPr>
          <w:p w14:paraId="692894A5"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56" w:type="dxa"/>
            <w:tcBorders>
              <w:top w:val="nil"/>
              <w:left w:val="nil"/>
              <w:bottom w:val="nil"/>
              <w:right w:val="nil"/>
            </w:tcBorders>
            <w:hideMark/>
          </w:tcPr>
          <w:p w14:paraId="54DB78D3"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49" w:type="dxa"/>
            <w:tcBorders>
              <w:top w:val="nil"/>
              <w:left w:val="nil"/>
              <w:bottom w:val="nil"/>
              <w:right w:val="nil"/>
            </w:tcBorders>
            <w:hideMark/>
          </w:tcPr>
          <w:p w14:paraId="02B70C4D"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2.0</w:t>
            </w:r>
          </w:p>
        </w:tc>
      </w:tr>
      <w:tr w:rsidR="00B55EED" w:rsidRPr="005E3B44" w14:paraId="2E8A2A27" w14:textId="77777777" w:rsidTr="00B55EED">
        <w:trPr>
          <w:cantSplit/>
        </w:trPr>
        <w:tc>
          <w:tcPr>
            <w:tcW w:w="2272" w:type="dxa"/>
            <w:tcBorders>
              <w:top w:val="nil"/>
              <w:left w:val="nil"/>
              <w:bottom w:val="nil"/>
              <w:right w:val="nil"/>
            </w:tcBorders>
            <w:hideMark/>
          </w:tcPr>
          <w:p w14:paraId="43585BEE"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SOG A</w:t>
            </w:r>
          </w:p>
        </w:tc>
        <w:tc>
          <w:tcPr>
            <w:tcW w:w="2249" w:type="dxa"/>
            <w:tcBorders>
              <w:top w:val="nil"/>
              <w:left w:val="nil"/>
              <w:bottom w:val="nil"/>
              <w:right w:val="nil"/>
            </w:tcBorders>
            <w:hideMark/>
          </w:tcPr>
          <w:p w14:paraId="2FCB89B6"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56" w:type="dxa"/>
            <w:tcBorders>
              <w:top w:val="nil"/>
              <w:left w:val="nil"/>
              <w:bottom w:val="nil"/>
              <w:right w:val="nil"/>
            </w:tcBorders>
            <w:hideMark/>
          </w:tcPr>
          <w:p w14:paraId="2E6ED333"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0.0</w:t>
            </w:r>
          </w:p>
        </w:tc>
        <w:tc>
          <w:tcPr>
            <w:tcW w:w="2249" w:type="dxa"/>
            <w:tcBorders>
              <w:top w:val="nil"/>
              <w:left w:val="nil"/>
              <w:bottom w:val="nil"/>
              <w:right w:val="nil"/>
            </w:tcBorders>
            <w:hideMark/>
          </w:tcPr>
          <w:p w14:paraId="6CA91B53"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r>
      <w:tr w:rsidR="00B55EED" w:rsidRPr="005E3B44" w14:paraId="1BAD79BB" w14:textId="77777777" w:rsidTr="00B55EED">
        <w:trPr>
          <w:cantSplit/>
        </w:trPr>
        <w:tc>
          <w:tcPr>
            <w:tcW w:w="2272" w:type="dxa"/>
            <w:tcBorders>
              <w:top w:val="nil"/>
              <w:left w:val="nil"/>
              <w:bottom w:val="nil"/>
              <w:right w:val="nil"/>
            </w:tcBorders>
            <w:hideMark/>
          </w:tcPr>
          <w:p w14:paraId="057FDC55"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SOL1</w:t>
            </w:r>
          </w:p>
        </w:tc>
        <w:tc>
          <w:tcPr>
            <w:tcW w:w="2249" w:type="dxa"/>
            <w:tcBorders>
              <w:top w:val="nil"/>
              <w:left w:val="nil"/>
              <w:bottom w:val="nil"/>
              <w:right w:val="nil"/>
            </w:tcBorders>
            <w:hideMark/>
          </w:tcPr>
          <w:p w14:paraId="15346B45"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7.0</w:t>
            </w:r>
          </w:p>
        </w:tc>
        <w:tc>
          <w:tcPr>
            <w:tcW w:w="2256" w:type="dxa"/>
            <w:tcBorders>
              <w:top w:val="nil"/>
              <w:left w:val="nil"/>
              <w:bottom w:val="nil"/>
              <w:right w:val="nil"/>
            </w:tcBorders>
            <w:hideMark/>
          </w:tcPr>
          <w:p w14:paraId="1703E6FF"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14.0</w:t>
            </w:r>
          </w:p>
        </w:tc>
        <w:tc>
          <w:tcPr>
            <w:tcW w:w="2249" w:type="dxa"/>
            <w:tcBorders>
              <w:top w:val="nil"/>
              <w:left w:val="nil"/>
              <w:bottom w:val="nil"/>
              <w:right w:val="nil"/>
            </w:tcBorders>
            <w:hideMark/>
          </w:tcPr>
          <w:p w14:paraId="0BC18F92"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21.0</w:t>
            </w:r>
          </w:p>
        </w:tc>
      </w:tr>
      <w:tr w:rsidR="00B55EED" w:rsidRPr="005E3B44" w14:paraId="02BF4380" w14:textId="77777777" w:rsidTr="00B55EED">
        <w:trPr>
          <w:cantSplit/>
        </w:trPr>
        <w:tc>
          <w:tcPr>
            <w:tcW w:w="2272" w:type="dxa"/>
            <w:tcBorders>
              <w:top w:val="nil"/>
              <w:left w:val="nil"/>
              <w:bottom w:val="nil"/>
              <w:right w:val="nil"/>
            </w:tcBorders>
            <w:hideMark/>
          </w:tcPr>
          <w:p w14:paraId="6923BC6B"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SOL2</w:t>
            </w:r>
          </w:p>
        </w:tc>
        <w:tc>
          <w:tcPr>
            <w:tcW w:w="2249" w:type="dxa"/>
            <w:tcBorders>
              <w:top w:val="nil"/>
              <w:left w:val="nil"/>
              <w:bottom w:val="nil"/>
              <w:right w:val="nil"/>
            </w:tcBorders>
            <w:hideMark/>
          </w:tcPr>
          <w:p w14:paraId="1B004BA3"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56" w:type="dxa"/>
            <w:tcBorders>
              <w:top w:val="nil"/>
              <w:left w:val="nil"/>
              <w:bottom w:val="nil"/>
              <w:right w:val="nil"/>
            </w:tcBorders>
            <w:hideMark/>
          </w:tcPr>
          <w:p w14:paraId="75625BDE"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12.0</w:t>
            </w:r>
          </w:p>
        </w:tc>
        <w:tc>
          <w:tcPr>
            <w:tcW w:w="2249" w:type="dxa"/>
            <w:tcBorders>
              <w:top w:val="nil"/>
              <w:left w:val="nil"/>
              <w:bottom w:val="nil"/>
              <w:right w:val="nil"/>
            </w:tcBorders>
            <w:hideMark/>
          </w:tcPr>
          <w:p w14:paraId="596B4191"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13.0</w:t>
            </w:r>
          </w:p>
        </w:tc>
      </w:tr>
      <w:tr w:rsidR="00B55EED" w:rsidRPr="005E3B44" w14:paraId="1AC17231" w14:textId="77777777" w:rsidTr="00B55EED">
        <w:trPr>
          <w:cantSplit/>
        </w:trPr>
        <w:tc>
          <w:tcPr>
            <w:tcW w:w="2272" w:type="dxa"/>
            <w:tcBorders>
              <w:top w:val="nil"/>
              <w:left w:val="nil"/>
              <w:bottom w:val="nil"/>
              <w:right w:val="nil"/>
            </w:tcBorders>
            <w:hideMark/>
          </w:tcPr>
          <w:p w14:paraId="7E8D4795"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SOL3</w:t>
            </w:r>
          </w:p>
        </w:tc>
        <w:tc>
          <w:tcPr>
            <w:tcW w:w="2249" w:type="dxa"/>
            <w:tcBorders>
              <w:top w:val="nil"/>
              <w:left w:val="nil"/>
              <w:bottom w:val="nil"/>
              <w:right w:val="nil"/>
            </w:tcBorders>
            <w:hideMark/>
          </w:tcPr>
          <w:p w14:paraId="0D002748"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2.0</w:t>
            </w:r>
          </w:p>
        </w:tc>
        <w:tc>
          <w:tcPr>
            <w:tcW w:w="2256" w:type="dxa"/>
            <w:tcBorders>
              <w:top w:val="nil"/>
              <w:left w:val="nil"/>
              <w:bottom w:val="nil"/>
              <w:right w:val="nil"/>
            </w:tcBorders>
            <w:hideMark/>
          </w:tcPr>
          <w:p w14:paraId="59EF9AD8"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5.4</w:t>
            </w:r>
          </w:p>
        </w:tc>
        <w:tc>
          <w:tcPr>
            <w:tcW w:w="2249" w:type="dxa"/>
            <w:tcBorders>
              <w:top w:val="nil"/>
              <w:left w:val="nil"/>
              <w:bottom w:val="nil"/>
              <w:right w:val="nil"/>
            </w:tcBorders>
            <w:hideMark/>
          </w:tcPr>
          <w:p w14:paraId="58143851"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7.4</w:t>
            </w:r>
          </w:p>
        </w:tc>
      </w:tr>
      <w:tr w:rsidR="00B55EED" w:rsidRPr="005E3B44" w14:paraId="7F5EB6D7" w14:textId="77777777" w:rsidTr="00B55EED">
        <w:trPr>
          <w:cantSplit/>
        </w:trPr>
        <w:tc>
          <w:tcPr>
            <w:tcW w:w="2272" w:type="dxa"/>
            <w:tcBorders>
              <w:top w:val="nil"/>
              <w:left w:val="nil"/>
              <w:bottom w:val="nil"/>
              <w:right w:val="nil"/>
            </w:tcBorders>
            <w:hideMark/>
          </w:tcPr>
          <w:p w14:paraId="0A467175"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SOL4</w:t>
            </w:r>
          </w:p>
        </w:tc>
        <w:tc>
          <w:tcPr>
            <w:tcW w:w="2249" w:type="dxa"/>
            <w:tcBorders>
              <w:top w:val="nil"/>
              <w:left w:val="nil"/>
              <w:bottom w:val="nil"/>
              <w:right w:val="nil"/>
            </w:tcBorders>
            <w:hideMark/>
          </w:tcPr>
          <w:p w14:paraId="4B7B5D0F"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4.0</w:t>
            </w:r>
          </w:p>
        </w:tc>
        <w:tc>
          <w:tcPr>
            <w:tcW w:w="2256" w:type="dxa"/>
            <w:tcBorders>
              <w:top w:val="nil"/>
              <w:left w:val="nil"/>
              <w:bottom w:val="nil"/>
              <w:right w:val="nil"/>
            </w:tcBorders>
            <w:hideMark/>
          </w:tcPr>
          <w:p w14:paraId="56ADF432"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4.6</w:t>
            </w:r>
          </w:p>
        </w:tc>
        <w:tc>
          <w:tcPr>
            <w:tcW w:w="2249" w:type="dxa"/>
            <w:tcBorders>
              <w:top w:val="nil"/>
              <w:left w:val="nil"/>
              <w:bottom w:val="nil"/>
              <w:right w:val="nil"/>
            </w:tcBorders>
            <w:hideMark/>
          </w:tcPr>
          <w:p w14:paraId="6A7E03A5"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8.6</w:t>
            </w:r>
          </w:p>
        </w:tc>
      </w:tr>
      <w:tr w:rsidR="00B55EED" w:rsidRPr="005E3B44" w14:paraId="233DBE58" w14:textId="77777777" w:rsidTr="00B55EED">
        <w:trPr>
          <w:cantSplit/>
        </w:trPr>
        <w:tc>
          <w:tcPr>
            <w:tcW w:w="2272" w:type="dxa"/>
            <w:tcBorders>
              <w:top w:val="nil"/>
              <w:left w:val="nil"/>
              <w:bottom w:val="nil"/>
              <w:right w:val="nil"/>
            </w:tcBorders>
            <w:hideMark/>
          </w:tcPr>
          <w:p w14:paraId="6F995781"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SOL5</w:t>
            </w:r>
          </w:p>
        </w:tc>
        <w:tc>
          <w:tcPr>
            <w:tcW w:w="2249" w:type="dxa"/>
            <w:tcBorders>
              <w:top w:val="nil"/>
              <w:left w:val="nil"/>
              <w:bottom w:val="nil"/>
              <w:right w:val="nil"/>
            </w:tcBorders>
            <w:hideMark/>
          </w:tcPr>
          <w:p w14:paraId="68BEE46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2.0</w:t>
            </w:r>
          </w:p>
        </w:tc>
        <w:tc>
          <w:tcPr>
            <w:tcW w:w="2256" w:type="dxa"/>
            <w:tcBorders>
              <w:top w:val="nil"/>
              <w:left w:val="nil"/>
              <w:bottom w:val="nil"/>
              <w:right w:val="nil"/>
            </w:tcBorders>
            <w:hideMark/>
          </w:tcPr>
          <w:p w14:paraId="7E4C2218"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49" w:type="dxa"/>
            <w:tcBorders>
              <w:top w:val="nil"/>
              <w:left w:val="nil"/>
              <w:bottom w:val="nil"/>
              <w:right w:val="nil"/>
            </w:tcBorders>
            <w:hideMark/>
          </w:tcPr>
          <w:p w14:paraId="49C4F026"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3.0</w:t>
            </w:r>
          </w:p>
        </w:tc>
      </w:tr>
      <w:tr w:rsidR="00B55EED" w:rsidRPr="005E3B44" w14:paraId="70D74163" w14:textId="77777777" w:rsidTr="00B55EED">
        <w:trPr>
          <w:cantSplit/>
        </w:trPr>
        <w:tc>
          <w:tcPr>
            <w:tcW w:w="2272" w:type="dxa"/>
            <w:tcBorders>
              <w:top w:val="nil"/>
              <w:left w:val="nil"/>
              <w:bottom w:val="nil"/>
              <w:right w:val="nil"/>
            </w:tcBorders>
            <w:hideMark/>
          </w:tcPr>
          <w:p w14:paraId="12BBF5F6" w14:textId="77777777" w:rsidR="00B55EED" w:rsidRPr="005E3B44" w:rsidRDefault="00B55EED">
            <w:pPr>
              <w:pStyle w:val="Normal30"/>
              <w:spacing w:before="0" w:after="0"/>
              <w:ind w:left="227" w:hanging="227"/>
              <w:rPr>
                <w:rFonts w:asciiTheme="minorHAnsi" w:hAnsiTheme="minorHAnsi" w:cstheme="minorHAnsi"/>
                <w:bCs/>
                <w:sz w:val="20"/>
                <w:lang w:eastAsia="en-AU"/>
              </w:rPr>
            </w:pPr>
            <w:r w:rsidRPr="005E3B44">
              <w:rPr>
                <w:rFonts w:asciiTheme="minorHAnsi" w:hAnsiTheme="minorHAnsi" w:cstheme="minorHAnsi"/>
                <w:bCs/>
                <w:sz w:val="20"/>
                <w:lang w:eastAsia="en-AU"/>
              </w:rPr>
              <w:t>Executive</w:t>
            </w:r>
          </w:p>
        </w:tc>
        <w:tc>
          <w:tcPr>
            <w:tcW w:w="2249" w:type="dxa"/>
            <w:tcBorders>
              <w:top w:val="nil"/>
              <w:left w:val="nil"/>
              <w:bottom w:val="nil"/>
              <w:right w:val="nil"/>
            </w:tcBorders>
            <w:hideMark/>
          </w:tcPr>
          <w:p w14:paraId="4FD7967D"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c>
          <w:tcPr>
            <w:tcW w:w="2256" w:type="dxa"/>
            <w:tcBorders>
              <w:top w:val="nil"/>
              <w:left w:val="nil"/>
              <w:bottom w:val="nil"/>
              <w:right w:val="nil"/>
            </w:tcBorders>
            <w:hideMark/>
          </w:tcPr>
          <w:p w14:paraId="1CB5152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0.0</w:t>
            </w:r>
          </w:p>
        </w:tc>
        <w:tc>
          <w:tcPr>
            <w:tcW w:w="2249" w:type="dxa"/>
            <w:tcBorders>
              <w:top w:val="nil"/>
              <w:left w:val="nil"/>
              <w:bottom w:val="nil"/>
              <w:right w:val="nil"/>
            </w:tcBorders>
            <w:hideMark/>
          </w:tcPr>
          <w:p w14:paraId="69F82CB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w:t>
            </w:r>
          </w:p>
        </w:tc>
      </w:tr>
      <w:tr w:rsidR="00B55EED" w:rsidRPr="005E3B44" w14:paraId="4D8FB4F0" w14:textId="77777777" w:rsidTr="00B55EED">
        <w:trPr>
          <w:cantSplit/>
        </w:trPr>
        <w:tc>
          <w:tcPr>
            <w:tcW w:w="2272" w:type="dxa"/>
            <w:tcBorders>
              <w:top w:val="single" w:sz="4" w:space="0" w:color="auto"/>
              <w:left w:val="nil"/>
              <w:bottom w:val="single" w:sz="4" w:space="0" w:color="auto"/>
              <w:right w:val="nil"/>
            </w:tcBorders>
            <w:hideMark/>
          </w:tcPr>
          <w:p w14:paraId="0CF470EC" w14:textId="77777777" w:rsidR="00B55EED" w:rsidRPr="005E3B44" w:rsidRDefault="00B55EED">
            <w:pPr>
              <w:pStyle w:val="Normal30"/>
              <w:spacing w:before="0" w:after="0"/>
              <w:ind w:left="227" w:hanging="227"/>
              <w:rPr>
                <w:rFonts w:asciiTheme="minorHAnsi" w:hAnsiTheme="minorHAnsi" w:cstheme="minorHAnsi"/>
                <w:b/>
                <w:bCs/>
                <w:sz w:val="20"/>
                <w:lang w:eastAsia="en-AU"/>
              </w:rPr>
            </w:pPr>
            <w:r w:rsidRPr="005E3B44">
              <w:rPr>
                <w:rFonts w:asciiTheme="minorHAnsi" w:hAnsiTheme="minorHAnsi" w:cstheme="minorHAnsi"/>
                <w:b/>
                <w:bCs/>
                <w:sz w:val="20"/>
                <w:lang w:eastAsia="en-AU"/>
              </w:rPr>
              <w:t>Total</w:t>
            </w:r>
          </w:p>
        </w:tc>
        <w:tc>
          <w:tcPr>
            <w:tcW w:w="2249" w:type="dxa"/>
            <w:tcBorders>
              <w:top w:val="single" w:sz="4" w:space="0" w:color="auto"/>
              <w:left w:val="nil"/>
              <w:bottom w:val="single" w:sz="4" w:space="0" w:color="auto"/>
              <w:right w:val="nil"/>
            </w:tcBorders>
            <w:hideMark/>
          </w:tcPr>
          <w:p w14:paraId="189CCE4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29.2</w:t>
            </w:r>
          </w:p>
        </w:tc>
        <w:tc>
          <w:tcPr>
            <w:tcW w:w="2256" w:type="dxa"/>
            <w:tcBorders>
              <w:top w:val="single" w:sz="4" w:space="0" w:color="auto"/>
              <w:left w:val="nil"/>
              <w:bottom w:val="single" w:sz="4" w:space="0" w:color="auto"/>
              <w:right w:val="nil"/>
            </w:tcBorders>
            <w:hideMark/>
          </w:tcPr>
          <w:p w14:paraId="52A12FC9"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75.7</w:t>
            </w:r>
          </w:p>
        </w:tc>
        <w:tc>
          <w:tcPr>
            <w:tcW w:w="2249" w:type="dxa"/>
            <w:tcBorders>
              <w:top w:val="single" w:sz="4" w:space="0" w:color="auto"/>
              <w:left w:val="nil"/>
              <w:bottom w:val="single" w:sz="4" w:space="0" w:color="auto"/>
              <w:right w:val="nil"/>
            </w:tcBorders>
            <w:hideMark/>
          </w:tcPr>
          <w:p w14:paraId="0CB31740" w14:textId="77777777" w:rsidR="00B55EED" w:rsidRPr="005E3B44" w:rsidRDefault="00B55EED">
            <w:pPr>
              <w:pStyle w:val="Normal30"/>
              <w:spacing w:before="0" w:after="0"/>
              <w:ind w:left="31"/>
              <w:jc w:val="right"/>
              <w:rPr>
                <w:rFonts w:asciiTheme="minorHAnsi" w:hAnsiTheme="minorHAnsi" w:cstheme="minorHAnsi"/>
                <w:sz w:val="20"/>
                <w:lang w:eastAsia="en-AU"/>
              </w:rPr>
            </w:pPr>
            <w:r w:rsidRPr="005E3B44">
              <w:rPr>
                <w:rFonts w:asciiTheme="minorHAnsi" w:hAnsiTheme="minorHAnsi" w:cstheme="minorHAnsi"/>
                <w:sz w:val="20"/>
                <w:lang w:eastAsia="en-AU"/>
              </w:rPr>
              <w:t>104.9</w:t>
            </w:r>
          </w:p>
        </w:tc>
      </w:tr>
    </w:tbl>
    <w:p w14:paraId="1D1D27FE" w14:textId="77777777" w:rsidR="00B55EED" w:rsidRPr="005E3B44" w:rsidRDefault="00B55EED" w:rsidP="00B55EED">
      <w:pPr>
        <w:pStyle w:val="BSnote"/>
        <w:rPr>
          <w:rFonts w:asciiTheme="minorHAnsi" w:hAnsiTheme="minorHAnsi" w:cstheme="minorHAnsi"/>
        </w:rPr>
      </w:pPr>
      <w:r w:rsidRPr="005E3B44">
        <w:rPr>
          <w:rFonts w:asciiTheme="minorHAnsi" w:hAnsiTheme="minorHAnsi" w:cstheme="minorHAnsi"/>
        </w:rPr>
        <w:t>Note:</w:t>
      </w:r>
    </w:p>
    <w:p w14:paraId="0293F5B9" w14:textId="77777777" w:rsidR="00B55EED" w:rsidRPr="005E3B44" w:rsidRDefault="00B55EED" w:rsidP="00B55EED">
      <w:pPr>
        <w:pStyle w:val="BSnoteslist"/>
        <w:numPr>
          <w:ilvl w:val="0"/>
          <w:numId w:val="66"/>
        </w:numPr>
        <w:rPr>
          <w:rFonts w:asciiTheme="minorHAnsi" w:hAnsiTheme="minorHAnsi" w:cstheme="minorHAnsi"/>
        </w:rPr>
      </w:pPr>
      <w:r w:rsidRPr="005E3B44">
        <w:rPr>
          <w:rFonts w:asciiTheme="minorHAnsi" w:hAnsiTheme="minorHAnsi" w:cstheme="minorHAnsi"/>
        </w:rPr>
        <w:t xml:space="preserve">Figures in the table are the number of Full Time Equivalent (FTE) staff.   </w:t>
      </w:r>
    </w:p>
    <w:p w14:paraId="01466166" w14:textId="77777777" w:rsidR="00B55EED" w:rsidRPr="005E3B44" w:rsidRDefault="00B55EED" w:rsidP="00B55EED">
      <w:pPr>
        <w:pStyle w:val="Normal3"/>
        <w:rPr>
          <w:rFonts w:asciiTheme="minorHAnsi" w:hAnsiTheme="minorHAnsi" w:cstheme="minorHAnsi"/>
        </w:rPr>
      </w:pPr>
      <w:r w:rsidRPr="005E3B44">
        <w:rPr>
          <w:rFonts w:asciiTheme="minorHAnsi" w:hAnsiTheme="minorHAnsi" w:cstheme="minorHAnsi"/>
        </w:rPr>
        <w:t xml:space="preserve"> </w:t>
      </w:r>
    </w:p>
    <w:p w14:paraId="04133976" w14:textId="77777777" w:rsidR="00B55EED" w:rsidRPr="005E3B44" w:rsidRDefault="00B55EED" w:rsidP="00B55EED">
      <w:pPr>
        <w:pStyle w:val="NoSpacing"/>
        <w:pageBreakBefore/>
        <w:rPr>
          <w:rFonts w:asciiTheme="minorHAnsi" w:hAnsiTheme="minorHAnsi" w:cstheme="minorHAnsi"/>
          <w:b/>
          <w:sz w:val="32"/>
          <w:szCs w:val="32"/>
          <w:bdr w:val="none" w:sz="0" w:space="0" w:color="auto" w:frame="1"/>
        </w:rPr>
      </w:pPr>
      <w:r w:rsidRPr="005E3B44">
        <w:rPr>
          <w:rFonts w:asciiTheme="minorHAnsi" w:hAnsiTheme="minorHAnsi" w:cstheme="minorHAnsi"/>
          <w:b/>
          <w:sz w:val="32"/>
          <w:szCs w:val="32"/>
          <w:bdr w:val="none" w:sz="0" w:space="0" w:color="auto" w:frame="1"/>
        </w:rPr>
        <w:lastRenderedPageBreak/>
        <w:t xml:space="preserve">Strategic objectives and indicators </w:t>
      </w:r>
    </w:p>
    <w:p w14:paraId="70901F34" w14:textId="77777777" w:rsidR="00B55EED" w:rsidRPr="005E3B44" w:rsidRDefault="00B55EED" w:rsidP="00B55EED">
      <w:pPr>
        <w:pStyle w:val="Heading3"/>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 xml:space="preserve">Strategic objective 1 </w:t>
      </w:r>
    </w:p>
    <w:p w14:paraId="6409F592" w14:textId="77777777" w:rsidR="00B55EED" w:rsidRPr="005E3B44" w:rsidRDefault="00B55EED" w:rsidP="004C1875">
      <w:pPr>
        <w:pStyle w:val="Heading4"/>
        <w:rPr>
          <w:bdr w:val="none" w:sz="0" w:space="0" w:color="auto" w:frame="1"/>
        </w:rPr>
      </w:pPr>
      <w:r w:rsidRPr="005E3B44">
        <w:rPr>
          <w:bdr w:val="none" w:sz="0" w:space="0" w:color="auto" w:frame="1"/>
        </w:rPr>
        <w:t>Provide services to promote the earlier resolution of legal problems</w:t>
      </w:r>
    </w:p>
    <w:p w14:paraId="6D1ED2CE" w14:textId="77777777" w:rsidR="00B55EED" w:rsidRPr="005E3B44" w:rsidRDefault="00B55EED" w:rsidP="00B55EED">
      <w:pPr>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The Commission provides a range of legal services that promote the identification and early resolution of legal problems.  Evidence shows that the most vulnerable and disadvantaged in our community, such as victims of family violence, children, the elderly, Aboriginal and Torres Strait Islander people, and members of culturally and linguistically diverse communities would particularly benefit from early intervention services.</w:t>
      </w:r>
    </w:p>
    <w:p w14:paraId="528A10D6" w14:textId="77777777" w:rsidR="00B55EED" w:rsidRPr="005E3B44" w:rsidRDefault="00B55EED" w:rsidP="00B55EED">
      <w:pPr>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Providing these services so that more people have an opportunity to receive assistance before litigation is commenced is a key indicator of improvement in access to justice for those persons most at disadvantage in the community.  See Graph 1 for quantitative data.</w:t>
      </w:r>
    </w:p>
    <w:p w14:paraId="15B4C014" w14:textId="77777777" w:rsidR="00B55EED" w:rsidRPr="005E3B44" w:rsidRDefault="00B55EED" w:rsidP="00B55EED">
      <w:pPr>
        <w:pStyle w:val="Heading3"/>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 xml:space="preserve">Strategic objective 2 </w:t>
      </w:r>
    </w:p>
    <w:p w14:paraId="52398D0A" w14:textId="77777777" w:rsidR="00B55EED" w:rsidRPr="005E3B44" w:rsidRDefault="00B55EED" w:rsidP="004C1875">
      <w:pPr>
        <w:pStyle w:val="Heading4"/>
        <w:rPr>
          <w:bdr w:val="none" w:sz="0" w:space="0" w:color="auto" w:frame="1"/>
        </w:rPr>
      </w:pPr>
      <w:r w:rsidRPr="005E3B44">
        <w:rPr>
          <w:bdr w:val="none" w:sz="0" w:space="0" w:color="auto" w:frame="1"/>
        </w:rPr>
        <w:t>Provide legal information and referral services</w:t>
      </w:r>
    </w:p>
    <w:p w14:paraId="04E4A74E" w14:textId="77777777" w:rsidR="00B55EED" w:rsidRPr="005E3B44" w:rsidRDefault="00B55EED" w:rsidP="00B55EED">
      <w:pPr>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The Commission seeks to ensure that people are not prevented, by disadvantage, from obtaining the legal services they need to protect their rights and interests.  Enhancing the capacity of people to assist themselves when faced with legal problems improves the chances of resolution and appropriate referral to social support services.</w:t>
      </w:r>
    </w:p>
    <w:p w14:paraId="52F319AD" w14:textId="77777777" w:rsidR="00B55EED" w:rsidRPr="005E3B44" w:rsidRDefault="00B55EED" w:rsidP="00B55EED">
      <w:pPr>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Growth in the number of people receiving information and advice, and where appropriate referral for preventative and early intervention services, is a strong indicator that targeting this type of assistance is meeting the needs of the most disadvantaged members of the community. See Graph 2 for quantitative data.</w:t>
      </w:r>
    </w:p>
    <w:p w14:paraId="532CE07B" w14:textId="77777777" w:rsidR="00B55EED" w:rsidRPr="005E3B44" w:rsidRDefault="00B55EED" w:rsidP="00B55EED">
      <w:pPr>
        <w:pStyle w:val="Heading3"/>
        <w:rPr>
          <w:rFonts w:asciiTheme="minorHAnsi" w:hAnsiTheme="minorHAnsi" w:cstheme="minorHAnsi"/>
          <w:bdr w:val="none" w:sz="0" w:space="0" w:color="auto" w:frame="1"/>
        </w:rPr>
      </w:pPr>
    </w:p>
    <w:p w14:paraId="7BACB854" w14:textId="77777777" w:rsidR="00B55EED" w:rsidRPr="005E3B44" w:rsidRDefault="00B55EED" w:rsidP="00B55EED">
      <w:pPr>
        <w:pStyle w:val="Heading3"/>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Strategic objective 3</w:t>
      </w:r>
    </w:p>
    <w:p w14:paraId="2C287311" w14:textId="77777777" w:rsidR="00B55EED" w:rsidRPr="005E3B44" w:rsidRDefault="00B55EED" w:rsidP="00B55EED">
      <w:pPr>
        <w:rPr>
          <w:rFonts w:asciiTheme="minorHAnsi" w:hAnsiTheme="minorHAnsi" w:cstheme="minorHAnsi"/>
          <w:b/>
          <w:i/>
          <w:bdr w:val="none" w:sz="0" w:space="0" w:color="auto" w:frame="1"/>
        </w:rPr>
      </w:pPr>
      <w:r w:rsidRPr="005E3B44">
        <w:rPr>
          <w:rFonts w:asciiTheme="minorHAnsi" w:hAnsiTheme="minorHAnsi" w:cstheme="minorHAnsi"/>
          <w:b/>
          <w:i/>
          <w:bdr w:val="none" w:sz="0" w:space="0" w:color="auto" w:frame="1"/>
        </w:rPr>
        <w:t xml:space="preserve">Provide efficient and cost-effective legal aid services </w:t>
      </w:r>
    </w:p>
    <w:p w14:paraId="26D31317" w14:textId="77777777" w:rsidR="00B55EED" w:rsidRPr="005E3B44" w:rsidRDefault="00B55EED" w:rsidP="00B55EED">
      <w:pPr>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 xml:space="preserve">The Commission has well developed systems to determine applications for grants of legal assistance and to reduce the administrative costs of providing legal assistance. </w:t>
      </w:r>
    </w:p>
    <w:p w14:paraId="0A9030E0" w14:textId="77777777" w:rsidR="00B55EED" w:rsidRPr="005E3B44" w:rsidRDefault="00B55EED" w:rsidP="00B55EED">
      <w:pPr>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Increasing the number of people assisted by improving the efficiency and timeliness of service provision is an indicator that services are reaching those people most in need of legal aid services and that community understanding of the law and the legal system operating in the Territory is improving. See Graph 3 for quantitative data.</w:t>
      </w:r>
    </w:p>
    <w:p w14:paraId="58AFBAD8" w14:textId="77777777" w:rsidR="00B55EED" w:rsidRPr="005E3B44" w:rsidRDefault="00B55EED" w:rsidP="00B55EED">
      <w:pPr>
        <w:rPr>
          <w:rFonts w:asciiTheme="minorHAnsi" w:hAnsiTheme="minorHAnsi" w:cstheme="minorHAnsi"/>
          <w:bdr w:val="none" w:sz="0" w:space="0" w:color="auto" w:frame="1"/>
        </w:rPr>
      </w:pPr>
    </w:p>
    <w:p w14:paraId="689FD685" w14:textId="77777777" w:rsidR="00B55EED" w:rsidRPr="005E3B44" w:rsidRDefault="00B55EED" w:rsidP="00B55EED">
      <w:pPr>
        <w:rPr>
          <w:rFonts w:asciiTheme="minorHAnsi" w:hAnsiTheme="minorHAnsi" w:cstheme="minorHAnsi"/>
          <w:color w:val="FF0000"/>
          <w:bdr w:val="none" w:sz="0" w:space="0" w:color="auto" w:frame="1"/>
        </w:rPr>
      </w:pPr>
    </w:p>
    <w:p w14:paraId="56F5954A" w14:textId="77777777" w:rsidR="00B55EED" w:rsidRPr="005E3B44" w:rsidRDefault="00B55EED" w:rsidP="00B55EED">
      <w:pPr>
        <w:rPr>
          <w:rFonts w:asciiTheme="minorHAnsi" w:hAnsiTheme="minorHAnsi" w:cstheme="minorHAnsi"/>
          <w:color w:val="FF0000"/>
          <w:bdr w:val="none" w:sz="0" w:space="0" w:color="auto" w:frame="1"/>
        </w:rPr>
      </w:pPr>
    </w:p>
    <w:p w14:paraId="266D2415" w14:textId="77777777" w:rsidR="00B55EED" w:rsidRPr="005E3B44" w:rsidRDefault="00B55EED" w:rsidP="00B55EED">
      <w:pPr>
        <w:pStyle w:val="NoSpacing"/>
        <w:rPr>
          <w:rFonts w:asciiTheme="minorHAnsi" w:hAnsiTheme="minorHAnsi" w:cstheme="minorHAnsi"/>
          <w:b/>
          <w:sz w:val="32"/>
          <w:szCs w:val="32"/>
          <w:bdr w:val="none" w:sz="0" w:space="0" w:color="auto" w:frame="1"/>
        </w:rPr>
      </w:pPr>
      <w:r w:rsidRPr="005E3B44">
        <w:rPr>
          <w:rFonts w:asciiTheme="minorHAnsi" w:hAnsiTheme="minorHAnsi" w:cstheme="minorHAnsi"/>
          <w:b/>
          <w:sz w:val="32"/>
          <w:szCs w:val="32"/>
          <w:bdr w:val="none" w:sz="0" w:space="0" w:color="auto" w:frame="1"/>
        </w:rPr>
        <w:lastRenderedPageBreak/>
        <w:t>Strategic objectives and indicators Graphs</w:t>
      </w:r>
    </w:p>
    <w:p w14:paraId="440DF832" w14:textId="77777777" w:rsidR="00B55EED" w:rsidRPr="005E3B44" w:rsidRDefault="00B55EED" w:rsidP="00B55EED">
      <w:pPr>
        <w:pStyle w:val="NoSpacing"/>
        <w:rPr>
          <w:rFonts w:asciiTheme="minorHAnsi" w:hAnsiTheme="minorHAnsi" w:cstheme="minorHAnsi"/>
          <w:b/>
          <w:sz w:val="32"/>
          <w:szCs w:val="32"/>
          <w:bdr w:val="none" w:sz="0" w:space="0" w:color="auto" w:frame="1"/>
        </w:rPr>
      </w:pPr>
    </w:p>
    <w:p w14:paraId="66F76357" w14:textId="22D267E5" w:rsidR="00B55EED" w:rsidRPr="005E3B44" w:rsidRDefault="00B55EED" w:rsidP="00B55EED">
      <w:pPr>
        <w:pStyle w:val="NoSpacing"/>
        <w:rPr>
          <w:rFonts w:asciiTheme="minorHAnsi" w:hAnsiTheme="minorHAnsi" w:cstheme="minorHAnsi"/>
          <w:b/>
          <w:color w:val="FF0000"/>
          <w:sz w:val="22"/>
          <w:szCs w:val="22"/>
          <w:bdr w:val="none" w:sz="0" w:space="0" w:color="auto" w:frame="1"/>
        </w:rPr>
      </w:pPr>
      <w:r w:rsidRPr="005E3B44">
        <w:rPr>
          <w:rFonts w:asciiTheme="minorHAnsi" w:hAnsiTheme="minorHAnsi" w:cstheme="minorHAnsi"/>
          <w:noProof/>
          <w:lang w:eastAsia="en-AU"/>
        </w:rPr>
        <w:drawing>
          <wp:inline distT="0" distB="0" distL="0" distR="0" wp14:anchorId="3ADCC8A0" wp14:editId="1CD3E771">
            <wp:extent cx="4965700" cy="2489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5E3B44">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C60A3D8" wp14:editId="0A380988">
                <wp:simplePos x="0" y="0"/>
                <wp:positionH relativeFrom="column">
                  <wp:posOffset>0</wp:posOffset>
                </wp:positionH>
                <wp:positionV relativeFrom="paragraph">
                  <wp:posOffset>19050</wp:posOffset>
                </wp:positionV>
                <wp:extent cx="4924425" cy="2476500"/>
                <wp:effectExtent l="19050" t="19050" r="9525"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4425" cy="24765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AD15D14" id="Rectangle 4" o:spid="_x0000_s1026" style="position:absolute;margin-left:0;margin-top:1.5pt;width:387.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" filled="f" strokecolor="#243f60 [1604]" strokeweight="3pt">
                <v:path arrowok="t"/>
              </v:rect>
            </w:pict>
          </mc:Fallback>
        </mc:AlternateContent>
      </w:r>
    </w:p>
    <w:p w14:paraId="3BAADDE4" w14:textId="77777777" w:rsidR="00B55EED" w:rsidRPr="005E3B44" w:rsidRDefault="00B55EED" w:rsidP="00B55EED">
      <w:pPr>
        <w:pStyle w:val="NoSpacing"/>
        <w:rPr>
          <w:rFonts w:asciiTheme="minorHAnsi" w:hAnsiTheme="minorHAnsi" w:cstheme="minorHAnsi"/>
          <w:b/>
          <w:color w:val="FF0000"/>
          <w:sz w:val="22"/>
          <w:szCs w:val="22"/>
          <w:bdr w:val="none" w:sz="0" w:space="0" w:color="auto" w:frame="1"/>
        </w:rPr>
      </w:pPr>
    </w:p>
    <w:p w14:paraId="250F5324" w14:textId="77777777" w:rsidR="00B55EED" w:rsidRPr="005E3B44" w:rsidRDefault="00B55EED" w:rsidP="00B55EED">
      <w:pPr>
        <w:pStyle w:val="NoSpacing"/>
        <w:rPr>
          <w:rFonts w:asciiTheme="minorHAnsi" w:hAnsiTheme="minorHAnsi" w:cstheme="minorHAnsi"/>
          <w:b/>
          <w:color w:val="FF0000"/>
          <w:sz w:val="22"/>
          <w:szCs w:val="22"/>
          <w:bdr w:val="none" w:sz="0" w:space="0" w:color="auto" w:frame="1"/>
        </w:rPr>
      </w:pPr>
      <w:r w:rsidRPr="005E3B44">
        <w:rPr>
          <w:rFonts w:asciiTheme="minorHAnsi" w:hAnsiTheme="minorHAnsi" w:cstheme="minorHAnsi"/>
          <w:noProof/>
          <w:color w:val="FF0000"/>
          <w:lang w:eastAsia="en-AU"/>
        </w:rPr>
        <w:t xml:space="preserve"> </w:t>
      </w:r>
    </w:p>
    <w:p w14:paraId="57F5415A" w14:textId="496346FD" w:rsidR="00B55EED" w:rsidRPr="005E3B44" w:rsidRDefault="00B55EED" w:rsidP="00B55EED">
      <w:pPr>
        <w:pStyle w:val="NoSpacing"/>
        <w:rPr>
          <w:rFonts w:asciiTheme="minorHAnsi" w:hAnsiTheme="minorHAnsi" w:cstheme="minorHAnsi"/>
          <w:b/>
          <w:color w:val="FF0000"/>
          <w:sz w:val="22"/>
          <w:szCs w:val="22"/>
          <w:bdr w:val="none" w:sz="0" w:space="0" w:color="auto" w:frame="1"/>
        </w:rPr>
      </w:pPr>
      <w:r w:rsidRPr="005E3B44">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27A4EF1" wp14:editId="383AF8B0">
                <wp:simplePos x="0" y="0"/>
                <wp:positionH relativeFrom="column">
                  <wp:posOffset>28575</wp:posOffset>
                </wp:positionH>
                <wp:positionV relativeFrom="paragraph">
                  <wp:posOffset>27305</wp:posOffset>
                </wp:positionV>
                <wp:extent cx="4924425" cy="2476500"/>
                <wp:effectExtent l="19050" t="19050" r="9525"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4425" cy="24765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8604698" id="Rectangle 4" o:spid="_x0000_s1026" style="position:absolute;margin-left:2.25pt;margin-top:2.15pt;width:387.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" filled="f" strokecolor="#243f60 [1604]" strokeweight="3pt">
                <v:path arrowok="t"/>
              </v:rect>
            </w:pict>
          </mc:Fallback>
        </mc:AlternateContent>
      </w:r>
      <w:r w:rsidRPr="005E3B44">
        <w:rPr>
          <w:rFonts w:asciiTheme="minorHAnsi" w:hAnsiTheme="minorHAnsi" w:cstheme="minorHAnsi"/>
          <w:noProof/>
          <w:lang w:eastAsia="en-AU"/>
        </w:rPr>
        <w:drawing>
          <wp:inline distT="0" distB="0" distL="0" distR="0" wp14:anchorId="430967A9" wp14:editId="5F94E5F1">
            <wp:extent cx="4965700" cy="24955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6D8F927" w14:textId="77777777" w:rsidR="00B55EED" w:rsidRPr="005E3B44" w:rsidRDefault="00B55EED" w:rsidP="00B55EED">
      <w:pPr>
        <w:pStyle w:val="NoSpacing"/>
        <w:rPr>
          <w:rFonts w:asciiTheme="minorHAnsi" w:hAnsiTheme="minorHAnsi" w:cstheme="minorHAnsi"/>
          <w:b/>
          <w:color w:val="FF0000"/>
          <w:sz w:val="22"/>
          <w:szCs w:val="22"/>
          <w:bdr w:val="none" w:sz="0" w:space="0" w:color="auto" w:frame="1"/>
        </w:rPr>
      </w:pPr>
    </w:p>
    <w:p w14:paraId="7CDB36BD" w14:textId="77777777" w:rsidR="00B55EED" w:rsidRPr="005E3B44" w:rsidRDefault="00B55EED" w:rsidP="00B55EED">
      <w:pPr>
        <w:pStyle w:val="NoSpacing"/>
        <w:rPr>
          <w:rFonts w:asciiTheme="minorHAnsi" w:hAnsiTheme="minorHAnsi" w:cstheme="minorHAnsi"/>
          <w:b/>
          <w:color w:val="FF0000"/>
          <w:sz w:val="22"/>
          <w:szCs w:val="22"/>
          <w:bdr w:val="none" w:sz="0" w:space="0" w:color="auto" w:frame="1"/>
        </w:rPr>
      </w:pPr>
    </w:p>
    <w:p w14:paraId="00CFEE52" w14:textId="6A7B5A6D" w:rsidR="00B55EED" w:rsidRPr="005E3B44" w:rsidRDefault="00B55EED" w:rsidP="00B55EED">
      <w:pPr>
        <w:pStyle w:val="NoSpacing"/>
        <w:rPr>
          <w:rFonts w:asciiTheme="minorHAnsi" w:hAnsiTheme="minorHAnsi" w:cstheme="minorHAnsi"/>
          <w:b/>
          <w:color w:val="FF0000"/>
          <w:sz w:val="22"/>
          <w:szCs w:val="22"/>
          <w:bdr w:val="none" w:sz="0" w:space="0" w:color="auto" w:frame="1"/>
        </w:rPr>
      </w:pPr>
      <w:r w:rsidRPr="005E3B44">
        <w:rPr>
          <w:rFonts w:asciiTheme="minorHAnsi" w:hAnsiTheme="minorHAnsi" w:cstheme="minorHAnsi"/>
          <w:noProof/>
          <w:lang w:eastAsia="en-AU"/>
        </w:rPr>
        <w:drawing>
          <wp:inline distT="0" distB="0" distL="0" distR="0" wp14:anchorId="5ADA8773" wp14:editId="13144721">
            <wp:extent cx="4927600" cy="24701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5E3B44">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933333D" wp14:editId="5E25C820">
                <wp:simplePos x="0" y="0"/>
                <wp:positionH relativeFrom="column">
                  <wp:posOffset>0</wp:posOffset>
                </wp:positionH>
                <wp:positionV relativeFrom="paragraph">
                  <wp:posOffset>18415</wp:posOffset>
                </wp:positionV>
                <wp:extent cx="4924425" cy="2476500"/>
                <wp:effectExtent l="19050" t="19050" r="952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4425" cy="24765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20031D" id="Rectangle 4" o:spid="_x0000_s1026" style="position:absolute;margin-left:0;margin-top:1.45pt;width:387.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" filled="f" strokecolor="#243f60 [1604]" strokeweight="3pt">
                <v:path arrowok="t"/>
              </v:rect>
            </w:pict>
          </mc:Fallback>
        </mc:AlternateContent>
      </w:r>
    </w:p>
    <w:p w14:paraId="43F6646E" w14:textId="77777777" w:rsidR="00B55EED" w:rsidRPr="005E3B44" w:rsidRDefault="00B55EED" w:rsidP="00B55EED">
      <w:pPr>
        <w:pStyle w:val="NoSpacing"/>
        <w:rPr>
          <w:rFonts w:asciiTheme="minorHAnsi" w:hAnsiTheme="minorHAnsi" w:cstheme="minorHAnsi"/>
          <w:b/>
          <w:color w:val="FF0000"/>
          <w:sz w:val="22"/>
          <w:szCs w:val="22"/>
          <w:bdr w:val="none" w:sz="0" w:space="0" w:color="auto" w:frame="1"/>
        </w:rPr>
      </w:pPr>
    </w:p>
    <w:p w14:paraId="5E77A2FB" w14:textId="25270FFA" w:rsidR="00B55EED" w:rsidRPr="00627F78" w:rsidRDefault="00B55EED" w:rsidP="00B55EED">
      <w:pPr>
        <w:rPr>
          <w:rFonts w:asciiTheme="minorHAnsi" w:hAnsiTheme="minorHAnsi" w:cstheme="minorHAnsi"/>
          <w:b/>
          <w:bCs/>
          <w:sz w:val="28"/>
          <w:szCs w:val="28"/>
        </w:rPr>
      </w:pPr>
      <w:r w:rsidRPr="00627F78">
        <w:rPr>
          <w:rFonts w:asciiTheme="minorHAnsi" w:hAnsiTheme="minorHAnsi" w:cstheme="minorHAnsi"/>
          <w:b/>
          <w:bCs/>
          <w:sz w:val="28"/>
          <w:szCs w:val="28"/>
        </w:rPr>
        <w:lastRenderedPageBreak/>
        <w:t>Output Classes</w:t>
      </w:r>
    </w:p>
    <w:p w14:paraId="2EB46661" w14:textId="77777777" w:rsidR="00B55EED" w:rsidRPr="005E3B44" w:rsidRDefault="00B55EED" w:rsidP="00B55EED">
      <w:pPr>
        <w:pStyle w:val="Heading30"/>
        <w:rPr>
          <w:rFonts w:asciiTheme="minorHAnsi" w:hAnsiTheme="minorHAnsi" w:cstheme="minorHAnsi"/>
        </w:rPr>
      </w:pPr>
      <w:r w:rsidRPr="005E3B44">
        <w:rPr>
          <w:rFonts w:asciiTheme="minorHAnsi" w:hAnsiTheme="minorHAnsi" w:cstheme="minorHAnsi"/>
        </w:rPr>
        <w:t>Output Class 1: Legal Aid Services</w:t>
      </w:r>
    </w:p>
    <w:p w14:paraId="59C85FFE" w14:textId="77777777" w:rsidR="00B55EED" w:rsidRPr="005E3B44" w:rsidRDefault="00B55EED" w:rsidP="00B55EED">
      <w:pPr>
        <w:pStyle w:val="Caption0"/>
        <w:rPr>
          <w:rFonts w:asciiTheme="minorHAnsi" w:hAnsiTheme="minorHAnsi" w:cstheme="minorHAnsi"/>
          <w:color w:val="auto"/>
        </w:rPr>
      </w:pPr>
      <w:r w:rsidRPr="005E3B44">
        <w:rPr>
          <w:rFonts w:asciiTheme="minorHAnsi" w:hAnsiTheme="minorHAnsi" w:cstheme="minorHAnsi"/>
          <w:color w:val="auto"/>
        </w:rPr>
        <w:t>Table 3: Output Class 1: Legal Aid Services</w:t>
      </w:r>
    </w:p>
    <w:tbl>
      <w:tblPr>
        <w:tblW w:w="9060" w:type="dxa"/>
        <w:tblLayout w:type="fixed"/>
        <w:tblLook w:val="0600" w:firstRow="0" w:lastRow="0" w:firstColumn="0" w:lastColumn="0" w:noHBand="1" w:noVBand="1"/>
      </w:tblPr>
      <w:tblGrid>
        <w:gridCol w:w="4695"/>
        <w:gridCol w:w="540"/>
        <w:gridCol w:w="2175"/>
        <w:gridCol w:w="1650"/>
      </w:tblGrid>
      <w:tr w:rsidR="00B55EED" w:rsidRPr="005E3B44" w14:paraId="11C227BF" w14:textId="77777777" w:rsidTr="00B55EED">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77177B6C" w14:textId="77777777" w:rsidR="00B55EED" w:rsidRPr="005E3B44" w:rsidRDefault="00B55EED">
            <w:pPr>
              <w:pStyle w:val="Normal4"/>
              <w:rPr>
                <w:rFonts w:asciiTheme="minorHAnsi" w:eastAsia="Calibri" w:hAnsiTheme="minorHAnsi" w:cstheme="minorHAnsi"/>
                <w:sz w:val="18"/>
              </w:rPr>
            </w:pPr>
          </w:p>
        </w:tc>
        <w:tc>
          <w:tcPr>
            <w:tcW w:w="540" w:type="dxa"/>
            <w:tcBorders>
              <w:top w:val="single" w:sz="4" w:space="0" w:color="000000"/>
              <w:left w:val="nil"/>
              <w:bottom w:val="nil"/>
              <w:right w:val="nil"/>
            </w:tcBorders>
            <w:noWrap/>
            <w:tcMar>
              <w:top w:w="0" w:type="dxa"/>
              <w:left w:w="40" w:type="dxa"/>
              <w:bottom w:w="0" w:type="dxa"/>
              <w:right w:w="40" w:type="dxa"/>
            </w:tcMar>
          </w:tcPr>
          <w:p w14:paraId="5AE6CA81" w14:textId="77777777" w:rsidR="00B55EED" w:rsidRPr="005E3B44" w:rsidRDefault="00B55EED">
            <w:pPr>
              <w:pStyle w:val="Normal4"/>
              <w:rPr>
                <w:rFonts w:asciiTheme="minorHAnsi" w:eastAsia="Calibri" w:hAnsiTheme="minorHAnsi" w:cstheme="minorHAnsi"/>
                <w:sz w:val="18"/>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62F3A2D5" w14:textId="77777777" w:rsidR="00B55EED" w:rsidRPr="005E3B44" w:rsidRDefault="00B55EED">
            <w:pPr>
              <w:pStyle w:val="Normal4"/>
              <w:jc w:val="right"/>
              <w:rPr>
                <w:rFonts w:asciiTheme="minorHAnsi" w:eastAsia="Calibri" w:hAnsiTheme="minorHAnsi" w:cstheme="minorHAnsi"/>
                <w:b/>
                <w:sz w:val="18"/>
              </w:rPr>
            </w:pPr>
            <w:r w:rsidRPr="005E3B44">
              <w:rPr>
                <w:rFonts w:asciiTheme="minorHAnsi" w:eastAsia="Calibri" w:hAnsiTheme="minorHAnsi" w:cstheme="minorHAnsi"/>
                <w:b/>
                <w:sz w:val="18"/>
              </w:rPr>
              <w:t>2020-21</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37BABBC4" w14:textId="77777777" w:rsidR="00B55EED" w:rsidRPr="005E3B44" w:rsidRDefault="00B55EED">
            <w:pPr>
              <w:pStyle w:val="Normal4"/>
              <w:jc w:val="right"/>
              <w:rPr>
                <w:rFonts w:asciiTheme="minorHAnsi" w:eastAsia="Calibri" w:hAnsiTheme="minorHAnsi" w:cstheme="minorHAnsi"/>
                <w:b/>
                <w:sz w:val="18"/>
              </w:rPr>
            </w:pPr>
            <w:r w:rsidRPr="005E3B44">
              <w:rPr>
                <w:rFonts w:asciiTheme="minorHAnsi" w:eastAsia="Calibri" w:hAnsiTheme="minorHAnsi" w:cstheme="minorHAnsi"/>
                <w:b/>
                <w:sz w:val="18"/>
              </w:rPr>
              <w:t>2021-22</w:t>
            </w:r>
          </w:p>
        </w:tc>
      </w:tr>
      <w:tr w:rsidR="00B55EED" w:rsidRPr="005E3B44" w14:paraId="44640F90" w14:textId="77777777" w:rsidTr="00B55EED">
        <w:trPr>
          <w:trHeight w:hRule="exact" w:val="240"/>
        </w:trPr>
        <w:tc>
          <w:tcPr>
            <w:tcW w:w="4695" w:type="dxa"/>
            <w:noWrap/>
            <w:tcMar>
              <w:top w:w="0" w:type="dxa"/>
              <w:left w:w="40" w:type="dxa"/>
              <w:bottom w:w="0" w:type="dxa"/>
              <w:right w:w="40" w:type="dxa"/>
            </w:tcMar>
          </w:tcPr>
          <w:p w14:paraId="607B802F" w14:textId="77777777" w:rsidR="00B55EED" w:rsidRPr="005E3B44" w:rsidRDefault="00B55EED">
            <w:pPr>
              <w:pStyle w:val="Normal4"/>
              <w:rPr>
                <w:rFonts w:asciiTheme="minorHAnsi" w:eastAsia="Calibri" w:hAnsiTheme="minorHAnsi" w:cstheme="minorHAnsi"/>
                <w:sz w:val="18"/>
              </w:rPr>
            </w:pPr>
          </w:p>
        </w:tc>
        <w:tc>
          <w:tcPr>
            <w:tcW w:w="540" w:type="dxa"/>
            <w:noWrap/>
            <w:tcMar>
              <w:top w:w="0" w:type="dxa"/>
              <w:left w:w="40" w:type="dxa"/>
              <w:bottom w:w="0" w:type="dxa"/>
              <w:right w:w="40" w:type="dxa"/>
            </w:tcMar>
          </w:tcPr>
          <w:p w14:paraId="7CF174F2" w14:textId="77777777" w:rsidR="00B55EED" w:rsidRPr="005E3B44" w:rsidRDefault="00B55EED">
            <w:pPr>
              <w:pStyle w:val="Normal4"/>
              <w:rPr>
                <w:rFonts w:asciiTheme="minorHAnsi" w:eastAsia="Calibri" w:hAnsiTheme="minorHAnsi" w:cstheme="minorHAnsi"/>
                <w:sz w:val="18"/>
              </w:rPr>
            </w:pPr>
          </w:p>
        </w:tc>
        <w:tc>
          <w:tcPr>
            <w:tcW w:w="2175" w:type="dxa"/>
            <w:noWrap/>
            <w:tcMar>
              <w:top w:w="0" w:type="dxa"/>
              <w:left w:w="40" w:type="dxa"/>
              <w:bottom w:w="0" w:type="dxa"/>
              <w:right w:w="40" w:type="dxa"/>
            </w:tcMar>
            <w:hideMark/>
          </w:tcPr>
          <w:p w14:paraId="56205B01" w14:textId="77777777" w:rsidR="00B55EED" w:rsidRPr="005E3B44" w:rsidRDefault="00B55EED">
            <w:pPr>
              <w:pStyle w:val="Normal4"/>
              <w:jc w:val="right"/>
              <w:rPr>
                <w:rFonts w:asciiTheme="minorHAnsi" w:eastAsia="Calibri" w:hAnsiTheme="minorHAnsi" w:cstheme="minorHAnsi"/>
                <w:b/>
                <w:sz w:val="18"/>
              </w:rPr>
            </w:pPr>
            <w:r w:rsidRPr="005E3B44">
              <w:rPr>
                <w:rFonts w:asciiTheme="minorHAnsi" w:eastAsia="Calibri" w:hAnsiTheme="minorHAnsi" w:cstheme="minorHAnsi"/>
                <w:b/>
                <w:sz w:val="18"/>
              </w:rPr>
              <w:t>Interim Outcome</w:t>
            </w:r>
          </w:p>
        </w:tc>
        <w:tc>
          <w:tcPr>
            <w:tcW w:w="1650" w:type="dxa"/>
            <w:noWrap/>
            <w:tcMar>
              <w:top w:w="0" w:type="dxa"/>
              <w:left w:w="40" w:type="dxa"/>
              <w:bottom w:w="0" w:type="dxa"/>
              <w:right w:w="40" w:type="dxa"/>
            </w:tcMar>
            <w:hideMark/>
          </w:tcPr>
          <w:p w14:paraId="32500F34" w14:textId="77777777" w:rsidR="00B55EED" w:rsidRPr="005E3B44" w:rsidRDefault="00B55EED">
            <w:pPr>
              <w:pStyle w:val="Normal4"/>
              <w:jc w:val="right"/>
              <w:rPr>
                <w:rFonts w:asciiTheme="minorHAnsi" w:eastAsia="Calibri" w:hAnsiTheme="minorHAnsi" w:cstheme="minorHAnsi"/>
                <w:b/>
                <w:sz w:val="18"/>
              </w:rPr>
            </w:pPr>
            <w:r w:rsidRPr="005E3B44">
              <w:rPr>
                <w:rFonts w:asciiTheme="minorHAnsi" w:eastAsia="Calibri" w:hAnsiTheme="minorHAnsi" w:cstheme="minorHAnsi"/>
                <w:b/>
                <w:sz w:val="18"/>
              </w:rPr>
              <w:t>Budget</w:t>
            </w:r>
          </w:p>
        </w:tc>
      </w:tr>
      <w:tr w:rsidR="00B55EED" w:rsidRPr="005E3B44" w14:paraId="7802C452" w14:textId="77777777" w:rsidTr="00B55EED">
        <w:trPr>
          <w:trHeight w:hRule="exact" w:val="551"/>
        </w:trPr>
        <w:tc>
          <w:tcPr>
            <w:tcW w:w="4695" w:type="dxa"/>
            <w:tcBorders>
              <w:top w:val="nil"/>
              <w:left w:val="nil"/>
              <w:bottom w:val="single" w:sz="4" w:space="0" w:color="000000"/>
              <w:right w:val="nil"/>
            </w:tcBorders>
            <w:noWrap/>
            <w:tcMar>
              <w:top w:w="0" w:type="dxa"/>
              <w:left w:w="40" w:type="dxa"/>
              <w:bottom w:w="0" w:type="dxa"/>
              <w:right w:w="40" w:type="dxa"/>
            </w:tcMar>
          </w:tcPr>
          <w:p w14:paraId="4DB5E0B4" w14:textId="77777777" w:rsidR="00B55EED" w:rsidRPr="005E3B44" w:rsidRDefault="00B55EED">
            <w:pPr>
              <w:pStyle w:val="Normal4"/>
              <w:rPr>
                <w:rFonts w:asciiTheme="minorHAnsi" w:eastAsia="Calibri" w:hAnsiTheme="minorHAnsi" w:cstheme="minorHAnsi"/>
                <w:sz w:val="18"/>
              </w:rPr>
            </w:pPr>
          </w:p>
        </w:tc>
        <w:tc>
          <w:tcPr>
            <w:tcW w:w="540" w:type="dxa"/>
            <w:tcBorders>
              <w:top w:val="nil"/>
              <w:left w:val="nil"/>
              <w:bottom w:val="single" w:sz="4" w:space="0" w:color="000000"/>
              <w:right w:val="nil"/>
            </w:tcBorders>
            <w:noWrap/>
            <w:tcMar>
              <w:top w:w="0" w:type="dxa"/>
              <w:left w:w="40" w:type="dxa"/>
              <w:bottom w:w="0" w:type="dxa"/>
              <w:right w:w="40" w:type="dxa"/>
            </w:tcMar>
          </w:tcPr>
          <w:p w14:paraId="557A279D" w14:textId="77777777" w:rsidR="00B55EED" w:rsidRPr="005E3B44" w:rsidRDefault="00B55EED">
            <w:pPr>
              <w:pStyle w:val="Normal4"/>
              <w:rPr>
                <w:rFonts w:asciiTheme="minorHAnsi" w:eastAsia="Calibri" w:hAnsiTheme="minorHAnsi" w:cstheme="minorHAnsi"/>
                <w:sz w:val="18"/>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4A4EA427" w14:textId="77777777" w:rsidR="00B55EED" w:rsidRPr="005E3B44" w:rsidRDefault="00B55EED">
            <w:pPr>
              <w:pStyle w:val="Normal4"/>
              <w:jc w:val="right"/>
              <w:rPr>
                <w:rFonts w:asciiTheme="minorHAnsi" w:eastAsia="Calibri" w:hAnsiTheme="minorHAnsi" w:cstheme="minorHAnsi"/>
                <w:b/>
                <w:sz w:val="18"/>
              </w:rPr>
            </w:pPr>
            <w:r w:rsidRPr="005E3B44">
              <w:rPr>
                <w:rFonts w:asciiTheme="minorHAnsi" w:eastAsia="Calibri" w:hAnsiTheme="minorHAnsi" w:cstheme="minorHAnsi"/>
                <w:b/>
                <w:sz w:val="18"/>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45FC3825" w14:textId="77777777" w:rsidR="00B55EED" w:rsidRPr="005E3B44" w:rsidRDefault="00B55EED">
            <w:pPr>
              <w:pStyle w:val="Normal4"/>
              <w:jc w:val="right"/>
              <w:rPr>
                <w:rFonts w:asciiTheme="minorHAnsi" w:eastAsia="Calibri" w:hAnsiTheme="minorHAnsi" w:cstheme="minorHAnsi"/>
                <w:b/>
                <w:sz w:val="18"/>
              </w:rPr>
            </w:pPr>
            <w:r w:rsidRPr="005E3B44">
              <w:rPr>
                <w:rFonts w:asciiTheme="minorHAnsi" w:eastAsia="Calibri" w:hAnsiTheme="minorHAnsi" w:cstheme="minorHAnsi"/>
                <w:b/>
                <w:sz w:val="18"/>
              </w:rPr>
              <w:t>$'000</w:t>
            </w:r>
          </w:p>
        </w:tc>
      </w:tr>
      <w:tr w:rsidR="00B55EED" w:rsidRPr="005E3B44" w14:paraId="7F62A1DD" w14:textId="77777777" w:rsidTr="00B55EED">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1D3278AD" w14:textId="77777777" w:rsidR="00B55EED" w:rsidRPr="005E3B44" w:rsidRDefault="00B55EED">
            <w:pPr>
              <w:pStyle w:val="Normal4"/>
              <w:rPr>
                <w:rFonts w:asciiTheme="minorHAnsi" w:eastAsia="Calibri" w:hAnsiTheme="minorHAnsi" w:cstheme="minorHAnsi"/>
                <w:b/>
                <w:sz w:val="18"/>
              </w:rPr>
            </w:pPr>
            <w:r w:rsidRPr="005E3B44">
              <w:rPr>
                <w:rFonts w:asciiTheme="minorHAnsi" w:eastAsia="Calibri" w:hAnsiTheme="minorHAnsi" w:cstheme="minorHAnsi"/>
                <w:b/>
                <w:sz w:val="18"/>
              </w:rPr>
              <w:t>Total Cost</w:t>
            </w:r>
          </w:p>
        </w:tc>
        <w:tc>
          <w:tcPr>
            <w:tcW w:w="540" w:type="dxa"/>
            <w:tcBorders>
              <w:top w:val="single" w:sz="4" w:space="0" w:color="000000"/>
              <w:left w:val="nil"/>
              <w:bottom w:val="nil"/>
              <w:right w:val="nil"/>
            </w:tcBorders>
            <w:noWrap/>
            <w:tcMar>
              <w:top w:w="0" w:type="dxa"/>
              <w:left w:w="40" w:type="dxa"/>
              <w:bottom w:w="0" w:type="dxa"/>
              <w:right w:w="40" w:type="dxa"/>
            </w:tcMar>
          </w:tcPr>
          <w:p w14:paraId="344C3421" w14:textId="77777777" w:rsidR="00B55EED" w:rsidRPr="005E3B44" w:rsidRDefault="00B55EED">
            <w:pPr>
              <w:pStyle w:val="Normal4"/>
              <w:rPr>
                <w:rFonts w:asciiTheme="minorHAnsi" w:eastAsia="Calibri" w:hAnsiTheme="minorHAnsi" w:cstheme="minorHAnsi"/>
                <w:b/>
                <w:sz w:val="18"/>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6A78A110" w14:textId="77777777" w:rsidR="00B55EED" w:rsidRPr="005E3B44" w:rsidRDefault="00B55EED">
            <w:pPr>
              <w:pStyle w:val="Normal4"/>
              <w:jc w:val="right"/>
              <w:rPr>
                <w:rFonts w:asciiTheme="minorHAnsi" w:eastAsia="Calibri" w:hAnsiTheme="minorHAnsi" w:cstheme="minorHAnsi"/>
                <w:sz w:val="18"/>
              </w:rPr>
            </w:pPr>
            <w:r w:rsidRPr="005E3B44">
              <w:rPr>
                <w:rFonts w:asciiTheme="minorHAnsi" w:eastAsia="Calibri" w:hAnsiTheme="minorHAnsi" w:cstheme="minorHAnsi"/>
                <w:sz w:val="18"/>
              </w:rPr>
              <w:t>16,965</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30C7E32A" w14:textId="77777777" w:rsidR="00B55EED" w:rsidRPr="005E3B44" w:rsidRDefault="00B55EED">
            <w:pPr>
              <w:pStyle w:val="Normal4"/>
              <w:jc w:val="right"/>
              <w:rPr>
                <w:rFonts w:asciiTheme="minorHAnsi" w:eastAsia="Calibri" w:hAnsiTheme="minorHAnsi" w:cstheme="minorHAnsi"/>
                <w:sz w:val="18"/>
              </w:rPr>
            </w:pPr>
            <w:r w:rsidRPr="005E3B44">
              <w:rPr>
                <w:rFonts w:asciiTheme="minorHAnsi" w:eastAsia="Calibri" w:hAnsiTheme="minorHAnsi" w:cstheme="minorHAnsi"/>
                <w:sz w:val="18"/>
              </w:rPr>
              <w:t>19,751</w:t>
            </w:r>
          </w:p>
        </w:tc>
      </w:tr>
      <w:tr w:rsidR="00B55EED" w:rsidRPr="005E3B44" w14:paraId="72554425" w14:textId="77777777" w:rsidTr="00B55EED">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05E892CD" w14:textId="77777777" w:rsidR="00B55EED" w:rsidRPr="005E3B44" w:rsidRDefault="00B55EED">
            <w:pPr>
              <w:pStyle w:val="Normal4"/>
              <w:rPr>
                <w:rFonts w:asciiTheme="minorHAnsi" w:eastAsia="Calibri" w:hAnsiTheme="minorHAnsi" w:cstheme="minorHAnsi"/>
                <w:b/>
                <w:sz w:val="18"/>
              </w:rPr>
            </w:pPr>
            <w:r w:rsidRPr="005E3B44">
              <w:rPr>
                <w:rFonts w:asciiTheme="minorHAnsi" w:eastAsia="Calibri" w:hAnsiTheme="minorHAnsi" w:cstheme="minorHAnsi"/>
                <w:b/>
                <w:sz w:val="18"/>
              </w:rPr>
              <w:t>Controlled Recurrent Payments</w:t>
            </w:r>
          </w:p>
        </w:tc>
        <w:tc>
          <w:tcPr>
            <w:tcW w:w="540" w:type="dxa"/>
            <w:tcBorders>
              <w:top w:val="nil"/>
              <w:left w:val="nil"/>
              <w:bottom w:val="single" w:sz="4" w:space="0" w:color="000000"/>
              <w:right w:val="nil"/>
            </w:tcBorders>
            <w:noWrap/>
            <w:tcMar>
              <w:top w:w="0" w:type="dxa"/>
              <w:left w:w="40" w:type="dxa"/>
              <w:bottom w:w="0" w:type="dxa"/>
              <w:right w:w="40" w:type="dxa"/>
            </w:tcMar>
          </w:tcPr>
          <w:p w14:paraId="46546B29" w14:textId="77777777" w:rsidR="00B55EED" w:rsidRPr="005E3B44" w:rsidRDefault="00B55EED">
            <w:pPr>
              <w:pStyle w:val="Normal4"/>
              <w:rPr>
                <w:rFonts w:asciiTheme="minorHAnsi" w:eastAsia="Calibri" w:hAnsiTheme="minorHAnsi" w:cstheme="minorHAnsi"/>
                <w:b/>
                <w:sz w:val="18"/>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2F9FCF93" w14:textId="77777777" w:rsidR="00B55EED" w:rsidRPr="005E3B44" w:rsidRDefault="00B55EED">
            <w:pPr>
              <w:pStyle w:val="Normal4"/>
              <w:jc w:val="right"/>
              <w:rPr>
                <w:rFonts w:asciiTheme="minorHAnsi" w:eastAsia="Calibri" w:hAnsiTheme="minorHAnsi" w:cstheme="minorHAnsi"/>
                <w:sz w:val="18"/>
              </w:rPr>
            </w:pPr>
            <w:r w:rsidRPr="005E3B44">
              <w:rPr>
                <w:rFonts w:asciiTheme="minorHAnsi" w:eastAsia="Calibri" w:hAnsiTheme="minorHAnsi" w:cstheme="minorHAnsi"/>
                <w:sz w:val="18"/>
              </w:rPr>
              <w:t>14,408</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20EAFF6A" w14:textId="77777777" w:rsidR="00B55EED" w:rsidRPr="005E3B44" w:rsidRDefault="00B55EED">
            <w:pPr>
              <w:pStyle w:val="Normal4"/>
              <w:jc w:val="right"/>
              <w:rPr>
                <w:rFonts w:asciiTheme="minorHAnsi" w:eastAsia="Calibri" w:hAnsiTheme="minorHAnsi" w:cstheme="minorHAnsi"/>
                <w:sz w:val="18"/>
              </w:rPr>
            </w:pPr>
            <w:r w:rsidRPr="005E3B44">
              <w:rPr>
                <w:rFonts w:asciiTheme="minorHAnsi" w:eastAsia="Calibri" w:hAnsiTheme="minorHAnsi" w:cstheme="minorHAnsi"/>
                <w:sz w:val="18"/>
              </w:rPr>
              <w:t>16,443</w:t>
            </w:r>
          </w:p>
        </w:tc>
      </w:tr>
    </w:tbl>
    <w:p w14:paraId="4C2439F3" w14:textId="77777777" w:rsidR="00B55EED" w:rsidRPr="005E3B44" w:rsidRDefault="00B55EED" w:rsidP="00B55EED">
      <w:pPr>
        <w:pStyle w:val="BSnote0"/>
        <w:rPr>
          <w:rFonts w:asciiTheme="minorHAnsi" w:hAnsiTheme="minorHAnsi" w:cstheme="minorHAnsi"/>
        </w:rPr>
      </w:pPr>
      <w:r w:rsidRPr="005E3B44">
        <w:rPr>
          <w:rFonts w:asciiTheme="minorHAnsi" w:hAnsiTheme="minorHAnsi" w:cstheme="minorHAnsi"/>
        </w:rPr>
        <w:t>Note:</w:t>
      </w:r>
    </w:p>
    <w:p w14:paraId="24CFF885" w14:textId="77777777" w:rsidR="00B55EED" w:rsidRPr="005E3B44" w:rsidRDefault="00B55EED" w:rsidP="00B55EED">
      <w:pPr>
        <w:pStyle w:val="BSnoteslist0"/>
        <w:numPr>
          <w:ilvl w:val="0"/>
          <w:numId w:val="67"/>
        </w:numPr>
        <w:rPr>
          <w:rFonts w:asciiTheme="minorHAnsi" w:hAnsiTheme="minorHAnsi" w:cstheme="minorHAnsi"/>
        </w:rPr>
      </w:pPr>
      <w:r w:rsidRPr="005E3B44">
        <w:rPr>
          <w:rFonts w:asciiTheme="minorHAnsi" w:hAnsiTheme="minorHAnsi" w:cstheme="minorHAnsi"/>
        </w:rPr>
        <w:t xml:space="preserve">Total cost </w:t>
      </w:r>
      <w:r w:rsidRPr="005E3B44">
        <w:rPr>
          <w:rFonts w:asciiTheme="minorHAnsi" w:hAnsiTheme="minorHAnsi" w:cstheme="minorHAnsi"/>
          <w:szCs w:val="16"/>
        </w:rPr>
        <w:t>includes</w:t>
      </w:r>
      <w:r w:rsidRPr="005E3B44">
        <w:rPr>
          <w:rFonts w:asciiTheme="minorHAnsi" w:hAnsiTheme="minorHAnsi" w:cstheme="minorHAnsi"/>
        </w:rPr>
        <w:t xml:space="preserve"> depreciation and amortisation of $1.742 million in 2020-21 and $1.700 million in 2021-22.  </w:t>
      </w:r>
    </w:p>
    <w:p w14:paraId="597DC69B" w14:textId="77777777" w:rsidR="00B55EED" w:rsidRPr="005E3B44" w:rsidRDefault="00B55EED" w:rsidP="00B55EED">
      <w:pPr>
        <w:pStyle w:val="BSnoteslist0"/>
        <w:numPr>
          <w:ilvl w:val="0"/>
          <w:numId w:val="0"/>
        </w:numPr>
        <w:rPr>
          <w:rFonts w:asciiTheme="minorHAnsi" w:hAnsiTheme="minorHAnsi" w:cstheme="minorHAnsi"/>
        </w:rPr>
      </w:pPr>
    </w:p>
    <w:p w14:paraId="4938FC4E" w14:textId="77777777" w:rsidR="00B55EED" w:rsidRPr="005E3B44" w:rsidRDefault="00B55EED" w:rsidP="00B55EED">
      <w:pPr>
        <w:pStyle w:val="BSnoteslist0"/>
        <w:numPr>
          <w:ilvl w:val="0"/>
          <w:numId w:val="0"/>
        </w:numPr>
        <w:ind w:left="360" w:hanging="360"/>
        <w:rPr>
          <w:rFonts w:asciiTheme="minorHAnsi" w:hAnsiTheme="minorHAnsi" w:cstheme="minorHAnsi"/>
        </w:rPr>
      </w:pPr>
    </w:p>
    <w:p w14:paraId="2A340791" w14:textId="77777777" w:rsidR="00B55EED" w:rsidRPr="005E3B44" w:rsidRDefault="00B55EED" w:rsidP="00B55EED">
      <w:pPr>
        <w:pStyle w:val="Heading40"/>
        <w:rPr>
          <w:rFonts w:asciiTheme="minorHAnsi" w:hAnsiTheme="minorHAnsi" w:cstheme="minorHAnsi"/>
        </w:rPr>
      </w:pPr>
      <w:r w:rsidRPr="005E3B44">
        <w:rPr>
          <w:rFonts w:asciiTheme="minorHAnsi" w:hAnsiTheme="minorHAnsi" w:cstheme="minorHAnsi"/>
        </w:rPr>
        <w:t>Output 1.1: Legal Aid Services provided to the community</w:t>
      </w:r>
    </w:p>
    <w:p w14:paraId="2913073D" w14:textId="0A7D2DC4" w:rsidR="00B55EED" w:rsidRDefault="00B55EED" w:rsidP="00B55EED">
      <w:pPr>
        <w:pStyle w:val="Normal4"/>
        <w:rPr>
          <w:rFonts w:asciiTheme="minorHAnsi" w:hAnsiTheme="minorHAnsi" w:cstheme="minorHAnsi"/>
        </w:rPr>
      </w:pPr>
      <w:r w:rsidRPr="005E3B44">
        <w:rPr>
          <w:rFonts w:asciiTheme="minorHAnsi" w:hAnsiTheme="minorHAnsi" w:cstheme="minorHAnsi"/>
        </w:rPr>
        <w:t>The Commission provides a full range of legal assistance services to the community.  These services are provided by the Commission’s staff and by private legal practitioners.</w:t>
      </w:r>
    </w:p>
    <w:p w14:paraId="7F516083" w14:textId="77777777" w:rsidR="00775054" w:rsidRPr="005E3B44" w:rsidRDefault="00775054" w:rsidP="00B55EED">
      <w:pPr>
        <w:pStyle w:val="Normal4"/>
        <w:rPr>
          <w:rFonts w:asciiTheme="minorHAnsi" w:hAnsiTheme="minorHAnsi" w:cstheme="minorHAnsi"/>
        </w:rPr>
      </w:pPr>
    </w:p>
    <w:p w14:paraId="5A098686" w14:textId="77777777" w:rsidR="00B55EED" w:rsidRPr="005E3B44" w:rsidRDefault="00B55EED" w:rsidP="00B55EED">
      <w:pPr>
        <w:pStyle w:val="Normal4"/>
        <w:rPr>
          <w:rFonts w:asciiTheme="minorHAnsi" w:hAnsiTheme="minorHAnsi" w:cstheme="minorHAnsi"/>
        </w:rPr>
      </w:pPr>
      <w:r w:rsidRPr="005E3B44">
        <w:rPr>
          <w:rFonts w:asciiTheme="minorHAnsi" w:hAnsiTheme="minorHAnsi" w:cstheme="minorHAnsi"/>
        </w:rPr>
        <w:t xml:space="preserve">This output includes salaries and related costs of Commission staff as well as payments to private legal practitioners and the cost to the Commission of administering these arrangements.  Private legal practitioners are paid professional fees and disbursements </w:t>
      </w:r>
      <w:proofErr w:type="gramStart"/>
      <w:r w:rsidRPr="005E3B44">
        <w:rPr>
          <w:rFonts w:asciiTheme="minorHAnsi" w:hAnsiTheme="minorHAnsi" w:cstheme="minorHAnsi"/>
        </w:rPr>
        <w:t>on the basis of</w:t>
      </w:r>
      <w:proofErr w:type="gramEnd"/>
      <w:r w:rsidRPr="005E3B44">
        <w:rPr>
          <w:rFonts w:asciiTheme="minorHAnsi" w:hAnsiTheme="minorHAnsi" w:cstheme="minorHAnsi"/>
        </w:rPr>
        <w:t xml:space="preserve"> agreed scales, up to a commitment level determined by the Commission on an individual case basis.</w:t>
      </w:r>
    </w:p>
    <w:p w14:paraId="3A7ABAF1" w14:textId="77777777" w:rsidR="00B55EED" w:rsidRPr="005E3B44" w:rsidRDefault="00B55EED" w:rsidP="00B55EED">
      <w:pPr>
        <w:pStyle w:val="Heading23"/>
        <w:pageBreakBefore/>
        <w:rPr>
          <w:rFonts w:asciiTheme="minorHAnsi" w:hAnsiTheme="minorHAnsi" w:cstheme="minorHAnsi"/>
        </w:rPr>
      </w:pPr>
      <w:r w:rsidRPr="005E3B44">
        <w:rPr>
          <w:rFonts w:asciiTheme="minorHAnsi" w:hAnsiTheme="minorHAnsi" w:cstheme="minorHAnsi"/>
        </w:rPr>
        <w:lastRenderedPageBreak/>
        <w:t>Accountability indicators</w:t>
      </w:r>
    </w:p>
    <w:p w14:paraId="1162777C" w14:textId="77777777" w:rsidR="00B55EED" w:rsidRPr="005E3B44" w:rsidRDefault="00B55EED" w:rsidP="00B55EED">
      <w:pPr>
        <w:pStyle w:val="Heading31"/>
        <w:rPr>
          <w:rFonts w:asciiTheme="minorHAnsi" w:hAnsiTheme="minorHAnsi" w:cstheme="minorHAnsi"/>
        </w:rPr>
      </w:pPr>
      <w:r w:rsidRPr="005E3B44">
        <w:rPr>
          <w:rFonts w:asciiTheme="minorHAnsi" w:hAnsiTheme="minorHAnsi" w:cstheme="minorHAnsi"/>
        </w:rPr>
        <w:t>Output Class 1: Legal Aid Services</w:t>
      </w:r>
    </w:p>
    <w:p w14:paraId="098E91EA" w14:textId="77777777" w:rsidR="00B55EED" w:rsidRPr="005E3B44" w:rsidRDefault="00B55EED" w:rsidP="00B55EED">
      <w:pPr>
        <w:pStyle w:val="Heading41"/>
        <w:rPr>
          <w:rFonts w:asciiTheme="minorHAnsi" w:hAnsiTheme="minorHAnsi" w:cstheme="minorHAnsi"/>
        </w:rPr>
      </w:pPr>
      <w:r w:rsidRPr="005E3B44">
        <w:rPr>
          <w:rFonts w:asciiTheme="minorHAnsi" w:hAnsiTheme="minorHAnsi" w:cstheme="minorHAnsi"/>
        </w:rPr>
        <w:t>Output 1.1: Legal Aid Services provided to the community</w:t>
      </w:r>
    </w:p>
    <w:p w14:paraId="3D806485" w14:textId="77777777" w:rsidR="00B55EED" w:rsidRPr="005E3B44" w:rsidRDefault="00B55EED" w:rsidP="00B55EED">
      <w:pPr>
        <w:pStyle w:val="Caption1"/>
        <w:rPr>
          <w:rFonts w:asciiTheme="minorHAnsi" w:hAnsiTheme="minorHAnsi" w:cstheme="minorHAnsi"/>
          <w:noProof/>
          <w:color w:val="auto"/>
        </w:rPr>
      </w:pPr>
      <w:r w:rsidRPr="005E3B44">
        <w:rPr>
          <w:rFonts w:asciiTheme="minorHAnsi" w:hAnsiTheme="minorHAnsi" w:cstheme="minorHAnsi"/>
          <w:color w:val="auto"/>
        </w:rPr>
        <w:t>Table 4</w:t>
      </w:r>
      <w:r w:rsidRPr="005E3B44">
        <w:rPr>
          <w:rFonts w:asciiTheme="minorHAnsi" w:hAnsiTheme="minorHAnsi" w:cstheme="minorHAnsi"/>
          <w:noProof/>
          <w:color w:val="auto"/>
        </w:rPr>
        <w:t>:</w:t>
      </w:r>
      <w:r w:rsidRPr="005E3B44">
        <w:rPr>
          <w:rFonts w:asciiTheme="minorHAnsi" w:hAnsiTheme="minorHAnsi" w:cstheme="minorHAnsi"/>
          <w:color w:val="auto"/>
        </w:rPr>
        <w:t xml:space="preserve"> Accountability indicators</w:t>
      </w:r>
      <w:r w:rsidRPr="005E3B44">
        <w:rPr>
          <w:rFonts w:asciiTheme="minorHAnsi" w:hAnsiTheme="minorHAnsi" w:cstheme="minorHAnsi"/>
          <w:noProof/>
          <w:color w:val="auto"/>
        </w:rPr>
        <w:t xml:space="preserve"> Output 1.1</w:t>
      </w:r>
    </w:p>
    <w:tbl>
      <w:tblPr>
        <w:tblW w:w="4950" w:type="pct"/>
        <w:tblBorders>
          <w:top w:val="single" w:sz="12" w:space="0" w:color="000000"/>
          <w:bottom w:val="single" w:sz="12" w:space="0" w:color="000000"/>
        </w:tblBorders>
        <w:tblLayout w:type="fixed"/>
        <w:tblLook w:val="04A0" w:firstRow="1" w:lastRow="0" w:firstColumn="1" w:lastColumn="0" w:noHBand="0" w:noVBand="1"/>
      </w:tblPr>
      <w:tblGrid>
        <w:gridCol w:w="5387"/>
        <w:gridCol w:w="1286"/>
        <w:gridCol w:w="1239"/>
        <w:gridCol w:w="1024"/>
      </w:tblGrid>
      <w:tr w:rsidR="00B55EED" w:rsidRPr="005E3B44" w14:paraId="6C0CE2D5" w14:textId="77777777" w:rsidTr="00775054">
        <w:trPr>
          <w:tblHeader/>
        </w:trPr>
        <w:tc>
          <w:tcPr>
            <w:tcW w:w="5387" w:type="dxa"/>
            <w:tcBorders>
              <w:top w:val="single" w:sz="12" w:space="0" w:color="000000"/>
              <w:left w:val="nil"/>
              <w:bottom w:val="single" w:sz="12" w:space="0" w:color="000000"/>
              <w:right w:val="nil"/>
            </w:tcBorders>
          </w:tcPr>
          <w:p w14:paraId="019D2A19" w14:textId="77777777" w:rsidR="00B55EED" w:rsidRPr="005E3B44" w:rsidRDefault="00B55EED">
            <w:pPr>
              <w:pStyle w:val="BStabletext0"/>
              <w:rPr>
                <w:rFonts w:asciiTheme="minorHAnsi" w:hAnsiTheme="minorHAnsi" w:cstheme="minorHAnsi"/>
              </w:rPr>
            </w:pPr>
          </w:p>
        </w:tc>
        <w:tc>
          <w:tcPr>
            <w:tcW w:w="1286" w:type="dxa"/>
            <w:tcBorders>
              <w:top w:val="single" w:sz="12" w:space="0" w:color="000000"/>
              <w:left w:val="nil"/>
              <w:bottom w:val="single" w:sz="12" w:space="0" w:color="000000"/>
              <w:right w:val="nil"/>
            </w:tcBorders>
            <w:hideMark/>
          </w:tcPr>
          <w:p w14:paraId="0564A427" w14:textId="77777777" w:rsidR="00B55EED" w:rsidRPr="005E3B44" w:rsidRDefault="00B55EED">
            <w:pPr>
              <w:pStyle w:val="BStableheading10"/>
              <w:framePr w:wrap="around"/>
              <w:rPr>
                <w:rFonts w:asciiTheme="minorHAnsi" w:hAnsiTheme="minorHAnsi" w:cstheme="minorHAnsi"/>
              </w:rPr>
            </w:pPr>
            <w:r w:rsidRPr="005E3B44">
              <w:rPr>
                <w:rFonts w:asciiTheme="minorHAnsi" w:hAnsiTheme="minorHAnsi" w:cstheme="minorHAnsi"/>
              </w:rPr>
              <w:t>2020-21</w:t>
            </w:r>
          </w:p>
          <w:p w14:paraId="00FA1FF3" w14:textId="77777777" w:rsidR="00B55EED" w:rsidRPr="005E3B44" w:rsidRDefault="00B55EED">
            <w:pPr>
              <w:pStyle w:val="BStableheading10"/>
              <w:framePr w:wrap="around"/>
              <w:rPr>
                <w:rFonts w:asciiTheme="minorHAnsi" w:hAnsiTheme="minorHAnsi" w:cstheme="minorHAnsi"/>
              </w:rPr>
            </w:pPr>
            <w:r w:rsidRPr="005E3B44">
              <w:rPr>
                <w:rFonts w:asciiTheme="minorHAnsi" w:hAnsiTheme="minorHAnsi" w:cstheme="minorHAnsi"/>
              </w:rPr>
              <w:t>Targets</w:t>
            </w:r>
          </w:p>
        </w:tc>
        <w:tc>
          <w:tcPr>
            <w:tcW w:w="1239" w:type="dxa"/>
            <w:tcBorders>
              <w:top w:val="single" w:sz="12" w:space="0" w:color="000000"/>
              <w:left w:val="nil"/>
              <w:bottom w:val="single" w:sz="12" w:space="0" w:color="000000"/>
              <w:right w:val="nil"/>
            </w:tcBorders>
            <w:hideMark/>
          </w:tcPr>
          <w:p w14:paraId="16A85998" w14:textId="77777777" w:rsidR="00B55EED" w:rsidRPr="005E3B44" w:rsidRDefault="00B55EED">
            <w:pPr>
              <w:pStyle w:val="BStableheading10"/>
              <w:framePr w:wrap="around"/>
              <w:rPr>
                <w:rFonts w:asciiTheme="minorHAnsi" w:hAnsiTheme="minorHAnsi" w:cstheme="minorHAnsi"/>
              </w:rPr>
            </w:pPr>
            <w:r w:rsidRPr="005E3B44">
              <w:rPr>
                <w:rFonts w:asciiTheme="minorHAnsi" w:hAnsiTheme="minorHAnsi" w:cstheme="minorHAnsi"/>
              </w:rPr>
              <w:t>2020-21</w:t>
            </w:r>
          </w:p>
          <w:p w14:paraId="5381EC25" w14:textId="77777777" w:rsidR="00B55EED" w:rsidRPr="005E3B44" w:rsidRDefault="00B55EED">
            <w:pPr>
              <w:pStyle w:val="BStableheading10"/>
              <w:framePr w:wrap="around"/>
              <w:rPr>
                <w:rFonts w:asciiTheme="minorHAnsi" w:hAnsiTheme="minorHAnsi" w:cstheme="minorHAnsi"/>
              </w:rPr>
            </w:pPr>
            <w:r w:rsidRPr="005E3B44">
              <w:rPr>
                <w:rFonts w:asciiTheme="minorHAnsi" w:hAnsiTheme="minorHAnsi" w:cstheme="minorHAnsi"/>
              </w:rPr>
              <w:t>Interim Outcome</w:t>
            </w:r>
          </w:p>
        </w:tc>
        <w:tc>
          <w:tcPr>
            <w:tcW w:w="1024" w:type="dxa"/>
            <w:tcBorders>
              <w:top w:val="single" w:sz="12" w:space="0" w:color="000000"/>
              <w:left w:val="nil"/>
              <w:bottom w:val="single" w:sz="12" w:space="0" w:color="000000"/>
              <w:right w:val="nil"/>
            </w:tcBorders>
            <w:hideMark/>
          </w:tcPr>
          <w:p w14:paraId="3A4D25BD" w14:textId="77777777" w:rsidR="00B55EED" w:rsidRPr="005E3B44" w:rsidRDefault="00B55EED">
            <w:pPr>
              <w:pStyle w:val="BStableheading10"/>
              <w:framePr w:wrap="around"/>
              <w:rPr>
                <w:rFonts w:asciiTheme="minorHAnsi" w:hAnsiTheme="minorHAnsi" w:cstheme="minorHAnsi"/>
              </w:rPr>
            </w:pPr>
            <w:r w:rsidRPr="005E3B44">
              <w:rPr>
                <w:rFonts w:asciiTheme="minorHAnsi" w:hAnsiTheme="minorHAnsi" w:cstheme="minorHAnsi"/>
              </w:rPr>
              <w:t>2021-22</w:t>
            </w:r>
          </w:p>
          <w:p w14:paraId="3CADA12C" w14:textId="77777777" w:rsidR="00B55EED" w:rsidRPr="005E3B44" w:rsidRDefault="00B55EED">
            <w:pPr>
              <w:pStyle w:val="BStableheading10"/>
              <w:framePr w:wrap="around"/>
              <w:rPr>
                <w:rFonts w:asciiTheme="minorHAnsi" w:hAnsiTheme="minorHAnsi" w:cstheme="minorHAnsi"/>
              </w:rPr>
            </w:pPr>
            <w:r w:rsidRPr="005E3B44">
              <w:rPr>
                <w:rFonts w:asciiTheme="minorHAnsi" w:hAnsiTheme="minorHAnsi" w:cstheme="minorHAnsi"/>
              </w:rPr>
              <w:t>Targets</w:t>
            </w:r>
          </w:p>
        </w:tc>
      </w:tr>
      <w:tr w:rsidR="00B55EED" w:rsidRPr="005E3B44" w14:paraId="1AB8A930" w14:textId="77777777" w:rsidTr="00775054">
        <w:tc>
          <w:tcPr>
            <w:tcW w:w="8936" w:type="dxa"/>
            <w:gridSpan w:val="4"/>
            <w:tcBorders>
              <w:top w:val="single" w:sz="12" w:space="0" w:color="000000"/>
              <w:left w:val="nil"/>
              <w:bottom w:val="nil"/>
              <w:right w:val="nil"/>
            </w:tcBorders>
            <w:hideMark/>
          </w:tcPr>
          <w:p w14:paraId="4566FB04" w14:textId="77777777" w:rsidR="00B55EED" w:rsidRPr="005E3B44" w:rsidRDefault="00B55EED">
            <w:pPr>
              <w:rPr>
                <w:rFonts w:asciiTheme="minorHAnsi" w:hAnsiTheme="minorHAnsi" w:cstheme="minorHAnsi"/>
              </w:rPr>
            </w:pPr>
          </w:p>
        </w:tc>
      </w:tr>
      <w:tr w:rsidR="00B55EED" w:rsidRPr="005E3B44" w14:paraId="103353D6" w14:textId="77777777" w:rsidTr="00775054">
        <w:trPr>
          <w:trHeight w:val="283"/>
        </w:trPr>
        <w:tc>
          <w:tcPr>
            <w:tcW w:w="5387" w:type="dxa"/>
            <w:tcBorders>
              <w:top w:val="nil"/>
              <w:left w:val="nil"/>
              <w:bottom w:val="nil"/>
              <w:right w:val="nil"/>
            </w:tcBorders>
            <w:hideMark/>
          </w:tcPr>
          <w:p w14:paraId="393F5D05" w14:textId="77777777" w:rsidR="00B55EED" w:rsidRPr="005E3B44" w:rsidRDefault="00B55EED" w:rsidP="00B55EED">
            <w:pPr>
              <w:pStyle w:val="BStablelist"/>
              <w:numPr>
                <w:ilvl w:val="0"/>
                <w:numId w:val="68"/>
              </w:numPr>
              <w:rPr>
                <w:rFonts w:asciiTheme="minorHAnsi" w:hAnsiTheme="minorHAnsi" w:cstheme="minorHAnsi"/>
              </w:rPr>
            </w:pPr>
            <w:r w:rsidRPr="005E3B44">
              <w:rPr>
                <w:rFonts w:asciiTheme="minorHAnsi" w:hAnsiTheme="minorHAnsi" w:cstheme="minorHAnsi"/>
              </w:rPr>
              <w:t xml:space="preserve">Number of Discrete Assistance services provided </w:t>
            </w:r>
            <w:r w:rsidRPr="005E3B44">
              <w:rPr>
                <w:rFonts w:asciiTheme="minorHAnsi" w:hAnsiTheme="minorHAnsi" w:cstheme="minorHAnsi"/>
                <w:vertAlign w:val="superscript"/>
              </w:rPr>
              <w:t>1</w:t>
            </w:r>
          </w:p>
        </w:tc>
        <w:tc>
          <w:tcPr>
            <w:tcW w:w="1286" w:type="dxa"/>
            <w:tcBorders>
              <w:top w:val="nil"/>
              <w:left w:val="nil"/>
              <w:bottom w:val="nil"/>
              <w:right w:val="nil"/>
            </w:tcBorders>
            <w:hideMark/>
          </w:tcPr>
          <w:p w14:paraId="4EE066B3"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40,000</w:t>
            </w:r>
          </w:p>
        </w:tc>
        <w:tc>
          <w:tcPr>
            <w:tcW w:w="1239" w:type="dxa"/>
            <w:tcBorders>
              <w:top w:val="nil"/>
              <w:left w:val="nil"/>
              <w:bottom w:val="nil"/>
              <w:right w:val="nil"/>
            </w:tcBorders>
            <w:hideMark/>
          </w:tcPr>
          <w:p w14:paraId="11D0D1B9"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45,960</w:t>
            </w:r>
          </w:p>
        </w:tc>
        <w:tc>
          <w:tcPr>
            <w:tcW w:w="1024" w:type="dxa"/>
            <w:tcBorders>
              <w:top w:val="nil"/>
              <w:left w:val="nil"/>
              <w:bottom w:val="nil"/>
              <w:right w:val="nil"/>
            </w:tcBorders>
            <w:hideMark/>
          </w:tcPr>
          <w:p w14:paraId="130A60E1"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47,150</w:t>
            </w:r>
          </w:p>
        </w:tc>
      </w:tr>
      <w:tr w:rsidR="00B55EED" w:rsidRPr="005E3B44" w14:paraId="2467092A" w14:textId="77777777" w:rsidTr="00775054">
        <w:trPr>
          <w:trHeight w:val="283"/>
        </w:trPr>
        <w:tc>
          <w:tcPr>
            <w:tcW w:w="5387" w:type="dxa"/>
            <w:tcBorders>
              <w:top w:val="nil"/>
              <w:left w:val="nil"/>
              <w:bottom w:val="nil"/>
              <w:right w:val="nil"/>
            </w:tcBorders>
            <w:hideMark/>
          </w:tcPr>
          <w:p w14:paraId="1C23DFC8" w14:textId="77777777" w:rsidR="00B55EED" w:rsidRPr="005E3B44" w:rsidRDefault="00B55EED" w:rsidP="00B55EED">
            <w:pPr>
              <w:pStyle w:val="BStablelist"/>
              <w:numPr>
                <w:ilvl w:val="0"/>
                <w:numId w:val="68"/>
              </w:numPr>
              <w:rPr>
                <w:rFonts w:asciiTheme="minorHAnsi" w:hAnsiTheme="minorHAnsi" w:cstheme="minorHAnsi"/>
              </w:rPr>
            </w:pPr>
            <w:r w:rsidRPr="005E3B44">
              <w:rPr>
                <w:rFonts w:asciiTheme="minorHAnsi" w:hAnsiTheme="minorHAnsi" w:cstheme="minorHAnsi"/>
              </w:rPr>
              <w:t xml:space="preserve">Number of Duty Lawyer services provided </w:t>
            </w:r>
            <w:r w:rsidRPr="005E3B44">
              <w:rPr>
                <w:rFonts w:asciiTheme="minorHAnsi" w:hAnsiTheme="minorHAnsi" w:cstheme="minorHAnsi"/>
                <w:vertAlign w:val="superscript"/>
              </w:rPr>
              <w:t>2</w:t>
            </w:r>
          </w:p>
        </w:tc>
        <w:tc>
          <w:tcPr>
            <w:tcW w:w="1286" w:type="dxa"/>
            <w:tcBorders>
              <w:top w:val="nil"/>
              <w:left w:val="nil"/>
              <w:bottom w:val="nil"/>
              <w:right w:val="nil"/>
            </w:tcBorders>
            <w:hideMark/>
          </w:tcPr>
          <w:p w14:paraId="274CC77C"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5,600</w:t>
            </w:r>
          </w:p>
        </w:tc>
        <w:tc>
          <w:tcPr>
            <w:tcW w:w="1239" w:type="dxa"/>
            <w:tcBorders>
              <w:top w:val="nil"/>
              <w:left w:val="nil"/>
              <w:bottom w:val="nil"/>
              <w:right w:val="nil"/>
            </w:tcBorders>
            <w:hideMark/>
          </w:tcPr>
          <w:p w14:paraId="478DB2FE"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4,597</w:t>
            </w:r>
          </w:p>
        </w:tc>
        <w:tc>
          <w:tcPr>
            <w:tcW w:w="1024" w:type="dxa"/>
            <w:tcBorders>
              <w:top w:val="nil"/>
              <w:left w:val="nil"/>
              <w:bottom w:val="nil"/>
              <w:right w:val="nil"/>
            </w:tcBorders>
            <w:hideMark/>
          </w:tcPr>
          <w:p w14:paraId="22189709"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4,600</w:t>
            </w:r>
          </w:p>
        </w:tc>
      </w:tr>
      <w:tr w:rsidR="00B55EED" w:rsidRPr="005E3B44" w14:paraId="47CB551A" w14:textId="77777777" w:rsidTr="00775054">
        <w:trPr>
          <w:trHeight w:val="283"/>
        </w:trPr>
        <w:tc>
          <w:tcPr>
            <w:tcW w:w="5387" w:type="dxa"/>
            <w:tcBorders>
              <w:top w:val="nil"/>
              <w:left w:val="nil"/>
              <w:bottom w:val="nil"/>
              <w:right w:val="nil"/>
            </w:tcBorders>
            <w:hideMark/>
          </w:tcPr>
          <w:p w14:paraId="1FD76262" w14:textId="77777777" w:rsidR="00B55EED" w:rsidRPr="005E3B44" w:rsidRDefault="00B55EED" w:rsidP="00B55EED">
            <w:pPr>
              <w:pStyle w:val="BStablelist"/>
              <w:numPr>
                <w:ilvl w:val="0"/>
                <w:numId w:val="68"/>
              </w:numPr>
              <w:rPr>
                <w:rFonts w:asciiTheme="minorHAnsi" w:hAnsiTheme="minorHAnsi" w:cstheme="minorHAnsi"/>
              </w:rPr>
            </w:pPr>
            <w:r w:rsidRPr="005E3B44">
              <w:rPr>
                <w:rFonts w:asciiTheme="minorHAnsi" w:hAnsiTheme="minorHAnsi" w:cstheme="minorHAnsi"/>
              </w:rPr>
              <w:t xml:space="preserve">Number of Representation services provided </w:t>
            </w:r>
            <w:r w:rsidRPr="005E3B44">
              <w:rPr>
                <w:rFonts w:asciiTheme="minorHAnsi" w:hAnsiTheme="minorHAnsi" w:cstheme="minorHAnsi"/>
                <w:vertAlign w:val="superscript"/>
              </w:rPr>
              <w:t>3</w:t>
            </w:r>
          </w:p>
        </w:tc>
        <w:tc>
          <w:tcPr>
            <w:tcW w:w="1286" w:type="dxa"/>
            <w:tcBorders>
              <w:top w:val="nil"/>
              <w:left w:val="nil"/>
              <w:bottom w:val="nil"/>
              <w:right w:val="nil"/>
            </w:tcBorders>
            <w:hideMark/>
          </w:tcPr>
          <w:p w14:paraId="24E60014"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2,900</w:t>
            </w:r>
          </w:p>
        </w:tc>
        <w:tc>
          <w:tcPr>
            <w:tcW w:w="1239" w:type="dxa"/>
            <w:tcBorders>
              <w:top w:val="nil"/>
              <w:left w:val="nil"/>
              <w:bottom w:val="nil"/>
              <w:right w:val="nil"/>
            </w:tcBorders>
            <w:hideMark/>
          </w:tcPr>
          <w:p w14:paraId="269DB4C4"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2,873</w:t>
            </w:r>
          </w:p>
        </w:tc>
        <w:tc>
          <w:tcPr>
            <w:tcW w:w="1024" w:type="dxa"/>
            <w:tcBorders>
              <w:top w:val="nil"/>
              <w:left w:val="nil"/>
              <w:bottom w:val="nil"/>
              <w:right w:val="nil"/>
            </w:tcBorders>
            <w:hideMark/>
          </w:tcPr>
          <w:p w14:paraId="0B2C9135"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3,000</w:t>
            </w:r>
          </w:p>
        </w:tc>
      </w:tr>
      <w:tr w:rsidR="00B55EED" w:rsidRPr="005E3B44" w14:paraId="66AFB5EA" w14:textId="77777777" w:rsidTr="00775054">
        <w:trPr>
          <w:trHeight w:val="283"/>
        </w:trPr>
        <w:tc>
          <w:tcPr>
            <w:tcW w:w="5387" w:type="dxa"/>
            <w:tcBorders>
              <w:top w:val="nil"/>
              <w:left w:val="nil"/>
              <w:bottom w:val="nil"/>
              <w:right w:val="nil"/>
            </w:tcBorders>
            <w:hideMark/>
          </w:tcPr>
          <w:p w14:paraId="5E8C9EC9" w14:textId="77777777" w:rsidR="00B55EED" w:rsidRPr="005E3B44" w:rsidRDefault="00B55EED" w:rsidP="00B55EED">
            <w:pPr>
              <w:pStyle w:val="BStablelist"/>
              <w:numPr>
                <w:ilvl w:val="0"/>
                <w:numId w:val="68"/>
              </w:numPr>
              <w:rPr>
                <w:rFonts w:asciiTheme="minorHAnsi" w:hAnsiTheme="minorHAnsi" w:cstheme="minorHAnsi"/>
              </w:rPr>
            </w:pPr>
            <w:r w:rsidRPr="005E3B44">
              <w:rPr>
                <w:rFonts w:asciiTheme="minorHAnsi" w:hAnsiTheme="minorHAnsi" w:cstheme="minorHAnsi"/>
              </w:rPr>
              <w:t xml:space="preserve">Number of Facilitated Resolution Process provided </w:t>
            </w:r>
            <w:r w:rsidRPr="005E3B44">
              <w:rPr>
                <w:rFonts w:asciiTheme="minorHAnsi" w:hAnsiTheme="minorHAnsi" w:cstheme="minorHAnsi"/>
                <w:vertAlign w:val="superscript"/>
              </w:rPr>
              <w:t>4</w:t>
            </w:r>
          </w:p>
        </w:tc>
        <w:tc>
          <w:tcPr>
            <w:tcW w:w="1286" w:type="dxa"/>
            <w:tcBorders>
              <w:top w:val="nil"/>
              <w:left w:val="nil"/>
              <w:bottom w:val="nil"/>
              <w:right w:val="nil"/>
            </w:tcBorders>
            <w:hideMark/>
          </w:tcPr>
          <w:p w14:paraId="53B464C7"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400</w:t>
            </w:r>
          </w:p>
        </w:tc>
        <w:tc>
          <w:tcPr>
            <w:tcW w:w="1239" w:type="dxa"/>
            <w:tcBorders>
              <w:top w:val="nil"/>
              <w:left w:val="nil"/>
              <w:bottom w:val="nil"/>
              <w:right w:val="nil"/>
            </w:tcBorders>
            <w:hideMark/>
          </w:tcPr>
          <w:p w14:paraId="4A8B0560"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429</w:t>
            </w:r>
          </w:p>
        </w:tc>
        <w:tc>
          <w:tcPr>
            <w:tcW w:w="1024" w:type="dxa"/>
            <w:tcBorders>
              <w:top w:val="nil"/>
              <w:left w:val="nil"/>
              <w:bottom w:val="nil"/>
              <w:right w:val="nil"/>
            </w:tcBorders>
            <w:hideMark/>
          </w:tcPr>
          <w:p w14:paraId="525A20F8"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440</w:t>
            </w:r>
          </w:p>
        </w:tc>
      </w:tr>
      <w:tr w:rsidR="00B55EED" w:rsidRPr="005E3B44" w14:paraId="0F551006" w14:textId="77777777" w:rsidTr="00775054">
        <w:trPr>
          <w:trHeight w:val="283"/>
        </w:trPr>
        <w:tc>
          <w:tcPr>
            <w:tcW w:w="5387" w:type="dxa"/>
            <w:tcBorders>
              <w:top w:val="nil"/>
              <w:left w:val="nil"/>
              <w:bottom w:val="single" w:sz="12" w:space="0" w:color="auto"/>
              <w:right w:val="nil"/>
            </w:tcBorders>
            <w:hideMark/>
          </w:tcPr>
          <w:p w14:paraId="7DE2BA74" w14:textId="33251612" w:rsidR="00B55EED" w:rsidRPr="005E3B44" w:rsidRDefault="00B55EED" w:rsidP="00B55EED">
            <w:pPr>
              <w:pStyle w:val="BStablelist"/>
              <w:numPr>
                <w:ilvl w:val="0"/>
                <w:numId w:val="68"/>
              </w:numPr>
              <w:rPr>
                <w:rFonts w:asciiTheme="minorHAnsi" w:hAnsiTheme="minorHAnsi" w:cstheme="minorHAnsi"/>
              </w:rPr>
            </w:pPr>
            <w:r w:rsidRPr="005E3B44">
              <w:rPr>
                <w:rFonts w:asciiTheme="minorHAnsi" w:hAnsiTheme="minorHAnsi" w:cstheme="minorHAnsi"/>
              </w:rPr>
              <w:t>Number of Community Legal Education services provided</w:t>
            </w:r>
            <w:r w:rsidR="00775054">
              <w:rPr>
                <w:rFonts w:asciiTheme="minorHAnsi" w:hAnsiTheme="minorHAnsi" w:cstheme="minorHAnsi"/>
              </w:rPr>
              <w:t xml:space="preserve"> </w:t>
            </w:r>
            <w:r w:rsidR="00775054" w:rsidRPr="00775054">
              <w:rPr>
                <w:rFonts w:asciiTheme="minorHAnsi" w:hAnsiTheme="minorHAnsi" w:cstheme="minorHAnsi"/>
                <w:vertAlign w:val="superscript"/>
              </w:rPr>
              <w:t>5</w:t>
            </w:r>
            <w:r w:rsidRPr="005E3B44">
              <w:rPr>
                <w:rFonts w:asciiTheme="minorHAnsi" w:hAnsiTheme="minorHAnsi" w:cstheme="minorHAnsi"/>
              </w:rPr>
              <w:t xml:space="preserve"> </w:t>
            </w:r>
          </w:p>
        </w:tc>
        <w:tc>
          <w:tcPr>
            <w:tcW w:w="1286" w:type="dxa"/>
            <w:tcBorders>
              <w:top w:val="nil"/>
              <w:left w:val="nil"/>
              <w:bottom w:val="single" w:sz="12" w:space="0" w:color="auto"/>
              <w:right w:val="nil"/>
            </w:tcBorders>
          </w:tcPr>
          <w:p w14:paraId="7E17FC48"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400</w:t>
            </w:r>
          </w:p>
          <w:p w14:paraId="79365801" w14:textId="77777777" w:rsidR="00B55EED" w:rsidRPr="005E3B44" w:rsidRDefault="00B55EED">
            <w:pPr>
              <w:pStyle w:val="BStablefigures00"/>
              <w:rPr>
                <w:rFonts w:asciiTheme="minorHAnsi" w:hAnsiTheme="minorHAnsi" w:cstheme="minorHAnsi"/>
              </w:rPr>
            </w:pPr>
          </w:p>
        </w:tc>
        <w:tc>
          <w:tcPr>
            <w:tcW w:w="1239" w:type="dxa"/>
            <w:tcBorders>
              <w:top w:val="nil"/>
              <w:left w:val="nil"/>
              <w:bottom w:val="single" w:sz="12" w:space="0" w:color="auto"/>
              <w:right w:val="nil"/>
            </w:tcBorders>
            <w:hideMark/>
          </w:tcPr>
          <w:p w14:paraId="34DB1653"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530</w:t>
            </w:r>
          </w:p>
        </w:tc>
        <w:tc>
          <w:tcPr>
            <w:tcW w:w="1024" w:type="dxa"/>
            <w:tcBorders>
              <w:top w:val="nil"/>
              <w:left w:val="nil"/>
              <w:bottom w:val="single" w:sz="12" w:space="0" w:color="auto"/>
              <w:right w:val="nil"/>
            </w:tcBorders>
          </w:tcPr>
          <w:p w14:paraId="53F440A6" w14:textId="77777777" w:rsidR="00B55EED" w:rsidRPr="005E3B44" w:rsidRDefault="00B55EED">
            <w:pPr>
              <w:pStyle w:val="BStablefigures00"/>
              <w:rPr>
                <w:rFonts w:asciiTheme="minorHAnsi" w:hAnsiTheme="minorHAnsi" w:cstheme="minorHAnsi"/>
              </w:rPr>
            </w:pPr>
            <w:r w:rsidRPr="005E3B44">
              <w:rPr>
                <w:rFonts w:asciiTheme="minorHAnsi" w:hAnsiTheme="minorHAnsi" w:cstheme="minorHAnsi"/>
              </w:rPr>
              <w:t>550</w:t>
            </w:r>
          </w:p>
          <w:p w14:paraId="5C60F99E" w14:textId="77777777" w:rsidR="00B55EED" w:rsidRPr="005E3B44" w:rsidRDefault="00B55EED">
            <w:pPr>
              <w:pStyle w:val="BStablefigures00"/>
              <w:rPr>
                <w:rFonts w:asciiTheme="minorHAnsi" w:hAnsiTheme="minorHAnsi" w:cstheme="minorHAnsi"/>
              </w:rPr>
            </w:pPr>
          </w:p>
        </w:tc>
      </w:tr>
    </w:tbl>
    <w:p w14:paraId="4D545FB1" w14:textId="77777777" w:rsidR="00B55EED" w:rsidRPr="005E3B44" w:rsidRDefault="00B55EED" w:rsidP="00B55EED">
      <w:pPr>
        <w:pStyle w:val="BSnote1"/>
        <w:rPr>
          <w:rFonts w:asciiTheme="minorHAnsi" w:hAnsiTheme="minorHAnsi" w:cstheme="minorHAnsi"/>
        </w:rPr>
      </w:pPr>
      <w:r w:rsidRPr="005E3B44">
        <w:rPr>
          <w:rFonts w:asciiTheme="minorHAnsi" w:hAnsiTheme="minorHAnsi" w:cstheme="minorHAnsi"/>
        </w:rPr>
        <w:t>Notes:</w:t>
      </w:r>
    </w:p>
    <w:p w14:paraId="30DF8653" w14:textId="3A2B23A9" w:rsidR="00B55EED" w:rsidRDefault="00B55EED" w:rsidP="00494A57">
      <w:pPr>
        <w:pStyle w:val="Normal5"/>
        <w:numPr>
          <w:ilvl w:val="0"/>
          <w:numId w:val="69"/>
        </w:numPr>
        <w:spacing w:before="120"/>
        <w:contextualSpacing/>
        <w:rPr>
          <w:rFonts w:asciiTheme="minorHAnsi" w:hAnsiTheme="minorHAnsi" w:cstheme="minorHAnsi"/>
          <w:sz w:val="16"/>
          <w:szCs w:val="16"/>
        </w:rPr>
      </w:pPr>
      <w:r w:rsidRPr="005E3B44">
        <w:rPr>
          <w:rFonts w:asciiTheme="minorHAnsi" w:hAnsiTheme="minorHAnsi" w:cstheme="minorHAnsi"/>
          <w:iCs/>
          <w:sz w:val="16"/>
          <w:szCs w:val="16"/>
        </w:rPr>
        <w:t>Discrete Assistance services provided indicator</w:t>
      </w:r>
      <w:r w:rsidRPr="005E3B44">
        <w:rPr>
          <w:rFonts w:asciiTheme="minorHAnsi" w:hAnsiTheme="minorHAnsi" w:cstheme="minorHAnsi"/>
          <w:sz w:val="16"/>
          <w:szCs w:val="16"/>
        </w:rPr>
        <w:t xml:space="preserve"> collates the number of Helpline, information, referrals, non</w:t>
      </w:r>
      <w:r w:rsidRPr="005E3B44">
        <w:rPr>
          <w:rFonts w:asciiTheme="minorHAnsi" w:hAnsiTheme="minorHAnsi" w:cstheme="minorHAnsi"/>
          <w:sz w:val="16"/>
          <w:szCs w:val="16"/>
        </w:rPr>
        <w:noBreakHyphen/>
        <w:t xml:space="preserve">legal support, legal advices, and legal task services.  This indicator does not include website page views, which reflected a huge increase from 102,000 in 2019-20 to 182,000 in 2020-21. </w:t>
      </w:r>
    </w:p>
    <w:p w14:paraId="103144C8" w14:textId="3F2A900F" w:rsidR="00B55EED" w:rsidRPr="008C695C" w:rsidRDefault="00B55EED" w:rsidP="00494A57">
      <w:pPr>
        <w:pStyle w:val="Normal5"/>
        <w:numPr>
          <w:ilvl w:val="0"/>
          <w:numId w:val="69"/>
        </w:numPr>
        <w:spacing w:before="120" w:after="120"/>
        <w:contextualSpacing/>
        <w:rPr>
          <w:rFonts w:asciiTheme="minorHAnsi" w:hAnsiTheme="minorHAnsi" w:cstheme="minorHAnsi"/>
          <w:sz w:val="16"/>
          <w:szCs w:val="16"/>
        </w:rPr>
      </w:pPr>
      <w:r w:rsidRPr="005E3B44">
        <w:rPr>
          <w:rFonts w:asciiTheme="minorHAnsi" w:hAnsiTheme="minorHAnsi" w:cstheme="minorHAnsi"/>
          <w:sz w:val="16"/>
          <w:szCs w:val="16"/>
        </w:rPr>
        <w:t xml:space="preserve">Duty lawyer services are legal services provided at a court or tribunal to people who would otherwise be unrepresented in relation to an event or proceeding on that day. Duty Lawyer services consist of advising the person, and in appropriate circumstances appearing on their behalf, in relation to the proceeding or event. </w:t>
      </w:r>
    </w:p>
    <w:p w14:paraId="216A051C" w14:textId="4152607F" w:rsidR="00B55EED" w:rsidRPr="008C695C" w:rsidRDefault="00B55EED" w:rsidP="00494A57">
      <w:pPr>
        <w:pStyle w:val="Normal5"/>
        <w:numPr>
          <w:ilvl w:val="0"/>
          <w:numId w:val="69"/>
        </w:numPr>
        <w:spacing w:before="120"/>
        <w:contextualSpacing/>
        <w:rPr>
          <w:rFonts w:asciiTheme="minorHAnsi" w:hAnsiTheme="minorHAnsi" w:cstheme="minorHAnsi"/>
          <w:sz w:val="16"/>
          <w:szCs w:val="16"/>
        </w:rPr>
      </w:pPr>
      <w:r w:rsidRPr="005E3B44">
        <w:rPr>
          <w:rFonts w:asciiTheme="minorHAnsi" w:hAnsiTheme="minorHAnsi" w:cstheme="minorHAnsi"/>
          <w:sz w:val="16"/>
          <w:szCs w:val="16"/>
        </w:rPr>
        <w:t xml:space="preserve">This indicator collates the number of legal assistance services provided for the ongoing representation of people at courts/tribunals, in dispute resolution processes and where the carriage of the matter requires ongoing casework assistance. </w:t>
      </w:r>
    </w:p>
    <w:p w14:paraId="346B93F8" w14:textId="29C94FA0" w:rsidR="00B55EED" w:rsidRPr="008C695C" w:rsidRDefault="00B55EED" w:rsidP="00494A57">
      <w:pPr>
        <w:pStyle w:val="Normal5"/>
        <w:numPr>
          <w:ilvl w:val="0"/>
          <w:numId w:val="69"/>
        </w:numPr>
        <w:spacing w:before="120"/>
        <w:contextualSpacing/>
        <w:rPr>
          <w:rFonts w:asciiTheme="minorHAnsi" w:hAnsiTheme="minorHAnsi" w:cstheme="minorHAnsi"/>
          <w:sz w:val="16"/>
          <w:szCs w:val="16"/>
        </w:rPr>
      </w:pPr>
      <w:r w:rsidRPr="005E3B44">
        <w:rPr>
          <w:rFonts w:asciiTheme="minorHAnsi" w:hAnsiTheme="minorHAnsi" w:cstheme="minorHAnsi"/>
          <w:sz w:val="16"/>
          <w:szCs w:val="16"/>
        </w:rPr>
        <w:t xml:space="preserve">This indicator collates the number of specific processes undertaken that are aimed at resolving disputes without going to court. </w:t>
      </w:r>
    </w:p>
    <w:p w14:paraId="1E1870A1" w14:textId="77777777" w:rsidR="00B55EED" w:rsidRPr="005E3B44" w:rsidRDefault="00B55EED" w:rsidP="00494A57">
      <w:pPr>
        <w:pStyle w:val="Normal5"/>
        <w:numPr>
          <w:ilvl w:val="0"/>
          <w:numId w:val="69"/>
        </w:numPr>
        <w:spacing w:before="120"/>
        <w:contextualSpacing/>
        <w:rPr>
          <w:rFonts w:asciiTheme="minorHAnsi" w:hAnsiTheme="minorHAnsi" w:cstheme="minorHAnsi"/>
          <w:sz w:val="16"/>
          <w:szCs w:val="16"/>
        </w:rPr>
      </w:pPr>
      <w:r w:rsidRPr="005E3B44">
        <w:rPr>
          <w:rFonts w:asciiTheme="minorHAnsi" w:hAnsiTheme="minorHAnsi" w:cstheme="minorHAnsi"/>
          <w:sz w:val="16"/>
          <w:szCs w:val="16"/>
        </w:rPr>
        <w:t xml:space="preserve">This indicator collates the number of educational resources produced and the number of activities undertaken. </w:t>
      </w:r>
    </w:p>
    <w:p w14:paraId="2AA59AAB" w14:textId="77777777" w:rsidR="00B55EED" w:rsidRPr="005E3B44" w:rsidRDefault="00B55EED" w:rsidP="00494A57">
      <w:pPr>
        <w:pStyle w:val="Normal5"/>
        <w:spacing w:before="120"/>
        <w:ind w:left="360"/>
        <w:contextualSpacing/>
        <w:rPr>
          <w:rFonts w:asciiTheme="minorHAnsi" w:hAnsiTheme="minorHAnsi" w:cstheme="minorHAnsi"/>
          <w:sz w:val="16"/>
          <w:szCs w:val="16"/>
        </w:rPr>
      </w:pPr>
    </w:p>
    <w:p w14:paraId="2E2B6538" w14:textId="77777777" w:rsidR="00B55EED" w:rsidRPr="005E3B44" w:rsidRDefault="00B55EED" w:rsidP="00B55EED">
      <w:pPr>
        <w:pStyle w:val="Normal5"/>
        <w:rPr>
          <w:rFonts w:asciiTheme="minorHAnsi" w:hAnsiTheme="minorHAnsi" w:cstheme="minorHAnsi"/>
          <w:color w:val="FF0000"/>
        </w:rPr>
      </w:pPr>
      <w:r w:rsidRPr="005E3B44">
        <w:rPr>
          <w:rFonts w:asciiTheme="minorHAnsi" w:hAnsiTheme="minorHAnsi" w:cstheme="minorHAnsi"/>
          <w:color w:val="FF0000"/>
        </w:rPr>
        <w:t xml:space="preserve"> </w:t>
      </w:r>
    </w:p>
    <w:p w14:paraId="51D6D9AD" w14:textId="77777777" w:rsidR="00B55EED" w:rsidRPr="005E3B44" w:rsidRDefault="00B55EED" w:rsidP="00B55EED">
      <w:pPr>
        <w:pStyle w:val="Heading2"/>
        <w:pageBreakBefore/>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lastRenderedPageBreak/>
        <w:t>Changes to Appropriation</w:t>
      </w:r>
    </w:p>
    <w:p w14:paraId="3A69B4DD" w14:textId="77777777" w:rsidR="00B55EED" w:rsidRPr="005E3B44" w:rsidRDefault="00B55EED" w:rsidP="00B55EED">
      <w:pPr>
        <w:pStyle w:val="Caption"/>
        <w:rPr>
          <w:rFonts w:asciiTheme="minorHAnsi" w:hAnsiTheme="minorHAnsi" w:cstheme="minorHAnsi"/>
          <w:color w:val="auto"/>
          <w:bdr w:val="none" w:sz="0" w:space="0" w:color="auto" w:frame="1"/>
        </w:rPr>
      </w:pPr>
      <w:r w:rsidRPr="005E3B44">
        <w:rPr>
          <w:rFonts w:asciiTheme="minorHAnsi" w:hAnsiTheme="minorHAnsi" w:cstheme="minorHAnsi"/>
          <w:color w:val="auto"/>
          <w:bdr w:val="none" w:sz="0" w:space="0" w:color="auto" w:frame="1"/>
        </w:rPr>
        <w:t>Table 5: Changes to appropriation –</w:t>
      </w:r>
      <w:r w:rsidRPr="005E3B44">
        <w:rPr>
          <w:rFonts w:asciiTheme="minorHAnsi" w:hAnsiTheme="minorHAnsi" w:cstheme="minorHAnsi"/>
          <w:color w:val="auto"/>
          <w:szCs w:val="20"/>
          <w:bdr w:val="none" w:sz="0" w:space="0" w:color="auto" w:frame="1"/>
        </w:rPr>
        <w:t xml:space="preserve"> </w:t>
      </w:r>
      <w:r w:rsidRPr="005E3B44">
        <w:rPr>
          <w:rFonts w:asciiTheme="minorHAnsi" w:hAnsiTheme="minorHAnsi" w:cstheme="minorHAnsi"/>
          <w:color w:val="auto"/>
          <w:bdr w:val="none" w:sz="0" w:space="0" w:color="auto" w:frame="1"/>
        </w:rPr>
        <w:t>Controlled Recurrent Payments</w:t>
      </w:r>
    </w:p>
    <w:p w14:paraId="044C5529" w14:textId="77777777" w:rsidR="00B55EED" w:rsidRPr="005E3B44" w:rsidRDefault="00B55EED" w:rsidP="00B55EED">
      <w:pPr>
        <w:pStyle w:val="Normal3"/>
        <w:rPr>
          <w:rFonts w:asciiTheme="minorHAnsi" w:hAnsiTheme="minorHAnsi" w:cstheme="minorHAnsi"/>
        </w:rPr>
      </w:pP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B55EED" w:rsidRPr="005E3B44" w14:paraId="6D052B8C" w14:textId="77777777" w:rsidTr="00B55EED">
        <w:trPr>
          <w:trHeight w:val="990"/>
        </w:trPr>
        <w:tc>
          <w:tcPr>
            <w:tcW w:w="4800" w:type="dxa"/>
            <w:tcBorders>
              <w:top w:val="single" w:sz="12" w:space="0" w:color="000000"/>
              <w:left w:val="nil"/>
              <w:bottom w:val="single" w:sz="12" w:space="0" w:color="000000"/>
              <w:right w:val="nil"/>
            </w:tcBorders>
            <w:noWrap/>
            <w:tcMar>
              <w:top w:w="0" w:type="dxa"/>
              <w:left w:w="0" w:type="dxa"/>
              <w:bottom w:w="0" w:type="dxa"/>
              <w:right w:w="0" w:type="dxa"/>
            </w:tcMar>
            <w:vAlign w:val="bottom"/>
          </w:tcPr>
          <w:p w14:paraId="7F6BB55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62180A2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2020-21 Interim Outcome</w:t>
            </w:r>
          </w:p>
          <w:p w14:paraId="4F4AE55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074E2783"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2021-22 Budget</w:t>
            </w:r>
          </w:p>
          <w:p w14:paraId="5C4E7054"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48383902"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2FEFCA2F"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2022-23 Estimate</w:t>
            </w:r>
          </w:p>
          <w:p w14:paraId="1D2C395B"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44A10816"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70C01E63"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2023-24 Estimate</w:t>
            </w:r>
          </w:p>
          <w:p w14:paraId="155AB979"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548A1406"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502F0571"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2024-25 Estimate</w:t>
            </w:r>
          </w:p>
          <w:p w14:paraId="36F0A308"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48AB41B9"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r>
      <w:tr w:rsidR="00B55EED" w:rsidRPr="005E3B44" w14:paraId="5A3DF863" w14:textId="77777777" w:rsidTr="00B55EED">
        <w:trPr>
          <w:trHeight w:hRule="exact" w:val="255"/>
        </w:trPr>
        <w:tc>
          <w:tcPr>
            <w:tcW w:w="4800" w:type="dxa"/>
            <w:tcBorders>
              <w:top w:val="single" w:sz="12" w:space="0" w:color="000000"/>
              <w:left w:val="nil"/>
              <w:bottom w:val="nil"/>
              <w:right w:val="nil"/>
            </w:tcBorders>
            <w:noWrap/>
            <w:tcMar>
              <w:top w:w="0" w:type="dxa"/>
              <w:left w:w="0" w:type="dxa"/>
              <w:bottom w:w="0" w:type="dxa"/>
              <w:right w:w="0" w:type="dxa"/>
            </w:tcMar>
            <w:vAlign w:val="bottom"/>
          </w:tcPr>
          <w:p w14:paraId="7A6495C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7FD3510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68D77F7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2E42961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4B847BE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3491D8FC"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7D6F1248" w14:textId="77777777" w:rsidTr="00B55EED">
        <w:trPr>
          <w:trHeight w:hRule="exact" w:val="240"/>
        </w:trPr>
        <w:tc>
          <w:tcPr>
            <w:tcW w:w="4800" w:type="dxa"/>
            <w:noWrap/>
            <w:tcMar>
              <w:top w:w="0" w:type="dxa"/>
              <w:left w:w="0" w:type="dxa"/>
              <w:bottom w:w="0" w:type="dxa"/>
              <w:right w:w="0" w:type="dxa"/>
            </w:tcMar>
            <w:vAlign w:val="bottom"/>
          </w:tcPr>
          <w:p w14:paraId="166EDAB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35C85AE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6254C01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685905B8"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3A3D50D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5D541323"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3736D4E8" w14:textId="77777777" w:rsidTr="00B55EED">
        <w:trPr>
          <w:trHeight w:hRule="exact" w:val="240"/>
        </w:trPr>
        <w:tc>
          <w:tcPr>
            <w:tcW w:w="4800" w:type="dxa"/>
            <w:noWrap/>
            <w:tcMar>
              <w:top w:w="0" w:type="dxa"/>
              <w:left w:w="101" w:type="dxa"/>
              <w:bottom w:w="0" w:type="dxa"/>
              <w:right w:w="101" w:type="dxa"/>
            </w:tcMar>
            <w:vAlign w:val="bottom"/>
            <w:hideMark/>
          </w:tcPr>
          <w:p w14:paraId="291D5BEE"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2020-21 Budget</w:t>
            </w:r>
          </w:p>
        </w:tc>
        <w:tc>
          <w:tcPr>
            <w:tcW w:w="1035" w:type="dxa"/>
            <w:noWrap/>
            <w:tcMar>
              <w:top w:w="0" w:type="dxa"/>
              <w:left w:w="101" w:type="dxa"/>
              <w:bottom w:w="0" w:type="dxa"/>
              <w:right w:w="101" w:type="dxa"/>
            </w:tcMar>
            <w:vAlign w:val="bottom"/>
            <w:hideMark/>
          </w:tcPr>
          <w:p w14:paraId="665C7208" w14:textId="5D3C481A"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14</w:t>
            </w:r>
            <w:r w:rsidR="00F46B57">
              <w:rPr>
                <w:rFonts w:asciiTheme="minorHAnsi" w:eastAsia="Calibri" w:hAnsiTheme="minorHAnsi" w:cstheme="minorHAnsi"/>
                <w:color w:val="000000"/>
                <w:sz w:val="18"/>
                <w:szCs w:val="24"/>
                <w:lang w:eastAsia="en-AU"/>
              </w:rPr>
              <w:t>,</w:t>
            </w:r>
            <w:r w:rsidRPr="005E3B44">
              <w:rPr>
                <w:rFonts w:asciiTheme="minorHAnsi" w:eastAsia="Calibri" w:hAnsiTheme="minorHAnsi" w:cstheme="minorHAnsi"/>
                <w:color w:val="000000"/>
                <w:sz w:val="18"/>
                <w:szCs w:val="24"/>
                <w:lang w:eastAsia="en-AU"/>
              </w:rPr>
              <w:t>408</w:t>
            </w:r>
          </w:p>
        </w:tc>
        <w:tc>
          <w:tcPr>
            <w:tcW w:w="1035" w:type="dxa"/>
            <w:noWrap/>
            <w:tcMar>
              <w:top w:w="0" w:type="dxa"/>
              <w:left w:w="101" w:type="dxa"/>
              <w:bottom w:w="0" w:type="dxa"/>
              <w:right w:w="101" w:type="dxa"/>
            </w:tcMar>
            <w:vAlign w:val="bottom"/>
            <w:hideMark/>
          </w:tcPr>
          <w:p w14:paraId="038F7C12" w14:textId="6CA6FD63"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14</w:t>
            </w:r>
            <w:r w:rsidR="00F46B57">
              <w:rPr>
                <w:rFonts w:asciiTheme="minorHAnsi" w:eastAsia="Calibri" w:hAnsiTheme="minorHAnsi" w:cstheme="minorHAnsi"/>
                <w:color w:val="000000"/>
                <w:sz w:val="18"/>
                <w:szCs w:val="24"/>
                <w:lang w:eastAsia="en-AU"/>
              </w:rPr>
              <w:t>,</w:t>
            </w:r>
            <w:r w:rsidRPr="005E3B44">
              <w:rPr>
                <w:rFonts w:asciiTheme="minorHAnsi" w:eastAsia="Calibri" w:hAnsiTheme="minorHAnsi" w:cstheme="minorHAnsi"/>
                <w:color w:val="000000"/>
                <w:sz w:val="18"/>
                <w:szCs w:val="24"/>
                <w:lang w:eastAsia="en-AU"/>
              </w:rPr>
              <w:t>408</w:t>
            </w:r>
          </w:p>
        </w:tc>
        <w:tc>
          <w:tcPr>
            <w:tcW w:w="1035" w:type="dxa"/>
            <w:noWrap/>
            <w:tcMar>
              <w:top w:w="0" w:type="dxa"/>
              <w:left w:w="101" w:type="dxa"/>
              <w:bottom w:w="0" w:type="dxa"/>
              <w:right w:w="101" w:type="dxa"/>
            </w:tcMar>
            <w:vAlign w:val="bottom"/>
            <w:hideMark/>
          </w:tcPr>
          <w:p w14:paraId="329765E1" w14:textId="5D53A70A"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13</w:t>
            </w:r>
            <w:r w:rsidR="00F46B57">
              <w:rPr>
                <w:rFonts w:asciiTheme="minorHAnsi" w:eastAsia="Calibri" w:hAnsiTheme="minorHAnsi" w:cstheme="minorHAnsi"/>
                <w:color w:val="000000"/>
                <w:sz w:val="18"/>
                <w:szCs w:val="24"/>
                <w:lang w:eastAsia="en-AU"/>
              </w:rPr>
              <w:t>,</w:t>
            </w:r>
            <w:r w:rsidRPr="005E3B44">
              <w:rPr>
                <w:rFonts w:asciiTheme="minorHAnsi" w:eastAsia="Calibri" w:hAnsiTheme="minorHAnsi" w:cstheme="minorHAnsi"/>
                <w:color w:val="000000"/>
                <w:sz w:val="18"/>
                <w:szCs w:val="24"/>
                <w:lang w:eastAsia="en-AU"/>
              </w:rPr>
              <w:t>891</w:t>
            </w:r>
          </w:p>
        </w:tc>
        <w:tc>
          <w:tcPr>
            <w:tcW w:w="1035" w:type="dxa"/>
            <w:noWrap/>
            <w:tcMar>
              <w:top w:w="0" w:type="dxa"/>
              <w:left w:w="101" w:type="dxa"/>
              <w:bottom w:w="0" w:type="dxa"/>
              <w:right w:w="101" w:type="dxa"/>
            </w:tcMar>
            <w:vAlign w:val="bottom"/>
            <w:hideMark/>
          </w:tcPr>
          <w:p w14:paraId="752C2A13" w14:textId="6D3C1002"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14</w:t>
            </w:r>
            <w:r w:rsidR="00F46B57">
              <w:rPr>
                <w:rFonts w:asciiTheme="minorHAnsi" w:eastAsia="Calibri" w:hAnsiTheme="minorHAnsi" w:cstheme="minorHAnsi"/>
                <w:color w:val="000000"/>
                <w:sz w:val="18"/>
                <w:szCs w:val="24"/>
                <w:lang w:eastAsia="en-AU"/>
              </w:rPr>
              <w:t>,</w:t>
            </w:r>
            <w:r w:rsidRPr="005E3B44">
              <w:rPr>
                <w:rFonts w:asciiTheme="minorHAnsi" w:eastAsia="Calibri" w:hAnsiTheme="minorHAnsi" w:cstheme="minorHAnsi"/>
                <w:color w:val="000000"/>
                <w:sz w:val="18"/>
                <w:szCs w:val="24"/>
                <w:lang w:eastAsia="en-AU"/>
              </w:rPr>
              <w:t>101</w:t>
            </w:r>
          </w:p>
        </w:tc>
        <w:tc>
          <w:tcPr>
            <w:tcW w:w="1035" w:type="dxa"/>
            <w:noWrap/>
            <w:tcMar>
              <w:top w:w="0" w:type="dxa"/>
              <w:left w:w="101" w:type="dxa"/>
              <w:bottom w:w="0" w:type="dxa"/>
              <w:right w:w="101" w:type="dxa"/>
            </w:tcMar>
            <w:vAlign w:val="bottom"/>
            <w:hideMark/>
          </w:tcPr>
          <w:p w14:paraId="3A5703BA" w14:textId="343F13B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14</w:t>
            </w:r>
            <w:r w:rsidR="00B224AF">
              <w:rPr>
                <w:rFonts w:asciiTheme="minorHAnsi" w:eastAsia="Calibri" w:hAnsiTheme="minorHAnsi" w:cstheme="minorHAnsi"/>
                <w:color w:val="000000"/>
                <w:sz w:val="18"/>
                <w:szCs w:val="24"/>
                <w:lang w:eastAsia="en-AU"/>
              </w:rPr>
              <w:t>,</w:t>
            </w:r>
            <w:r w:rsidRPr="005E3B44">
              <w:rPr>
                <w:rFonts w:asciiTheme="minorHAnsi" w:eastAsia="Calibri" w:hAnsiTheme="minorHAnsi" w:cstheme="minorHAnsi"/>
                <w:color w:val="000000"/>
                <w:sz w:val="18"/>
                <w:szCs w:val="24"/>
                <w:lang w:eastAsia="en-AU"/>
              </w:rPr>
              <w:t>101</w:t>
            </w:r>
          </w:p>
        </w:tc>
      </w:tr>
      <w:tr w:rsidR="00B55EED" w:rsidRPr="005E3B44" w14:paraId="68EC3467" w14:textId="77777777" w:rsidTr="00B55EED">
        <w:trPr>
          <w:trHeight w:hRule="exact" w:val="240"/>
        </w:trPr>
        <w:tc>
          <w:tcPr>
            <w:tcW w:w="4800" w:type="dxa"/>
            <w:noWrap/>
            <w:tcMar>
              <w:top w:w="0" w:type="dxa"/>
              <w:left w:w="0" w:type="dxa"/>
              <w:bottom w:w="0" w:type="dxa"/>
              <w:right w:w="0" w:type="dxa"/>
            </w:tcMar>
            <w:vAlign w:val="bottom"/>
          </w:tcPr>
          <w:p w14:paraId="4D92960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0B9385C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357F21D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69412D8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047DB09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64ECBBC4"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7F454F9E" w14:textId="77777777" w:rsidTr="00B55EED">
        <w:trPr>
          <w:trHeight w:val="240"/>
        </w:trPr>
        <w:tc>
          <w:tcPr>
            <w:tcW w:w="4800" w:type="dxa"/>
            <w:tcMar>
              <w:top w:w="0" w:type="dxa"/>
              <w:left w:w="101" w:type="dxa"/>
              <w:bottom w:w="0" w:type="dxa"/>
              <w:right w:w="101" w:type="dxa"/>
            </w:tcMar>
            <w:vAlign w:val="bottom"/>
            <w:hideMark/>
          </w:tcPr>
          <w:p w14:paraId="48A34A54"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2021-22 Budget Policy Decisions</w:t>
            </w:r>
          </w:p>
        </w:tc>
        <w:tc>
          <w:tcPr>
            <w:tcW w:w="1035" w:type="dxa"/>
            <w:noWrap/>
            <w:tcMar>
              <w:top w:w="0" w:type="dxa"/>
              <w:left w:w="0" w:type="dxa"/>
              <w:bottom w:w="0" w:type="dxa"/>
              <w:right w:w="0" w:type="dxa"/>
            </w:tcMar>
            <w:vAlign w:val="bottom"/>
          </w:tcPr>
          <w:p w14:paraId="3B675C78"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07534D46"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21C83C91"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19C83AC1"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3182BACE" w14:textId="77777777" w:rsidR="00B55EED" w:rsidRPr="005E3B44" w:rsidRDefault="00B55EED">
            <w:pPr>
              <w:spacing w:before="0" w:after="0"/>
              <w:rPr>
                <w:rFonts w:asciiTheme="minorHAnsi" w:eastAsia="Calibri" w:hAnsiTheme="minorHAnsi" w:cstheme="minorHAnsi"/>
                <w:color w:val="FFFFFF"/>
                <w:sz w:val="18"/>
                <w:szCs w:val="24"/>
                <w:lang w:eastAsia="en-AU"/>
              </w:rPr>
            </w:pPr>
          </w:p>
        </w:tc>
      </w:tr>
      <w:tr w:rsidR="00B55EED" w:rsidRPr="005E3B44" w14:paraId="071466E6" w14:textId="77777777" w:rsidTr="00B55EED">
        <w:trPr>
          <w:trHeight w:val="240"/>
        </w:trPr>
        <w:tc>
          <w:tcPr>
            <w:tcW w:w="4800" w:type="dxa"/>
            <w:tcMar>
              <w:top w:w="0" w:type="dxa"/>
              <w:left w:w="101" w:type="dxa"/>
              <w:bottom w:w="0" w:type="dxa"/>
              <w:right w:w="101" w:type="dxa"/>
            </w:tcMar>
            <w:hideMark/>
          </w:tcPr>
          <w:p w14:paraId="210C57FC" w14:textId="77777777" w:rsidR="00B55EED" w:rsidRPr="005E3B44" w:rsidRDefault="00B55EED" w:rsidP="008C695C">
            <w:pPr>
              <w:spacing w:before="0" w:after="0"/>
              <w:ind w:left="181" w:hanging="181"/>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Community Sector Partnerships - Better justice support for vulnerable Canberrans</w:t>
            </w:r>
          </w:p>
        </w:tc>
        <w:tc>
          <w:tcPr>
            <w:tcW w:w="1035" w:type="dxa"/>
            <w:noWrap/>
            <w:tcMar>
              <w:top w:w="0" w:type="dxa"/>
              <w:left w:w="101" w:type="dxa"/>
              <w:bottom w:w="0" w:type="dxa"/>
              <w:right w:w="101" w:type="dxa"/>
            </w:tcMar>
            <w:hideMark/>
          </w:tcPr>
          <w:p w14:paraId="7198347D" w14:textId="26ADDC5A" w:rsidR="00B55EED" w:rsidRPr="005E3B44" w:rsidRDefault="008C695C">
            <w:pPr>
              <w:spacing w:before="0" w:after="0"/>
              <w:jc w:val="right"/>
              <w:rPr>
                <w:rFonts w:asciiTheme="minorHAnsi" w:eastAsia="Calibri" w:hAnsiTheme="minorHAnsi" w:cstheme="minorHAnsi"/>
                <w:color w:val="000000"/>
                <w:sz w:val="18"/>
                <w:szCs w:val="24"/>
                <w:lang w:eastAsia="en-AU"/>
              </w:rPr>
            </w:pPr>
            <w:r>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7722865C" w14:textId="14823376"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w:t>
            </w:r>
            <w:r w:rsidR="00627F78">
              <w:rPr>
                <w:rFonts w:asciiTheme="minorHAnsi" w:eastAsia="Calibri" w:hAnsiTheme="minorHAnsi" w:cstheme="minorHAnsi"/>
                <w:color w:val="000000"/>
                <w:sz w:val="18"/>
                <w:szCs w:val="24"/>
                <w:lang w:eastAsia="en-AU"/>
              </w:rPr>
              <w:t>,</w:t>
            </w:r>
            <w:r w:rsidRPr="005E3B44">
              <w:rPr>
                <w:rFonts w:asciiTheme="minorHAnsi" w:eastAsia="Calibri" w:hAnsiTheme="minorHAnsi" w:cstheme="minorHAnsi"/>
                <w:color w:val="000000"/>
                <w:sz w:val="18"/>
                <w:szCs w:val="24"/>
                <w:lang w:eastAsia="en-AU"/>
              </w:rPr>
              <w:t>342</w:t>
            </w:r>
          </w:p>
        </w:tc>
        <w:tc>
          <w:tcPr>
            <w:tcW w:w="1035" w:type="dxa"/>
            <w:noWrap/>
            <w:tcMar>
              <w:top w:w="0" w:type="dxa"/>
              <w:left w:w="101" w:type="dxa"/>
              <w:bottom w:w="0" w:type="dxa"/>
              <w:right w:w="101" w:type="dxa"/>
            </w:tcMar>
            <w:hideMark/>
          </w:tcPr>
          <w:p w14:paraId="0289677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956</w:t>
            </w:r>
          </w:p>
        </w:tc>
        <w:tc>
          <w:tcPr>
            <w:tcW w:w="1035" w:type="dxa"/>
            <w:noWrap/>
            <w:tcMar>
              <w:top w:w="0" w:type="dxa"/>
              <w:left w:w="101" w:type="dxa"/>
              <w:bottom w:w="0" w:type="dxa"/>
              <w:right w:w="101" w:type="dxa"/>
            </w:tcMar>
            <w:hideMark/>
          </w:tcPr>
          <w:p w14:paraId="6C5222C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106</w:t>
            </w:r>
          </w:p>
        </w:tc>
        <w:tc>
          <w:tcPr>
            <w:tcW w:w="1035" w:type="dxa"/>
            <w:noWrap/>
            <w:tcMar>
              <w:top w:w="0" w:type="dxa"/>
              <w:left w:w="101" w:type="dxa"/>
              <w:bottom w:w="0" w:type="dxa"/>
              <w:right w:w="101" w:type="dxa"/>
            </w:tcMar>
            <w:hideMark/>
          </w:tcPr>
          <w:p w14:paraId="260E20F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109</w:t>
            </w:r>
          </w:p>
        </w:tc>
      </w:tr>
      <w:tr w:rsidR="008C695C" w:rsidRPr="005E3B44" w14:paraId="29F6FAEE" w14:textId="77777777" w:rsidTr="00B55EED">
        <w:trPr>
          <w:trHeight w:val="240"/>
        </w:trPr>
        <w:tc>
          <w:tcPr>
            <w:tcW w:w="4800" w:type="dxa"/>
            <w:tcMar>
              <w:top w:w="0" w:type="dxa"/>
              <w:left w:w="101" w:type="dxa"/>
              <w:bottom w:w="0" w:type="dxa"/>
              <w:right w:w="101" w:type="dxa"/>
            </w:tcMar>
            <w:hideMark/>
          </w:tcPr>
          <w:p w14:paraId="34BC48FE"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Streamlining court proceedings</w:t>
            </w:r>
          </w:p>
        </w:tc>
        <w:tc>
          <w:tcPr>
            <w:tcW w:w="1035" w:type="dxa"/>
            <w:noWrap/>
            <w:tcMar>
              <w:top w:w="0" w:type="dxa"/>
              <w:left w:w="101" w:type="dxa"/>
              <w:bottom w:w="0" w:type="dxa"/>
              <w:right w:w="101" w:type="dxa"/>
            </w:tcMar>
            <w:hideMark/>
          </w:tcPr>
          <w:p w14:paraId="3648FE08" w14:textId="039A36FB"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D7BCE">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294656DE"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100</w:t>
            </w:r>
          </w:p>
        </w:tc>
        <w:tc>
          <w:tcPr>
            <w:tcW w:w="1035" w:type="dxa"/>
            <w:noWrap/>
            <w:tcMar>
              <w:top w:w="0" w:type="dxa"/>
              <w:left w:w="101" w:type="dxa"/>
              <w:bottom w:w="0" w:type="dxa"/>
              <w:right w:w="101" w:type="dxa"/>
            </w:tcMar>
            <w:hideMark/>
          </w:tcPr>
          <w:p w14:paraId="0A7F53F3" w14:textId="46A90B0B"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62052">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51C447D3" w14:textId="5E1F7874"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62052">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72044C7B" w14:textId="03151D40"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62052">
              <w:rPr>
                <w:rFonts w:asciiTheme="minorHAnsi" w:eastAsia="Calibri" w:hAnsiTheme="minorHAnsi" w:cstheme="minorHAnsi"/>
                <w:color w:val="000000"/>
                <w:sz w:val="18"/>
                <w:szCs w:val="24"/>
                <w:lang w:eastAsia="en-AU"/>
              </w:rPr>
              <w:t>-</w:t>
            </w:r>
          </w:p>
        </w:tc>
      </w:tr>
      <w:tr w:rsidR="008C695C" w:rsidRPr="005E3B44" w14:paraId="4AB2ED0A" w14:textId="77777777" w:rsidTr="00B55EED">
        <w:trPr>
          <w:trHeight w:val="238"/>
        </w:trPr>
        <w:tc>
          <w:tcPr>
            <w:tcW w:w="4800" w:type="dxa"/>
            <w:tcMar>
              <w:top w:w="0" w:type="dxa"/>
              <w:left w:w="101" w:type="dxa"/>
              <w:bottom w:w="0" w:type="dxa"/>
              <w:right w:w="101" w:type="dxa"/>
            </w:tcMar>
            <w:hideMark/>
          </w:tcPr>
          <w:p w14:paraId="030533D6"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 xml:space="preserve">Dedicated Coroners Court for the ACT </w:t>
            </w:r>
          </w:p>
        </w:tc>
        <w:tc>
          <w:tcPr>
            <w:tcW w:w="1035" w:type="dxa"/>
            <w:noWrap/>
            <w:tcMar>
              <w:top w:w="0" w:type="dxa"/>
              <w:left w:w="101" w:type="dxa"/>
              <w:bottom w:w="0" w:type="dxa"/>
              <w:right w:w="101" w:type="dxa"/>
            </w:tcMar>
            <w:hideMark/>
          </w:tcPr>
          <w:p w14:paraId="79A25522" w14:textId="6D538EA6"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D7BCE">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63A8E2A0"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92</w:t>
            </w:r>
          </w:p>
        </w:tc>
        <w:tc>
          <w:tcPr>
            <w:tcW w:w="1035" w:type="dxa"/>
            <w:noWrap/>
            <w:tcMar>
              <w:top w:w="0" w:type="dxa"/>
              <w:left w:w="101" w:type="dxa"/>
              <w:bottom w:w="0" w:type="dxa"/>
              <w:right w:w="101" w:type="dxa"/>
            </w:tcMar>
            <w:hideMark/>
          </w:tcPr>
          <w:p w14:paraId="610B0CD5" w14:textId="150F334D"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62052">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7FF8391E" w14:textId="1BDE5121"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62052">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70B429C2" w14:textId="64462EBF"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62052">
              <w:rPr>
                <w:rFonts w:asciiTheme="minorHAnsi" w:eastAsia="Calibri" w:hAnsiTheme="minorHAnsi" w:cstheme="minorHAnsi"/>
                <w:color w:val="000000"/>
                <w:sz w:val="18"/>
                <w:szCs w:val="24"/>
                <w:lang w:eastAsia="en-AU"/>
              </w:rPr>
              <w:t>-</w:t>
            </w:r>
          </w:p>
        </w:tc>
      </w:tr>
      <w:tr w:rsidR="008C695C" w:rsidRPr="005E3B44" w14:paraId="427005C1" w14:textId="77777777" w:rsidTr="00B55EED">
        <w:trPr>
          <w:trHeight w:val="240"/>
        </w:trPr>
        <w:tc>
          <w:tcPr>
            <w:tcW w:w="4800" w:type="dxa"/>
            <w:tcMar>
              <w:top w:w="0" w:type="dxa"/>
              <w:left w:w="101" w:type="dxa"/>
              <w:bottom w:w="0" w:type="dxa"/>
              <w:right w:w="101" w:type="dxa"/>
            </w:tcMar>
            <w:hideMark/>
          </w:tcPr>
          <w:p w14:paraId="4D3C7252"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Drug and Alcohol Court – more support</w:t>
            </w:r>
          </w:p>
        </w:tc>
        <w:tc>
          <w:tcPr>
            <w:tcW w:w="1035" w:type="dxa"/>
            <w:noWrap/>
            <w:tcMar>
              <w:top w:w="0" w:type="dxa"/>
              <w:left w:w="101" w:type="dxa"/>
              <w:bottom w:w="0" w:type="dxa"/>
              <w:right w:w="101" w:type="dxa"/>
            </w:tcMar>
            <w:hideMark/>
          </w:tcPr>
          <w:p w14:paraId="22FA9DE4" w14:textId="0DB60072"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D7BCE">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0387EF1A"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250</w:t>
            </w:r>
          </w:p>
        </w:tc>
        <w:tc>
          <w:tcPr>
            <w:tcW w:w="1035" w:type="dxa"/>
            <w:noWrap/>
            <w:tcMar>
              <w:top w:w="0" w:type="dxa"/>
              <w:left w:w="101" w:type="dxa"/>
              <w:bottom w:w="0" w:type="dxa"/>
              <w:right w:w="101" w:type="dxa"/>
            </w:tcMar>
            <w:hideMark/>
          </w:tcPr>
          <w:p w14:paraId="10EC5F90"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256</w:t>
            </w:r>
          </w:p>
        </w:tc>
        <w:tc>
          <w:tcPr>
            <w:tcW w:w="1035" w:type="dxa"/>
            <w:noWrap/>
            <w:tcMar>
              <w:top w:w="0" w:type="dxa"/>
              <w:left w:w="101" w:type="dxa"/>
              <w:bottom w:w="0" w:type="dxa"/>
              <w:right w:w="101" w:type="dxa"/>
            </w:tcMar>
            <w:hideMark/>
          </w:tcPr>
          <w:p w14:paraId="571AC3BE" w14:textId="1C6AD4A8"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E18F0">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38D44536" w14:textId="022BAD34"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E18F0">
              <w:rPr>
                <w:rFonts w:asciiTheme="minorHAnsi" w:eastAsia="Calibri" w:hAnsiTheme="minorHAnsi" w:cstheme="minorHAnsi"/>
                <w:color w:val="000000"/>
                <w:sz w:val="18"/>
                <w:szCs w:val="24"/>
                <w:lang w:eastAsia="en-AU"/>
              </w:rPr>
              <w:t>-</w:t>
            </w:r>
          </w:p>
        </w:tc>
      </w:tr>
      <w:tr w:rsidR="008C695C" w:rsidRPr="005E3B44" w14:paraId="3C1434B2" w14:textId="77777777" w:rsidTr="00B55EED">
        <w:trPr>
          <w:trHeight w:val="240"/>
        </w:trPr>
        <w:tc>
          <w:tcPr>
            <w:tcW w:w="4800" w:type="dxa"/>
            <w:tcMar>
              <w:top w:w="0" w:type="dxa"/>
              <w:left w:w="101" w:type="dxa"/>
              <w:bottom w:w="0" w:type="dxa"/>
              <w:right w:w="101" w:type="dxa"/>
            </w:tcMar>
            <w:hideMark/>
          </w:tcPr>
          <w:p w14:paraId="5E998E7C"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Therapeutic Care Court - continuation</w:t>
            </w:r>
          </w:p>
        </w:tc>
        <w:tc>
          <w:tcPr>
            <w:tcW w:w="1035" w:type="dxa"/>
            <w:noWrap/>
            <w:tcMar>
              <w:top w:w="0" w:type="dxa"/>
              <w:left w:w="101" w:type="dxa"/>
              <w:bottom w:w="0" w:type="dxa"/>
              <w:right w:w="101" w:type="dxa"/>
            </w:tcMar>
            <w:hideMark/>
          </w:tcPr>
          <w:p w14:paraId="43FC0EED" w14:textId="02998460"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D7BCE">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37D578CF"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299</w:t>
            </w:r>
          </w:p>
        </w:tc>
        <w:tc>
          <w:tcPr>
            <w:tcW w:w="1035" w:type="dxa"/>
            <w:noWrap/>
            <w:tcMar>
              <w:top w:w="0" w:type="dxa"/>
              <w:left w:w="101" w:type="dxa"/>
              <w:bottom w:w="0" w:type="dxa"/>
              <w:right w:w="101" w:type="dxa"/>
            </w:tcMar>
            <w:hideMark/>
          </w:tcPr>
          <w:p w14:paraId="13886775"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304</w:t>
            </w:r>
          </w:p>
        </w:tc>
        <w:tc>
          <w:tcPr>
            <w:tcW w:w="1035" w:type="dxa"/>
            <w:noWrap/>
            <w:tcMar>
              <w:top w:w="0" w:type="dxa"/>
              <w:left w:w="101" w:type="dxa"/>
              <w:bottom w:w="0" w:type="dxa"/>
              <w:right w:w="101" w:type="dxa"/>
            </w:tcMar>
            <w:hideMark/>
          </w:tcPr>
          <w:p w14:paraId="72F5A734" w14:textId="73E8857A"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E18F0">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551C5C77" w14:textId="044CCB6B"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CE18F0">
              <w:rPr>
                <w:rFonts w:asciiTheme="minorHAnsi" w:eastAsia="Calibri" w:hAnsiTheme="minorHAnsi" w:cstheme="minorHAnsi"/>
                <w:color w:val="000000"/>
                <w:sz w:val="18"/>
                <w:szCs w:val="24"/>
                <w:lang w:eastAsia="en-AU"/>
              </w:rPr>
              <w:t>-</w:t>
            </w:r>
          </w:p>
        </w:tc>
      </w:tr>
      <w:tr w:rsidR="00B55EED" w:rsidRPr="005E3B44" w14:paraId="3482CEF4" w14:textId="77777777" w:rsidTr="00B55EED">
        <w:trPr>
          <w:trHeight w:val="240"/>
        </w:trPr>
        <w:tc>
          <w:tcPr>
            <w:tcW w:w="4800" w:type="dxa"/>
            <w:tcMar>
              <w:top w:w="0" w:type="dxa"/>
              <w:left w:w="0" w:type="dxa"/>
              <w:bottom w:w="0" w:type="dxa"/>
              <w:right w:w="0" w:type="dxa"/>
            </w:tcMar>
            <w:vAlign w:val="bottom"/>
          </w:tcPr>
          <w:p w14:paraId="6E3666F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38198E9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4780F85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39C53E7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5EFA088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noWrap/>
            <w:tcMar>
              <w:top w:w="0" w:type="dxa"/>
              <w:left w:w="0" w:type="dxa"/>
              <w:bottom w:w="0" w:type="dxa"/>
              <w:right w:w="0" w:type="dxa"/>
            </w:tcMar>
            <w:vAlign w:val="bottom"/>
          </w:tcPr>
          <w:p w14:paraId="39275208"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01127C13" w14:textId="77777777" w:rsidTr="00B55EED">
        <w:trPr>
          <w:trHeight w:val="240"/>
        </w:trPr>
        <w:tc>
          <w:tcPr>
            <w:tcW w:w="4800" w:type="dxa"/>
            <w:tcMar>
              <w:top w:w="0" w:type="dxa"/>
              <w:left w:w="101" w:type="dxa"/>
              <w:bottom w:w="0" w:type="dxa"/>
              <w:right w:w="101" w:type="dxa"/>
            </w:tcMar>
            <w:vAlign w:val="bottom"/>
            <w:hideMark/>
          </w:tcPr>
          <w:p w14:paraId="194A3C83"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2021-22 Budget Technical Adjustments</w:t>
            </w:r>
          </w:p>
        </w:tc>
        <w:tc>
          <w:tcPr>
            <w:tcW w:w="1035" w:type="dxa"/>
            <w:noWrap/>
            <w:tcMar>
              <w:top w:w="0" w:type="dxa"/>
              <w:left w:w="0" w:type="dxa"/>
              <w:bottom w:w="0" w:type="dxa"/>
              <w:right w:w="0" w:type="dxa"/>
            </w:tcMar>
            <w:vAlign w:val="bottom"/>
          </w:tcPr>
          <w:p w14:paraId="50002736"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30ED103F"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1194FB42"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1B77D990"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noWrap/>
            <w:tcMar>
              <w:top w:w="0" w:type="dxa"/>
              <w:left w:w="0" w:type="dxa"/>
              <w:bottom w:w="0" w:type="dxa"/>
              <w:right w:w="0" w:type="dxa"/>
            </w:tcMar>
            <w:vAlign w:val="bottom"/>
          </w:tcPr>
          <w:p w14:paraId="5FE220D5" w14:textId="77777777" w:rsidR="00B55EED" w:rsidRPr="005E3B44" w:rsidRDefault="00B55EED">
            <w:pPr>
              <w:spacing w:before="0" w:after="0"/>
              <w:rPr>
                <w:rFonts w:asciiTheme="minorHAnsi" w:eastAsia="Calibri" w:hAnsiTheme="minorHAnsi" w:cstheme="minorHAnsi"/>
                <w:color w:val="FFFFFF"/>
                <w:sz w:val="18"/>
                <w:szCs w:val="24"/>
                <w:lang w:eastAsia="en-AU"/>
              </w:rPr>
            </w:pPr>
          </w:p>
        </w:tc>
      </w:tr>
      <w:tr w:rsidR="008C695C" w:rsidRPr="005E3B44" w14:paraId="157C8001" w14:textId="77777777" w:rsidTr="00B55EED">
        <w:trPr>
          <w:trHeight w:val="238"/>
        </w:trPr>
        <w:tc>
          <w:tcPr>
            <w:tcW w:w="4800" w:type="dxa"/>
            <w:tcMar>
              <w:top w:w="0" w:type="dxa"/>
              <w:left w:w="101" w:type="dxa"/>
              <w:bottom w:w="0" w:type="dxa"/>
              <w:right w:w="101" w:type="dxa"/>
            </w:tcMar>
            <w:hideMark/>
          </w:tcPr>
          <w:p w14:paraId="3D2E9F92"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Appropriation transfer for intellectual property licensing</w:t>
            </w:r>
          </w:p>
        </w:tc>
        <w:tc>
          <w:tcPr>
            <w:tcW w:w="1035" w:type="dxa"/>
            <w:noWrap/>
            <w:tcMar>
              <w:top w:w="0" w:type="dxa"/>
              <w:left w:w="101" w:type="dxa"/>
              <w:bottom w:w="0" w:type="dxa"/>
              <w:right w:w="101" w:type="dxa"/>
            </w:tcMar>
            <w:hideMark/>
          </w:tcPr>
          <w:p w14:paraId="40AC867F" w14:textId="393C7952"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17490C">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35B08F01"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w:t>
            </w:r>
          </w:p>
        </w:tc>
        <w:tc>
          <w:tcPr>
            <w:tcW w:w="1035" w:type="dxa"/>
            <w:noWrap/>
            <w:tcMar>
              <w:top w:w="0" w:type="dxa"/>
              <w:left w:w="101" w:type="dxa"/>
              <w:bottom w:w="0" w:type="dxa"/>
              <w:right w:w="101" w:type="dxa"/>
            </w:tcMar>
            <w:hideMark/>
          </w:tcPr>
          <w:p w14:paraId="516ADD2C"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w:t>
            </w:r>
          </w:p>
        </w:tc>
        <w:tc>
          <w:tcPr>
            <w:tcW w:w="1035" w:type="dxa"/>
            <w:noWrap/>
            <w:tcMar>
              <w:top w:w="0" w:type="dxa"/>
              <w:left w:w="101" w:type="dxa"/>
              <w:bottom w:w="0" w:type="dxa"/>
              <w:right w:w="101" w:type="dxa"/>
            </w:tcMar>
            <w:hideMark/>
          </w:tcPr>
          <w:p w14:paraId="0BB3C996"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w:t>
            </w:r>
          </w:p>
        </w:tc>
        <w:tc>
          <w:tcPr>
            <w:tcW w:w="1035" w:type="dxa"/>
            <w:noWrap/>
            <w:tcMar>
              <w:top w:w="0" w:type="dxa"/>
              <w:left w:w="101" w:type="dxa"/>
              <w:bottom w:w="0" w:type="dxa"/>
              <w:right w:w="101" w:type="dxa"/>
            </w:tcMar>
            <w:hideMark/>
          </w:tcPr>
          <w:p w14:paraId="0B4948DA"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w:t>
            </w:r>
          </w:p>
        </w:tc>
      </w:tr>
      <w:tr w:rsidR="008C695C" w:rsidRPr="005E3B44" w14:paraId="30D00324" w14:textId="77777777" w:rsidTr="00B55EED">
        <w:trPr>
          <w:trHeight w:val="240"/>
        </w:trPr>
        <w:tc>
          <w:tcPr>
            <w:tcW w:w="4800" w:type="dxa"/>
            <w:tcMar>
              <w:top w:w="0" w:type="dxa"/>
              <w:left w:w="101" w:type="dxa"/>
              <w:bottom w:w="0" w:type="dxa"/>
              <w:right w:w="101" w:type="dxa"/>
            </w:tcMar>
            <w:hideMark/>
          </w:tcPr>
          <w:p w14:paraId="644771AA"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National Legal Assistance Partnership variation</w:t>
            </w:r>
          </w:p>
        </w:tc>
        <w:tc>
          <w:tcPr>
            <w:tcW w:w="1035" w:type="dxa"/>
            <w:noWrap/>
            <w:tcMar>
              <w:top w:w="0" w:type="dxa"/>
              <w:left w:w="101" w:type="dxa"/>
              <w:bottom w:w="0" w:type="dxa"/>
              <w:right w:w="101" w:type="dxa"/>
            </w:tcMar>
            <w:hideMark/>
          </w:tcPr>
          <w:p w14:paraId="23E075A7" w14:textId="0A34B694"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17490C">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750E5AE9" w14:textId="394A0800"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906F46">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42C29547" w14:textId="13B44D48"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4A76AA">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3DE5AFB7" w14:textId="79C15E35"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4A76AA">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2F92E10A"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68</w:t>
            </w:r>
          </w:p>
        </w:tc>
      </w:tr>
      <w:tr w:rsidR="008C695C" w:rsidRPr="005E3B44" w14:paraId="09A5162D" w14:textId="77777777" w:rsidTr="00B55EED">
        <w:trPr>
          <w:trHeight w:val="240"/>
        </w:trPr>
        <w:tc>
          <w:tcPr>
            <w:tcW w:w="4800" w:type="dxa"/>
            <w:tcMar>
              <w:top w:w="0" w:type="dxa"/>
              <w:left w:w="101" w:type="dxa"/>
              <w:bottom w:w="0" w:type="dxa"/>
              <w:right w:w="101" w:type="dxa"/>
            </w:tcMar>
            <w:hideMark/>
          </w:tcPr>
          <w:p w14:paraId="371552FF"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Family Advocacy and Support Services - extension</w:t>
            </w:r>
          </w:p>
        </w:tc>
        <w:tc>
          <w:tcPr>
            <w:tcW w:w="1035" w:type="dxa"/>
            <w:noWrap/>
            <w:tcMar>
              <w:top w:w="0" w:type="dxa"/>
              <w:left w:w="101" w:type="dxa"/>
              <w:bottom w:w="0" w:type="dxa"/>
              <w:right w:w="101" w:type="dxa"/>
            </w:tcMar>
            <w:hideMark/>
          </w:tcPr>
          <w:p w14:paraId="481DCF16" w14:textId="5DA36B4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17490C">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3A9E5FA6" w14:textId="6E813008"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906F46">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68C84948"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897</w:t>
            </w:r>
          </w:p>
        </w:tc>
        <w:tc>
          <w:tcPr>
            <w:tcW w:w="1035" w:type="dxa"/>
            <w:noWrap/>
            <w:tcMar>
              <w:top w:w="0" w:type="dxa"/>
              <w:left w:w="101" w:type="dxa"/>
              <w:bottom w:w="0" w:type="dxa"/>
              <w:right w:w="101" w:type="dxa"/>
            </w:tcMar>
            <w:hideMark/>
          </w:tcPr>
          <w:p w14:paraId="66B03129"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916</w:t>
            </w:r>
          </w:p>
        </w:tc>
        <w:tc>
          <w:tcPr>
            <w:tcW w:w="1035" w:type="dxa"/>
            <w:noWrap/>
            <w:tcMar>
              <w:top w:w="0" w:type="dxa"/>
              <w:left w:w="101" w:type="dxa"/>
              <w:bottom w:w="0" w:type="dxa"/>
              <w:right w:w="101" w:type="dxa"/>
            </w:tcMar>
            <w:hideMark/>
          </w:tcPr>
          <w:p w14:paraId="105AE237"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937</w:t>
            </w:r>
          </w:p>
        </w:tc>
      </w:tr>
      <w:tr w:rsidR="008C695C" w:rsidRPr="005E3B44" w14:paraId="7844D101" w14:textId="77777777" w:rsidTr="00B55EED">
        <w:trPr>
          <w:trHeight w:val="240"/>
        </w:trPr>
        <w:tc>
          <w:tcPr>
            <w:tcW w:w="4800" w:type="dxa"/>
            <w:tcMar>
              <w:top w:w="0" w:type="dxa"/>
              <w:left w:w="101" w:type="dxa"/>
              <w:bottom w:w="0" w:type="dxa"/>
              <w:right w:w="101" w:type="dxa"/>
            </w:tcMar>
            <w:hideMark/>
          </w:tcPr>
          <w:p w14:paraId="1D5066AF"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Revised Indexation Parameters</w:t>
            </w:r>
          </w:p>
        </w:tc>
        <w:tc>
          <w:tcPr>
            <w:tcW w:w="1035" w:type="dxa"/>
            <w:noWrap/>
            <w:tcMar>
              <w:top w:w="0" w:type="dxa"/>
              <w:left w:w="101" w:type="dxa"/>
              <w:bottom w:w="0" w:type="dxa"/>
              <w:right w:w="101" w:type="dxa"/>
            </w:tcMar>
            <w:hideMark/>
          </w:tcPr>
          <w:p w14:paraId="3080131A" w14:textId="7218E709"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17490C">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3C69A9E2" w14:textId="7A630C43"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906F46">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3CA709FC" w14:textId="4B821A31"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E53E04">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6F36DBF1" w14:textId="2D9F4633"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E53E04">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26A08CC3"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105</w:t>
            </w:r>
          </w:p>
        </w:tc>
      </w:tr>
      <w:tr w:rsidR="008C695C" w:rsidRPr="005E3B44" w14:paraId="218CB876" w14:textId="77777777" w:rsidTr="00B55EED">
        <w:trPr>
          <w:trHeight w:val="240"/>
        </w:trPr>
        <w:tc>
          <w:tcPr>
            <w:tcW w:w="4800" w:type="dxa"/>
            <w:tcMar>
              <w:top w:w="0" w:type="dxa"/>
              <w:left w:w="101" w:type="dxa"/>
              <w:bottom w:w="0" w:type="dxa"/>
              <w:right w:w="101" w:type="dxa"/>
            </w:tcMar>
            <w:hideMark/>
          </w:tcPr>
          <w:p w14:paraId="03130E1A" w14:textId="77777777" w:rsidR="008C695C" w:rsidRPr="005E3B44" w:rsidRDefault="008C695C" w:rsidP="008C695C">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Revised Superannuation Parameters</w:t>
            </w:r>
          </w:p>
        </w:tc>
        <w:tc>
          <w:tcPr>
            <w:tcW w:w="1035" w:type="dxa"/>
            <w:noWrap/>
            <w:tcMar>
              <w:top w:w="0" w:type="dxa"/>
              <w:left w:w="101" w:type="dxa"/>
              <w:bottom w:w="0" w:type="dxa"/>
              <w:right w:w="101" w:type="dxa"/>
            </w:tcMar>
            <w:hideMark/>
          </w:tcPr>
          <w:p w14:paraId="0D109CF1" w14:textId="5EBE0911"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17490C">
              <w:rPr>
                <w:rFonts w:asciiTheme="minorHAnsi" w:eastAsia="Calibri" w:hAnsiTheme="minorHAnsi" w:cstheme="minorHAnsi"/>
                <w:color w:val="000000"/>
                <w:sz w:val="18"/>
                <w:szCs w:val="24"/>
                <w:lang w:eastAsia="en-AU"/>
              </w:rPr>
              <w:t>-</w:t>
            </w:r>
          </w:p>
        </w:tc>
        <w:tc>
          <w:tcPr>
            <w:tcW w:w="1035" w:type="dxa"/>
            <w:noWrap/>
            <w:tcMar>
              <w:top w:w="0" w:type="dxa"/>
              <w:left w:w="101" w:type="dxa"/>
              <w:bottom w:w="0" w:type="dxa"/>
              <w:right w:w="101" w:type="dxa"/>
            </w:tcMar>
            <w:hideMark/>
          </w:tcPr>
          <w:p w14:paraId="51618472"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-47</w:t>
            </w:r>
          </w:p>
        </w:tc>
        <w:tc>
          <w:tcPr>
            <w:tcW w:w="1035" w:type="dxa"/>
            <w:noWrap/>
            <w:tcMar>
              <w:top w:w="0" w:type="dxa"/>
              <w:left w:w="101" w:type="dxa"/>
              <w:bottom w:w="0" w:type="dxa"/>
              <w:right w:w="101" w:type="dxa"/>
            </w:tcMar>
            <w:hideMark/>
          </w:tcPr>
          <w:p w14:paraId="2522F168"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3</w:t>
            </w:r>
          </w:p>
        </w:tc>
        <w:tc>
          <w:tcPr>
            <w:tcW w:w="1035" w:type="dxa"/>
            <w:noWrap/>
            <w:tcMar>
              <w:top w:w="0" w:type="dxa"/>
              <w:left w:w="101" w:type="dxa"/>
              <w:bottom w:w="0" w:type="dxa"/>
              <w:right w:w="101" w:type="dxa"/>
            </w:tcMar>
            <w:hideMark/>
          </w:tcPr>
          <w:p w14:paraId="4893F1D5"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17</w:t>
            </w:r>
          </w:p>
        </w:tc>
        <w:tc>
          <w:tcPr>
            <w:tcW w:w="1035" w:type="dxa"/>
            <w:noWrap/>
            <w:tcMar>
              <w:top w:w="0" w:type="dxa"/>
              <w:left w:w="101" w:type="dxa"/>
              <w:bottom w:w="0" w:type="dxa"/>
              <w:right w:w="101" w:type="dxa"/>
            </w:tcMar>
            <w:hideMark/>
          </w:tcPr>
          <w:p w14:paraId="6EB1440E" w14:textId="77777777" w:rsidR="008C695C" w:rsidRPr="005E3B44" w:rsidRDefault="008C695C" w:rsidP="008C695C">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6</w:t>
            </w:r>
          </w:p>
        </w:tc>
      </w:tr>
      <w:tr w:rsidR="00B55EED" w:rsidRPr="005E3B44" w14:paraId="08322237" w14:textId="77777777" w:rsidTr="00B55EED">
        <w:trPr>
          <w:trHeight w:hRule="exact" w:val="255"/>
        </w:trPr>
        <w:tc>
          <w:tcPr>
            <w:tcW w:w="4800" w:type="dxa"/>
            <w:tcBorders>
              <w:top w:val="nil"/>
              <w:left w:val="nil"/>
              <w:bottom w:val="single" w:sz="8" w:space="0" w:color="000000"/>
              <w:right w:val="nil"/>
            </w:tcBorders>
            <w:noWrap/>
            <w:tcMar>
              <w:top w:w="0" w:type="dxa"/>
              <w:left w:w="0" w:type="dxa"/>
              <w:bottom w:w="0" w:type="dxa"/>
              <w:right w:w="0" w:type="dxa"/>
            </w:tcMar>
            <w:vAlign w:val="bottom"/>
          </w:tcPr>
          <w:p w14:paraId="2E8D459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cBorders>
            <w:noWrap/>
            <w:tcMar>
              <w:top w:w="0" w:type="dxa"/>
              <w:left w:w="0" w:type="dxa"/>
              <w:bottom w:w="0" w:type="dxa"/>
              <w:right w:w="0" w:type="dxa"/>
            </w:tcMar>
            <w:vAlign w:val="bottom"/>
          </w:tcPr>
          <w:p w14:paraId="7CB3403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cBorders>
            <w:noWrap/>
            <w:tcMar>
              <w:top w:w="0" w:type="dxa"/>
              <w:left w:w="0" w:type="dxa"/>
              <w:bottom w:w="0" w:type="dxa"/>
              <w:right w:w="0" w:type="dxa"/>
            </w:tcMar>
            <w:vAlign w:val="bottom"/>
          </w:tcPr>
          <w:p w14:paraId="03B45F9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cBorders>
            <w:noWrap/>
            <w:tcMar>
              <w:top w:w="0" w:type="dxa"/>
              <w:left w:w="0" w:type="dxa"/>
              <w:bottom w:w="0" w:type="dxa"/>
              <w:right w:w="0" w:type="dxa"/>
            </w:tcMar>
            <w:vAlign w:val="bottom"/>
          </w:tcPr>
          <w:p w14:paraId="39C31DC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cBorders>
            <w:noWrap/>
            <w:tcMar>
              <w:top w:w="0" w:type="dxa"/>
              <w:left w:w="0" w:type="dxa"/>
              <w:bottom w:w="0" w:type="dxa"/>
              <w:right w:w="0" w:type="dxa"/>
            </w:tcMar>
            <w:vAlign w:val="bottom"/>
          </w:tcPr>
          <w:p w14:paraId="0D5B69C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cBorders>
            <w:noWrap/>
            <w:tcMar>
              <w:top w:w="0" w:type="dxa"/>
              <w:left w:w="0" w:type="dxa"/>
              <w:bottom w:w="0" w:type="dxa"/>
              <w:right w:w="0" w:type="dxa"/>
            </w:tcMar>
            <w:vAlign w:val="bottom"/>
          </w:tcPr>
          <w:p w14:paraId="06F53655"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6C33707E" w14:textId="77777777" w:rsidTr="00B55EED">
        <w:trPr>
          <w:trHeight w:val="255"/>
        </w:trPr>
        <w:tc>
          <w:tcPr>
            <w:tcW w:w="4800" w:type="dxa"/>
            <w:tcBorders>
              <w:top w:val="single" w:sz="8" w:space="0" w:color="000000"/>
              <w:left w:val="nil"/>
              <w:bottom w:val="single" w:sz="8" w:space="0" w:color="000000"/>
              <w:right w:val="nil"/>
            </w:tcBorders>
            <w:tcMar>
              <w:top w:w="0" w:type="dxa"/>
              <w:left w:w="101" w:type="dxa"/>
              <w:bottom w:w="0" w:type="dxa"/>
              <w:right w:w="101" w:type="dxa"/>
            </w:tcMar>
            <w:vAlign w:val="bottom"/>
            <w:hideMark/>
          </w:tcPr>
          <w:p w14:paraId="06574877"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2021-22 Budget</w:t>
            </w:r>
          </w:p>
        </w:tc>
        <w:tc>
          <w:tcPr>
            <w:tcW w:w="1035" w:type="dxa"/>
            <w:tcBorders>
              <w:top w:val="single" w:sz="8" w:space="0" w:color="000000"/>
              <w:left w:val="nil"/>
              <w:bottom w:val="single" w:sz="8" w:space="0" w:color="000000"/>
              <w:right w:val="nil"/>
            </w:tcBorders>
            <w:noWrap/>
            <w:tcMar>
              <w:top w:w="0" w:type="dxa"/>
              <w:left w:w="101" w:type="dxa"/>
              <w:bottom w:w="0" w:type="dxa"/>
              <w:right w:w="101" w:type="dxa"/>
            </w:tcMar>
            <w:vAlign w:val="bottom"/>
            <w:hideMark/>
          </w:tcPr>
          <w:p w14:paraId="5D839E59" w14:textId="61FCF45B"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14</w:t>
            </w:r>
            <w:r w:rsidR="00B224AF">
              <w:rPr>
                <w:rFonts w:asciiTheme="minorHAnsi" w:eastAsia="Calibri" w:hAnsiTheme="minorHAnsi" w:cstheme="minorHAnsi"/>
                <w:b/>
                <w:color w:val="000000"/>
                <w:sz w:val="18"/>
                <w:szCs w:val="24"/>
                <w:lang w:eastAsia="en-AU"/>
              </w:rPr>
              <w:t>,</w:t>
            </w:r>
            <w:r w:rsidRPr="005E3B44">
              <w:rPr>
                <w:rFonts w:asciiTheme="minorHAnsi" w:eastAsia="Calibri" w:hAnsiTheme="minorHAnsi" w:cstheme="minorHAnsi"/>
                <w:b/>
                <w:color w:val="000000"/>
                <w:sz w:val="18"/>
                <w:szCs w:val="24"/>
                <w:lang w:eastAsia="en-AU"/>
              </w:rPr>
              <w:t>408</w:t>
            </w:r>
          </w:p>
        </w:tc>
        <w:tc>
          <w:tcPr>
            <w:tcW w:w="1035" w:type="dxa"/>
            <w:tcBorders>
              <w:top w:val="single" w:sz="8" w:space="0" w:color="000000"/>
              <w:left w:val="nil"/>
              <w:bottom w:val="single" w:sz="8" w:space="0" w:color="000000"/>
              <w:right w:val="nil"/>
            </w:tcBorders>
            <w:noWrap/>
            <w:tcMar>
              <w:top w:w="0" w:type="dxa"/>
              <w:left w:w="101" w:type="dxa"/>
              <w:bottom w:w="0" w:type="dxa"/>
              <w:right w:w="101" w:type="dxa"/>
            </w:tcMar>
            <w:vAlign w:val="bottom"/>
            <w:hideMark/>
          </w:tcPr>
          <w:p w14:paraId="1D5EA11D" w14:textId="403733A1"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16</w:t>
            </w:r>
            <w:r w:rsidR="00B224AF">
              <w:rPr>
                <w:rFonts w:asciiTheme="minorHAnsi" w:eastAsia="Calibri" w:hAnsiTheme="minorHAnsi" w:cstheme="minorHAnsi"/>
                <w:b/>
                <w:color w:val="000000"/>
                <w:sz w:val="18"/>
                <w:szCs w:val="24"/>
                <w:lang w:eastAsia="en-AU"/>
              </w:rPr>
              <w:t>,</w:t>
            </w:r>
            <w:r w:rsidRPr="005E3B44">
              <w:rPr>
                <w:rFonts w:asciiTheme="minorHAnsi" w:eastAsia="Calibri" w:hAnsiTheme="minorHAnsi" w:cstheme="minorHAnsi"/>
                <w:b/>
                <w:color w:val="000000"/>
                <w:sz w:val="18"/>
                <w:szCs w:val="24"/>
                <w:lang w:eastAsia="en-AU"/>
              </w:rPr>
              <w:t>443</w:t>
            </w:r>
          </w:p>
        </w:tc>
        <w:tc>
          <w:tcPr>
            <w:tcW w:w="1035" w:type="dxa"/>
            <w:tcBorders>
              <w:top w:val="single" w:sz="8" w:space="0" w:color="000000"/>
              <w:left w:val="nil"/>
              <w:bottom w:val="single" w:sz="8" w:space="0" w:color="000000"/>
              <w:right w:val="nil"/>
            </w:tcBorders>
            <w:noWrap/>
            <w:tcMar>
              <w:top w:w="0" w:type="dxa"/>
              <w:left w:w="101" w:type="dxa"/>
              <w:bottom w:w="0" w:type="dxa"/>
              <w:right w:w="101" w:type="dxa"/>
            </w:tcMar>
            <w:vAlign w:val="bottom"/>
            <w:hideMark/>
          </w:tcPr>
          <w:p w14:paraId="525794C6" w14:textId="20C488E6"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16</w:t>
            </w:r>
            <w:r w:rsidR="00B224AF">
              <w:rPr>
                <w:rFonts w:asciiTheme="minorHAnsi" w:eastAsia="Calibri" w:hAnsiTheme="minorHAnsi" w:cstheme="minorHAnsi"/>
                <w:b/>
                <w:color w:val="000000"/>
                <w:sz w:val="18"/>
                <w:szCs w:val="24"/>
                <w:lang w:eastAsia="en-AU"/>
              </w:rPr>
              <w:t>,</w:t>
            </w:r>
            <w:r w:rsidRPr="005E3B44">
              <w:rPr>
                <w:rFonts w:asciiTheme="minorHAnsi" w:eastAsia="Calibri" w:hAnsiTheme="minorHAnsi" w:cstheme="minorHAnsi"/>
                <w:b/>
                <w:color w:val="000000"/>
                <w:sz w:val="18"/>
                <w:szCs w:val="24"/>
                <w:lang w:eastAsia="en-AU"/>
              </w:rPr>
              <w:t>306</w:t>
            </w:r>
          </w:p>
        </w:tc>
        <w:tc>
          <w:tcPr>
            <w:tcW w:w="1035" w:type="dxa"/>
            <w:tcBorders>
              <w:top w:val="single" w:sz="8" w:space="0" w:color="000000"/>
              <w:left w:val="nil"/>
              <w:bottom w:val="single" w:sz="8" w:space="0" w:color="000000"/>
              <w:right w:val="nil"/>
            </w:tcBorders>
            <w:noWrap/>
            <w:tcMar>
              <w:top w:w="0" w:type="dxa"/>
              <w:left w:w="101" w:type="dxa"/>
              <w:bottom w:w="0" w:type="dxa"/>
              <w:right w:w="101" w:type="dxa"/>
            </w:tcMar>
            <w:vAlign w:val="bottom"/>
            <w:hideMark/>
          </w:tcPr>
          <w:p w14:paraId="04F35576" w14:textId="2EC49820"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15</w:t>
            </w:r>
            <w:r w:rsidR="00B224AF">
              <w:rPr>
                <w:rFonts w:asciiTheme="minorHAnsi" w:eastAsia="Calibri" w:hAnsiTheme="minorHAnsi" w:cstheme="minorHAnsi"/>
                <w:b/>
                <w:color w:val="000000"/>
                <w:sz w:val="18"/>
                <w:szCs w:val="24"/>
                <w:lang w:eastAsia="en-AU"/>
              </w:rPr>
              <w:t>,</w:t>
            </w:r>
            <w:r w:rsidRPr="005E3B44">
              <w:rPr>
                <w:rFonts w:asciiTheme="minorHAnsi" w:eastAsia="Calibri" w:hAnsiTheme="minorHAnsi" w:cstheme="minorHAnsi"/>
                <w:b/>
                <w:color w:val="000000"/>
                <w:sz w:val="18"/>
                <w:szCs w:val="24"/>
                <w:lang w:eastAsia="en-AU"/>
              </w:rPr>
              <w:t>139</w:t>
            </w:r>
          </w:p>
        </w:tc>
        <w:tc>
          <w:tcPr>
            <w:tcW w:w="1035" w:type="dxa"/>
            <w:tcBorders>
              <w:top w:val="single" w:sz="8" w:space="0" w:color="000000"/>
              <w:left w:val="nil"/>
              <w:bottom w:val="single" w:sz="8" w:space="0" w:color="000000"/>
              <w:right w:val="nil"/>
            </w:tcBorders>
            <w:noWrap/>
            <w:tcMar>
              <w:top w:w="0" w:type="dxa"/>
              <w:left w:w="101" w:type="dxa"/>
              <w:bottom w:w="0" w:type="dxa"/>
              <w:right w:w="101" w:type="dxa"/>
            </w:tcMar>
            <w:vAlign w:val="bottom"/>
            <w:hideMark/>
          </w:tcPr>
          <w:p w14:paraId="06224811" w14:textId="470CE2C9"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15</w:t>
            </w:r>
            <w:r w:rsidR="00B224AF">
              <w:rPr>
                <w:rFonts w:asciiTheme="minorHAnsi" w:eastAsia="Calibri" w:hAnsiTheme="minorHAnsi" w:cstheme="minorHAnsi"/>
                <w:b/>
                <w:color w:val="000000"/>
                <w:sz w:val="18"/>
                <w:szCs w:val="24"/>
                <w:lang w:eastAsia="en-AU"/>
              </w:rPr>
              <w:t>,</w:t>
            </w:r>
            <w:r w:rsidRPr="005E3B44">
              <w:rPr>
                <w:rFonts w:asciiTheme="minorHAnsi" w:eastAsia="Calibri" w:hAnsiTheme="minorHAnsi" w:cstheme="minorHAnsi"/>
                <w:b/>
                <w:color w:val="000000"/>
                <w:sz w:val="18"/>
                <w:szCs w:val="24"/>
                <w:lang w:eastAsia="en-AU"/>
              </w:rPr>
              <w:t>325</w:t>
            </w:r>
          </w:p>
        </w:tc>
      </w:tr>
    </w:tbl>
    <w:p w14:paraId="0C6F7415" w14:textId="77777777" w:rsidR="00B55EED" w:rsidRPr="005E3B44" w:rsidRDefault="00B55EED" w:rsidP="00B55EED">
      <w:pPr>
        <w:rPr>
          <w:rFonts w:asciiTheme="minorHAnsi" w:hAnsiTheme="minorHAnsi" w:cstheme="minorHAnsi"/>
          <w:color w:val="FF0000"/>
        </w:rPr>
      </w:pPr>
    </w:p>
    <w:p w14:paraId="2AC50918" w14:textId="77777777" w:rsidR="00B55EED" w:rsidRPr="005E3B44" w:rsidRDefault="00B55EED" w:rsidP="00B55EED">
      <w:pPr>
        <w:rPr>
          <w:rFonts w:asciiTheme="minorHAnsi" w:hAnsiTheme="minorHAnsi" w:cstheme="minorHAnsi"/>
          <w:color w:val="FF0000"/>
        </w:rPr>
      </w:pPr>
    </w:p>
    <w:p w14:paraId="63FAB1C9" w14:textId="77777777" w:rsidR="00B55EED" w:rsidRPr="005E3B44" w:rsidRDefault="00B55EED" w:rsidP="00B55EED">
      <w:pPr>
        <w:pStyle w:val="NoSpacing2"/>
        <w:pageBreakBefore/>
        <w:rPr>
          <w:rFonts w:asciiTheme="minorHAnsi" w:hAnsiTheme="minorHAnsi" w:cstheme="minorHAnsi"/>
          <w:b/>
          <w:sz w:val="32"/>
          <w:szCs w:val="32"/>
        </w:rPr>
      </w:pPr>
      <w:bookmarkStart w:id="42" w:name="_Toc452127436"/>
      <w:bookmarkStart w:id="43" w:name="_Toc449517590"/>
      <w:bookmarkStart w:id="44" w:name="_Toc382989668"/>
      <w:bookmarkStart w:id="45" w:name="_Toc434844190"/>
      <w:bookmarkStart w:id="46" w:name="_Toc385349561"/>
      <w:bookmarkStart w:id="47" w:name="_Toc434844188"/>
      <w:r w:rsidRPr="005E3B44">
        <w:rPr>
          <w:rFonts w:asciiTheme="minorHAnsi" w:hAnsiTheme="minorHAnsi" w:cstheme="minorHAnsi"/>
          <w:b/>
          <w:sz w:val="32"/>
          <w:szCs w:val="32"/>
        </w:rPr>
        <w:lastRenderedPageBreak/>
        <w:t>Monitoring and reporting</w:t>
      </w:r>
      <w:bookmarkEnd w:id="42"/>
      <w:bookmarkEnd w:id="43"/>
      <w:bookmarkEnd w:id="44"/>
    </w:p>
    <w:p w14:paraId="23836495" w14:textId="77777777" w:rsidR="00B55EED" w:rsidRPr="005E3B44" w:rsidRDefault="00B55EED" w:rsidP="00B55EED">
      <w:pPr>
        <w:pStyle w:val="NoSpacing2"/>
        <w:rPr>
          <w:rFonts w:asciiTheme="minorHAnsi" w:hAnsiTheme="minorHAnsi" w:cstheme="minorHAnsi"/>
          <w:color w:val="FF0000"/>
        </w:rPr>
      </w:pPr>
    </w:p>
    <w:p w14:paraId="02B66593" w14:textId="77777777" w:rsidR="00B55EED" w:rsidRPr="005E3B44" w:rsidRDefault="00B55EED" w:rsidP="00B55EED">
      <w:pPr>
        <w:pStyle w:val="Normal6"/>
        <w:spacing w:before="0" w:after="0"/>
        <w:rPr>
          <w:rFonts w:asciiTheme="minorHAnsi" w:hAnsiTheme="minorHAnsi" w:cstheme="minorHAnsi"/>
          <w:b/>
          <w:bCs/>
          <w:szCs w:val="24"/>
        </w:rPr>
      </w:pPr>
      <w:bookmarkStart w:id="48" w:name="_Toc452127437"/>
      <w:bookmarkStart w:id="49" w:name="_Toc449517591"/>
      <w:r w:rsidRPr="005E3B44">
        <w:rPr>
          <w:rFonts w:asciiTheme="minorHAnsi" w:hAnsiTheme="minorHAnsi" w:cstheme="minorHAnsi"/>
          <w:szCs w:val="24"/>
        </w:rPr>
        <w:t>The Commission shall satisfy the requirements of the Chief Minister’s Annual Reports Directions.  The Commission’s Annual Report will, amongst other things, report against the requirements of this Statement of Intent.</w:t>
      </w:r>
    </w:p>
    <w:p w14:paraId="2A6369C8" w14:textId="77777777" w:rsidR="00B55EED" w:rsidRPr="005E3B44" w:rsidRDefault="00B55EED" w:rsidP="00B55EED">
      <w:pPr>
        <w:pStyle w:val="Normal6"/>
        <w:spacing w:before="0" w:after="0"/>
        <w:rPr>
          <w:rFonts w:asciiTheme="minorHAnsi" w:hAnsiTheme="minorHAnsi" w:cstheme="minorHAnsi"/>
          <w:szCs w:val="24"/>
        </w:rPr>
      </w:pPr>
    </w:p>
    <w:p w14:paraId="42DDEC09" w14:textId="77777777" w:rsidR="00B55EED" w:rsidRPr="005E3B44" w:rsidRDefault="00B55EED" w:rsidP="00B55EED">
      <w:pPr>
        <w:pStyle w:val="Normal6"/>
        <w:spacing w:before="0" w:after="0"/>
        <w:rPr>
          <w:rFonts w:asciiTheme="minorHAnsi" w:hAnsiTheme="minorHAnsi" w:cstheme="minorHAnsi"/>
          <w:szCs w:val="24"/>
        </w:rPr>
      </w:pPr>
      <w:r w:rsidRPr="005E3B44">
        <w:rPr>
          <w:rFonts w:asciiTheme="minorHAnsi" w:hAnsiTheme="minorHAnsi" w:cstheme="minorHAnsi"/>
          <w:szCs w:val="24"/>
        </w:rPr>
        <w:t xml:space="preserve">The </w:t>
      </w:r>
      <w:r w:rsidRPr="005E3B44">
        <w:rPr>
          <w:rFonts w:asciiTheme="minorHAnsi" w:hAnsiTheme="minorHAnsi" w:cstheme="minorHAnsi"/>
          <w:i/>
          <w:szCs w:val="24"/>
        </w:rPr>
        <w:t>Financial Management Act 1996</w:t>
      </w:r>
      <w:r w:rsidRPr="005E3B44">
        <w:rPr>
          <w:rFonts w:asciiTheme="minorHAnsi" w:hAnsiTheme="minorHAnsi" w:cstheme="minorHAnsi"/>
          <w:szCs w:val="24"/>
        </w:rPr>
        <w:t xml:space="preserve"> authorises the Treasurer to obtain financial and other statements from the Commission for a stated period including annual reporting.</w:t>
      </w:r>
    </w:p>
    <w:p w14:paraId="56B4DF99" w14:textId="77777777" w:rsidR="00B55EED" w:rsidRPr="005E3B44" w:rsidRDefault="00B55EED" w:rsidP="00B55EED">
      <w:pPr>
        <w:pStyle w:val="Normal6"/>
        <w:spacing w:before="0" w:after="0"/>
        <w:rPr>
          <w:rFonts w:asciiTheme="minorHAnsi" w:hAnsiTheme="minorHAnsi" w:cstheme="minorHAnsi"/>
          <w:b/>
          <w:bCs/>
          <w:szCs w:val="24"/>
        </w:rPr>
      </w:pPr>
    </w:p>
    <w:p w14:paraId="73F2D19C" w14:textId="77777777" w:rsidR="00B55EED" w:rsidRPr="005E3B44" w:rsidRDefault="00B55EED" w:rsidP="00B55EED">
      <w:pPr>
        <w:pStyle w:val="NoSpacing2"/>
        <w:rPr>
          <w:rFonts w:asciiTheme="minorHAnsi" w:hAnsiTheme="minorHAnsi" w:cstheme="minorHAnsi"/>
          <w:b/>
          <w:sz w:val="28"/>
          <w:szCs w:val="28"/>
        </w:rPr>
      </w:pPr>
      <w:bookmarkStart w:id="50" w:name="_Toc452127438"/>
      <w:bookmarkStart w:id="51" w:name="_Toc449517592"/>
      <w:bookmarkEnd w:id="48"/>
      <w:bookmarkEnd w:id="49"/>
      <w:r w:rsidRPr="005E3B44">
        <w:rPr>
          <w:rFonts w:asciiTheme="minorHAnsi" w:hAnsiTheme="minorHAnsi" w:cstheme="minorHAnsi"/>
          <w:b/>
          <w:sz w:val="28"/>
          <w:szCs w:val="28"/>
        </w:rPr>
        <w:t>Annual reporting</w:t>
      </w:r>
      <w:bookmarkEnd w:id="50"/>
      <w:bookmarkEnd w:id="51"/>
    </w:p>
    <w:p w14:paraId="4560567E" w14:textId="77777777" w:rsidR="00B55EED" w:rsidRPr="005E3B44" w:rsidRDefault="00B55EED" w:rsidP="00B55EED">
      <w:pPr>
        <w:pStyle w:val="Normal6"/>
        <w:rPr>
          <w:rFonts w:asciiTheme="minorHAnsi" w:hAnsiTheme="minorHAnsi" w:cstheme="minorHAnsi"/>
        </w:rPr>
      </w:pPr>
      <w:r w:rsidRPr="005E3B44">
        <w:rPr>
          <w:rFonts w:asciiTheme="minorHAnsi" w:hAnsiTheme="minorHAnsi" w:cstheme="minorHAnsi"/>
        </w:rPr>
        <w:t>As part of preparations for end of year reporting, Chief Minister, Treasury and Economic Development Directorate (CMTEDD) will advise the dates when the following documents are required at the CMTEDD and at the Auditor</w:t>
      </w:r>
      <w:r w:rsidRPr="005E3B44">
        <w:rPr>
          <w:rFonts w:asciiTheme="minorHAnsi" w:hAnsiTheme="minorHAnsi" w:cstheme="minorHAnsi"/>
        </w:rPr>
        <w:noBreakHyphen/>
        <w:t>General's Office:</w:t>
      </w:r>
    </w:p>
    <w:p w14:paraId="1BE2ED54" w14:textId="77777777" w:rsidR="00B55EED" w:rsidRPr="005E3B44" w:rsidRDefault="00B55EED" w:rsidP="00B55EED">
      <w:pPr>
        <w:pStyle w:val="ListParagraph1"/>
        <w:numPr>
          <w:ilvl w:val="0"/>
          <w:numId w:val="70"/>
        </w:numPr>
        <w:spacing w:before="0"/>
        <w:ind w:left="426" w:hanging="361"/>
        <w:rPr>
          <w:rFonts w:asciiTheme="minorHAnsi" w:hAnsiTheme="minorHAnsi" w:cstheme="minorHAnsi"/>
          <w:sz w:val="24"/>
        </w:rPr>
      </w:pPr>
      <w:r w:rsidRPr="005E3B44">
        <w:rPr>
          <w:rFonts w:asciiTheme="minorHAnsi" w:hAnsiTheme="minorHAnsi" w:cstheme="minorHAnsi"/>
          <w:sz w:val="24"/>
        </w:rPr>
        <w:t xml:space="preserve">certified financial </w:t>
      </w:r>
      <w:proofErr w:type="gramStart"/>
      <w:r w:rsidRPr="005E3B44">
        <w:rPr>
          <w:rFonts w:asciiTheme="minorHAnsi" w:hAnsiTheme="minorHAnsi" w:cstheme="minorHAnsi"/>
          <w:sz w:val="24"/>
        </w:rPr>
        <w:t>statements;</w:t>
      </w:r>
      <w:proofErr w:type="gramEnd"/>
    </w:p>
    <w:p w14:paraId="6BB762EA" w14:textId="77777777" w:rsidR="00B55EED" w:rsidRPr="005E3B44" w:rsidRDefault="00B55EED" w:rsidP="00B55EED">
      <w:pPr>
        <w:pStyle w:val="NoSpacing2"/>
        <w:rPr>
          <w:rFonts w:asciiTheme="minorHAnsi" w:hAnsiTheme="minorHAnsi" w:cstheme="minorHAnsi"/>
        </w:rPr>
      </w:pPr>
    </w:p>
    <w:p w14:paraId="755A9C12" w14:textId="77777777" w:rsidR="00B55EED" w:rsidRPr="005E3B44" w:rsidRDefault="00B55EED" w:rsidP="00B55EED">
      <w:pPr>
        <w:pStyle w:val="ListParagraph1"/>
        <w:numPr>
          <w:ilvl w:val="0"/>
          <w:numId w:val="70"/>
        </w:numPr>
        <w:spacing w:before="0"/>
        <w:ind w:left="426" w:hanging="361"/>
        <w:rPr>
          <w:rFonts w:asciiTheme="minorHAnsi" w:hAnsiTheme="minorHAnsi" w:cstheme="minorHAnsi"/>
          <w:sz w:val="24"/>
        </w:rPr>
      </w:pPr>
      <w:r w:rsidRPr="005E3B44">
        <w:rPr>
          <w:rFonts w:asciiTheme="minorHAnsi" w:hAnsiTheme="minorHAnsi" w:cstheme="minorHAnsi"/>
          <w:sz w:val="24"/>
        </w:rPr>
        <w:t xml:space="preserve">management discussion and </w:t>
      </w:r>
      <w:proofErr w:type="gramStart"/>
      <w:r w:rsidRPr="005E3B44">
        <w:rPr>
          <w:rFonts w:asciiTheme="minorHAnsi" w:hAnsiTheme="minorHAnsi" w:cstheme="minorHAnsi"/>
          <w:sz w:val="24"/>
        </w:rPr>
        <w:t>analysis;</w:t>
      </w:r>
      <w:proofErr w:type="gramEnd"/>
    </w:p>
    <w:p w14:paraId="3022627D" w14:textId="77777777" w:rsidR="00B55EED" w:rsidRPr="005E3B44" w:rsidRDefault="00B55EED" w:rsidP="00B55EED">
      <w:pPr>
        <w:pStyle w:val="NoSpacing2"/>
        <w:rPr>
          <w:rFonts w:asciiTheme="minorHAnsi" w:hAnsiTheme="minorHAnsi" w:cstheme="minorHAnsi"/>
          <w:szCs w:val="24"/>
        </w:rPr>
      </w:pPr>
    </w:p>
    <w:p w14:paraId="32292A4E" w14:textId="77777777" w:rsidR="00B55EED" w:rsidRPr="005E3B44" w:rsidRDefault="00B55EED" w:rsidP="00B55EED">
      <w:pPr>
        <w:pStyle w:val="ListParagraph1"/>
        <w:numPr>
          <w:ilvl w:val="0"/>
          <w:numId w:val="70"/>
        </w:numPr>
        <w:spacing w:before="0"/>
        <w:ind w:left="426" w:hanging="361"/>
        <w:rPr>
          <w:rFonts w:asciiTheme="minorHAnsi" w:hAnsiTheme="minorHAnsi" w:cstheme="minorHAnsi"/>
          <w:sz w:val="24"/>
        </w:rPr>
      </w:pPr>
      <w:r w:rsidRPr="005E3B44">
        <w:rPr>
          <w:rFonts w:asciiTheme="minorHAnsi" w:hAnsiTheme="minorHAnsi" w:cstheme="minorHAnsi"/>
          <w:sz w:val="24"/>
        </w:rPr>
        <w:t>a full and accurate set of audited financial records for the preceding financial year in the form requested; and</w:t>
      </w:r>
    </w:p>
    <w:p w14:paraId="7048C474" w14:textId="77777777" w:rsidR="00B55EED" w:rsidRPr="005E3B44" w:rsidRDefault="00B55EED" w:rsidP="00B55EED">
      <w:pPr>
        <w:pStyle w:val="NoSpacing10"/>
        <w:rPr>
          <w:rFonts w:asciiTheme="minorHAnsi" w:hAnsiTheme="minorHAnsi" w:cstheme="minorHAnsi"/>
        </w:rPr>
      </w:pPr>
    </w:p>
    <w:p w14:paraId="32A59957" w14:textId="77777777" w:rsidR="00B55EED" w:rsidRPr="005E3B44" w:rsidRDefault="00B55EED" w:rsidP="00B55EED">
      <w:pPr>
        <w:pStyle w:val="ListParagraph1"/>
        <w:numPr>
          <w:ilvl w:val="0"/>
          <w:numId w:val="70"/>
        </w:numPr>
        <w:spacing w:before="0"/>
        <w:ind w:left="426" w:hanging="361"/>
        <w:rPr>
          <w:rFonts w:asciiTheme="minorHAnsi" w:hAnsiTheme="minorHAnsi" w:cstheme="minorHAnsi"/>
          <w:sz w:val="24"/>
        </w:rPr>
      </w:pPr>
      <w:r w:rsidRPr="005E3B44">
        <w:rPr>
          <w:rFonts w:asciiTheme="minorHAnsi" w:hAnsiTheme="minorHAnsi" w:cstheme="minorHAnsi"/>
          <w:sz w:val="24"/>
        </w:rPr>
        <w:t>consolidation packs relating to the annual financial statements, draft and final.</w:t>
      </w:r>
    </w:p>
    <w:p w14:paraId="15F87A8C" w14:textId="77777777" w:rsidR="00B55EED" w:rsidRPr="005E3B44" w:rsidRDefault="00B55EED" w:rsidP="00B55EED">
      <w:pPr>
        <w:pStyle w:val="NoSpacing2"/>
        <w:rPr>
          <w:rFonts w:asciiTheme="minorHAnsi" w:hAnsiTheme="minorHAnsi" w:cstheme="minorHAnsi"/>
        </w:rPr>
      </w:pPr>
    </w:p>
    <w:p w14:paraId="7881FB76" w14:textId="77777777" w:rsidR="00B55EED" w:rsidRPr="005E3B44" w:rsidRDefault="00B55EED" w:rsidP="00B55EED">
      <w:pPr>
        <w:pStyle w:val="NoSpacing2"/>
        <w:rPr>
          <w:rFonts w:asciiTheme="minorHAnsi" w:hAnsiTheme="minorHAnsi" w:cstheme="minorHAnsi"/>
          <w:b/>
          <w:sz w:val="28"/>
          <w:szCs w:val="28"/>
        </w:rPr>
      </w:pPr>
      <w:bookmarkStart w:id="52" w:name="_Toc67730700"/>
      <w:bookmarkEnd w:id="45"/>
      <w:bookmarkEnd w:id="46"/>
      <w:bookmarkEnd w:id="47"/>
      <w:r w:rsidRPr="005E3B44">
        <w:rPr>
          <w:rFonts w:asciiTheme="minorHAnsi" w:hAnsiTheme="minorHAnsi" w:cstheme="minorHAnsi"/>
          <w:b/>
          <w:sz w:val="28"/>
          <w:szCs w:val="28"/>
        </w:rPr>
        <w:t>Financial arrangements</w:t>
      </w:r>
    </w:p>
    <w:p w14:paraId="2D98DD52" w14:textId="77777777" w:rsidR="00B55EED" w:rsidRPr="005E3B44" w:rsidRDefault="00B55EED" w:rsidP="00B55EED">
      <w:pPr>
        <w:pStyle w:val="NoSpacing2"/>
        <w:rPr>
          <w:rFonts w:asciiTheme="minorHAnsi" w:hAnsiTheme="minorHAnsi" w:cstheme="minorHAnsi"/>
        </w:rPr>
      </w:pPr>
    </w:p>
    <w:p w14:paraId="5C6F6B94" w14:textId="77777777" w:rsidR="00B55EED" w:rsidRPr="005E3B44" w:rsidRDefault="00B55EED" w:rsidP="00B55EED">
      <w:pPr>
        <w:pStyle w:val="Normal6"/>
        <w:spacing w:before="0" w:after="0"/>
        <w:rPr>
          <w:rFonts w:asciiTheme="minorHAnsi" w:hAnsiTheme="minorHAnsi" w:cstheme="minorHAnsi"/>
          <w:szCs w:val="24"/>
        </w:rPr>
      </w:pPr>
      <w:r w:rsidRPr="005E3B44">
        <w:rPr>
          <w:rFonts w:asciiTheme="minorHAnsi" w:hAnsiTheme="minorHAnsi" w:cstheme="minorHAnsi"/>
          <w:szCs w:val="24"/>
        </w:rPr>
        <w:t xml:space="preserve">The Commission has an operating </w:t>
      </w:r>
      <w:r w:rsidRPr="005E3B44">
        <w:rPr>
          <w:rFonts w:asciiTheme="minorHAnsi" w:hAnsiTheme="minorHAnsi" w:cstheme="minorHAnsi"/>
          <w:szCs w:val="24"/>
          <w:u w:val="single"/>
        </w:rPr>
        <w:t>surplus</w:t>
      </w:r>
      <w:r w:rsidRPr="005E3B44">
        <w:rPr>
          <w:rFonts w:asciiTheme="minorHAnsi" w:hAnsiTheme="minorHAnsi" w:cstheme="minorHAnsi"/>
          <w:szCs w:val="24"/>
        </w:rPr>
        <w:t xml:space="preserve"> for 2020-21 of $1.812 million compared to the 2020-21 original budgeted operating </w:t>
      </w:r>
      <w:r w:rsidRPr="005E3B44">
        <w:rPr>
          <w:rFonts w:asciiTheme="minorHAnsi" w:hAnsiTheme="minorHAnsi" w:cstheme="minorHAnsi"/>
          <w:szCs w:val="24"/>
          <w:u w:val="single"/>
        </w:rPr>
        <w:t>deficit</w:t>
      </w:r>
      <w:r w:rsidRPr="005E3B44">
        <w:rPr>
          <w:rFonts w:asciiTheme="minorHAnsi" w:hAnsiTheme="minorHAnsi" w:cstheme="minorHAnsi"/>
          <w:szCs w:val="24"/>
        </w:rPr>
        <w:t xml:space="preserve"> of $0.094 million. The better financial position is largely due to the delay in the refit of the office accommodation (now to occur in 2021-22), higher than budgeted revenue from the ACT Law Society, client contributions and Australian Taxation Office COVID-19 pandemic relief.  Additionally, lower employee expenses and legal expenses were incurred compared to budget.   </w:t>
      </w:r>
    </w:p>
    <w:p w14:paraId="397EEFF9" w14:textId="77777777" w:rsidR="00B55EED" w:rsidRPr="005E3B44" w:rsidRDefault="00B55EED" w:rsidP="00B55EED">
      <w:pPr>
        <w:pStyle w:val="Normal6"/>
        <w:spacing w:before="0" w:after="0"/>
        <w:rPr>
          <w:rFonts w:asciiTheme="minorHAnsi" w:hAnsiTheme="minorHAnsi" w:cstheme="minorHAnsi"/>
          <w:szCs w:val="24"/>
        </w:rPr>
      </w:pPr>
    </w:p>
    <w:p w14:paraId="55C8E9D0" w14:textId="77777777" w:rsidR="00B55EED" w:rsidRPr="005E3B44" w:rsidRDefault="00B55EED" w:rsidP="00B55EED">
      <w:pPr>
        <w:pStyle w:val="Normal6"/>
        <w:spacing w:before="0" w:after="0"/>
        <w:rPr>
          <w:rFonts w:asciiTheme="minorHAnsi" w:hAnsiTheme="minorHAnsi" w:cstheme="minorHAnsi"/>
          <w:color w:val="FF0000"/>
        </w:rPr>
      </w:pPr>
      <w:r w:rsidRPr="005E3B44">
        <w:rPr>
          <w:rFonts w:asciiTheme="minorHAnsi" w:hAnsiTheme="minorHAnsi" w:cstheme="minorHAnsi"/>
        </w:rPr>
        <w:t xml:space="preserve">The 2021-22 budget reflects a slight operating </w:t>
      </w:r>
      <w:r w:rsidRPr="005E3B44">
        <w:rPr>
          <w:rFonts w:asciiTheme="minorHAnsi" w:hAnsiTheme="minorHAnsi" w:cstheme="minorHAnsi"/>
          <w:u w:val="single"/>
        </w:rPr>
        <w:t>surplus</w:t>
      </w:r>
      <w:r w:rsidRPr="005E3B44">
        <w:rPr>
          <w:rFonts w:asciiTheme="minorHAnsi" w:hAnsiTheme="minorHAnsi" w:cstheme="minorHAnsi"/>
        </w:rPr>
        <w:t xml:space="preserve"> of $0.033 million</w:t>
      </w:r>
      <w:r w:rsidRPr="005E3B44">
        <w:rPr>
          <w:rFonts w:asciiTheme="minorHAnsi" w:hAnsiTheme="minorHAnsi" w:cstheme="minorHAnsi"/>
          <w:color w:val="FF0000"/>
        </w:rPr>
        <w:t xml:space="preserve">.  </w:t>
      </w:r>
    </w:p>
    <w:p w14:paraId="17BEBFE9" w14:textId="77777777" w:rsidR="00B55EED" w:rsidRPr="005E3B44" w:rsidRDefault="00B55EED" w:rsidP="00B55EED">
      <w:pPr>
        <w:pStyle w:val="Normal6"/>
        <w:spacing w:before="0" w:after="0"/>
        <w:rPr>
          <w:rFonts w:asciiTheme="minorHAnsi" w:hAnsiTheme="minorHAnsi" w:cstheme="minorHAnsi"/>
          <w:color w:val="FF0000"/>
          <w:sz w:val="20"/>
          <w:lang w:val="en-US"/>
        </w:rPr>
      </w:pPr>
      <w:r w:rsidRPr="005E3B44">
        <w:rPr>
          <w:rFonts w:asciiTheme="minorHAnsi" w:hAnsiTheme="minorHAnsi" w:cstheme="minorHAnsi"/>
          <w:color w:val="FF0000"/>
          <w:sz w:val="20"/>
          <w:lang w:val="en-US"/>
        </w:rPr>
        <w:t xml:space="preserve"> </w:t>
      </w:r>
    </w:p>
    <w:p w14:paraId="0BD4FDFA" w14:textId="77777777" w:rsidR="00B55EED" w:rsidRPr="005E3B44" w:rsidRDefault="00B55EED" w:rsidP="00B55EED">
      <w:pPr>
        <w:pStyle w:val="NoSpacing2"/>
        <w:rPr>
          <w:rFonts w:asciiTheme="minorHAnsi" w:hAnsiTheme="minorHAnsi" w:cstheme="minorHAnsi"/>
          <w:b/>
          <w:sz w:val="28"/>
          <w:szCs w:val="28"/>
        </w:rPr>
      </w:pPr>
      <w:r w:rsidRPr="005E3B44">
        <w:rPr>
          <w:rFonts w:asciiTheme="minorHAnsi" w:hAnsiTheme="minorHAnsi" w:cstheme="minorHAnsi"/>
          <w:b/>
          <w:sz w:val="28"/>
          <w:szCs w:val="28"/>
        </w:rPr>
        <w:t>Financial statements</w:t>
      </w:r>
    </w:p>
    <w:p w14:paraId="0520195F" w14:textId="77777777" w:rsidR="00B55EED" w:rsidRPr="005E3B44" w:rsidRDefault="00B55EED" w:rsidP="00B55EED">
      <w:pPr>
        <w:pStyle w:val="Normal6"/>
        <w:jc w:val="both"/>
        <w:rPr>
          <w:rFonts w:asciiTheme="minorHAnsi" w:hAnsiTheme="minorHAnsi" w:cstheme="minorHAnsi"/>
        </w:rPr>
      </w:pPr>
      <w:r w:rsidRPr="005E3B44">
        <w:rPr>
          <w:rFonts w:asciiTheme="minorHAnsi" w:hAnsiTheme="minorHAnsi" w:cstheme="minorHAnsi"/>
        </w:rPr>
        <w:t xml:space="preserve">Budgeted financial statements for the 2021-22 Budget year, as well as forward estimates for the three financial years appear below. These </w:t>
      </w:r>
      <w:proofErr w:type="gramStart"/>
      <w:r w:rsidRPr="005E3B44">
        <w:rPr>
          <w:rFonts w:asciiTheme="minorHAnsi" w:hAnsiTheme="minorHAnsi" w:cstheme="minorHAnsi"/>
        </w:rPr>
        <w:t>general purpose</w:t>
      </w:r>
      <w:proofErr w:type="gramEnd"/>
      <w:r w:rsidRPr="005E3B44">
        <w:rPr>
          <w:rFonts w:asciiTheme="minorHAnsi" w:hAnsiTheme="minorHAnsi" w:cstheme="minorHAnsi"/>
        </w:rPr>
        <w:t xml:space="preserve"> financial statements have been prepared in accordance with the ACT’s Model Financial Statements and include: </w:t>
      </w:r>
    </w:p>
    <w:p w14:paraId="3B79F1CE" w14:textId="77777777" w:rsidR="00B55EED" w:rsidRPr="005E3B44" w:rsidRDefault="00B55EED" w:rsidP="00B55EED">
      <w:pPr>
        <w:pStyle w:val="Normal6"/>
        <w:numPr>
          <w:ilvl w:val="0"/>
          <w:numId w:val="71"/>
        </w:numPr>
        <w:spacing w:before="0" w:after="120"/>
        <w:ind w:left="0" w:firstLine="0"/>
        <w:rPr>
          <w:rFonts w:asciiTheme="minorHAnsi" w:hAnsiTheme="minorHAnsi" w:cstheme="minorHAnsi"/>
          <w:szCs w:val="24"/>
        </w:rPr>
      </w:pPr>
      <w:r w:rsidRPr="005E3B44">
        <w:rPr>
          <w:rFonts w:asciiTheme="minorHAnsi" w:hAnsiTheme="minorHAnsi" w:cstheme="minorHAnsi"/>
          <w:szCs w:val="24"/>
        </w:rPr>
        <w:t xml:space="preserve">Operating </w:t>
      </w:r>
      <w:proofErr w:type="gramStart"/>
      <w:r w:rsidRPr="005E3B44">
        <w:rPr>
          <w:rFonts w:asciiTheme="minorHAnsi" w:hAnsiTheme="minorHAnsi" w:cstheme="minorHAnsi"/>
          <w:szCs w:val="24"/>
        </w:rPr>
        <w:t>Statement;</w:t>
      </w:r>
      <w:proofErr w:type="gramEnd"/>
    </w:p>
    <w:p w14:paraId="503E50B0" w14:textId="77777777" w:rsidR="00B55EED" w:rsidRPr="005E3B44" w:rsidRDefault="00B55EED" w:rsidP="00B55EED">
      <w:pPr>
        <w:pStyle w:val="Normal6"/>
        <w:numPr>
          <w:ilvl w:val="0"/>
          <w:numId w:val="71"/>
        </w:numPr>
        <w:spacing w:before="0" w:after="120"/>
        <w:ind w:left="0" w:firstLine="0"/>
        <w:rPr>
          <w:rFonts w:asciiTheme="minorHAnsi" w:hAnsiTheme="minorHAnsi" w:cstheme="minorHAnsi"/>
          <w:szCs w:val="24"/>
        </w:rPr>
      </w:pPr>
      <w:r w:rsidRPr="005E3B44">
        <w:rPr>
          <w:rFonts w:asciiTheme="minorHAnsi" w:hAnsiTheme="minorHAnsi" w:cstheme="minorHAnsi"/>
          <w:szCs w:val="24"/>
        </w:rPr>
        <w:t xml:space="preserve">Balance </w:t>
      </w:r>
      <w:proofErr w:type="gramStart"/>
      <w:r w:rsidRPr="005E3B44">
        <w:rPr>
          <w:rFonts w:asciiTheme="minorHAnsi" w:hAnsiTheme="minorHAnsi" w:cstheme="minorHAnsi"/>
          <w:szCs w:val="24"/>
        </w:rPr>
        <w:t>Sheet;</w:t>
      </w:r>
      <w:proofErr w:type="gramEnd"/>
    </w:p>
    <w:p w14:paraId="01AA5C83" w14:textId="77777777" w:rsidR="00B55EED" w:rsidRPr="005E3B44" w:rsidRDefault="00B55EED" w:rsidP="00B55EED">
      <w:pPr>
        <w:pStyle w:val="Normal6"/>
        <w:numPr>
          <w:ilvl w:val="0"/>
          <w:numId w:val="71"/>
        </w:numPr>
        <w:spacing w:before="0" w:after="120"/>
        <w:ind w:left="0" w:firstLine="0"/>
        <w:rPr>
          <w:rFonts w:asciiTheme="minorHAnsi" w:hAnsiTheme="minorHAnsi" w:cstheme="minorHAnsi"/>
          <w:szCs w:val="24"/>
        </w:rPr>
      </w:pPr>
      <w:r w:rsidRPr="005E3B44">
        <w:rPr>
          <w:rFonts w:asciiTheme="minorHAnsi" w:hAnsiTheme="minorHAnsi" w:cstheme="minorHAnsi"/>
          <w:szCs w:val="24"/>
        </w:rPr>
        <w:t>Statement of Changes in Equity; and</w:t>
      </w:r>
    </w:p>
    <w:p w14:paraId="7FABC8A1" w14:textId="77777777" w:rsidR="00B55EED" w:rsidRPr="005E3B44" w:rsidRDefault="00B55EED" w:rsidP="00B55EED">
      <w:pPr>
        <w:pStyle w:val="Normal6"/>
        <w:numPr>
          <w:ilvl w:val="0"/>
          <w:numId w:val="71"/>
        </w:numPr>
        <w:spacing w:before="0" w:after="120"/>
        <w:ind w:left="0" w:firstLine="0"/>
        <w:rPr>
          <w:rFonts w:asciiTheme="minorHAnsi" w:hAnsiTheme="minorHAnsi" w:cstheme="minorHAnsi"/>
          <w:szCs w:val="24"/>
        </w:rPr>
      </w:pPr>
      <w:r w:rsidRPr="005E3B44">
        <w:rPr>
          <w:rFonts w:asciiTheme="minorHAnsi" w:hAnsiTheme="minorHAnsi" w:cstheme="minorHAnsi"/>
          <w:szCs w:val="24"/>
        </w:rPr>
        <w:t xml:space="preserve">Cash Flow Statement. </w:t>
      </w:r>
      <w:bookmarkEnd w:id="52"/>
    </w:p>
    <w:p w14:paraId="7C3CCDC9" w14:textId="77777777" w:rsidR="00B55EED" w:rsidRPr="005E3B44" w:rsidRDefault="00B55EED" w:rsidP="00B55EED">
      <w:pPr>
        <w:spacing w:before="0" w:after="0"/>
        <w:jc w:val="right"/>
        <w:rPr>
          <w:rFonts w:asciiTheme="minorHAnsi" w:eastAsia="Calibri" w:hAnsiTheme="minorHAnsi" w:cstheme="minorHAnsi"/>
          <w:b/>
          <w:sz w:val="18"/>
          <w:szCs w:val="24"/>
          <w:lang w:eastAsia="en-AU"/>
        </w:rPr>
      </w:pPr>
    </w:p>
    <w:p w14:paraId="43AF82CB" w14:textId="77777777" w:rsidR="00B55EED" w:rsidRPr="005E3B44" w:rsidRDefault="00B55EED" w:rsidP="00B55EED">
      <w:pPr>
        <w:pStyle w:val="Normal7"/>
        <w:rPr>
          <w:rFonts w:asciiTheme="minorHAnsi" w:hAnsiTheme="minorHAnsi" w:cstheme="minorHAnsi"/>
          <w:b/>
          <w:color w:val="FF0000"/>
        </w:rPr>
      </w:pPr>
      <w:r w:rsidRPr="005E3B44">
        <w:rPr>
          <w:rFonts w:asciiTheme="minorHAnsi" w:hAnsiTheme="minorHAnsi" w:cstheme="minorHAnsi"/>
          <w:b/>
          <w:color w:val="FF0000"/>
        </w:rPr>
        <w:br w:type="page"/>
      </w:r>
    </w:p>
    <w:p w14:paraId="3F397971" w14:textId="77777777" w:rsidR="00B55EED" w:rsidRPr="005E3B44" w:rsidRDefault="00B55EED" w:rsidP="00B55EED">
      <w:pPr>
        <w:pStyle w:val="Heading2"/>
        <w:pageBreakBefore/>
        <w:ind w:left="-426" w:firstLine="426"/>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lastRenderedPageBreak/>
        <w:t xml:space="preserve">Financial Statements </w:t>
      </w:r>
    </w:p>
    <w:p w14:paraId="4BF7AAEE" w14:textId="77777777" w:rsidR="00B224AF" w:rsidRPr="005E3B44" w:rsidRDefault="00B224AF" w:rsidP="00B224AF">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Due to the release of the 2021-22 Budget on 6 October 2021, the 2020-21 Interim Outcome column reflects the interim outcome included in the draft 2020-21 Financial Statements, which were unaudited at the time of preparing these budget statements.</w:t>
      </w:r>
    </w:p>
    <w:p w14:paraId="39878C9D" w14:textId="77777777" w:rsidR="00B55EED" w:rsidRPr="005E3B44" w:rsidRDefault="00B55EED" w:rsidP="00B55EED">
      <w:pPr>
        <w:pStyle w:val="Caption"/>
        <w:rPr>
          <w:rFonts w:asciiTheme="minorHAnsi" w:hAnsiTheme="minorHAnsi" w:cstheme="minorHAnsi"/>
          <w:bdr w:val="none" w:sz="0" w:space="0" w:color="auto" w:frame="1"/>
        </w:rPr>
      </w:pPr>
      <w:r w:rsidRPr="005E3B44">
        <w:rPr>
          <w:rFonts w:asciiTheme="minorHAnsi" w:hAnsiTheme="minorHAnsi" w:cstheme="minorHAnsi"/>
          <w:bdr w:val="none" w:sz="0" w:space="0" w:color="auto" w:frame="1"/>
        </w:rPr>
        <w:t xml:space="preserve">Table 6: Legal Aid Commission (ACT): Operating Statement </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B55EED" w:rsidRPr="005E3B44" w14:paraId="68831780" w14:textId="77777777" w:rsidTr="00B55EED">
        <w:trPr>
          <w:trHeight w:val="1005"/>
        </w:trPr>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202A38E8"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2020-21 Budget            </w:t>
            </w:r>
          </w:p>
          <w:p w14:paraId="0ED5D5E8"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3C7BCC8B"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 $'000</w:t>
            </w:r>
          </w:p>
        </w:tc>
        <w:tc>
          <w:tcPr>
            <w:tcW w:w="2385" w:type="dxa"/>
            <w:tcBorders>
              <w:top w:val="single" w:sz="4" w:space="0" w:color="000000"/>
              <w:left w:val="nil"/>
              <w:bottom w:val="single" w:sz="4" w:space="0" w:color="000000"/>
              <w:right w:val="nil"/>
            </w:tcBorders>
            <w:shd w:val="clear" w:color="auto" w:fill="FFFFFF"/>
            <w:tcMar>
              <w:top w:w="0" w:type="dxa"/>
              <w:left w:w="0" w:type="dxa"/>
              <w:bottom w:w="0" w:type="dxa"/>
              <w:right w:w="0" w:type="dxa"/>
            </w:tcMar>
          </w:tcPr>
          <w:p w14:paraId="7462D13A"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0E018B05"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2020-21 Interim Outcome $'000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6C3EF67C"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2021-22 Budget            </w:t>
            </w:r>
          </w:p>
          <w:p w14:paraId="4682F1AD"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287E52C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 $'000</w:t>
            </w:r>
          </w:p>
        </w:tc>
        <w:tc>
          <w:tcPr>
            <w:tcW w:w="600"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113ADA2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Var</w:t>
            </w:r>
          </w:p>
          <w:p w14:paraId="19D03B6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64829B9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2022-23 Estimate            </w:t>
            </w:r>
          </w:p>
          <w:p w14:paraId="019858F6"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4C998C1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 $'000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399F3295"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2023-24 Estimate            </w:t>
            </w:r>
          </w:p>
          <w:p w14:paraId="2B644B3B"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41A6ECC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 $'000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3BD5652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2024-25 Estimate            </w:t>
            </w:r>
          </w:p>
          <w:p w14:paraId="049770F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p>
          <w:p w14:paraId="40D5E37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 $'000</w:t>
            </w:r>
          </w:p>
        </w:tc>
      </w:tr>
      <w:tr w:rsidR="00B55EED" w:rsidRPr="005E3B44" w14:paraId="122862C3" w14:textId="77777777" w:rsidTr="00B55EED">
        <w:trPr>
          <w:trHeight w:val="240"/>
        </w:trPr>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08298536"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2385" w:type="dxa"/>
            <w:tcBorders>
              <w:top w:val="single" w:sz="4" w:space="0" w:color="000000"/>
              <w:left w:val="nil"/>
              <w:bottom w:val="nil"/>
              <w:right w:val="nil"/>
            </w:tcBorders>
            <w:shd w:val="clear" w:color="auto" w:fill="FFFFFF"/>
            <w:tcMar>
              <w:top w:w="0" w:type="dxa"/>
              <w:left w:w="0" w:type="dxa"/>
              <w:bottom w:w="0" w:type="dxa"/>
              <w:right w:w="0" w:type="dxa"/>
            </w:tcMar>
          </w:tcPr>
          <w:p w14:paraId="3BE817D3"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51E6BDC3"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1C0ABFF4"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600" w:type="dxa"/>
            <w:tcBorders>
              <w:top w:val="single" w:sz="4" w:space="0" w:color="000000"/>
              <w:left w:val="nil"/>
              <w:bottom w:val="nil"/>
              <w:right w:val="nil"/>
            </w:tcBorders>
            <w:shd w:val="clear" w:color="auto" w:fill="FFFFFF"/>
            <w:tcMar>
              <w:top w:w="0" w:type="dxa"/>
              <w:left w:w="0" w:type="dxa"/>
              <w:bottom w:w="0" w:type="dxa"/>
              <w:right w:w="0" w:type="dxa"/>
            </w:tcMar>
          </w:tcPr>
          <w:p w14:paraId="6372AC82"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4150F242"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596AB18E"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6D2A7DC8"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r>
      <w:tr w:rsidR="00B55EED" w:rsidRPr="005E3B44" w14:paraId="6212188B" w14:textId="77777777" w:rsidTr="00B55EED">
        <w:trPr>
          <w:trHeight w:val="240"/>
        </w:trPr>
        <w:tc>
          <w:tcPr>
            <w:tcW w:w="1035" w:type="dxa"/>
            <w:shd w:val="clear" w:color="auto" w:fill="FFFFFF"/>
            <w:tcMar>
              <w:top w:w="0" w:type="dxa"/>
              <w:left w:w="0" w:type="dxa"/>
              <w:bottom w:w="0" w:type="dxa"/>
              <w:right w:w="0" w:type="dxa"/>
            </w:tcMar>
          </w:tcPr>
          <w:p w14:paraId="3261851E"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2385" w:type="dxa"/>
            <w:shd w:val="clear" w:color="auto" w:fill="FFFFFF"/>
            <w:noWrap/>
            <w:tcMar>
              <w:top w:w="0" w:type="dxa"/>
              <w:left w:w="101" w:type="dxa"/>
              <w:bottom w:w="0" w:type="dxa"/>
              <w:right w:w="101" w:type="dxa"/>
            </w:tcMar>
            <w:hideMark/>
          </w:tcPr>
          <w:p w14:paraId="623CA52A"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Income</w:t>
            </w:r>
          </w:p>
        </w:tc>
        <w:tc>
          <w:tcPr>
            <w:tcW w:w="1035" w:type="dxa"/>
            <w:shd w:val="clear" w:color="auto" w:fill="FFFFFF"/>
            <w:tcMar>
              <w:top w:w="0" w:type="dxa"/>
              <w:left w:w="0" w:type="dxa"/>
              <w:bottom w:w="0" w:type="dxa"/>
              <w:right w:w="0" w:type="dxa"/>
            </w:tcMar>
          </w:tcPr>
          <w:p w14:paraId="4B993138"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4F021FF0"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600" w:type="dxa"/>
            <w:shd w:val="clear" w:color="auto" w:fill="FFFFFF"/>
            <w:tcMar>
              <w:top w:w="0" w:type="dxa"/>
              <w:left w:w="0" w:type="dxa"/>
              <w:bottom w:w="0" w:type="dxa"/>
              <w:right w:w="0" w:type="dxa"/>
            </w:tcMar>
          </w:tcPr>
          <w:p w14:paraId="1F9017ED"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75F29B7D"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7743F3AE"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04E8625C"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r>
      <w:tr w:rsidR="00B55EED" w:rsidRPr="005E3B44" w14:paraId="3CE66598" w14:textId="77777777" w:rsidTr="00B55EED">
        <w:trPr>
          <w:trHeight w:val="240"/>
        </w:trPr>
        <w:tc>
          <w:tcPr>
            <w:tcW w:w="1035" w:type="dxa"/>
            <w:shd w:val="clear" w:color="auto" w:fill="FFFFFF"/>
            <w:tcMar>
              <w:top w:w="0" w:type="dxa"/>
              <w:left w:w="0" w:type="dxa"/>
              <w:bottom w:w="0" w:type="dxa"/>
              <w:right w:w="0" w:type="dxa"/>
            </w:tcMar>
          </w:tcPr>
          <w:p w14:paraId="6B448461"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2385" w:type="dxa"/>
            <w:shd w:val="clear" w:color="auto" w:fill="FFFFFF"/>
            <w:noWrap/>
            <w:tcMar>
              <w:top w:w="0" w:type="dxa"/>
              <w:left w:w="0" w:type="dxa"/>
              <w:bottom w:w="0" w:type="dxa"/>
              <w:right w:w="0" w:type="dxa"/>
            </w:tcMar>
          </w:tcPr>
          <w:p w14:paraId="3E976F0E"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528C42A1"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69E4EC75"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600" w:type="dxa"/>
            <w:shd w:val="clear" w:color="auto" w:fill="FFFFFF"/>
            <w:tcMar>
              <w:top w:w="0" w:type="dxa"/>
              <w:left w:w="0" w:type="dxa"/>
              <w:bottom w:w="0" w:type="dxa"/>
              <w:right w:w="0" w:type="dxa"/>
            </w:tcMar>
          </w:tcPr>
          <w:p w14:paraId="0E5039C5"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36C4F84F"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3D76BBF3"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shd w:val="clear" w:color="auto" w:fill="FFFFFF"/>
            <w:tcMar>
              <w:top w:w="0" w:type="dxa"/>
              <w:left w:w="0" w:type="dxa"/>
              <w:bottom w:w="0" w:type="dxa"/>
              <w:right w:w="0" w:type="dxa"/>
            </w:tcMar>
          </w:tcPr>
          <w:p w14:paraId="0F153D89"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r>
      <w:tr w:rsidR="00B55EED" w:rsidRPr="005E3B44" w14:paraId="3BA0D04D" w14:textId="77777777" w:rsidTr="00B55EED">
        <w:trPr>
          <w:trHeight w:val="240"/>
        </w:trPr>
        <w:tc>
          <w:tcPr>
            <w:tcW w:w="1035" w:type="dxa"/>
            <w:shd w:val="clear" w:color="auto" w:fill="FFFFFF"/>
            <w:tcMar>
              <w:top w:w="0" w:type="dxa"/>
              <w:left w:w="0" w:type="dxa"/>
              <w:bottom w:w="0" w:type="dxa"/>
              <w:right w:w="0" w:type="dxa"/>
            </w:tcMar>
          </w:tcPr>
          <w:p w14:paraId="6DD4543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noWrap/>
            <w:tcMar>
              <w:top w:w="0" w:type="dxa"/>
              <w:left w:w="101" w:type="dxa"/>
              <w:bottom w:w="0" w:type="dxa"/>
              <w:right w:w="101" w:type="dxa"/>
            </w:tcMar>
            <w:hideMark/>
          </w:tcPr>
          <w:p w14:paraId="05B03760"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Revenue</w:t>
            </w:r>
          </w:p>
        </w:tc>
        <w:tc>
          <w:tcPr>
            <w:tcW w:w="1035" w:type="dxa"/>
            <w:shd w:val="clear" w:color="auto" w:fill="FFFFFF"/>
            <w:tcMar>
              <w:top w:w="0" w:type="dxa"/>
              <w:left w:w="0" w:type="dxa"/>
              <w:bottom w:w="0" w:type="dxa"/>
              <w:right w:w="0" w:type="dxa"/>
            </w:tcMar>
          </w:tcPr>
          <w:p w14:paraId="54490C8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17383A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178E258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342D56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600D78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95A6351"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768A95AE" w14:textId="77777777" w:rsidTr="00B55EED">
        <w:trPr>
          <w:trHeight w:val="240"/>
        </w:trPr>
        <w:tc>
          <w:tcPr>
            <w:tcW w:w="1035" w:type="dxa"/>
            <w:shd w:val="clear" w:color="auto" w:fill="FFFFFF"/>
            <w:noWrap/>
            <w:tcMar>
              <w:top w:w="0" w:type="dxa"/>
              <w:left w:w="101" w:type="dxa"/>
              <w:bottom w:w="0" w:type="dxa"/>
              <w:right w:w="101" w:type="dxa"/>
            </w:tcMar>
            <w:hideMark/>
          </w:tcPr>
          <w:p w14:paraId="2363E474" w14:textId="17778250"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408</w:t>
            </w:r>
          </w:p>
        </w:tc>
        <w:tc>
          <w:tcPr>
            <w:tcW w:w="2385" w:type="dxa"/>
            <w:noWrap/>
            <w:tcMar>
              <w:top w:w="0" w:type="dxa"/>
              <w:left w:w="101" w:type="dxa"/>
              <w:bottom w:w="0" w:type="dxa"/>
              <w:right w:w="101" w:type="dxa"/>
            </w:tcMar>
            <w:hideMark/>
          </w:tcPr>
          <w:p w14:paraId="4A3FFEBF"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Controlled Recurrent Payments</w:t>
            </w:r>
          </w:p>
        </w:tc>
        <w:tc>
          <w:tcPr>
            <w:tcW w:w="1035" w:type="dxa"/>
            <w:shd w:val="clear" w:color="auto" w:fill="FFFFFF"/>
            <w:noWrap/>
            <w:tcMar>
              <w:top w:w="0" w:type="dxa"/>
              <w:left w:w="101" w:type="dxa"/>
              <w:bottom w:w="0" w:type="dxa"/>
              <w:right w:w="101" w:type="dxa"/>
            </w:tcMar>
            <w:hideMark/>
          </w:tcPr>
          <w:p w14:paraId="141CBF9A" w14:textId="5ECEE65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408</w:t>
            </w:r>
          </w:p>
        </w:tc>
        <w:tc>
          <w:tcPr>
            <w:tcW w:w="1035" w:type="dxa"/>
            <w:shd w:val="clear" w:color="auto" w:fill="FFFFFF"/>
            <w:noWrap/>
            <w:tcMar>
              <w:top w:w="0" w:type="dxa"/>
              <w:left w:w="101" w:type="dxa"/>
              <w:bottom w:w="0" w:type="dxa"/>
              <w:right w:w="101" w:type="dxa"/>
            </w:tcMar>
            <w:hideMark/>
          </w:tcPr>
          <w:p w14:paraId="2DEF4519" w14:textId="4267890C"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443</w:t>
            </w:r>
          </w:p>
        </w:tc>
        <w:tc>
          <w:tcPr>
            <w:tcW w:w="600" w:type="dxa"/>
            <w:shd w:val="clear" w:color="auto" w:fill="FFFFFF"/>
            <w:tcMar>
              <w:top w:w="0" w:type="dxa"/>
              <w:left w:w="101" w:type="dxa"/>
              <w:bottom w:w="0" w:type="dxa"/>
              <w:right w:w="101" w:type="dxa"/>
            </w:tcMar>
            <w:hideMark/>
          </w:tcPr>
          <w:p w14:paraId="4F3A94D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14 </w:t>
            </w:r>
          </w:p>
        </w:tc>
        <w:tc>
          <w:tcPr>
            <w:tcW w:w="1035" w:type="dxa"/>
            <w:shd w:val="clear" w:color="auto" w:fill="FFFFFF"/>
            <w:noWrap/>
            <w:tcMar>
              <w:top w:w="0" w:type="dxa"/>
              <w:left w:w="101" w:type="dxa"/>
              <w:bottom w:w="0" w:type="dxa"/>
              <w:right w:w="101" w:type="dxa"/>
            </w:tcMar>
            <w:hideMark/>
          </w:tcPr>
          <w:p w14:paraId="156DD8C0" w14:textId="19016B5A"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306</w:t>
            </w:r>
          </w:p>
        </w:tc>
        <w:tc>
          <w:tcPr>
            <w:tcW w:w="1035" w:type="dxa"/>
            <w:shd w:val="clear" w:color="auto" w:fill="FFFFFF"/>
            <w:noWrap/>
            <w:tcMar>
              <w:top w:w="0" w:type="dxa"/>
              <w:left w:w="101" w:type="dxa"/>
              <w:bottom w:w="0" w:type="dxa"/>
              <w:right w:w="101" w:type="dxa"/>
            </w:tcMar>
            <w:hideMark/>
          </w:tcPr>
          <w:p w14:paraId="3220F7E5" w14:textId="668014F0"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139</w:t>
            </w:r>
          </w:p>
        </w:tc>
        <w:tc>
          <w:tcPr>
            <w:tcW w:w="1035" w:type="dxa"/>
            <w:shd w:val="clear" w:color="auto" w:fill="FFFFFF"/>
            <w:noWrap/>
            <w:tcMar>
              <w:top w:w="0" w:type="dxa"/>
              <w:left w:w="101" w:type="dxa"/>
              <w:bottom w:w="0" w:type="dxa"/>
              <w:right w:w="101" w:type="dxa"/>
            </w:tcMar>
            <w:hideMark/>
          </w:tcPr>
          <w:p w14:paraId="35D2E43C" w14:textId="5AB032B2"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325</w:t>
            </w:r>
          </w:p>
        </w:tc>
      </w:tr>
      <w:tr w:rsidR="00B55EED" w:rsidRPr="005E3B44" w14:paraId="0B7C90E6" w14:textId="77777777" w:rsidTr="00B55EED">
        <w:trPr>
          <w:trHeight w:val="240"/>
        </w:trPr>
        <w:tc>
          <w:tcPr>
            <w:tcW w:w="1035" w:type="dxa"/>
            <w:shd w:val="clear" w:color="auto" w:fill="FFFFFF"/>
            <w:tcMar>
              <w:top w:w="0" w:type="dxa"/>
              <w:left w:w="101" w:type="dxa"/>
              <w:bottom w:w="0" w:type="dxa"/>
              <w:right w:w="101" w:type="dxa"/>
            </w:tcMar>
            <w:hideMark/>
          </w:tcPr>
          <w:p w14:paraId="3D9D23C8" w14:textId="3495CC01"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330</w:t>
            </w:r>
          </w:p>
        </w:tc>
        <w:tc>
          <w:tcPr>
            <w:tcW w:w="2385" w:type="dxa"/>
            <w:noWrap/>
            <w:tcMar>
              <w:top w:w="0" w:type="dxa"/>
              <w:left w:w="101" w:type="dxa"/>
              <w:bottom w:w="0" w:type="dxa"/>
              <w:right w:w="101" w:type="dxa"/>
            </w:tcMar>
            <w:hideMark/>
          </w:tcPr>
          <w:p w14:paraId="507274F7"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Sales of Services from Contracts with Customers</w:t>
            </w:r>
          </w:p>
        </w:tc>
        <w:tc>
          <w:tcPr>
            <w:tcW w:w="1035" w:type="dxa"/>
            <w:shd w:val="clear" w:color="auto" w:fill="FFFFFF"/>
            <w:tcMar>
              <w:top w:w="0" w:type="dxa"/>
              <w:left w:w="101" w:type="dxa"/>
              <w:bottom w:w="0" w:type="dxa"/>
              <w:right w:w="101" w:type="dxa"/>
            </w:tcMar>
            <w:hideMark/>
          </w:tcPr>
          <w:p w14:paraId="51FE023E" w14:textId="71C00712"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417</w:t>
            </w:r>
          </w:p>
        </w:tc>
        <w:tc>
          <w:tcPr>
            <w:tcW w:w="1035" w:type="dxa"/>
            <w:shd w:val="clear" w:color="auto" w:fill="FFFFFF"/>
            <w:tcMar>
              <w:top w:w="0" w:type="dxa"/>
              <w:left w:w="101" w:type="dxa"/>
              <w:bottom w:w="0" w:type="dxa"/>
              <w:right w:w="101" w:type="dxa"/>
            </w:tcMar>
            <w:hideMark/>
          </w:tcPr>
          <w:p w14:paraId="18A8EE8D" w14:textId="6EDC2D08"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584</w:t>
            </w:r>
          </w:p>
        </w:tc>
        <w:tc>
          <w:tcPr>
            <w:tcW w:w="600" w:type="dxa"/>
            <w:shd w:val="clear" w:color="auto" w:fill="FFFFFF"/>
            <w:tcMar>
              <w:top w:w="0" w:type="dxa"/>
              <w:left w:w="101" w:type="dxa"/>
              <w:bottom w:w="0" w:type="dxa"/>
              <w:right w:w="101" w:type="dxa"/>
            </w:tcMar>
            <w:hideMark/>
          </w:tcPr>
          <w:p w14:paraId="23D44B8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7 </w:t>
            </w:r>
          </w:p>
        </w:tc>
        <w:tc>
          <w:tcPr>
            <w:tcW w:w="1035" w:type="dxa"/>
            <w:shd w:val="clear" w:color="auto" w:fill="FFFFFF"/>
            <w:tcMar>
              <w:top w:w="0" w:type="dxa"/>
              <w:left w:w="101" w:type="dxa"/>
              <w:bottom w:w="0" w:type="dxa"/>
              <w:right w:w="101" w:type="dxa"/>
            </w:tcMar>
            <w:hideMark/>
          </w:tcPr>
          <w:p w14:paraId="22622547" w14:textId="0FB8708A"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184</w:t>
            </w:r>
          </w:p>
        </w:tc>
        <w:tc>
          <w:tcPr>
            <w:tcW w:w="1035" w:type="dxa"/>
            <w:shd w:val="clear" w:color="auto" w:fill="FFFFFF"/>
            <w:tcMar>
              <w:top w:w="0" w:type="dxa"/>
              <w:left w:w="101" w:type="dxa"/>
              <w:bottom w:w="0" w:type="dxa"/>
              <w:right w:w="101" w:type="dxa"/>
            </w:tcMar>
            <w:hideMark/>
          </w:tcPr>
          <w:p w14:paraId="2A3CE737"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692</w:t>
            </w:r>
          </w:p>
        </w:tc>
        <w:tc>
          <w:tcPr>
            <w:tcW w:w="1035" w:type="dxa"/>
            <w:shd w:val="clear" w:color="auto" w:fill="FFFFFF"/>
            <w:tcMar>
              <w:top w:w="0" w:type="dxa"/>
              <w:left w:w="101" w:type="dxa"/>
              <w:bottom w:w="0" w:type="dxa"/>
              <w:right w:w="101" w:type="dxa"/>
            </w:tcMar>
            <w:hideMark/>
          </w:tcPr>
          <w:p w14:paraId="7D7EFB5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710</w:t>
            </w:r>
          </w:p>
        </w:tc>
      </w:tr>
      <w:tr w:rsidR="00B55EED" w:rsidRPr="005E3B44" w14:paraId="10C3CFF4" w14:textId="77777777" w:rsidTr="00B55EED">
        <w:trPr>
          <w:trHeight w:val="240"/>
        </w:trPr>
        <w:tc>
          <w:tcPr>
            <w:tcW w:w="1035" w:type="dxa"/>
            <w:shd w:val="clear" w:color="auto" w:fill="FFFFFF"/>
            <w:tcMar>
              <w:top w:w="0" w:type="dxa"/>
              <w:left w:w="101" w:type="dxa"/>
              <w:bottom w:w="0" w:type="dxa"/>
              <w:right w:w="101" w:type="dxa"/>
            </w:tcMar>
            <w:hideMark/>
          </w:tcPr>
          <w:p w14:paraId="44CF70D7"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967</w:t>
            </w:r>
          </w:p>
        </w:tc>
        <w:tc>
          <w:tcPr>
            <w:tcW w:w="2385" w:type="dxa"/>
            <w:noWrap/>
            <w:tcMar>
              <w:top w:w="0" w:type="dxa"/>
              <w:left w:w="101" w:type="dxa"/>
              <w:bottom w:w="0" w:type="dxa"/>
              <w:right w:w="101" w:type="dxa"/>
            </w:tcMar>
            <w:hideMark/>
          </w:tcPr>
          <w:p w14:paraId="6528C52A"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Grants and Contributions</w:t>
            </w:r>
          </w:p>
        </w:tc>
        <w:tc>
          <w:tcPr>
            <w:tcW w:w="1035" w:type="dxa"/>
            <w:shd w:val="clear" w:color="auto" w:fill="FFFFFF"/>
            <w:tcMar>
              <w:top w:w="0" w:type="dxa"/>
              <w:left w:w="101" w:type="dxa"/>
              <w:bottom w:w="0" w:type="dxa"/>
              <w:right w:w="101" w:type="dxa"/>
            </w:tcMar>
            <w:hideMark/>
          </w:tcPr>
          <w:p w14:paraId="6820CD06" w14:textId="31C20F83"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837</w:t>
            </w:r>
          </w:p>
        </w:tc>
        <w:tc>
          <w:tcPr>
            <w:tcW w:w="1035" w:type="dxa"/>
            <w:shd w:val="clear" w:color="auto" w:fill="FFFFFF"/>
            <w:tcMar>
              <w:top w:w="0" w:type="dxa"/>
              <w:left w:w="101" w:type="dxa"/>
              <w:bottom w:w="0" w:type="dxa"/>
              <w:right w:w="101" w:type="dxa"/>
            </w:tcMar>
            <w:hideMark/>
          </w:tcPr>
          <w:p w14:paraId="4D66472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656</w:t>
            </w:r>
          </w:p>
        </w:tc>
        <w:tc>
          <w:tcPr>
            <w:tcW w:w="600" w:type="dxa"/>
            <w:shd w:val="clear" w:color="auto" w:fill="FFFFFF"/>
            <w:tcMar>
              <w:top w:w="0" w:type="dxa"/>
              <w:left w:w="101" w:type="dxa"/>
              <w:bottom w:w="0" w:type="dxa"/>
              <w:right w:w="101" w:type="dxa"/>
            </w:tcMar>
            <w:hideMark/>
          </w:tcPr>
          <w:p w14:paraId="67C58E0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-64 </w:t>
            </w:r>
          </w:p>
        </w:tc>
        <w:tc>
          <w:tcPr>
            <w:tcW w:w="1035" w:type="dxa"/>
            <w:shd w:val="clear" w:color="auto" w:fill="FFFFFF"/>
            <w:tcMar>
              <w:top w:w="0" w:type="dxa"/>
              <w:left w:w="101" w:type="dxa"/>
              <w:bottom w:w="0" w:type="dxa"/>
              <w:right w:w="101" w:type="dxa"/>
            </w:tcMar>
            <w:hideMark/>
          </w:tcPr>
          <w:p w14:paraId="20E7302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662</w:t>
            </w:r>
          </w:p>
        </w:tc>
        <w:tc>
          <w:tcPr>
            <w:tcW w:w="1035" w:type="dxa"/>
            <w:shd w:val="clear" w:color="auto" w:fill="FFFFFF"/>
            <w:tcMar>
              <w:top w:w="0" w:type="dxa"/>
              <w:left w:w="101" w:type="dxa"/>
              <w:bottom w:w="0" w:type="dxa"/>
              <w:right w:w="101" w:type="dxa"/>
            </w:tcMar>
            <w:hideMark/>
          </w:tcPr>
          <w:p w14:paraId="602E770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670</w:t>
            </w:r>
          </w:p>
        </w:tc>
        <w:tc>
          <w:tcPr>
            <w:tcW w:w="1035" w:type="dxa"/>
            <w:shd w:val="clear" w:color="auto" w:fill="FFFFFF"/>
            <w:tcMar>
              <w:top w:w="0" w:type="dxa"/>
              <w:left w:w="101" w:type="dxa"/>
              <w:bottom w:w="0" w:type="dxa"/>
              <w:right w:w="101" w:type="dxa"/>
            </w:tcMar>
            <w:hideMark/>
          </w:tcPr>
          <w:p w14:paraId="7198DF8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676</w:t>
            </w:r>
          </w:p>
        </w:tc>
      </w:tr>
      <w:tr w:rsidR="00B55EED" w:rsidRPr="005E3B44" w14:paraId="76C68E56" w14:textId="77777777" w:rsidTr="00B55EED">
        <w:trPr>
          <w:trHeight w:val="240"/>
        </w:trPr>
        <w:tc>
          <w:tcPr>
            <w:tcW w:w="1035" w:type="dxa"/>
            <w:shd w:val="clear" w:color="auto" w:fill="FFFFFF"/>
            <w:tcMar>
              <w:top w:w="0" w:type="dxa"/>
              <w:left w:w="101" w:type="dxa"/>
              <w:bottom w:w="0" w:type="dxa"/>
              <w:right w:w="101" w:type="dxa"/>
            </w:tcMar>
            <w:hideMark/>
          </w:tcPr>
          <w:p w14:paraId="430D870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101</w:t>
            </w:r>
          </w:p>
        </w:tc>
        <w:tc>
          <w:tcPr>
            <w:tcW w:w="2385" w:type="dxa"/>
            <w:noWrap/>
            <w:tcMar>
              <w:top w:w="0" w:type="dxa"/>
              <w:left w:w="101" w:type="dxa"/>
              <w:bottom w:w="0" w:type="dxa"/>
              <w:right w:w="101" w:type="dxa"/>
            </w:tcMar>
            <w:hideMark/>
          </w:tcPr>
          <w:p w14:paraId="7900F026"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Interest</w:t>
            </w:r>
          </w:p>
        </w:tc>
        <w:tc>
          <w:tcPr>
            <w:tcW w:w="1035" w:type="dxa"/>
            <w:shd w:val="clear" w:color="auto" w:fill="FFFFFF"/>
            <w:tcMar>
              <w:top w:w="0" w:type="dxa"/>
              <w:left w:w="101" w:type="dxa"/>
              <w:bottom w:w="0" w:type="dxa"/>
              <w:right w:w="101" w:type="dxa"/>
            </w:tcMar>
            <w:hideMark/>
          </w:tcPr>
          <w:p w14:paraId="3409EA4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103</w:t>
            </w:r>
          </w:p>
        </w:tc>
        <w:tc>
          <w:tcPr>
            <w:tcW w:w="1035" w:type="dxa"/>
            <w:shd w:val="clear" w:color="auto" w:fill="FFFFFF"/>
            <w:tcMar>
              <w:top w:w="0" w:type="dxa"/>
              <w:left w:w="101" w:type="dxa"/>
              <w:bottom w:w="0" w:type="dxa"/>
              <w:right w:w="101" w:type="dxa"/>
            </w:tcMar>
            <w:hideMark/>
          </w:tcPr>
          <w:p w14:paraId="7B6C6A3F"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96</w:t>
            </w:r>
          </w:p>
        </w:tc>
        <w:tc>
          <w:tcPr>
            <w:tcW w:w="600" w:type="dxa"/>
            <w:shd w:val="clear" w:color="auto" w:fill="FFFFFF"/>
            <w:tcMar>
              <w:top w:w="0" w:type="dxa"/>
              <w:left w:w="101" w:type="dxa"/>
              <w:bottom w:w="0" w:type="dxa"/>
              <w:right w:w="101" w:type="dxa"/>
            </w:tcMar>
            <w:hideMark/>
          </w:tcPr>
          <w:p w14:paraId="0934DA4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-7 </w:t>
            </w:r>
          </w:p>
        </w:tc>
        <w:tc>
          <w:tcPr>
            <w:tcW w:w="1035" w:type="dxa"/>
            <w:shd w:val="clear" w:color="auto" w:fill="FFFFFF"/>
            <w:tcMar>
              <w:top w:w="0" w:type="dxa"/>
              <w:left w:w="101" w:type="dxa"/>
              <w:bottom w:w="0" w:type="dxa"/>
              <w:right w:w="101" w:type="dxa"/>
            </w:tcMar>
            <w:hideMark/>
          </w:tcPr>
          <w:p w14:paraId="4BA715D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98</w:t>
            </w:r>
          </w:p>
        </w:tc>
        <w:tc>
          <w:tcPr>
            <w:tcW w:w="1035" w:type="dxa"/>
            <w:shd w:val="clear" w:color="auto" w:fill="FFFFFF"/>
            <w:tcMar>
              <w:top w:w="0" w:type="dxa"/>
              <w:left w:w="101" w:type="dxa"/>
              <w:bottom w:w="0" w:type="dxa"/>
              <w:right w:w="101" w:type="dxa"/>
            </w:tcMar>
            <w:hideMark/>
          </w:tcPr>
          <w:p w14:paraId="63FD7B1F"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100</w:t>
            </w:r>
          </w:p>
        </w:tc>
        <w:tc>
          <w:tcPr>
            <w:tcW w:w="1035" w:type="dxa"/>
            <w:shd w:val="clear" w:color="auto" w:fill="FFFFFF"/>
            <w:tcMar>
              <w:top w:w="0" w:type="dxa"/>
              <w:left w:w="101" w:type="dxa"/>
              <w:bottom w:w="0" w:type="dxa"/>
              <w:right w:w="101" w:type="dxa"/>
            </w:tcMar>
            <w:hideMark/>
          </w:tcPr>
          <w:p w14:paraId="0E693FF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102</w:t>
            </w:r>
          </w:p>
        </w:tc>
      </w:tr>
      <w:tr w:rsidR="00B55EED" w:rsidRPr="005E3B44" w14:paraId="4EC64DE3" w14:textId="77777777" w:rsidTr="00B55EED">
        <w:trPr>
          <w:trHeight w:val="240"/>
        </w:trPr>
        <w:tc>
          <w:tcPr>
            <w:tcW w:w="1035" w:type="dxa"/>
            <w:shd w:val="clear" w:color="auto" w:fill="FFFFFF"/>
            <w:tcMar>
              <w:top w:w="0" w:type="dxa"/>
              <w:left w:w="101" w:type="dxa"/>
              <w:bottom w:w="0" w:type="dxa"/>
              <w:right w:w="101" w:type="dxa"/>
            </w:tcMar>
            <w:hideMark/>
          </w:tcPr>
          <w:p w14:paraId="3A4F634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0</w:t>
            </w:r>
          </w:p>
        </w:tc>
        <w:tc>
          <w:tcPr>
            <w:tcW w:w="2385" w:type="dxa"/>
            <w:noWrap/>
            <w:tcMar>
              <w:top w:w="0" w:type="dxa"/>
              <w:left w:w="101" w:type="dxa"/>
              <w:bottom w:w="0" w:type="dxa"/>
              <w:right w:w="101" w:type="dxa"/>
            </w:tcMar>
            <w:hideMark/>
          </w:tcPr>
          <w:p w14:paraId="12A00272"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Other Revenue</w:t>
            </w:r>
          </w:p>
        </w:tc>
        <w:tc>
          <w:tcPr>
            <w:tcW w:w="1035" w:type="dxa"/>
            <w:shd w:val="clear" w:color="auto" w:fill="FFFFFF"/>
            <w:tcMar>
              <w:top w:w="0" w:type="dxa"/>
              <w:left w:w="101" w:type="dxa"/>
              <w:bottom w:w="0" w:type="dxa"/>
              <w:right w:w="101" w:type="dxa"/>
            </w:tcMar>
            <w:hideMark/>
          </w:tcPr>
          <w:p w14:paraId="1F8A819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12</w:t>
            </w:r>
          </w:p>
        </w:tc>
        <w:tc>
          <w:tcPr>
            <w:tcW w:w="1035" w:type="dxa"/>
            <w:shd w:val="clear" w:color="auto" w:fill="FFFFFF"/>
            <w:tcMar>
              <w:top w:w="0" w:type="dxa"/>
              <w:left w:w="101" w:type="dxa"/>
              <w:bottom w:w="0" w:type="dxa"/>
              <w:right w:w="101" w:type="dxa"/>
            </w:tcMar>
            <w:hideMark/>
          </w:tcPr>
          <w:p w14:paraId="1F9B58B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w:t>
            </w:r>
          </w:p>
        </w:tc>
        <w:tc>
          <w:tcPr>
            <w:tcW w:w="600" w:type="dxa"/>
            <w:shd w:val="clear" w:color="auto" w:fill="FFFFFF"/>
            <w:tcMar>
              <w:top w:w="0" w:type="dxa"/>
              <w:left w:w="101" w:type="dxa"/>
              <w:bottom w:w="0" w:type="dxa"/>
              <w:right w:w="101" w:type="dxa"/>
            </w:tcMar>
            <w:hideMark/>
          </w:tcPr>
          <w:p w14:paraId="25A69DC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-58 </w:t>
            </w:r>
          </w:p>
        </w:tc>
        <w:tc>
          <w:tcPr>
            <w:tcW w:w="1035" w:type="dxa"/>
            <w:shd w:val="clear" w:color="auto" w:fill="FFFFFF"/>
            <w:tcMar>
              <w:top w:w="0" w:type="dxa"/>
              <w:left w:w="101" w:type="dxa"/>
              <w:bottom w:w="0" w:type="dxa"/>
              <w:right w:w="101" w:type="dxa"/>
            </w:tcMar>
            <w:hideMark/>
          </w:tcPr>
          <w:p w14:paraId="03FE969C"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p>
        </w:tc>
        <w:tc>
          <w:tcPr>
            <w:tcW w:w="1035" w:type="dxa"/>
            <w:shd w:val="clear" w:color="auto" w:fill="FFFFFF"/>
            <w:tcMar>
              <w:top w:w="0" w:type="dxa"/>
              <w:left w:w="101" w:type="dxa"/>
              <w:bottom w:w="0" w:type="dxa"/>
              <w:right w:w="101" w:type="dxa"/>
            </w:tcMar>
            <w:hideMark/>
          </w:tcPr>
          <w:p w14:paraId="58E4999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p>
        </w:tc>
        <w:tc>
          <w:tcPr>
            <w:tcW w:w="1035" w:type="dxa"/>
            <w:shd w:val="clear" w:color="auto" w:fill="FFFFFF"/>
            <w:tcMar>
              <w:top w:w="0" w:type="dxa"/>
              <w:left w:w="101" w:type="dxa"/>
              <w:bottom w:w="0" w:type="dxa"/>
              <w:right w:w="101" w:type="dxa"/>
            </w:tcMar>
            <w:hideMark/>
          </w:tcPr>
          <w:p w14:paraId="54E420AC"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p>
        </w:tc>
      </w:tr>
      <w:tr w:rsidR="00B55EED" w:rsidRPr="005E3B44" w14:paraId="32559741" w14:textId="77777777" w:rsidTr="00B55EED">
        <w:trPr>
          <w:trHeight w:val="240"/>
        </w:trPr>
        <w:tc>
          <w:tcPr>
            <w:tcW w:w="1035" w:type="dxa"/>
            <w:shd w:val="clear" w:color="auto" w:fill="FFFFFF"/>
            <w:tcMar>
              <w:top w:w="0" w:type="dxa"/>
              <w:left w:w="0" w:type="dxa"/>
              <w:bottom w:w="0" w:type="dxa"/>
              <w:right w:w="0" w:type="dxa"/>
            </w:tcMar>
          </w:tcPr>
          <w:p w14:paraId="28A6CA6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noWrap/>
            <w:tcMar>
              <w:top w:w="0" w:type="dxa"/>
              <w:left w:w="0" w:type="dxa"/>
              <w:bottom w:w="0" w:type="dxa"/>
              <w:right w:w="0" w:type="dxa"/>
            </w:tcMar>
          </w:tcPr>
          <w:p w14:paraId="21B03341"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7FAB09E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FA87D3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5DD9C3E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63D9C5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4A2544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288BA07"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6D0DCA49" w14:textId="77777777" w:rsidTr="00B55EED">
        <w:trPr>
          <w:trHeight w:val="240"/>
        </w:trPr>
        <w:tc>
          <w:tcPr>
            <w:tcW w:w="1035" w:type="dxa"/>
            <w:shd w:val="clear" w:color="auto" w:fill="FFFFFF"/>
            <w:tcMar>
              <w:top w:w="0" w:type="dxa"/>
              <w:left w:w="101" w:type="dxa"/>
              <w:bottom w:w="0" w:type="dxa"/>
              <w:right w:w="101" w:type="dxa"/>
            </w:tcMar>
            <w:hideMark/>
          </w:tcPr>
          <w:p w14:paraId="189863FE" w14:textId="7CD9E2F6"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806</w:t>
            </w:r>
          </w:p>
        </w:tc>
        <w:tc>
          <w:tcPr>
            <w:tcW w:w="2385" w:type="dxa"/>
            <w:shd w:val="clear" w:color="auto" w:fill="FFFFFF"/>
            <w:noWrap/>
            <w:tcMar>
              <w:top w:w="0" w:type="dxa"/>
              <w:left w:w="101" w:type="dxa"/>
              <w:bottom w:w="0" w:type="dxa"/>
              <w:right w:w="101" w:type="dxa"/>
            </w:tcMar>
            <w:hideMark/>
          </w:tcPr>
          <w:p w14:paraId="2940D6C6"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Total Revenue</w:t>
            </w:r>
          </w:p>
        </w:tc>
        <w:tc>
          <w:tcPr>
            <w:tcW w:w="1035" w:type="dxa"/>
            <w:shd w:val="clear" w:color="auto" w:fill="FFFFFF"/>
            <w:tcMar>
              <w:top w:w="0" w:type="dxa"/>
              <w:left w:w="101" w:type="dxa"/>
              <w:bottom w:w="0" w:type="dxa"/>
              <w:right w:w="101" w:type="dxa"/>
            </w:tcMar>
            <w:hideMark/>
          </w:tcPr>
          <w:p w14:paraId="377C390E" w14:textId="4DE4F76B"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777</w:t>
            </w:r>
          </w:p>
        </w:tc>
        <w:tc>
          <w:tcPr>
            <w:tcW w:w="1035" w:type="dxa"/>
            <w:shd w:val="clear" w:color="auto" w:fill="FFFFFF"/>
            <w:tcMar>
              <w:top w:w="0" w:type="dxa"/>
              <w:left w:w="101" w:type="dxa"/>
              <w:bottom w:w="0" w:type="dxa"/>
              <w:right w:w="101" w:type="dxa"/>
            </w:tcMar>
            <w:hideMark/>
          </w:tcPr>
          <w:p w14:paraId="33A5A0BC" w14:textId="63F4AE0B"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784</w:t>
            </w:r>
          </w:p>
        </w:tc>
        <w:tc>
          <w:tcPr>
            <w:tcW w:w="600" w:type="dxa"/>
            <w:shd w:val="clear" w:color="auto" w:fill="FFFFFF"/>
            <w:tcMar>
              <w:top w:w="0" w:type="dxa"/>
              <w:left w:w="101" w:type="dxa"/>
              <w:bottom w:w="0" w:type="dxa"/>
              <w:right w:w="101" w:type="dxa"/>
            </w:tcMar>
            <w:hideMark/>
          </w:tcPr>
          <w:p w14:paraId="74140D2F"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5 </w:t>
            </w:r>
          </w:p>
        </w:tc>
        <w:tc>
          <w:tcPr>
            <w:tcW w:w="1035" w:type="dxa"/>
            <w:shd w:val="clear" w:color="auto" w:fill="FFFFFF"/>
            <w:tcMar>
              <w:top w:w="0" w:type="dxa"/>
              <w:left w:w="101" w:type="dxa"/>
              <w:bottom w:w="0" w:type="dxa"/>
              <w:right w:w="101" w:type="dxa"/>
            </w:tcMar>
            <w:hideMark/>
          </w:tcPr>
          <w:p w14:paraId="404AA974" w14:textId="3CC5C499"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251</w:t>
            </w:r>
          </w:p>
        </w:tc>
        <w:tc>
          <w:tcPr>
            <w:tcW w:w="1035" w:type="dxa"/>
            <w:shd w:val="clear" w:color="auto" w:fill="FFFFFF"/>
            <w:tcMar>
              <w:top w:w="0" w:type="dxa"/>
              <w:left w:w="101" w:type="dxa"/>
              <w:bottom w:w="0" w:type="dxa"/>
              <w:right w:w="101" w:type="dxa"/>
            </w:tcMar>
            <w:hideMark/>
          </w:tcPr>
          <w:p w14:paraId="0B5397D8" w14:textId="0A13EAF1"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602</w:t>
            </w:r>
          </w:p>
        </w:tc>
        <w:tc>
          <w:tcPr>
            <w:tcW w:w="1035" w:type="dxa"/>
            <w:shd w:val="clear" w:color="auto" w:fill="FFFFFF"/>
            <w:tcMar>
              <w:top w:w="0" w:type="dxa"/>
              <w:left w:w="101" w:type="dxa"/>
              <w:bottom w:w="0" w:type="dxa"/>
              <w:right w:w="101" w:type="dxa"/>
            </w:tcMar>
            <w:hideMark/>
          </w:tcPr>
          <w:p w14:paraId="20F4DEA3" w14:textId="3928CC5C"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814</w:t>
            </w:r>
          </w:p>
        </w:tc>
      </w:tr>
      <w:tr w:rsidR="00B55EED" w:rsidRPr="005E3B44" w14:paraId="58A5B918" w14:textId="77777777" w:rsidTr="00B55EED">
        <w:trPr>
          <w:trHeight w:val="240"/>
        </w:trPr>
        <w:tc>
          <w:tcPr>
            <w:tcW w:w="1035" w:type="dxa"/>
            <w:shd w:val="clear" w:color="auto" w:fill="FFFFFF"/>
            <w:tcMar>
              <w:top w:w="0" w:type="dxa"/>
              <w:left w:w="0" w:type="dxa"/>
              <w:bottom w:w="0" w:type="dxa"/>
              <w:right w:w="0" w:type="dxa"/>
            </w:tcMar>
          </w:tcPr>
          <w:p w14:paraId="45163FC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noWrap/>
            <w:tcMar>
              <w:top w:w="0" w:type="dxa"/>
              <w:left w:w="0" w:type="dxa"/>
              <w:bottom w:w="0" w:type="dxa"/>
              <w:right w:w="0" w:type="dxa"/>
            </w:tcMar>
          </w:tcPr>
          <w:p w14:paraId="019915C1"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68E42E8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4D9F1B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081A1A4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C6DC1E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9B4545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26139772"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2E15C58C" w14:textId="77777777" w:rsidTr="00B55EED">
        <w:trPr>
          <w:trHeight w:val="240"/>
        </w:trPr>
        <w:tc>
          <w:tcPr>
            <w:tcW w:w="1035" w:type="dxa"/>
            <w:shd w:val="clear" w:color="auto" w:fill="FFFFFF"/>
            <w:tcMar>
              <w:top w:w="0" w:type="dxa"/>
              <w:left w:w="0" w:type="dxa"/>
              <w:bottom w:w="0" w:type="dxa"/>
              <w:right w:w="0" w:type="dxa"/>
            </w:tcMar>
          </w:tcPr>
          <w:p w14:paraId="68BAAEE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noWrap/>
            <w:tcMar>
              <w:top w:w="0" w:type="dxa"/>
              <w:left w:w="0" w:type="dxa"/>
              <w:bottom w:w="0" w:type="dxa"/>
              <w:right w:w="0" w:type="dxa"/>
            </w:tcMar>
          </w:tcPr>
          <w:p w14:paraId="5CD49DF2"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63BC386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6CDED4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6514159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E8DB53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2D6E245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5753F99"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0BFF0596" w14:textId="77777777" w:rsidTr="00B55EED">
        <w:trPr>
          <w:trHeight w:val="240"/>
        </w:trPr>
        <w:tc>
          <w:tcPr>
            <w:tcW w:w="1035" w:type="dxa"/>
            <w:shd w:val="clear" w:color="auto" w:fill="FFFFFF"/>
            <w:tcMar>
              <w:top w:w="0" w:type="dxa"/>
              <w:left w:w="0" w:type="dxa"/>
              <w:bottom w:w="0" w:type="dxa"/>
              <w:right w:w="0" w:type="dxa"/>
            </w:tcMar>
          </w:tcPr>
          <w:p w14:paraId="1448542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noWrap/>
            <w:tcMar>
              <w:top w:w="0" w:type="dxa"/>
              <w:left w:w="101" w:type="dxa"/>
              <w:bottom w:w="0" w:type="dxa"/>
              <w:right w:w="101" w:type="dxa"/>
            </w:tcMar>
            <w:hideMark/>
          </w:tcPr>
          <w:p w14:paraId="35D1B3F6"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Expenses  </w:t>
            </w:r>
          </w:p>
        </w:tc>
        <w:tc>
          <w:tcPr>
            <w:tcW w:w="1035" w:type="dxa"/>
            <w:shd w:val="clear" w:color="auto" w:fill="FFFFFF"/>
            <w:tcMar>
              <w:top w:w="0" w:type="dxa"/>
              <w:left w:w="0" w:type="dxa"/>
              <w:bottom w:w="0" w:type="dxa"/>
              <w:right w:w="0" w:type="dxa"/>
            </w:tcMar>
          </w:tcPr>
          <w:p w14:paraId="48F1C30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DD2C0A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19357E7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44267B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290A27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1B51BFA"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0859E3FF" w14:textId="77777777" w:rsidTr="00B55EED">
        <w:trPr>
          <w:trHeight w:val="240"/>
        </w:trPr>
        <w:tc>
          <w:tcPr>
            <w:tcW w:w="1035" w:type="dxa"/>
            <w:shd w:val="clear" w:color="auto" w:fill="FFFFFF"/>
            <w:tcMar>
              <w:top w:w="0" w:type="dxa"/>
              <w:left w:w="101" w:type="dxa"/>
              <w:bottom w:w="0" w:type="dxa"/>
              <w:right w:w="101" w:type="dxa"/>
            </w:tcMar>
            <w:hideMark/>
          </w:tcPr>
          <w:p w14:paraId="51861512" w14:textId="6D34B0B9"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407</w:t>
            </w:r>
          </w:p>
        </w:tc>
        <w:tc>
          <w:tcPr>
            <w:tcW w:w="2385" w:type="dxa"/>
            <w:shd w:val="clear" w:color="auto" w:fill="FFFFFF"/>
            <w:noWrap/>
            <w:tcMar>
              <w:top w:w="0" w:type="dxa"/>
              <w:left w:w="101" w:type="dxa"/>
              <w:bottom w:w="0" w:type="dxa"/>
              <w:right w:w="101" w:type="dxa"/>
            </w:tcMar>
            <w:hideMark/>
          </w:tcPr>
          <w:p w14:paraId="1FE33B9E"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Employee Expenses</w:t>
            </w:r>
          </w:p>
        </w:tc>
        <w:tc>
          <w:tcPr>
            <w:tcW w:w="1035" w:type="dxa"/>
            <w:shd w:val="clear" w:color="auto" w:fill="FFFFFF"/>
            <w:tcMar>
              <w:top w:w="0" w:type="dxa"/>
              <w:left w:w="101" w:type="dxa"/>
              <w:bottom w:w="0" w:type="dxa"/>
              <w:right w:w="101" w:type="dxa"/>
            </w:tcMar>
            <w:hideMark/>
          </w:tcPr>
          <w:p w14:paraId="6B72DB56" w14:textId="196C981B"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021</w:t>
            </w:r>
          </w:p>
        </w:tc>
        <w:tc>
          <w:tcPr>
            <w:tcW w:w="1035" w:type="dxa"/>
            <w:shd w:val="clear" w:color="auto" w:fill="FFFFFF"/>
            <w:tcMar>
              <w:top w:w="0" w:type="dxa"/>
              <w:left w:w="101" w:type="dxa"/>
              <w:bottom w:w="0" w:type="dxa"/>
              <w:right w:w="101" w:type="dxa"/>
            </w:tcMar>
            <w:hideMark/>
          </w:tcPr>
          <w:p w14:paraId="30556243" w14:textId="7613F0B0"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761</w:t>
            </w:r>
          </w:p>
        </w:tc>
        <w:tc>
          <w:tcPr>
            <w:tcW w:w="600" w:type="dxa"/>
            <w:shd w:val="clear" w:color="auto" w:fill="FFFFFF"/>
            <w:tcMar>
              <w:top w:w="0" w:type="dxa"/>
              <w:left w:w="101" w:type="dxa"/>
              <w:bottom w:w="0" w:type="dxa"/>
              <w:right w:w="101" w:type="dxa"/>
            </w:tcMar>
            <w:hideMark/>
          </w:tcPr>
          <w:p w14:paraId="56A76D18"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8 </w:t>
            </w:r>
          </w:p>
        </w:tc>
        <w:tc>
          <w:tcPr>
            <w:tcW w:w="1035" w:type="dxa"/>
            <w:shd w:val="clear" w:color="auto" w:fill="FFFFFF"/>
            <w:tcMar>
              <w:top w:w="0" w:type="dxa"/>
              <w:left w:w="101" w:type="dxa"/>
              <w:bottom w:w="0" w:type="dxa"/>
              <w:right w:w="101" w:type="dxa"/>
            </w:tcMar>
            <w:hideMark/>
          </w:tcPr>
          <w:p w14:paraId="701119DE" w14:textId="76058892"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925</w:t>
            </w:r>
          </w:p>
        </w:tc>
        <w:tc>
          <w:tcPr>
            <w:tcW w:w="1035" w:type="dxa"/>
            <w:shd w:val="clear" w:color="auto" w:fill="FFFFFF"/>
            <w:tcMar>
              <w:top w:w="0" w:type="dxa"/>
              <w:left w:w="101" w:type="dxa"/>
              <w:bottom w:w="0" w:type="dxa"/>
              <w:right w:w="101" w:type="dxa"/>
            </w:tcMar>
            <w:hideMark/>
          </w:tcPr>
          <w:p w14:paraId="5B1A45EB" w14:textId="4D5533F6"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225</w:t>
            </w:r>
          </w:p>
        </w:tc>
        <w:tc>
          <w:tcPr>
            <w:tcW w:w="1035" w:type="dxa"/>
            <w:shd w:val="clear" w:color="auto" w:fill="FFFFFF"/>
            <w:tcMar>
              <w:top w:w="0" w:type="dxa"/>
              <w:left w:w="101" w:type="dxa"/>
              <w:bottom w:w="0" w:type="dxa"/>
              <w:right w:w="101" w:type="dxa"/>
            </w:tcMar>
            <w:hideMark/>
          </w:tcPr>
          <w:p w14:paraId="19F93458" w14:textId="58B745FF"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452</w:t>
            </w:r>
          </w:p>
        </w:tc>
      </w:tr>
      <w:tr w:rsidR="00B55EED" w:rsidRPr="005E3B44" w14:paraId="6E0F38ED" w14:textId="77777777" w:rsidTr="00B55EED">
        <w:trPr>
          <w:trHeight w:val="240"/>
        </w:trPr>
        <w:tc>
          <w:tcPr>
            <w:tcW w:w="1035" w:type="dxa"/>
            <w:shd w:val="clear" w:color="auto" w:fill="FFFFFF"/>
            <w:tcMar>
              <w:top w:w="0" w:type="dxa"/>
              <w:left w:w="101" w:type="dxa"/>
              <w:bottom w:w="0" w:type="dxa"/>
              <w:right w:w="101" w:type="dxa"/>
            </w:tcMar>
            <w:hideMark/>
          </w:tcPr>
          <w:p w14:paraId="7B8C60CF" w14:textId="0A053B7B"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539</w:t>
            </w:r>
          </w:p>
        </w:tc>
        <w:tc>
          <w:tcPr>
            <w:tcW w:w="2385" w:type="dxa"/>
            <w:shd w:val="clear" w:color="auto" w:fill="FFFFFF"/>
            <w:noWrap/>
            <w:tcMar>
              <w:top w:w="0" w:type="dxa"/>
              <w:left w:w="101" w:type="dxa"/>
              <w:bottom w:w="0" w:type="dxa"/>
              <w:right w:w="101" w:type="dxa"/>
            </w:tcMar>
            <w:hideMark/>
          </w:tcPr>
          <w:p w14:paraId="536AE7B9"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Superannuation Expenses</w:t>
            </w:r>
          </w:p>
        </w:tc>
        <w:tc>
          <w:tcPr>
            <w:tcW w:w="1035" w:type="dxa"/>
            <w:shd w:val="clear" w:color="auto" w:fill="FFFFFF"/>
            <w:tcMar>
              <w:top w:w="0" w:type="dxa"/>
              <w:left w:w="101" w:type="dxa"/>
              <w:bottom w:w="0" w:type="dxa"/>
              <w:right w:w="101" w:type="dxa"/>
            </w:tcMar>
            <w:hideMark/>
          </w:tcPr>
          <w:p w14:paraId="47488E3B" w14:textId="05C78A1F"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488</w:t>
            </w:r>
          </w:p>
        </w:tc>
        <w:tc>
          <w:tcPr>
            <w:tcW w:w="1035" w:type="dxa"/>
            <w:shd w:val="clear" w:color="auto" w:fill="FFFFFF"/>
            <w:tcMar>
              <w:top w:w="0" w:type="dxa"/>
              <w:left w:w="101" w:type="dxa"/>
              <w:bottom w:w="0" w:type="dxa"/>
              <w:right w:w="101" w:type="dxa"/>
            </w:tcMar>
            <w:hideMark/>
          </w:tcPr>
          <w:p w14:paraId="45854819" w14:textId="530A6FB9"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638</w:t>
            </w:r>
          </w:p>
        </w:tc>
        <w:tc>
          <w:tcPr>
            <w:tcW w:w="600" w:type="dxa"/>
            <w:shd w:val="clear" w:color="auto" w:fill="FFFFFF"/>
            <w:tcMar>
              <w:top w:w="0" w:type="dxa"/>
              <w:left w:w="101" w:type="dxa"/>
              <w:bottom w:w="0" w:type="dxa"/>
              <w:right w:w="101" w:type="dxa"/>
            </w:tcMar>
            <w:hideMark/>
          </w:tcPr>
          <w:p w14:paraId="252BB8A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10 </w:t>
            </w:r>
          </w:p>
        </w:tc>
        <w:tc>
          <w:tcPr>
            <w:tcW w:w="1035" w:type="dxa"/>
            <w:shd w:val="clear" w:color="auto" w:fill="FFFFFF"/>
            <w:tcMar>
              <w:top w:w="0" w:type="dxa"/>
              <w:left w:w="101" w:type="dxa"/>
              <w:bottom w:w="0" w:type="dxa"/>
              <w:right w:w="101" w:type="dxa"/>
            </w:tcMar>
            <w:hideMark/>
          </w:tcPr>
          <w:p w14:paraId="1958BDA2" w14:textId="526CE958"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714</w:t>
            </w:r>
          </w:p>
        </w:tc>
        <w:tc>
          <w:tcPr>
            <w:tcW w:w="1035" w:type="dxa"/>
            <w:shd w:val="clear" w:color="auto" w:fill="FFFFFF"/>
            <w:tcMar>
              <w:top w:w="0" w:type="dxa"/>
              <w:left w:w="101" w:type="dxa"/>
              <w:bottom w:w="0" w:type="dxa"/>
              <w:right w:w="101" w:type="dxa"/>
            </w:tcMar>
            <w:hideMark/>
          </w:tcPr>
          <w:p w14:paraId="7C6FC232" w14:textId="3740A65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712</w:t>
            </w:r>
          </w:p>
        </w:tc>
        <w:tc>
          <w:tcPr>
            <w:tcW w:w="1035" w:type="dxa"/>
            <w:shd w:val="clear" w:color="auto" w:fill="FFFFFF"/>
            <w:tcMar>
              <w:top w:w="0" w:type="dxa"/>
              <w:left w:w="101" w:type="dxa"/>
              <w:bottom w:w="0" w:type="dxa"/>
              <w:right w:w="101" w:type="dxa"/>
            </w:tcMar>
            <w:hideMark/>
          </w:tcPr>
          <w:p w14:paraId="6679E9E7" w14:textId="463A3B7C"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711</w:t>
            </w:r>
          </w:p>
        </w:tc>
      </w:tr>
      <w:tr w:rsidR="00B55EED" w:rsidRPr="005E3B44" w14:paraId="2BFD1360" w14:textId="77777777" w:rsidTr="00B55EED">
        <w:trPr>
          <w:trHeight w:val="240"/>
        </w:trPr>
        <w:tc>
          <w:tcPr>
            <w:tcW w:w="1035" w:type="dxa"/>
            <w:shd w:val="clear" w:color="auto" w:fill="FFFFFF"/>
            <w:tcMar>
              <w:top w:w="0" w:type="dxa"/>
              <w:left w:w="101" w:type="dxa"/>
              <w:bottom w:w="0" w:type="dxa"/>
              <w:right w:w="101" w:type="dxa"/>
            </w:tcMar>
            <w:hideMark/>
          </w:tcPr>
          <w:p w14:paraId="5907DF85" w14:textId="4308E2C2"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193</w:t>
            </w:r>
          </w:p>
        </w:tc>
        <w:tc>
          <w:tcPr>
            <w:tcW w:w="2385" w:type="dxa"/>
            <w:shd w:val="clear" w:color="auto" w:fill="FFFFFF"/>
            <w:noWrap/>
            <w:tcMar>
              <w:top w:w="0" w:type="dxa"/>
              <w:left w:w="101" w:type="dxa"/>
              <w:bottom w:w="0" w:type="dxa"/>
              <w:right w:w="101" w:type="dxa"/>
            </w:tcMar>
            <w:hideMark/>
          </w:tcPr>
          <w:p w14:paraId="1E16E23C"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Supplies and Services</w:t>
            </w:r>
          </w:p>
        </w:tc>
        <w:tc>
          <w:tcPr>
            <w:tcW w:w="1035" w:type="dxa"/>
            <w:shd w:val="clear" w:color="auto" w:fill="FFFFFF"/>
            <w:tcMar>
              <w:top w:w="0" w:type="dxa"/>
              <w:left w:w="101" w:type="dxa"/>
              <w:bottom w:w="0" w:type="dxa"/>
              <w:right w:w="101" w:type="dxa"/>
            </w:tcMar>
            <w:hideMark/>
          </w:tcPr>
          <w:p w14:paraId="6EF1E75E" w14:textId="46EFF6BB"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623</w:t>
            </w:r>
          </w:p>
        </w:tc>
        <w:tc>
          <w:tcPr>
            <w:tcW w:w="1035" w:type="dxa"/>
            <w:shd w:val="clear" w:color="auto" w:fill="FFFFFF"/>
            <w:tcMar>
              <w:top w:w="0" w:type="dxa"/>
              <w:left w:w="101" w:type="dxa"/>
              <w:bottom w:w="0" w:type="dxa"/>
              <w:right w:w="101" w:type="dxa"/>
            </w:tcMar>
            <w:hideMark/>
          </w:tcPr>
          <w:p w14:paraId="5145FD9B" w14:textId="7ED93DFE"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578</w:t>
            </w:r>
          </w:p>
        </w:tc>
        <w:tc>
          <w:tcPr>
            <w:tcW w:w="600" w:type="dxa"/>
            <w:shd w:val="clear" w:color="auto" w:fill="FFFFFF"/>
            <w:tcMar>
              <w:top w:w="0" w:type="dxa"/>
              <w:left w:w="101" w:type="dxa"/>
              <w:bottom w:w="0" w:type="dxa"/>
              <w:right w:w="101" w:type="dxa"/>
            </w:tcMar>
            <w:hideMark/>
          </w:tcPr>
          <w:p w14:paraId="051EF1EA"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42 </w:t>
            </w:r>
          </w:p>
        </w:tc>
        <w:tc>
          <w:tcPr>
            <w:tcW w:w="1035" w:type="dxa"/>
            <w:shd w:val="clear" w:color="auto" w:fill="FFFFFF"/>
            <w:tcMar>
              <w:top w:w="0" w:type="dxa"/>
              <w:left w:w="101" w:type="dxa"/>
              <w:bottom w:w="0" w:type="dxa"/>
              <w:right w:w="101" w:type="dxa"/>
            </w:tcMar>
            <w:hideMark/>
          </w:tcPr>
          <w:p w14:paraId="0F333FE1" w14:textId="6F2C4636"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057</w:t>
            </w:r>
          </w:p>
        </w:tc>
        <w:tc>
          <w:tcPr>
            <w:tcW w:w="1035" w:type="dxa"/>
            <w:shd w:val="clear" w:color="auto" w:fill="FFFFFF"/>
            <w:tcMar>
              <w:top w:w="0" w:type="dxa"/>
              <w:left w:w="101" w:type="dxa"/>
              <w:bottom w:w="0" w:type="dxa"/>
              <w:right w:w="101" w:type="dxa"/>
            </w:tcMar>
            <w:hideMark/>
          </w:tcPr>
          <w:p w14:paraId="3C26521C" w14:textId="108E7916"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190</w:t>
            </w:r>
          </w:p>
        </w:tc>
        <w:tc>
          <w:tcPr>
            <w:tcW w:w="1035" w:type="dxa"/>
            <w:shd w:val="clear" w:color="auto" w:fill="FFFFFF"/>
            <w:tcMar>
              <w:top w:w="0" w:type="dxa"/>
              <w:left w:w="101" w:type="dxa"/>
              <w:bottom w:w="0" w:type="dxa"/>
              <w:right w:w="101" w:type="dxa"/>
            </w:tcMar>
            <w:hideMark/>
          </w:tcPr>
          <w:p w14:paraId="2528DEEE" w14:textId="44C7F105"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274</w:t>
            </w:r>
          </w:p>
        </w:tc>
      </w:tr>
      <w:tr w:rsidR="00B55EED" w:rsidRPr="005E3B44" w14:paraId="4D2E4ACC" w14:textId="77777777" w:rsidTr="00B55EED">
        <w:trPr>
          <w:trHeight w:val="240"/>
        </w:trPr>
        <w:tc>
          <w:tcPr>
            <w:tcW w:w="1035" w:type="dxa"/>
            <w:shd w:val="clear" w:color="auto" w:fill="FFFFFF"/>
            <w:tcMar>
              <w:top w:w="0" w:type="dxa"/>
              <w:left w:w="101" w:type="dxa"/>
              <w:bottom w:w="0" w:type="dxa"/>
              <w:right w:w="101" w:type="dxa"/>
            </w:tcMar>
            <w:hideMark/>
          </w:tcPr>
          <w:p w14:paraId="26DD0538" w14:textId="4576373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674</w:t>
            </w:r>
          </w:p>
        </w:tc>
        <w:tc>
          <w:tcPr>
            <w:tcW w:w="2385" w:type="dxa"/>
            <w:shd w:val="clear" w:color="auto" w:fill="FFFFFF"/>
            <w:noWrap/>
            <w:tcMar>
              <w:top w:w="0" w:type="dxa"/>
              <w:left w:w="101" w:type="dxa"/>
              <w:bottom w:w="0" w:type="dxa"/>
              <w:right w:w="101" w:type="dxa"/>
            </w:tcMar>
            <w:hideMark/>
          </w:tcPr>
          <w:p w14:paraId="081E09CB"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Depreciation and Amortisation</w:t>
            </w:r>
          </w:p>
        </w:tc>
        <w:tc>
          <w:tcPr>
            <w:tcW w:w="1035" w:type="dxa"/>
            <w:shd w:val="clear" w:color="auto" w:fill="FFFFFF"/>
            <w:tcMar>
              <w:top w:w="0" w:type="dxa"/>
              <w:left w:w="101" w:type="dxa"/>
              <w:bottom w:w="0" w:type="dxa"/>
              <w:right w:w="101" w:type="dxa"/>
            </w:tcMar>
            <w:hideMark/>
          </w:tcPr>
          <w:p w14:paraId="036A5910" w14:textId="6331101F"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742</w:t>
            </w:r>
          </w:p>
        </w:tc>
        <w:tc>
          <w:tcPr>
            <w:tcW w:w="1035" w:type="dxa"/>
            <w:shd w:val="clear" w:color="auto" w:fill="FFFFFF"/>
            <w:tcMar>
              <w:top w:w="0" w:type="dxa"/>
              <w:left w:w="101" w:type="dxa"/>
              <w:bottom w:w="0" w:type="dxa"/>
              <w:right w:w="101" w:type="dxa"/>
            </w:tcMar>
            <w:hideMark/>
          </w:tcPr>
          <w:p w14:paraId="21E763A7" w14:textId="6C44589D"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700</w:t>
            </w:r>
          </w:p>
        </w:tc>
        <w:tc>
          <w:tcPr>
            <w:tcW w:w="600" w:type="dxa"/>
            <w:shd w:val="clear" w:color="auto" w:fill="FFFFFF"/>
            <w:tcMar>
              <w:top w:w="0" w:type="dxa"/>
              <w:left w:w="101" w:type="dxa"/>
              <w:bottom w:w="0" w:type="dxa"/>
              <w:right w:w="101" w:type="dxa"/>
            </w:tcMar>
            <w:hideMark/>
          </w:tcPr>
          <w:p w14:paraId="44E6B0E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-2 </w:t>
            </w:r>
          </w:p>
        </w:tc>
        <w:tc>
          <w:tcPr>
            <w:tcW w:w="1035" w:type="dxa"/>
            <w:shd w:val="clear" w:color="auto" w:fill="FFFFFF"/>
            <w:tcMar>
              <w:top w:w="0" w:type="dxa"/>
              <w:left w:w="101" w:type="dxa"/>
              <w:bottom w:w="0" w:type="dxa"/>
              <w:right w:w="101" w:type="dxa"/>
            </w:tcMar>
            <w:hideMark/>
          </w:tcPr>
          <w:p w14:paraId="611E0A80" w14:textId="150879B2"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334</w:t>
            </w:r>
          </w:p>
        </w:tc>
        <w:tc>
          <w:tcPr>
            <w:tcW w:w="1035" w:type="dxa"/>
            <w:shd w:val="clear" w:color="auto" w:fill="FFFFFF"/>
            <w:tcMar>
              <w:top w:w="0" w:type="dxa"/>
              <w:left w:w="101" w:type="dxa"/>
              <w:bottom w:w="0" w:type="dxa"/>
              <w:right w:w="101" w:type="dxa"/>
            </w:tcMar>
            <w:hideMark/>
          </w:tcPr>
          <w:p w14:paraId="5885B640" w14:textId="0131627B"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232</w:t>
            </w:r>
          </w:p>
        </w:tc>
        <w:tc>
          <w:tcPr>
            <w:tcW w:w="1035" w:type="dxa"/>
            <w:shd w:val="clear" w:color="auto" w:fill="FFFFFF"/>
            <w:tcMar>
              <w:top w:w="0" w:type="dxa"/>
              <w:left w:w="101" w:type="dxa"/>
              <w:bottom w:w="0" w:type="dxa"/>
              <w:right w:w="101" w:type="dxa"/>
            </w:tcMar>
            <w:hideMark/>
          </w:tcPr>
          <w:p w14:paraId="1CADA8B8" w14:textId="5E9BC0BA"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176</w:t>
            </w:r>
          </w:p>
        </w:tc>
      </w:tr>
      <w:tr w:rsidR="00B55EED" w:rsidRPr="005E3B44" w14:paraId="23E6B85F" w14:textId="77777777" w:rsidTr="00B55EED">
        <w:trPr>
          <w:trHeight w:val="240"/>
        </w:trPr>
        <w:tc>
          <w:tcPr>
            <w:tcW w:w="1035" w:type="dxa"/>
            <w:shd w:val="clear" w:color="auto" w:fill="FFFFFF"/>
            <w:tcMar>
              <w:top w:w="0" w:type="dxa"/>
              <w:left w:w="101" w:type="dxa"/>
              <w:bottom w:w="0" w:type="dxa"/>
              <w:right w:w="101" w:type="dxa"/>
            </w:tcMar>
            <w:hideMark/>
          </w:tcPr>
          <w:p w14:paraId="03F8578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57</w:t>
            </w:r>
          </w:p>
        </w:tc>
        <w:tc>
          <w:tcPr>
            <w:tcW w:w="2385" w:type="dxa"/>
            <w:shd w:val="clear" w:color="auto" w:fill="FFFFFF"/>
            <w:noWrap/>
            <w:tcMar>
              <w:top w:w="0" w:type="dxa"/>
              <w:left w:w="101" w:type="dxa"/>
              <w:bottom w:w="0" w:type="dxa"/>
              <w:right w:w="101" w:type="dxa"/>
            </w:tcMar>
            <w:hideMark/>
          </w:tcPr>
          <w:p w14:paraId="69432465"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Borrowing Costs</w:t>
            </w:r>
          </w:p>
        </w:tc>
        <w:tc>
          <w:tcPr>
            <w:tcW w:w="1035" w:type="dxa"/>
            <w:shd w:val="clear" w:color="auto" w:fill="FFFFFF"/>
            <w:tcMar>
              <w:top w:w="0" w:type="dxa"/>
              <w:left w:w="101" w:type="dxa"/>
              <w:bottom w:w="0" w:type="dxa"/>
              <w:right w:w="101" w:type="dxa"/>
            </w:tcMar>
            <w:hideMark/>
          </w:tcPr>
          <w:p w14:paraId="4FD819AC"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58</w:t>
            </w:r>
          </w:p>
        </w:tc>
        <w:tc>
          <w:tcPr>
            <w:tcW w:w="1035" w:type="dxa"/>
            <w:shd w:val="clear" w:color="auto" w:fill="FFFFFF"/>
            <w:tcMar>
              <w:top w:w="0" w:type="dxa"/>
              <w:left w:w="101" w:type="dxa"/>
              <w:bottom w:w="0" w:type="dxa"/>
              <w:right w:w="101" w:type="dxa"/>
            </w:tcMar>
            <w:hideMark/>
          </w:tcPr>
          <w:p w14:paraId="305DB34D"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44</w:t>
            </w:r>
          </w:p>
        </w:tc>
        <w:tc>
          <w:tcPr>
            <w:tcW w:w="600" w:type="dxa"/>
            <w:shd w:val="clear" w:color="auto" w:fill="FFFFFF"/>
            <w:tcMar>
              <w:top w:w="0" w:type="dxa"/>
              <w:left w:w="101" w:type="dxa"/>
              <w:bottom w:w="0" w:type="dxa"/>
              <w:right w:w="101" w:type="dxa"/>
            </w:tcMar>
            <w:hideMark/>
          </w:tcPr>
          <w:p w14:paraId="15B4665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-24 </w:t>
            </w:r>
          </w:p>
        </w:tc>
        <w:tc>
          <w:tcPr>
            <w:tcW w:w="1035" w:type="dxa"/>
            <w:shd w:val="clear" w:color="auto" w:fill="FFFFFF"/>
            <w:tcMar>
              <w:top w:w="0" w:type="dxa"/>
              <w:left w:w="101" w:type="dxa"/>
              <w:bottom w:w="0" w:type="dxa"/>
              <w:right w:w="101" w:type="dxa"/>
            </w:tcMar>
            <w:hideMark/>
          </w:tcPr>
          <w:p w14:paraId="44C606F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124</w:t>
            </w:r>
          </w:p>
        </w:tc>
        <w:tc>
          <w:tcPr>
            <w:tcW w:w="1035" w:type="dxa"/>
            <w:shd w:val="clear" w:color="auto" w:fill="FFFFFF"/>
            <w:tcMar>
              <w:top w:w="0" w:type="dxa"/>
              <w:left w:w="101" w:type="dxa"/>
              <w:bottom w:w="0" w:type="dxa"/>
              <w:right w:w="101" w:type="dxa"/>
            </w:tcMar>
            <w:hideMark/>
          </w:tcPr>
          <w:p w14:paraId="7C0728B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146</w:t>
            </w:r>
          </w:p>
        </w:tc>
        <w:tc>
          <w:tcPr>
            <w:tcW w:w="1035" w:type="dxa"/>
            <w:shd w:val="clear" w:color="auto" w:fill="FFFFFF"/>
            <w:tcMar>
              <w:top w:w="0" w:type="dxa"/>
              <w:left w:w="101" w:type="dxa"/>
              <w:bottom w:w="0" w:type="dxa"/>
              <w:right w:w="101" w:type="dxa"/>
            </w:tcMar>
            <w:hideMark/>
          </w:tcPr>
          <w:p w14:paraId="39B3057F"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135</w:t>
            </w:r>
          </w:p>
        </w:tc>
      </w:tr>
      <w:tr w:rsidR="00B55EED" w:rsidRPr="005E3B44" w14:paraId="697A2AB6" w14:textId="77777777" w:rsidTr="00B55EED">
        <w:trPr>
          <w:trHeight w:val="240"/>
        </w:trPr>
        <w:tc>
          <w:tcPr>
            <w:tcW w:w="1035" w:type="dxa"/>
            <w:shd w:val="clear" w:color="auto" w:fill="FFFFFF"/>
            <w:tcMar>
              <w:top w:w="0" w:type="dxa"/>
              <w:left w:w="101" w:type="dxa"/>
              <w:bottom w:w="0" w:type="dxa"/>
              <w:right w:w="101" w:type="dxa"/>
            </w:tcMar>
            <w:hideMark/>
          </w:tcPr>
          <w:p w14:paraId="653BE92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30</w:t>
            </w:r>
          </w:p>
        </w:tc>
        <w:tc>
          <w:tcPr>
            <w:tcW w:w="2385" w:type="dxa"/>
            <w:shd w:val="clear" w:color="auto" w:fill="FFFFFF"/>
            <w:noWrap/>
            <w:tcMar>
              <w:top w:w="0" w:type="dxa"/>
              <w:left w:w="101" w:type="dxa"/>
              <w:bottom w:w="0" w:type="dxa"/>
              <w:right w:w="101" w:type="dxa"/>
            </w:tcMar>
            <w:hideMark/>
          </w:tcPr>
          <w:p w14:paraId="466D6D4A"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Other Expenses</w:t>
            </w:r>
          </w:p>
        </w:tc>
        <w:tc>
          <w:tcPr>
            <w:tcW w:w="1035" w:type="dxa"/>
            <w:shd w:val="clear" w:color="auto" w:fill="FFFFFF"/>
            <w:tcMar>
              <w:top w:w="0" w:type="dxa"/>
              <w:left w:w="101" w:type="dxa"/>
              <w:bottom w:w="0" w:type="dxa"/>
              <w:right w:w="101" w:type="dxa"/>
            </w:tcMar>
            <w:hideMark/>
          </w:tcPr>
          <w:p w14:paraId="6F06991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34</w:t>
            </w:r>
          </w:p>
        </w:tc>
        <w:tc>
          <w:tcPr>
            <w:tcW w:w="1035" w:type="dxa"/>
            <w:shd w:val="clear" w:color="auto" w:fill="FFFFFF"/>
            <w:tcMar>
              <w:top w:w="0" w:type="dxa"/>
              <w:left w:w="101" w:type="dxa"/>
              <w:bottom w:w="0" w:type="dxa"/>
              <w:right w:w="101" w:type="dxa"/>
            </w:tcMar>
            <w:hideMark/>
          </w:tcPr>
          <w:p w14:paraId="6B2B955D"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30</w:t>
            </w:r>
          </w:p>
        </w:tc>
        <w:tc>
          <w:tcPr>
            <w:tcW w:w="600" w:type="dxa"/>
            <w:shd w:val="clear" w:color="auto" w:fill="FFFFFF"/>
            <w:tcMar>
              <w:top w:w="0" w:type="dxa"/>
              <w:left w:w="101" w:type="dxa"/>
              <w:bottom w:w="0" w:type="dxa"/>
              <w:right w:w="101" w:type="dxa"/>
            </w:tcMar>
            <w:hideMark/>
          </w:tcPr>
          <w:p w14:paraId="020E0FC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-12 </w:t>
            </w:r>
          </w:p>
        </w:tc>
        <w:tc>
          <w:tcPr>
            <w:tcW w:w="1035" w:type="dxa"/>
            <w:shd w:val="clear" w:color="auto" w:fill="FFFFFF"/>
            <w:tcMar>
              <w:top w:w="0" w:type="dxa"/>
              <w:left w:w="101" w:type="dxa"/>
              <w:bottom w:w="0" w:type="dxa"/>
              <w:right w:w="101" w:type="dxa"/>
            </w:tcMar>
            <w:hideMark/>
          </w:tcPr>
          <w:p w14:paraId="70808DB9"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30</w:t>
            </w:r>
          </w:p>
        </w:tc>
        <w:tc>
          <w:tcPr>
            <w:tcW w:w="1035" w:type="dxa"/>
            <w:shd w:val="clear" w:color="auto" w:fill="FFFFFF"/>
            <w:tcMar>
              <w:top w:w="0" w:type="dxa"/>
              <w:left w:w="101" w:type="dxa"/>
              <w:bottom w:w="0" w:type="dxa"/>
              <w:right w:w="101" w:type="dxa"/>
            </w:tcMar>
            <w:hideMark/>
          </w:tcPr>
          <w:p w14:paraId="0EC9EE2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30</w:t>
            </w:r>
          </w:p>
        </w:tc>
        <w:tc>
          <w:tcPr>
            <w:tcW w:w="1035" w:type="dxa"/>
            <w:shd w:val="clear" w:color="auto" w:fill="FFFFFF"/>
            <w:tcMar>
              <w:top w:w="0" w:type="dxa"/>
              <w:left w:w="101" w:type="dxa"/>
              <w:bottom w:w="0" w:type="dxa"/>
              <w:right w:w="101" w:type="dxa"/>
            </w:tcMar>
            <w:hideMark/>
          </w:tcPr>
          <w:p w14:paraId="73C1B64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30</w:t>
            </w:r>
          </w:p>
        </w:tc>
      </w:tr>
      <w:tr w:rsidR="00B55EED" w:rsidRPr="005E3B44" w14:paraId="1E66CEC5" w14:textId="77777777" w:rsidTr="00B55EED">
        <w:trPr>
          <w:trHeight w:val="240"/>
        </w:trPr>
        <w:tc>
          <w:tcPr>
            <w:tcW w:w="1035" w:type="dxa"/>
            <w:shd w:val="clear" w:color="auto" w:fill="FFFFFF"/>
            <w:tcMar>
              <w:top w:w="0" w:type="dxa"/>
              <w:left w:w="0" w:type="dxa"/>
              <w:bottom w:w="0" w:type="dxa"/>
              <w:right w:w="0" w:type="dxa"/>
            </w:tcMar>
          </w:tcPr>
          <w:p w14:paraId="0EC58A6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noWrap/>
            <w:tcMar>
              <w:top w:w="0" w:type="dxa"/>
              <w:left w:w="0" w:type="dxa"/>
              <w:bottom w:w="0" w:type="dxa"/>
              <w:right w:w="0" w:type="dxa"/>
            </w:tcMar>
          </w:tcPr>
          <w:p w14:paraId="4B5BFFD7"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2372B43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277BAE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464925F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F42B24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CBF139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95F0C48"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6D85F7D7" w14:textId="77777777" w:rsidTr="00B55EED">
        <w:trPr>
          <w:trHeight w:val="240"/>
        </w:trPr>
        <w:tc>
          <w:tcPr>
            <w:tcW w:w="1035" w:type="dxa"/>
            <w:shd w:val="clear" w:color="auto" w:fill="FFFFFF"/>
            <w:tcMar>
              <w:top w:w="0" w:type="dxa"/>
              <w:left w:w="101" w:type="dxa"/>
              <w:bottom w:w="0" w:type="dxa"/>
              <w:right w:w="101" w:type="dxa"/>
            </w:tcMar>
            <w:hideMark/>
          </w:tcPr>
          <w:p w14:paraId="69172046" w14:textId="183D9AAE"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900</w:t>
            </w:r>
          </w:p>
        </w:tc>
        <w:tc>
          <w:tcPr>
            <w:tcW w:w="2385" w:type="dxa"/>
            <w:shd w:val="clear" w:color="auto" w:fill="FFFFFF"/>
            <w:noWrap/>
            <w:tcMar>
              <w:top w:w="0" w:type="dxa"/>
              <w:left w:w="101" w:type="dxa"/>
              <w:bottom w:w="0" w:type="dxa"/>
              <w:right w:w="101" w:type="dxa"/>
            </w:tcMar>
            <w:hideMark/>
          </w:tcPr>
          <w:p w14:paraId="373E0CED"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Total Expenses</w:t>
            </w:r>
          </w:p>
        </w:tc>
        <w:tc>
          <w:tcPr>
            <w:tcW w:w="1035" w:type="dxa"/>
            <w:shd w:val="clear" w:color="auto" w:fill="FFFFFF"/>
            <w:tcMar>
              <w:top w:w="0" w:type="dxa"/>
              <w:left w:w="101" w:type="dxa"/>
              <w:bottom w:w="0" w:type="dxa"/>
              <w:right w:w="101" w:type="dxa"/>
            </w:tcMar>
            <w:hideMark/>
          </w:tcPr>
          <w:p w14:paraId="62829E5C" w14:textId="0E63D4DD"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965</w:t>
            </w:r>
          </w:p>
        </w:tc>
        <w:tc>
          <w:tcPr>
            <w:tcW w:w="1035" w:type="dxa"/>
            <w:shd w:val="clear" w:color="auto" w:fill="FFFFFF"/>
            <w:tcMar>
              <w:top w:w="0" w:type="dxa"/>
              <w:left w:w="101" w:type="dxa"/>
              <w:bottom w:w="0" w:type="dxa"/>
              <w:right w:w="101" w:type="dxa"/>
            </w:tcMar>
            <w:hideMark/>
          </w:tcPr>
          <w:p w14:paraId="48022D73" w14:textId="26E9D8FC"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751</w:t>
            </w:r>
          </w:p>
        </w:tc>
        <w:tc>
          <w:tcPr>
            <w:tcW w:w="600" w:type="dxa"/>
            <w:shd w:val="clear" w:color="auto" w:fill="FFFFFF"/>
            <w:tcMar>
              <w:top w:w="0" w:type="dxa"/>
              <w:left w:w="101" w:type="dxa"/>
              <w:bottom w:w="0" w:type="dxa"/>
              <w:right w:w="101" w:type="dxa"/>
            </w:tcMar>
            <w:hideMark/>
          </w:tcPr>
          <w:p w14:paraId="1696828D"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16 </w:t>
            </w:r>
          </w:p>
        </w:tc>
        <w:tc>
          <w:tcPr>
            <w:tcW w:w="1035" w:type="dxa"/>
            <w:shd w:val="clear" w:color="auto" w:fill="FFFFFF"/>
            <w:tcMar>
              <w:top w:w="0" w:type="dxa"/>
              <w:left w:w="101" w:type="dxa"/>
              <w:bottom w:w="0" w:type="dxa"/>
              <w:right w:w="101" w:type="dxa"/>
            </w:tcMar>
            <w:hideMark/>
          </w:tcPr>
          <w:p w14:paraId="271B12AC" w14:textId="743605F3"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184</w:t>
            </w:r>
          </w:p>
        </w:tc>
        <w:tc>
          <w:tcPr>
            <w:tcW w:w="1035" w:type="dxa"/>
            <w:shd w:val="clear" w:color="auto" w:fill="FFFFFF"/>
            <w:tcMar>
              <w:top w:w="0" w:type="dxa"/>
              <w:left w:w="101" w:type="dxa"/>
              <w:bottom w:w="0" w:type="dxa"/>
              <w:right w:w="101" w:type="dxa"/>
            </w:tcMar>
            <w:hideMark/>
          </w:tcPr>
          <w:p w14:paraId="54A813D8" w14:textId="578F234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535</w:t>
            </w:r>
          </w:p>
        </w:tc>
        <w:tc>
          <w:tcPr>
            <w:tcW w:w="1035" w:type="dxa"/>
            <w:shd w:val="clear" w:color="auto" w:fill="FFFFFF"/>
            <w:tcMar>
              <w:top w:w="0" w:type="dxa"/>
              <w:left w:w="101" w:type="dxa"/>
              <w:bottom w:w="0" w:type="dxa"/>
              <w:right w:w="101" w:type="dxa"/>
            </w:tcMar>
            <w:hideMark/>
          </w:tcPr>
          <w:p w14:paraId="4F0E2A9F" w14:textId="29493921"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778</w:t>
            </w:r>
          </w:p>
        </w:tc>
      </w:tr>
      <w:tr w:rsidR="00B55EED" w:rsidRPr="005E3B44" w14:paraId="60579F2A" w14:textId="77777777" w:rsidTr="00B55EED">
        <w:trPr>
          <w:trHeight w:val="240"/>
        </w:trPr>
        <w:tc>
          <w:tcPr>
            <w:tcW w:w="1035" w:type="dxa"/>
            <w:shd w:val="clear" w:color="auto" w:fill="FFFFFF"/>
            <w:tcMar>
              <w:top w:w="0" w:type="dxa"/>
              <w:left w:w="0" w:type="dxa"/>
              <w:bottom w:w="0" w:type="dxa"/>
              <w:right w:w="0" w:type="dxa"/>
            </w:tcMar>
          </w:tcPr>
          <w:p w14:paraId="4781EA6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noWrap/>
            <w:tcMar>
              <w:top w:w="0" w:type="dxa"/>
              <w:left w:w="0" w:type="dxa"/>
              <w:bottom w:w="0" w:type="dxa"/>
              <w:right w:w="0" w:type="dxa"/>
            </w:tcMar>
          </w:tcPr>
          <w:p w14:paraId="5E09DEC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BB3AFE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7706C0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2EEC9E4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6811F4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299A89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BE5220A"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17C659ED" w14:textId="77777777" w:rsidTr="00B55EED">
        <w:trPr>
          <w:trHeight w:val="240"/>
        </w:trPr>
        <w:tc>
          <w:tcPr>
            <w:tcW w:w="1035" w:type="dxa"/>
            <w:shd w:val="clear" w:color="auto" w:fill="FFFFFF"/>
            <w:tcMar>
              <w:top w:w="0" w:type="dxa"/>
              <w:left w:w="101" w:type="dxa"/>
              <w:bottom w:w="0" w:type="dxa"/>
              <w:right w:w="101" w:type="dxa"/>
            </w:tcMar>
            <w:hideMark/>
          </w:tcPr>
          <w:p w14:paraId="1C81FDA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-94</w:t>
            </w:r>
          </w:p>
        </w:tc>
        <w:tc>
          <w:tcPr>
            <w:tcW w:w="2385" w:type="dxa"/>
            <w:shd w:val="clear" w:color="auto" w:fill="FFFFFF"/>
            <w:noWrap/>
            <w:tcMar>
              <w:top w:w="0" w:type="dxa"/>
              <w:left w:w="101" w:type="dxa"/>
              <w:bottom w:w="0" w:type="dxa"/>
              <w:right w:w="101" w:type="dxa"/>
            </w:tcMar>
            <w:hideMark/>
          </w:tcPr>
          <w:p w14:paraId="41EDB382"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Operating Result</w:t>
            </w:r>
          </w:p>
        </w:tc>
        <w:tc>
          <w:tcPr>
            <w:tcW w:w="1035" w:type="dxa"/>
            <w:shd w:val="clear" w:color="auto" w:fill="FFFFFF"/>
            <w:tcMar>
              <w:top w:w="0" w:type="dxa"/>
              <w:left w:w="101" w:type="dxa"/>
              <w:bottom w:w="0" w:type="dxa"/>
              <w:right w:w="101" w:type="dxa"/>
            </w:tcMar>
            <w:hideMark/>
          </w:tcPr>
          <w:p w14:paraId="570C5E03"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1 812</w:t>
            </w:r>
          </w:p>
        </w:tc>
        <w:tc>
          <w:tcPr>
            <w:tcW w:w="1035" w:type="dxa"/>
            <w:shd w:val="clear" w:color="auto" w:fill="FFFFFF"/>
            <w:tcMar>
              <w:top w:w="0" w:type="dxa"/>
              <w:left w:w="101" w:type="dxa"/>
              <w:bottom w:w="0" w:type="dxa"/>
              <w:right w:w="101" w:type="dxa"/>
            </w:tcMar>
            <w:hideMark/>
          </w:tcPr>
          <w:p w14:paraId="107F867D"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33</w:t>
            </w:r>
          </w:p>
        </w:tc>
        <w:tc>
          <w:tcPr>
            <w:tcW w:w="600" w:type="dxa"/>
            <w:shd w:val="clear" w:color="auto" w:fill="FFFFFF"/>
            <w:tcMar>
              <w:top w:w="0" w:type="dxa"/>
              <w:left w:w="101" w:type="dxa"/>
              <w:bottom w:w="0" w:type="dxa"/>
              <w:right w:w="101" w:type="dxa"/>
            </w:tcMar>
            <w:hideMark/>
          </w:tcPr>
          <w:p w14:paraId="07572462"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-98</w:t>
            </w:r>
          </w:p>
        </w:tc>
        <w:tc>
          <w:tcPr>
            <w:tcW w:w="1035" w:type="dxa"/>
            <w:shd w:val="clear" w:color="auto" w:fill="FFFFFF"/>
            <w:tcMar>
              <w:top w:w="0" w:type="dxa"/>
              <w:left w:w="101" w:type="dxa"/>
              <w:bottom w:w="0" w:type="dxa"/>
              <w:right w:w="101" w:type="dxa"/>
            </w:tcMar>
            <w:hideMark/>
          </w:tcPr>
          <w:p w14:paraId="351B7535"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67</w:t>
            </w:r>
          </w:p>
        </w:tc>
        <w:tc>
          <w:tcPr>
            <w:tcW w:w="1035" w:type="dxa"/>
            <w:shd w:val="clear" w:color="auto" w:fill="FFFFFF"/>
            <w:tcMar>
              <w:top w:w="0" w:type="dxa"/>
              <w:left w:w="101" w:type="dxa"/>
              <w:bottom w:w="0" w:type="dxa"/>
              <w:right w:w="101" w:type="dxa"/>
            </w:tcMar>
            <w:hideMark/>
          </w:tcPr>
          <w:p w14:paraId="796C2F2B"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67</w:t>
            </w:r>
          </w:p>
        </w:tc>
        <w:tc>
          <w:tcPr>
            <w:tcW w:w="1035" w:type="dxa"/>
            <w:shd w:val="clear" w:color="auto" w:fill="FFFFFF"/>
            <w:tcMar>
              <w:top w:w="0" w:type="dxa"/>
              <w:left w:w="101" w:type="dxa"/>
              <w:bottom w:w="0" w:type="dxa"/>
              <w:right w:w="101" w:type="dxa"/>
            </w:tcMar>
            <w:hideMark/>
          </w:tcPr>
          <w:p w14:paraId="465A784F"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36</w:t>
            </w:r>
          </w:p>
        </w:tc>
      </w:tr>
      <w:tr w:rsidR="00B55EED" w:rsidRPr="005E3B44" w14:paraId="26CEA982" w14:textId="77777777" w:rsidTr="00B55EED">
        <w:trPr>
          <w:trHeight w:val="240"/>
        </w:trPr>
        <w:tc>
          <w:tcPr>
            <w:tcW w:w="1035" w:type="dxa"/>
            <w:shd w:val="clear" w:color="auto" w:fill="FFFFFF"/>
            <w:tcMar>
              <w:top w:w="0" w:type="dxa"/>
              <w:left w:w="0" w:type="dxa"/>
              <w:bottom w:w="0" w:type="dxa"/>
              <w:right w:w="0" w:type="dxa"/>
            </w:tcMar>
          </w:tcPr>
          <w:p w14:paraId="2F7489CD"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2385" w:type="dxa"/>
            <w:shd w:val="clear" w:color="auto" w:fill="FFFFFF"/>
            <w:noWrap/>
            <w:tcMar>
              <w:top w:w="0" w:type="dxa"/>
              <w:left w:w="0" w:type="dxa"/>
              <w:bottom w:w="0" w:type="dxa"/>
              <w:right w:w="0" w:type="dxa"/>
            </w:tcMar>
          </w:tcPr>
          <w:p w14:paraId="24D759DC"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749F2556"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18683AF9"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600" w:type="dxa"/>
            <w:shd w:val="clear" w:color="auto" w:fill="FFFFFF"/>
            <w:tcMar>
              <w:top w:w="0" w:type="dxa"/>
              <w:left w:w="0" w:type="dxa"/>
              <w:bottom w:w="0" w:type="dxa"/>
              <w:right w:w="0" w:type="dxa"/>
            </w:tcMar>
          </w:tcPr>
          <w:p w14:paraId="71AB1721"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4BA3416D"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5111D6ED"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346F2441"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r>
      <w:tr w:rsidR="00B55EED" w:rsidRPr="005E3B44" w14:paraId="021EFF7B" w14:textId="77777777" w:rsidTr="00B55EED">
        <w:trPr>
          <w:trHeight w:val="480"/>
        </w:trPr>
        <w:tc>
          <w:tcPr>
            <w:tcW w:w="1035" w:type="dxa"/>
            <w:tcMar>
              <w:top w:w="0" w:type="dxa"/>
              <w:left w:w="101" w:type="dxa"/>
              <w:bottom w:w="0" w:type="dxa"/>
              <w:right w:w="101" w:type="dxa"/>
            </w:tcMar>
            <w:hideMark/>
          </w:tcPr>
          <w:p w14:paraId="6149962C" w14:textId="77777777" w:rsidR="00B55EED" w:rsidRPr="005E3B44" w:rsidRDefault="00B55EED">
            <w:pPr>
              <w:spacing w:before="0" w:after="0"/>
              <w:jc w:val="right"/>
              <w:rPr>
                <w:rFonts w:asciiTheme="minorHAnsi" w:eastAsia="Calibri" w:hAnsiTheme="minorHAnsi" w:cstheme="minorHAnsi"/>
                <w:color w:val="FFFFFF"/>
                <w:sz w:val="18"/>
                <w:szCs w:val="24"/>
                <w:lang w:eastAsia="en-AU"/>
              </w:rPr>
            </w:pPr>
            <w:r w:rsidRPr="005E3B44">
              <w:rPr>
                <w:rFonts w:asciiTheme="minorHAnsi" w:eastAsia="Calibri" w:hAnsiTheme="minorHAnsi" w:cstheme="minorHAnsi"/>
                <w:color w:val="FFFFFF"/>
                <w:sz w:val="18"/>
                <w:szCs w:val="24"/>
                <w:lang w:eastAsia="en-AU"/>
              </w:rPr>
              <w:t>0</w:t>
            </w:r>
          </w:p>
        </w:tc>
        <w:tc>
          <w:tcPr>
            <w:tcW w:w="2385" w:type="dxa"/>
            <w:noWrap/>
            <w:tcMar>
              <w:top w:w="0" w:type="dxa"/>
              <w:left w:w="101" w:type="dxa"/>
              <w:bottom w:w="0" w:type="dxa"/>
              <w:right w:w="101" w:type="dxa"/>
            </w:tcMar>
            <w:vAlign w:val="bottom"/>
            <w:hideMark/>
          </w:tcPr>
          <w:p w14:paraId="5F130DCB"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Other Comprehensive Income</w:t>
            </w:r>
          </w:p>
        </w:tc>
        <w:tc>
          <w:tcPr>
            <w:tcW w:w="1035" w:type="dxa"/>
            <w:tcMar>
              <w:top w:w="0" w:type="dxa"/>
              <w:left w:w="101" w:type="dxa"/>
              <w:bottom w:w="0" w:type="dxa"/>
              <w:right w:w="101" w:type="dxa"/>
            </w:tcMar>
            <w:hideMark/>
          </w:tcPr>
          <w:p w14:paraId="79050F97" w14:textId="77777777" w:rsidR="00B55EED" w:rsidRPr="005E3B44" w:rsidRDefault="00B55EED">
            <w:pPr>
              <w:spacing w:before="0" w:after="0"/>
              <w:jc w:val="right"/>
              <w:rPr>
                <w:rFonts w:asciiTheme="minorHAnsi" w:eastAsia="Calibri" w:hAnsiTheme="minorHAnsi" w:cstheme="minorHAnsi"/>
                <w:color w:val="FFFFFF"/>
                <w:sz w:val="18"/>
                <w:szCs w:val="24"/>
                <w:lang w:eastAsia="en-AU"/>
              </w:rPr>
            </w:pPr>
            <w:r w:rsidRPr="005E3B44">
              <w:rPr>
                <w:rFonts w:asciiTheme="minorHAnsi" w:eastAsia="Calibri" w:hAnsiTheme="minorHAnsi" w:cstheme="minorHAnsi"/>
                <w:color w:val="FFFFFF"/>
                <w:sz w:val="18"/>
                <w:szCs w:val="24"/>
                <w:lang w:eastAsia="en-AU"/>
              </w:rPr>
              <w:t>0</w:t>
            </w:r>
          </w:p>
        </w:tc>
        <w:tc>
          <w:tcPr>
            <w:tcW w:w="1035" w:type="dxa"/>
            <w:tcMar>
              <w:top w:w="0" w:type="dxa"/>
              <w:left w:w="101" w:type="dxa"/>
              <w:bottom w:w="0" w:type="dxa"/>
              <w:right w:w="101" w:type="dxa"/>
            </w:tcMar>
            <w:hideMark/>
          </w:tcPr>
          <w:p w14:paraId="523414CE" w14:textId="77777777" w:rsidR="00B55EED" w:rsidRPr="005E3B44" w:rsidRDefault="00B55EED">
            <w:pPr>
              <w:spacing w:before="0" w:after="0"/>
              <w:jc w:val="right"/>
              <w:rPr>
                <w:rFonts w:asciiTheme="minorHAnsi" w:eastAsia="Calibri" w:hAnsiTheme="minorHAnsi" w:cstheme="minorHAnsi"/>
                <w:color w:val="FFFFFF"/>
                <w:sz w:val="18"/>
                <w:szCs w:val="24"/>
                <w:lang w:eastAsia="en-AU"/>
              </w:rPr>
            </w:pPr>
            <w:r w:rsidRPr="005E3B44">
              <w:rPr>
                <w:rFonts w:asciiTheme="minorHAnsi" w:eastAsia="Calibri" w:hAnsiTheme="minorHAnsi" w:cstheme="minorHAnsi"/>
                <w:color w:val="FFFFFF"/>
                <w:sz w:val="18"/>
                <w:szCs w:val="24"/>
                <w:lang w:eastAsia="en-AU"/>
              </w:rPr>
              <w:t>863</w:t>
            </w:r>
          </w:p>
        </w:tc>
        <w:tc>
          <w:tcPr>
            <w:tcW w:w="600" w:type="dxa"/>
            <w:tcMar>
              <w:top w:w="0" w:type="dxa"/>
              <w:left w:w="0" w:type="dxa"/>
              <w:bottom w:w="0" w:type="dxa"/>
              <w:right w:w="0" w:type="dxa"/>
            </w:tcMar>
          </w:tcPr>
          <w:p w14:paraId="330F13E7" w14:textId="77777777" w:rsidR="00B55EED" w:rsidRPr="005E3B44" w:rsidRDefault="00B55EED">
            <w:pPr>
              <w:spacing w:before="0" w:after="0"/>
              <w:rPr>
                <w:rFonts w:asciiTheme="minorHAnsi" w:eastAsia="Calibri" w:hAnsiTheme="minorHAnsi" w:cstheme="minorHAnsi"/>
                <w:color w:val="FFFFFF"/>
                <w:sz w:val="18"/>
                <w:szCs w:val="24"/>
                <w:lang w:eastAsia="en-AU"/>
              </w:rPr>
            </w:pPr>
          </w:p>
        </w:tc>
        <w:tc>
          <w:tcPr>
            <w:tcW w:w="1035" w:type="dxa"/>
            <w:tcMar>
              <w:top w:w="0" w:type="dxa"/>
              <w:left w:w="101" w:type="dxa"/>
              <w:bottom w:w="0" w:type="dxa"/>
              <w:right w:w="101" w:type="dxa"/>
            </w:tcMar>
            <w:hideMark/>
          </w:tcPr>
          <w:p w14:paraId="647B626D" w14:textId="77777777" w:rsidR="00B55EED" w:rsidRPr="005E3B44" w:rsidRDefault="00B55EED">
            <w:pPr>
              <w:spacing w:before="0" w:after="0"/>
              <w:jc w:val="right"/>
              <w:rPr>
                <w:rFonts w:asciiTheme="minorHAnsi" w:eastAsia="Calibri" w:hAnsiTheme="minorHAnsi" w:cstheme="minorHAnsi"/>
                <w:color w:val="FFFFFF"/>
                <w:sz w:val="18"/>
                <w:szCs w:val="24"/>
                <w:lang w:eastAsia="en-AU"/>
              </w:rPr>
            </w:pPr>
            <w:r w:rsidRPr="005E3B44">
              <w:rPr>
                <w:rFonts w:asciiTheme="minorHAnsi" w:eastAsia="Calibri" w:hAnsiTheme="minorHAnsi" w:cstheme="minorHAnsi"/>
                <w:color w:val="FFFFFF"/>
                <w:sz w:val="18"/>
                <w:szCs w:val="24"/>
                <w:lang w:eastAsia="en-AU"/>
              </w:rPr>
              <w:t>863</w:t>
            </w:r>
          </w:p>
        </w:tc>
        <w:tc>
          <w:tcPr>
            <w:tcW w:w="1035" w:type="dxa"/>
            <w:tcMar>
              <w:top w:w="0" w:type="dxa"/>
              <w:left w:w="101" w:type="dxa"/>
              <w:bottom w:w="0" w:type="dxa"/>
              <w:right w:w="101" w:type="dxa"/>
            </w:tcMar>
            <w:hideMark/>
          </w:tcPr>
          <w:p w14:paraId="6C7BE3CF" w14:textId="77777777" w:rsidR="00B55EED" w:rsidRPr="005E3B44" w:rsidRDefault="00B55EED">
            <w:pPr>
              <w:spacing w:before="0" w:after="0"/>
              <w:jc w:val="right"/>
              <w:rPr>
                <w:rFonts w:asciiTheme="minorHAnsi" w:eastAsia="Calibri" w:hAnsiTheme="minorHAnsi" w:cstheme="minorHAnsi"/>
                <w:color w:val="FFFFFF"/>
                <w:sz w:val="18"/>
                <w:szCs w:val="24"/>
                <w:lang w:eastAsia="en-AU"/>
              </w:rPr>
            </w:pPr>
            <w:r w:rsidRPr="005E3B44">
              <w:rPr>
                <w:rFonts w:asciiTheme="minorHAnsi" w:eastAsia="Calibri" w:hAnsiTheme="minorHAnsi" w:cstheme="minorHAnsi"/>
                <w:color w:val="FFFFFF"/>
                <w:sz w:val="18"/>
                <w:szCs w:val="24"/>
                <w:lang w:eastAsia="en-AU"/>
              </w:rPr>
              <w:t>863</w:t>
            </w:r>
          </w:p>
        </w:tc>
        <w:tc>
          <w:tcPr>
            <w:tcW w:w="1035" w:type="dxa"/>
            <w:tcMar>
              <w:top w:w="0" w:type="dxa"/>
              <w:left w:w="101" w:type="dxa"/>
              <w:bottom w:w="0" w:type="dxa"/>
              <w:right w:w="101" w:type="dxa"/>
            </w:tcMar>
            <w:hideMark/>
          </w:tcPr>
          <w:p w14:paraId="67DF71D6" w14:textId="77777777" w:rsidR="00B55EED" w:rsidRPr="005E3B44" w:rsidRDefault="00B55EED">
            <w:pPr>
              <w:spacing w:before="0" w:after="0"/>
              <w:jc w:val="right"/>
              <w:rPr>
                <w:rFonts w:asciiTheme="minorHAnsi" w:eastAsia="Calibri" w:hAnsiTheme="minorHAnsi" w:cstheme="minorHAnsi"/>
                <w:color w:val="FFFFFF"/>
                <w:sz w:val="18"/>
                <w:szCs w:val="24"/>
                <w:lang w:eastAsia="en-AU"/>
              </w:rPr>
            </w:pPr>
            <w:r w:rsidRPr="005E3B44">
              <w:rPr>
                <w:rFonts w:asciiTheme="minorHAnsi" w:eastAsia="Calibri" w:hAnsiTheme="minorHAnsi" w:cstheme="minorHAnsi"/>
                <w:color w:val="FFFFFF"/>
                <w:sz w:val="18"/>
                <w:szCs w:val="24"/>
                <w:lang w:eastAsia="en-AU"/>
              </w:rPr>
              <w:t>863</w:t>
            </w:r>
          </w:p>
        </w:tc>
      </w:tr>
      <w:tr w:rsidR="00B55EED" w:rsidRPr="005E3B44" w14:paraId="62DD1896" w14:textId="77777777" w:rsidTr="00B55EED">
        <w:trPr>
          <w:trHeight w:val="240"/>
        </w:trPr>
        <w:tc>
          <w:tcPr>
            <w:tcW w:w="1035" w:type="dxa"/>
            <w:shd w:val="clear" w:color="auto" w:fill="FFFFFF"/>
            <w:tcMar>
              <w:top w:w="0" w:type="dxa"/>
              <w:left w:w="101" w:type="dxa"/>
              <w:bottom w:w="0" w:type="dxa"/>
              <w:right w:w="101" w:type="dxa"/>
            </w:tcMar>
            <w:hideMark/>
          </w:tcPr>
          <w:p w14:paraId="7A3BB1E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0</w:t>
            </w:r>
          </w:p>
        </w:tc>
        <w:tc>
          <w:tcPr>
            <w:tcW w:w="2385" w:type="dxa"/>
            <w:shd w:val="clear" w:color="auto" w:fill="FFFFFF"/>
            <w:noWrap/>
            <w:tcMar>
              <w:top w:w="0" w:type="dxa"/>
              <w:left w:w="101" w:type="dxa"/>
              <w:bottom w:w="0" w:type="dxa"/>
              <w:right w:w="101" w:type="dxa"/>
            </w:tcMar>
            <w:hideMark/>
          </w:tcPr>
          <w:p w14:paraId="5F24C8CE"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Net Effect of a Change in Accounting Policy</w:t>
            </w:r>
          </w:p>
        </w:tc>
        <w:tc>
          <w:tcPr>
            <w:tcW w:w="1035" w:type="dxa"/>
            <w:shd w:val="clear" w:color="auto" w:fill="FFFFFF"/>
            <w:tcMar>
              <w:top w:w="0" w:type="dxa"/>
              <w:left w:w="101" w:type="dxa"/>
              <w:bottom w:w="0" w:type="dxa"/>
              <w:right w:w="101" w:type="dxa"/>
            </w:tcMar>
            <w:hideMark/>
          </w:tcPr>
          <w:p w14:paraId="2138682C"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0</w:t>
            </w:r>
          </w:p>
        </w:tc>
        <w:tc>
          <w:tcPr>
            <w:tcW w:w="1035" w:type="dxa"/>
            <w:shd w:val="clear" w:color="auto" w:fill="FFFFFF"/>
            <w:tcMar>
              <w:top w:w="0" w:type="dxa"/>
              <w:left w:w="101" w:type="dxa"/>
              <w:bottom w:w="0" w:type="dxa"/>
              <w:right w:w="101" w:type="dxa"/>
            </w:tcMar>
            <w:hideMark/>
          </w:tcPr>
          <w:p w14:paraId="0C011197"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863</w:t>
            </w:r>
          </w:p>
        </w:tc>
        <w:tc>
          <w:tcPr>
            <w:tcW w:w="600" w:type="dxa"/>
            <w:shd w:val="clear" w:color="auto" w:fill="FFFFFF"/>
            <w:tcMar>
              <w:top w:w="0" w:type="dxa"/>
              <w:left w:w="101" w:type="dxa"/>
              <w:bottom w:w="0" w:type="dxa"/>
              <w:right w:w="101" w:type="dxa"/>
            </w:tcMar>
            <w:hideMark/>
          </w:tcPr>
          <w:p w14:paraId="200C8AC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 xml:space="preserve"># </w:t>
            </w:r>
          </w:p>
        </w:tc>
        <w:tc>
          <w:tcPr>
            <w:tcW w:w="1035" w:type="dxa"/>
            <w:shd w:val="clear" w:color="auto" w:fill="FFFFFF"/>
            <w:tcMar>
              <w:top w:w="0" w:type="dxa"/>
              <w:left w:w="101" w:type="dxa"/>
              <w:bottom w:w="0" w:type="dxa"/>
              <w:right w:w="101" w:type="dxa"/>
            </w:tcMar>
            <w:hideMark/>
          </w:tcPr>
          <w:p w14:paraId="1C349B4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863</w:t>
            </w:r>
          </w:p>
        </w:tc>
        <w:tc>
          <w:tcPr>
            <w:tcW w:w="1035" w:type="dxa"/>
            <w:shd w:val="clear" w:color="auto" w:fill="FFFFFF"/>
            <w:tcMar>
              <w:top w:w="0" w:type="dxa"/>
              <w:left w:w="101" w:type="dxa"/>
              <w:bottom w:w="0" w:type="dxa"/>
              <w:right w:w="101" w:type="dxa"/>
            </w:tcMar>
            <w:hideMark/>
          </w:tcPr>
          <w:p w14:paraId="2934F7D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863</w:t>
            </w:r>
          </w:p>
        </w:tc>
        <w:tc>
          <w:tcPr>
            <w:tcW w:w="1035" w:type="dxa"/>
            <w:shd w:val="clear" w:color="auto" w:fill="FFFFFF"/>
            <w:tcMar>
              <w:top w:w="0" w:type="dxa"/>
              <w:left w:w="101" w:type="dxa"/>
              <w:bottom w:w="0" w:type="dxa"/>
              <w:right w:w="101" w:type="dxa"/>
            </w:tcMar>
            <w:hideMark/>
          </w:tcPr>
          <w:p w14:paraId="7014A3C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szCs w:val="24"/>
                <w:lang w:eastAsia="en-AU"/>
              </w:rPr>
              <w:t>863</w:t>
            </w:r>
          </w:p>
        </w:tc>
      </w:tr>
      <w:tr w:rsidR="00B55EED" w:rsidRPr="005E3B44" w14:paraId="17AE0FAB" w14:textId="77777777" w:rsidTr="00B55EED">
        <w:trPr>
          <w:trHeight w:val="240"/>
        </w:trPr>
        <w:tc>
          <w:tcPr>
            <w:tcW w:w="1035" w:type="dxa"/>
            <w:shd w:val="clear" w:color="auto" w:fill="FFFFFF"/>
            <w:tcMar>
              <w:top w:w="0" w:type="dxa"/>
              <w:left w:w="101" w:type="dxa"/>
              <w:bottom w:w="0" w:type="dxa"/>
              <w:right w:w="101" w:type="dxa"/>
            </w:tcMar>
            <w:hideMark/>
          </w:tcPr>
          <w:p w14:paraId="57050AFB"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w:t>
            </w:r>
          </w:p>
        </w:tc>
        <w:tc>
          <w:tcPr>
            <w:tcW w:w="2385" w:type="dxa"/>
            <w:noWrap/>
            <w:tcMar>
              <w:top w:w="0" w:type="dxa"/>
              <w:left w:w="101" w:type="dxa"/>
              <w:bottom w:w="0" w:type="dxa"/>
              <w:right w:w="101" w:type="dxa"/>
            </w:tcMar>
            <w:hideMark/>
          </w:tcPr>
          <w:p w14:paraId="77832CE0"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Total Other Comprehensive Income</w:t>
            </w:r>
          </w:p>
        </w:tc>
        <w:tc>
          <w:tcPr>
            <w:tcW w:w="1035" w:type="dxa"/>
            <w:shd w:val="clear" w:color="auto" w:fill="FFFFFF"/>
            <w:tcMar>
              <w:top w:w="0" w:type="dxa"/>
              <w:left w:w="101" w:type="dxa"/>
              <w:bottom w:w="0" w:type="dxa"/>
              <w:right w:w="101" w:type="dxa"/>
            </w:tcMar>
            <w:hideMark/>
          </w:tcPr>
          <w:p w14:paraId="7E5D8A94"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w:t>
            </w:r>
          </w:p>
        </w:tc>
        <w:tc>
          <w:tcPr>
            <w:tcW w:w="1035" w:type="dxa"/>
            <w:shd w:val="clear" w:color="auto" w:fill="FFFFFF"/>
            <w:tcMar>
              <w:top w:w="0" w:type="dxa"/>
              <w:left w:w="101" w:type="dxa"/>
              <w:bottom w:w="0" w:type="dxa"/>
              <w:right w:w="101" w:type="dxa"/>
            </w:tcMar>
            <w:hideMark/>
          </w:tcPr>
          <w:p w14:paraId="659A3DAF"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863</w:t>
            </w:r>
          </w:p>
        </w:tc>
        <w:tc>
          <w:tcPr>
            <w:tcW w:w="600" w:type="dxa"/>
            <w:shd w:val="clear" w:color="auto" w:fill="FFFFFF"/>
            <w:tcMar>
              <w:top w:w="0" w:type="dxa"/>
              <w:left w:w="101" w:type="dxa"/>
              <w:bottom w:w="0" w:type="dxa"/>
              <w:right w:w="101" w:type="dxa"/>
            </w:tcMar>
            <w:hideMark/>
          </w:tcPr>
          <w:p w14:paraId="693D4E65"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 </w:t>
            </w:r>
          </w:p>
        </w:tc>
        <w:tc>
          <w:tcPr>
            <w:tcW w:w="1035" w:type="dxa"/>
            <w:shd w:val="clear" w:color="auto" w:fill="FFFFFF"/>
            <w:tcMar>
              <w:top w:w="0" w:type="dxa"/>
              <w:left w:w="101" w:type="dxa"/>
              <w:bottom w:w="0" w:type="dxa"/>
              <w:right w:w="101" w:type="dxa"/>
            </w:tcMar>
            <w:hideMark/>
          </w:tcPr>
          <w:p w14:paraId="6FF56124"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863</w:t>
            </w:r>
          </w:p>
        </w:tc>
        <w:tc>
          <w:tcPr>
            <w:tcW w:w="1035" w:type="dxa"/>
            <w:shd w:val="clear" w:color="auto" w:fill="FFFFFF"/>
            <w:tcMar>
              <w:top w:w="0" w:type="dxa"/>
              <w:left w:w="101" w:type="dxa"/>
              <w:bottom w:w="0" w:type="dxa"/>
              <w:right w:w="101" w:type="dxa"/>
            </w:tcMar>
            <w:hideMark/>
          </w:tcPr>
          <w:p w14:paraId="339C83DC"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863</w:t>
            </w:r>
          </w:p>
        </w:tc>
        <w:tc>
          <w:tcPr>
            <w:tcW w:w="1035" w:type="dxa"/>
            <w:shd w:val="clear" w:color="auto" w:fill="FFFFFF"/>
            <w:tcMar>
              <w:top w:w="0" w:type="dxa"/>
              <w:left w:w="101" w:type="dxa"/>
              <w:bottom w:w="0" w:type="dxa"/>
              <w:right w:w="101" w:type="dxa"/>
            </w:tcMar>
            <w:hideMark/>
          </w:tcPr>
          <w:p w14:paraId="167B6A6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863</w:t>
            </w:r>
          </w:p>
        </w:tc>
      </w:tr>
      <w:tr w:rsidR="00B55EED" w:rsidRPr="005E3B44" w14:paraId="7FEB1C39" w14:textId="77777777" w:rsidTr="00B55EED">
        <w:trPr>
          <w:trHeight w:val="240"/>
        </w:trPr>
        <w:tc>
          <w:tcPr>
            <w:tcW w:w="1035" w:type="dxa"/>
            <w:shd w:val="clear" w:color="auto" w:fill="FFFFFF"/>
            <w:tcMar>
              <w:top w:w="0" w:type="dxa"/>
              <w:left w:w="0" w:type="dxa"/>
              <w:bottom w:w="0" w:type="dxa"/>
              <w:right w:w="0" w:type="dxa"/>
            </w:tcMar>
          </w:tcPr>
          <w:p w14:paraId="0B9BDE94"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2385" w:type="dxa"/>
            <w:shd w:val="clear" w:color="auto" w:fill="FFFFFF"/>
            <w:noWrap/>
            <w:tcMar>
              <w:top w:w="0" w:type="dxa"/>
              <w:left w:w="0" w:type="dxa"/>
              <w:bottom w:w="0" w:type="dxa"/>
              <w:right w:w="0" w:type="dxa"/>
            </w:tcMar>
          </w:tcPr>
          <w:p w14:paraId="75B683DE"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75EDCD03"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3EDEE58D"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600" w:type="dxa"/>
            <w:shd w:val="clear" w:color="auto" w:fill="FFFFFF"/>
            <w:tcMar>
              <w:top w:w="0" w:type="dxa"/>
              <w:left w:w="0" w:type="dxa"/>
              <w:bottom w:w="0" w:type="dxa"/>
              <w:right w:w="0" w:type="dxa"/>
            </w:tcMar>
          </w:tcPr>
          <w:p w14:paraId="081916A3"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45861879"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4465A8B5"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0B05FDED"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r>
      <w:tr w:rsidR="00B55EED" w:rsidRPr="005E3B44" w14:paraId="2A1DF109" w14:textId="77777777" w:rsidTr="00B55EED">
        <w:trPr>
          <w:trHeight w:val="240"/>
        </w:trPr>
        <w:tc>
          <w:tcPr>
            <w:tcW w:w="1035" w:type="dxa"/>
            <w:shd w:val="clear" w:color="auto" w:fill="FFFFFF"/>
            <w:tcMar>
              <w:top w:w="0" w:type="dxa"/>
              <w:left w:w="101" w:type="dxa"/>
              <w:bottom w:w="0" w:type="dxa"/>
              <w:right w:w="101" w:type="dxa"/>
            </w:tcMar>
            <w:hideMark/>
          </w:tcPr>
          <w:p w14:paraId="79A6C092"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-94</w:t>
            </w:r>
          </w:p>
        </w:tc>
        <w:tc>
          <w:tcPr>
            <w:tcW w:w="2385" w:type="dxa"/>
            <w:shd w:val="clear" w:color="auto" w:fill="FFFFFF"/>
            <w:noWrap/>
            <w:tcMar>
              <w:top w:w="0" w:type="dxa"/>
              <w:left w:w="101" w:type="dxa"/>
              <w:bottom w:w="0" w:type="dxa"/>
              <w:right w:w="101" w:type="dxa"/>
            </w:tcMar>
            <w:hideMark/>
          </w:tcPr>
          <w:p w14:paraId="0D36A9A3"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Total Comprehensive Income</w:t>
            </w:r>
          </w:p>
        </w:tc>
        <w:tc>
          <w:tcPr>
            <w:tcW w:w="1035" w:type="dxa"/>
            <w:shd w:val="clear" w:color="auto" w:fill="FFFFFF"/>
            <w:tcMar>
              <w:top w:w="0" w:type="dxa"/>
              <w:left w:w="101" w:type="dxa"/>
              <w:bottom w:w="0" w:type="dxa"/>
              <w:right w:w="101" w:type="dxa"/>
            </w:tcMar>
            <w:hideMark/>
          </w:tcPr>
          <w:p w14:paraId="05168ACA" w14:textId="792174C3"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1</w:t>
            </w:r>
            <w:r w:rsidR="00B224AF">
              <w:rPr>
                <w:rFonts w:asciiTheme="minorHAnsi" w:eastAsia="Calibri" w:hAnsiTheme="minorHAnsi" w:cstheme="minorHAnsi"/>
                <w:b/>
                <w:color w:val="000000"/>
                <w:sz w:val="18"/>
                <w:szCs w:val="24"/>
                <w:lang w:eastAsia="en-AU"/>
              </w:rPr>
              <w:t>,</w:t>
            </w:r>
            <w:r w:rsidRPr="005E3B44">
              <w:rPr>
                <w:rFonts w:asciiTheme="minorHAnsi" w:eastAsia="Calibri" w:hAnsiTheme="minorHAnsi" w:cstheme="minorHAnsi"/>
                <w:b/>
                <w:color w:val="000000"/>
                <w:sz w:val="18"/>
                <w:szCs w:val="24"/>
                <w:lang w:eastAsia="en-AU"/>
              </w:rPr>
              <w:t>812</w:t>
            </w:r>
          </w:p>
        </w:tc>
        <w:tc>
          <w:tcPr>
            <w:tcW w:w="1035" w:type="dxa"/>
            <w:shd w:val="clear" w:color="auto" w:fill="FFFFFF"/>
            <w:tcMar>
              <w:top w:w="0" w:type="dxa"/>
              <w:left w:w="101" w:type="dxa"/>
              <w:bottom w:w="0" w:type="dxa"/>
              <w:right w:w="101" w:type="dxa"/>
            </w:tcMar>
            <w:hideMark/>
          </w:tcPr>
          <w:p w14:paraId="4CD7202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896</w:t>
            </w:r>
          </w:p>
        </w:tc>
        <w:tc>
          <w:tcPr>
            <w:tcW w:w="600" w:type="dxa"/>
            <w:shd w:val="clear" w:color="auto" w:fill="FFFFFF"/>
            <w:tcMar>
              <w:top w:w="0" w:type="dxa"/>
              <w:left w:w="101" w:type="dxa"/>
              <w:bottom w:w="0" w:type="dxa"/>
              <w:right w:w="101" w:type="dxa"/>
            </w:tcMar>
            <w:hideMark/>
          </w:tcPr>
          <w:p w14:paraId="73FA5269"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-51 </w:t>
            </w:r>
          </w:p>
        </w:tc>
        <w:tc>
          <w:tcPr>
            <w:tcW w:w="1035" w:type="dxa"/>
            <w:shd w:val="clear" w:color="auto" w:fill="FFFFFF"/>
            <w:tcMar>
              <w:top w:w="0" w:type="dxa"/>
              <w:left w:w="101" w:type="dxa"/>
              <w:bottom w:w="0" w:type="dxa"/>
              <w:right w:w="101" w:type="dxa"/>
            </w:tcMar>
            <w:hideMark/>
          </w:tcPr>
          <w:p w14:paraId="65386DD8"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930</w:t>
            </w:r>
          </w:p>
        </w:tc>
        <w:tc>
          <w:tcPr>
            <w:tcW w:w="1035" w:type="dxa"/>
            <w:shd w:val="clear" w:color="auto" w:fill="FFFFFF"/>
            <w:tcMar>
              <w:top w:w="0" w:type="dxa"/>
              <w:left w:w="101" w:type="dxa"/>
              <w:bottom w:w="0" w:type="dxa"/>
              <w:right w:w="101" w:type="dxa"/>
            </w:tcMar>
            <w:hideMark/>
          </w:tcPr>
          <w:p w14:paraId="40DAE04B"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930</w:t>
            </w:r>
          </w:p>
        </w:tc>
        <w:tc>
          <w:tcPr>
            <w:tcW w:w="1035" w:type="dxa"/>
            <w:shd w:val="clear" w:color="auto" w:fill="FFFFFF"/>
            <w:tcMar>
              <w:top w:w="0" w:type="dxa"/>
              <w:left w:w="101" w:type="dxa"/>
              <w:bottom w:w="0" w:type="dxa"/>
              <w:right w:w="101" w:type="dxa"/>
            </w:tcMar>
            <w:hideMark/>
          </w:tcPr>
          <w:p w14:paraId="27DB7B82"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899</w:t>
            </w:r>
          </w:p>
        </w:tc>
      </w:tr>
      <w:tr w:rsidR="00B55EED" w:rsidRPr="005E3B44" w14:paraId="06375F98" w14:textId="77777777" w:rsidTr="00B55EED">
        <w:trPr>
          <w:trHeight w:val="102"/>
        </w:trPr>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59B4B2B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tcBorders>
              <w:top w:val="nil"/>
              <w:left w:val="nil"/>
              <w:bottom w:val="single" w:sz="4" w:space="0" w:color="000000"/>
              <w:right w:val="nil"/>
            </w:tcBorders>
            <w:shd w:val="clear" w:color="auto" w:fill="FFFFFF"/>
            <w:tcMar>
              <w:top w:w="0" w:type="dxa"/>
              <w:left w:w="0" w:type="dxa"/>
              <w:bottom w:w="0" w:type="dxa"/>
              <w:right w:w="0" w:type="dxa"/>
            </w:tcMar>
          </w:tcPr>
          <w:p w14:paraId="04383AF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7C3C046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2582C7D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tcBorders>
              <w:top w:val="nil"/>
              <w:left w:val="nil"/>
              <w:bottom w:val="single" w:sz="4" w:space="0" w:color="000000"/>
              <w:right w:val="nil"/>
            </w:tcBorders>
            <w:shd w:val="clear" w:color="auto" w:fill="FFFFFF"/>
            <w:tcMar>
              <w:top w:w="0" w:type="dxa"/>
              <w:left w:w="0" w:type="dxa"/>
              <w:bottom w:w="0" w:type="dxa"/>
              <w:right w:w="0" w:type="dxa"/>
            </w:tcMar>
          </w:tcPr>
          <w:p w14:paraId="2539D29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3650768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47E0993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0E62FAAC"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bl>
    <w:p w14:paraId="155B0C29" w14:textId="77777777" w:rsidR="00B55EED" w:rsidRPr="005E3B44" w:rsidRDefault="00B55EED" w:rsidP="00B55EED">
      <w:pPr>
        <w:pStyle w:val="Normal7"/>
        <w:rPr>
          <w:rFonts w:asciiTheme="minorHAnsi" w:hAnsiTheme="minorHAnsi" w:cstheme="minorHAnsi"/>
          <w:b/>
          <w:color w:val="FF0000"/>
        </w:rPr>
      </w:pPr>
    </w:p>
    <w:p w14:paraId="1E6CEA4A" w14:textId="77777777" w:rsidR="008C695C" w:rsidRDefault="008C695C" w:rsidP="00B55EED">
      <w:pPr>
        <w:pStyle w:val="Normal7"/>
        <w:rPr>
          <w:rFonts w:asciiTheme="minorHAnsi" w:hAnsiTheme="minorHAnsi" w:cstheme="minorHAnsi"/>
          <w:b/>
        </w:rPr>
      </w:pPr>
    </w:p>
    <w:p w14:paraId="5F119F4C" w14:textId="77777777" w:rsidR="008C695C" w:rsidRDefault="008C695C" w:rsidP="00B55EED">
      <w:pPr>
        <w:pStyle w:val="Normal7"/>
        <w:rPr>
          <w:rFonts w:asciiTheme="minorHAnsi" w:hAnsiTheme="minorHAnsi" w:cstheme="minorHAnsi"/>
          <w:b/>
        </w:rPr>
      </w:pPr>
    </w:p>
    <w:p w14:paraId="557ABEB4" w14:textId="77777777" w:rsidR="008C695C" w:rsidRDefault="008C695C" w:rsidP="00B55EED">
      <w:pPr>
        <w:pStyle w:val="Normal7"/>
        <w:rPr>
          <w:rFonts w:asciiTheme="minorHAnsi" w:hAnsiTheme="minorHAnsi" w:cstheme="minorHAnsi"/>
          <w:b/>
        </w:rPr>
      </w:pPr>
    </w:p>
    <w:p w14:paraId="63C8CCF6" w14:textId="77777777" w:rsidR="008C695C" w:rsidRDefault="008C695C" w:rsidP="00B55EED">
      <w:pPr>
        <w:pStyle w:val="Normal7"/>
        <w:rPr>
          <w:rFonts w:asciiTheme="minorHAnsi" w:hAnsiTheme="minorHAnsi" w:cstheme="minorHAnsi"/>
          <w:b/>
        </w:rPr>
      </w:pPr>
    </w:p>
    <w:p w14:paraId="29899ECE" w14:textId="77777777" w:rsidR="008C695C" w:rsidRDefault="008C695C" w:rsidP="00B55EED">
      <w:pPr>
        <w:pStyle w:val="Normal7"/>
        <w:rPr>
          <w:rFonts w:asciiTheme="minorHAnsi" w:hAnsiTheme="minorHAnsi" w:cstheme="minorHAnsi"/>
          <w:b/>
        </w:rPr>
      </w:pPr>
    </w:p>
    <w:p w14:paraId="0E9BB514" w14:textId="77777777" w:rsidR="008C695C" w:rsidRDefault="008C695C" w:rsidP="00B55EED">
      <w:pPr>
        <w:pStyle w:val="Normal7"/>
        <w:rPr>
          <w:rFonts w:asciiTheme="minorHAnsi" w:hAnsiTheme="minorHAnsi" w:cstheme="minorHAnsi"/>
          <w:b/>
        </w:rPr>
      </w:pPr>
    </w:p>
    <w:p w14:paraId="3AA9E307" w14:textId="77777777" w:rsidR="008C695C" w:rsidRDefault="008C695C" w:rsidP="00B55EED">
      <w:pPr>
        <w:pStyle w:val="Normal7"/>
        <w:rPr>
          <w:rFonts w:asciiTheme="minorHAnsi" w:hAnsiTheme="minorHAnsi" w:cstheme="minorHAnsi"/>
          <w:b/>
        </w:rPr>
      </w:pPr>
    </w:p>
    <w:p w14:paraId="60EE2E60" w14:textId="54B9F324" w:rsidR="00B55EED" w:rsidRDefault="00B55EED" w:rsidP="00B55EED">
      <w:pPr>
        <w:pStyle w:val="Normal7"/>
        <w:rPr>
          <w:rFonts w:asciiTheme="minorHAnsi" w:hAnsiTheme="minorHAnsi" w:cstheme="minorHAnsi"/>
          <w:b/>
        </w:rPr>
      </w:pPr>
      <w:r w:rsidRPr="005E3B44">
        <w:rPr>
          <w:rFonts w:asciiTheme="minorHAnsi" w:hAnsiTheme="minorHAnsi" w:cstheme="minorHAnsi"/>
          <w:b/>
        </w:rPr>
        <w:t>Significant variations in the Operating Statement are as follows:</w:t>
      </w:r>
    </w:p>
    <w:p w14:paraId="7CB1835E" w14:textId="77777777" w:rsidR="008C695C" w:rsidRPr="005E3B44" w:rsidRDefault="008C695C" w:rsidP="00B55EED">
      <w:pPr>
        <w:pStyle w:val="Normal7"/>
        <w:rPr>
          <w:rFonts w:asciiTheme="minorHAnsi" w:hAnsiTheme="minorHAnsi" w:cstheme="minorHAnsi"/>
        </w:rPr>
      </w:pPr>
    </w:p>
    <w:p w14:paraId="4565B736" w14:textId="227745B5" w:rsidR="00B55EED" w:rsidRPr="008C695C" w:rsidRDefault="00B55EED" w:rsidP="00B55EED">
      <w:pPr>
        <w:pStyle w:val="Normal7"/>
        <w:rPr>
          <w:rFonts w:asciiTheme="minorHAnsi" w:hAnsiTheme="minorHAnsi" w:cstheme="minorHAnsi"/>
        </w:rPr>
      </w:pPr>
      <w:r w:rsidRPr="005E3B44">
        <w:rPr>
          <w:rFonts w:asciiTheme="minorHAnsi" w:hAnsiTheme="minorHAnsi" w:cstheme="minorHAnsi"/>
        </w:rPr>
        <w:t xml:space="preserve">The Commission has not experienced significant financial impacts </w:t>
      </w:r>
      <w:proofErr w:type="gramStart"/>
      <w:r w:rsidRPr="005E3B44">
        <w:rPr>
          <w:rFonts w:asciiTheme="minorHAnsi" w:hAnsiTheme="minorHAnsi" w:cstheme="minorHAnsi"/>
        </w:rPr>
        <w:t>as a result of</w:t>
      </w:r>
      <w:proofErr w:type="gramEnd"/>
      <w:r w:rsidRPr="005E3B44">
        <w:rPr>
          <w:rFonts w:asciiTheme="minorHAnsi" w:hAnsiTheme="minorHAnsi" w:cstheme="minorHAnsi"/>
        </w:rPr>
        <w:t xml:space="preserve"> the COVID</w:t>
      </w:r>
      <w:r w:rsidRPr="005E3B44">
        <w:rPr>
          <w:rFonts w:asciiTheme="minorHAnsi" w:hAnsiTheme="minorHAnsi" w:cstheme="minorHAnsi"/>
        </w:rPr>
        <w:noBreakHyphen/>
        <w:t>19 health emergency.</w:t>
      </w:r>
    </w:p>
    <w:p w14:paraId="6A32693B" w14:textId="77777777" w:rsidR="00B55EED" w:rsidRPr="005E3B44" w:rsidRDefault="00B55EED" w:rsidP="00B55EED">
      <w:pPr>
        <w:pStyle w:val="BSbullet10"/>
        <w:numPr>
          <w:ilvl w:val="0"/>
          <w:numId w:val="59"/>
        </w:numPr>
        <w:jc w:val="left"/>
        <w:rPr>
          <w:rFonts w:asciiTheme="minorHAnsi" w:hAnsiTheme="minorHAnsi" w:cstheme="minorHAnsi"/>
        </w:rPr>
      </w:pPr>
      <w:r w:rsidRPr="005E3B44">
        <w:rPr>
          <w:rFonts w:asciiTheme="minorHAnsi" w:hAnsiTheme="minorHAnsi" w:cstheme="minorHAnsi"/>
        </w:rPr>
        <w:t xml:space="preserve">controlled recurrent payments:  </w:t>
      </w:r>
    </w:p>
    <w:p w14:paraId="2AFBFBBD" w14:textId="410E3490"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the increase of $2.035 million (14 per cent) in the 2021-22 Budget from the 2020</w:t>
      </w:r>
      <w:r w:rsidRPr="005E3B44">
        <w:rPr>
          <w:rFonts w:asciiTheme="minorHAnsi" w:hAnsiTheme="minorHAnsi" w:cstheme="minorHAnsi"/>
        </w:rPr>
        <w:noBreakHyphen/>
        <w:t xml:space="preserve">21 interim outcome is mainly due to additional and continued funding from ACT Government initiatives Better justice support for vulnerable </w:t>
      </w:r>
      <w:proofErr w:type="spellStart"/>
      <w:r w:rsidRPr="005E3B44">
        <w:rPr>
          <w:rFonts w:asciiTheme="minorHAnsi" w:hAnsiTheme="minorHAnsi" w:cstheme="minorHAnsi"/>
        </w:rPr>
        <w:t>canberrans</w:t>
      </w:r>
      <w:proofErr w:type="spellEnd"/>
      <w:r w:rsidRPr="005E3B44">
        <w:rPr>
          <w:rFonts w:asciiTheme="minorHAnsi" w:hAnsiTheme="minorHAnsi" w:cstheme="minorHAnsi"/>
        </w:rPr>
        <w:t xml:space="preserve"> ($1.342 million), </w:t>
      </w:r>
      <w:r w:rsidR="00AB796B">
        <w:rPr>
          <w:rFonts w:asciiTheme="minorHAnsi" w:hAnsiTheme="minorHAnsi" w:cstheme="minorHAnsi"/>
        </w:rPr>
        <w:t xml:space="preserve">Streamlining court proceedings </w:t>
      </w:r>
      <w:r w:rsidRPr="005E3B44">
        <w:rPr>
          <w:rFonts w:asciiTheme="minorHAnsi" w:hAnsiTheme="minorHAnsi" w:cstheme="minorHAnsi"/>
        </w:rPr>
        <w:t>($0.100 million), Dedicated coroners court for the ACT ($0.092 million).  Additionally, there was a reclassification of revenue previously in sale of services from contracts with customers for the Therapeutic Care Court ($0.299 million in 2021-22)</w:t>
      </w:r>
      <w:r w:rsidRPr="005E3B44">
        <w:rPr>
          <w:rFonts w:asciiTheme="minorHAnsi" w:eastAsia="TimesNewRomanPS-ItalicMT" w:hAnsiTheme="minorHAnsi" w:cstheme="minorHAnsi"/>
        </w:rPr>
        <w:t>.</w:t>
      </w:r>
    </w:p>
    <w:p w14:paraId="1FF54C71" w14:textId="77777777" w:rsidR="00B55EED" w:rsidRPr="005E3B44" w:rsidRDefault="00B55EED" w:rsidP="00B55EED">
      <w:pPr>
        <w:pStyle w:val="BSbullet10"/>
        <w:numPr>
          <w:ilvl w:val="0"/>
          <w:numId w:val="59"/>
        </w:numPr>
        <w:rPr>
          <w:rFonts w:asciiTheme="minorHAnsi" w:hAnsiTheme="minorHAnsi" w:cstheme="minorHAnsi"/>
        </w:rPr>
      </w:pPr>
      <w:r w:rsidRPr="005E3B44">
        <w:rPr>
          <w:rFonts w:asciiTheme="minorHAnsi" w:hAnsiTheme="minorHAnsi" w:cstheme="minorHAnsi"/>
        </w:rPr>
        <w:t xml:space="preserve">sale of services from contracts with customers:  </w:t>
      </w:r>
    </w:p>
    <w:p w14:paraId="2082492B"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 xml:space="preserve">The decrease of $0.913 million in the 2020-21 interim outcome from the 2020-21 Budget is mainly due to less income recognised for contracts with the Commonwealth Government that weren’t completed or did not occur during 2020-21.  </w:t>
      </w:r>
      <w:proofErr w:type="gramStart"/>
      <w:r w:rsidRPr="005E3B44">
        <w:rPr>
          <w:rFonts w:asciiTheme="minorHAnsi" w:hAnsiTheme="minorHAnsi" w:cstheme="minorHAnsi"/>
        </w:rPr>
        <w:t>Specifically</w:t>
      </w:r>
      <w:proofErr w:type="gramEnd"/>
      <w:r w:rsidRPr="005E3B44">
        <w:rPr>
          <w:rFonts w:asciiTheme="minorHAnsi" w:hAnsiTheme="minorHAnsi" w:cstheme="minorHAnsi"/>
        </w:rPr>
        <w:t xml:space="preserve"> this was legal services for Family Law Property Mediation ($0.334 million), Expensive Commonwealth Criminal Cases Fund ($0.284 million) and Family Violence and Cross-examination of Parties Scheme ($0.044 million). </w:t>
      </w:r>
    </w:p>
    <w:p w14:paraId="413DC05A" w14:textId="77777777" w:rsidR="00B55EED" w:rsidRPr="005E3B44" w:rsidRDefault="00B55EED" w:rsidP="00B55EED">
      <w:pPr>
        <w:pStyle w:val="BSbullet2"/>
        <w:numPr>
          <w:ilvl w:val="0"/>
          <w:numId w:val="0"/>
        </w:numPr>
        <w:ind w:left="1077"/>
        <w:rPr>
          <w:rFonts w:asciiTheme="minorHAnsi" w:hAnsiTheme="minorHAnsi" w:cstheme="minorHAnsi"/>
        </w:rPr>
      </w:pPr>
      <w:r w:rsidRPr="005E3B44">
        <w:rPr>
          <w:rFonts w:asciiTheme="minorHAnsi" w:hAnsiTheme="minorHAnsi" w:cstheme="minorHAnsi"/>
        </w:rPr>
        <w:t>In addition to the above, there was a reclassification of income related to COVID</w:t>
      </w:r>
      <w:r w:rsidRPr="005E3B44">
        <w:rPr>
          <w:rFonts w:asciiTheme="minorHAnsi" w:hAnsiTheme="minorHAnsi" w:cstheme="minorHAnsi"/>
        </w:rPr>
        <w:noBreakHyphen/>
        <w:t>19 initiatives ($0.306 million) to Grants and Contribution in the 2020-21 Interim Outcome. The revenue was originally categorised under Sale of Services from Contracts with Customers in the 2020-21 budget.</w:t>
      </w:r>
    </w:p>
    <w:p w14:paraId="79090C57" w14:textId="77777777" w:rsidR="00B55EED" w:rsidRPr="005E3B44" w:rsidRDefault="00B55EED" w:rsidP="00B55EED">
      <w:pPr>
        <w:pStyle w:val="BSbullet2"/>
        <w:numPr>
          <w:ilvl w:val="0"/>
          <w:numId w:val="0"/>
        </w:numPr>
        <w:ind w:left="1077"/>
        <w:rPr>
          <w:rFonts w:asciiTheme="minorHAnsi" w:hAnsiTheme="minorHAnsi" w:cstheme="minorHAnsi"/>
        </w:rPr>
      </w:pPr>
      <w:r w:rsidRPr="005E3B44">
        <w:rPr>
          <w:rFonts w:asciiTheme="minorHAnsi" w:hAnsiTheme="minorHAnsi" w:cstheme="minorHAnsi"/>
        </w:rPr>
        <w:t>There was also an increase in the interim outcome for income received for the National Disability Insurance Scheme ($0.070 million) and Health Justice Partnership ($0.098 million) programs.</w:t>
      </w:r>
    </w:p>
    <w:p w14:paraId="6B2B6907" w14:textId="77777777" w:rsidR="00B55EED" w:rsidRPr="005E3B44" w:rsidRDefault="00B55EED" w:rsidP="00B55EED">
      <w:pPr>
        <w:pStyle w:val="BSbullet2"/>
        <w:numPr>
          <w:ilvl w:val="0"/>
          <w:numId w:val="0"/>
        </w:numPr>
        <w:rPr>
          <w:rFonts w:asciiTheme="minorHAnsi" w:hAnsiTheme="minorHAnsi" w:cstheme="minorHAnsi"/>
        </w:rPr>
      </w:pPr>
      <w:r w:rsidRPr="005E3B44">
        <w:rPr>
          <w:rFonts w:asciiTheme="minorHAnsi" w:hAnsiTheme="minorHAnsi" w:cstheme="minorHAnsi"/>
        </w:rPr>
        <w:t>•   grants and contributions:</w:t>
      </w:r>
    </w:p>
    <w:p w14:paraId="7B692275"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The increase of $0.870 million in the 2020-21 interim outcome from the 2020-</w:t>
      </w:r>
      <w:proofErr w:type="gramStart"/>
      <w:r w:rsidRPr="005E3B44">
        <w:rPr>
          <w:rFonts w:asciiTheme="minorHAnsi" w:hAnsiTheme="minorHAnsi" w:cstheme="minorHAnsi"/>
        </w:rPr>
        <w:t>21  Budget</w:t>
      </w:r>
      <w:proofErr w:type="gramEnd"/>
      <w:r w:rsidRPr="005E3B44">
        <w:rPr>
          <w:rFonts w:asciiTheme="minorHAnsi" w:hAnsiTheme="minorHAnsi" w:cstheme="minorHAnsi"/>
        </w:rPr>
        <w:t xml:space="preserve"> is partly due to a reclassification of income related to COVID</w:t>
      </w:r>
      <w:r w:rsidRPr="005E3B44">
        <w:rPr>
          <w:rFonts w:asciiTheme="minorHAnsi" w:hAnsiTheme="minorHAnsi" w:cstheme="minorHAnsi"/>
        </w:rPr>
        <w:noBreakHyphen/>
        <w:t>19 initiatives ($0.306 million) to Grants and Contribution in the 2020-21 Interim Outcome. The revenue was originally categorised under Sale of Services from Contracts with Customers in the 2020-21 original budget.  There was also higher than budgeted grant funding received from the ACT Law Society ($0.163 million) and an increase in Assisted Person Contributions &amp; Recovered Costs (0.093 million).  There was also $0.104 million recognised in the interim outcome for volunteer services and resources received free of charge, neither of which were included in the 2020-21 Budget.</w:t>
      </w:r>
    </w:p>
    <w:p w14:paraId="0B5BD885"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 xml:space="preserve">The decrease of $1.181 million in the 2021-22 Budget from the 2020-21 Interim Outcome is mainly due to a reduction in grant received from the ACT Law Society ($0.613 million), the cessation of Commonwealth 2020-21 COVID-19 funding </w:t>
      </w:r>
      <w:r w:rsidRPr="005E3B44">
        <w:rPr>
          <w:rFonts w:asciiTheme="minorHAnsi" w:hAnsiTheme="minorHAnsi" w:cstheme="minorHAnsi"/>
        </w:rPr>
        <w:lastRenderedPageBreak/>
        <w:t xml:space="preserve">($0.492 million) which is now funded from ACT Government Better justice support for vulnerable </w:t>
      </w:r>
      <w:proofErr w:type="spellStart"/>
      <w:r w:rsidRPr="005E3B44">
        <w:rPr>
          <w:rFonts w:asciiTheme="minorHAnsi" w:hAnsiTheme="minorHAnsi" w:cstheme="minorHAnsi"/>
        </w:rPr>
        <w:t>canberrans</w:t>
      </w:r>
      <w:proofErr w:type="spellEnd"/>
      <w:r w:rsidRPr="005E3B44">
        <w:rPr>
          <w:rFonts w:asciiTheme="minorHAnsi" w:hAnsiTheme="minorHAnsi" w:cstheme="minorHAnsi"/>
        </w:rPr>
        <w:t xml:space="preserve"> initiative which is included in Controlled Recurrent Payments. There was also $0.104 million recognised in the interim outcome for volunteer services and resources received free of charge, neither of which are included in the 2021-22 Budget.</w:t>
      </w:r>
    </w:p>
    <w:p w14:paraId="2FFECCBB" w14:textId="77777777" w:rsidR="00B55EED" w:rsidRPr="005E3B44" w:rsidRDefault="00B55EED" w:rsidP="00B55EED">
      <w:pPr>
        <w:pStyle w:val="BSbullet10"/>
        <w:numPr>
          <w:ilvl w:val="0"/>
          <w:numId w:val="59"/>
        </w:numPr>
        <w:jc w:val="left"/>
        <w:rPr>
          <w:rFonts w:asciiTheme="minorHAnsi" w:hAnsiTheme="minorHAnsi" w:cstheme="minorHAnsi"/>
          <w:shd w:val="clear" w:color="auto" w:fill="FFFF99"/>
        </w:rPr>
      </w:pPr>
      <w:r w:rsidRPr="005E3B44">
        <w:rPr>
          <w:rFonts w:asciiTheme="minorHAnsi" w:hAnsiTheme="minorHAnsi" w:cstheme="minorHAnsi"/>
        </w:rPr>
        <w:t xml:space="preserve">employee expenses:  </w:t>
      </w:r>
    </w:p>
    <w:p w14:paraId="5D00DF73"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 xml:space="preserve">the decrease of $0.386 million in the 2020-21 Interim Outcome from the 2020-21 Budget is mainly due to savings relating to re-profiling of position classifications, some senior staff </w:t>
      </w:r>
      <w:proofErr w:type="gramStart"/>
      <w:r w:rsidRPr="005E3B44">
        <w:rPr>
          <w:rFonts w:asciiTheme="minorHAnsi" w:hAnsiTheme="minorHAnsi" w:cstheme="minorHAnsi"/>
        </w:rPr>
        <w:t>departures</w:t>
      </w:r>
      <w:proofErr w:type="gramEnd"/>
      <w:r w:rsidRPr="005E3B44">
        <w:rPr>
          <w:rFonts w:asciiTheme="minorHAnsi" w:hAnsiTheme="minorHAnsi" w:cstheme="minorHAnsi"/>
        </w:rPr>
        <w:t xml:space="preserve"> and delays in the uptake of specific programs that weren’t completed or did not occur during 2020-21.</w:t>
      </w:r>
    </w:p>
    <w:p w14:paraId="05891D7E"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 xml:space="preserve">the increase of $0.740 million in the 2021-22 Budget from the 2020-21 Interim Outcome is mainly due to the additional staff associated with the new 2021-22 budget initiatives. </w:t>
      </w:r>
    </w:p>
    <w:p w14:paraId="783D0EA9" w14:textId="77777777" w:rsidR="00B55EED" w:rsidRPr="005E3B44" w:rsidRDefault="00B55EED" w:rsidP="00B55EED">
      <w:pPr>
        <w:pStyle w:val="BSbullet10"/>
        <w:keepNext/>
        <w:numPr>
          <w:ilvl w:val="0"/>
          <w:numId w:val="59"/>
        </w:numPr>
        <w:jc w:val="left"/>
        <w:rPr>
          <w:rFonts w:asciiTheme="minorHAnsi" w:hAnsiTheme="minorHAnsi" w:cstheme="minorHAnsi"/>
        </w:rPr>
      </w:pPr>
      <w:r w:rsidRPr="005E3B44">
        <w:rPr>
          <w:rFonts w:asciiTheme="minorHAnsi" w:hAnsiTheme="minorHAnsi" w:cstheme="minorHAnsi"/>
        </w:rPr>
        <w:t xml:space="preserve">superannuation expenses:   </w:t>
      </w:r>
    </w:p>
    <w:p w14:paraId="596869D2"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the increase of $0.151 million in the 2021-22 Budget from the 2020-21 Interim Outcome is related to an increase in staff associated with the new 2021-22 budget initiatives.</w:t>
      </w:r>
    </w:p>
    <w:p w14:paraId="15B08405" w14:textId="77777777" w:rsidR="00B55EED" w:rsidRPr="005E3B44" w:rsidRDefault="00B55EED" w:rsidP="00B55EED">
      <w:pPr>
        <w:pStyle w:val="BSbullet10"/>
        <w:keepNext/>
        <w:numPr>
          <w:ilvl w:val="0"/>
          <w:numId w:val="59"/>
        </w:numPr>
        <w:jc w:val="left"/>
        <w:rPr>
          <w:rFonts w:asciiTheme="minorHAnsi" w:hAnsiTheme="minorHAnsi" w:cstheme="minorHAnsi"/>
        </w:rPr>
      </w:pPr>
      <w:r w:rsidRPr="005E3B44">
        <w:rPr>
          <w:rFonts w:asciiTheme="minorHAnsi" w:hAnsiTheme="minorHAnsi" w:cstheme="minorHAnsi"/>
        </w:rPr>
        <w:t>supplies and services:</w:t>
      </w:r>
    </w:p>
    <w:p w14:paraId="2FC5686B"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 xml:space="preserve">the decrease of $1.570 million in the 2020-21 Interim Outcome from the 2020-21 Budget is mainly due to lower than budgeted Legal Expenses ($1.027 million) from delays in the uptake of specific programs that weren’t completed or did not occur during 2020-21.  Additionally, there was a delay in the </w:t>
      </w:r>
      <w:proofErr w:type="spellStart"/>
      <w:r w:rsidRPr="005E3B44">
        <w:rPr>
          <w:rFonts w:asciiTheme="minorHAnsi" w:hAnsiTheme="minorHAnsi" w:cstheme="minorHAnsi"/>
        </w:rPr>
        <w:t>fitout</w:t>
      </w:r>
      <w:proofErr w:type="spellEnd"/>
      <w:r w:rsidRPr="005E3B44">
        <w:rPr>
          <w:rFonts w:asciiTheme="minorHAnsi" w:hAnsiTheme="minorHAnsi" w:cstheme="minorHAnsi"/>
        </w:rPr>
        <w:t xml:space="preserve"> of the Commission’s office accommodation ($0.500 million), now expected to occur in 2021-22.</w:t>
      </w:r>
    </w:p>
    <w:p w14:paraId="434397FA" w14:textId="77777777" w:rsidR="00B55EED" w:rsidRPr="005E3B44" w:rsidRDefault="00B55EED" w:rsidP="00B55EED">
      <w:pPr>
        <w:pStyle w:val="BSbullet2"/>
        <w:numPr>
          <w:ilvl w:val="0"/>
          <w:numId w:val="61"/>
        </w:numPr>
        <w:rPr>
          <w:rFonts w:asciiTheme="minorHAnsi" w:hAnsiTheme="minorHAnsi" w:cstheme="minorHAnsi"/>
        </w:rPr>
      </w:pPr>
      <w:r w:rsidRPr="005E3B44">
        <w:rPr>
          <w:rFonts w:asciiTheme="minorHAnsi" w:hAnsiTheme="minorHAnsi" w:cstheme="minorHAnsi"/>
        </w:rPr>
        <w:t xml:space="preserve">the increase of $1.955 million in the 2021-22 Budget from the 2020-21 Interim Outcome is mainly due to the anticipated higher expenditure associated with funding of new initiatives in 2021-22 (Better justice support for vulnerable </w:t>
      </w:r>
      <w:proofErr w:type="spellStart"/>
      <w:r w:rsidRPr="005E3B44">
        <w:rPr>
          <w:rFonts w:asciiTheme="minorHAnsi" w:hAnsiTheme="minorHAnsi" w:cstheme="minorHAnsi"/>
        </w:rPr>
        <w:t>canberrans</w:t>
      </w:r>
      <w:proofErr w:type="spellEnd"/>
      <w:r w:rsidRPr="005E3B44">
        <w:rPr>
          <w:rFonts w:asciiTheme="minorHAnsi" w:hAnsiTheme="minorHAnsi" w:cstheme="minorHAnsi"/>
        </w:rPr>
        <w:t xml:space="preserve">, additional workload in Magistrates Court, Disability Support Trial and Criminal Case Conferencing), expenditure for the </w:t>
      </w:r>
      <w:proofErr w:type="spellStart"/>
      <w:r w:rsidRPr="005E3B44">
        <w:rPr>
          <w:rFonts w:asciiTheme="minorHAnsi" w:hAnsiTheme="minorHAnsi" w:cstheme="minorHAnsi"/>
        </w:rPr>
        <w:t>fitout</w:t>
      </w:r>
      <w:proofErr w:type="spellEnd"/>
      <w:r w:rsidRPr="005E3B44">
        <w:rPr>
          <w:rFonts w:asciiTheme="minorHAnsi" w:hAnsiTheme="minorHAnsi" w:cstheme="minorHAnsi"/>
        </w:rPr>
        <w:t xml:space="preserve"> of the Legal Aid premises and additional expenditure on the Commission’s Cyber-Security protection. </w:t>
      </w:r>
    </w:p>
    <w:p w14:paraId="132A3A20" w14:textId="77777777" w:rsidR="00B55EED" w:rsidRPr="005E3B44" w:rsidRDefault="00B55EED" w:rsidP="00B55EED">
      <w:pPr>
        <w:spacing w:before="0" w:after="0"/>
        <w:rPr>
          <w:rFonts w:asciiTheme="minorHAnsi" w:hAnsiTheme="minorHAnsi" w:cstheme="minorHAnsi"/>
          <w:szCs w:val="24"/>
          <w:bdr w:val="none" w:sz="0" w:space="0" w:color="auto" w:frame="1"/>
        </w:rPr>
      </w:pPr>
      <w:r w:rsidRPr="005E3B44">
        <w:rPr>
          <w:rFonts w:asciiTheme="minorHAnsi" w:hAnsiTheme="minorHAnsi" w:cstheme="minorHAnsi"/>
          <w:bdr w:val="none" w:sz="0" w:space="0" w:color="auto" w:frame="1"/>
        </w:rPr>
        <w:br w:type="page"/>
      </w:r>
    </w:p>
    <w:p w14:paraId="56048B1B" w14:textId="77777777" w:rsidR="00B55EED" w:rsidRPr="005E3B44" w:rsidRDefault="00B55EED" w:rsidP="00B55EED">
      <w:pPr>
        <w:pStyle w:val="Caption"/>
        <w:pageBreakBefore/>
        <w:outlineLvl w:val="0"/>
        <w:rPr>
          <w:rFonts w:asciiTheme="minorHAnsi" w:hAnsiTheme="minorHAnsi" w:cstheme="minorHAnsi"/>
          <w:color w:val="auto"/>
          <w:bdr w:val="none" w:sz="0" w:space="0" w:color="auto" w:frame="1"/>
        </w:rPr>
      </w:pPr>
      <w:r w:rsidRPr="005E3B44">
        <w:rPr>
          <w:rFonts w:asciiTheme="minorHAnsi" w:hAnsiTheme="minorHAnsi" w:cstheme="minorHAnsi"/>
          <w:color w:val="auto"/>
          <w:bdr w:val="none" w:sz="0" w:space="0" w:color="auto" w:frame="1"/>
        </w:rPr>
        <w:lastRenderedPageBreak/>
        <w:t xml:space="preserve">Table 7: Legal Aid Commission (ACT): Balance Sheet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B55EED" w:rsidRPr="005E3B44" w14:paraId="05C913D4" w14:textId="77777777" w:rsidTr="00B55EED">
        <w:trPr>
          <w:trHeight w:val="1275"/>
        </w:trPr>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07596E78"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Budget</w:t>
            </w:r>
          </w:p>
          <w:p w14:paraId="0CEF950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at</w:t>
            </w:r>
          </w:p>
          <w:p w14:paraId="5E3550E3"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30/6/21 </w:t>
            </w:r>
          </w:p>
          <w:p w14:paraId="3E6CED68"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2385" w:type="dxa"/>
            <w:tcBorders>
              <w:top w:val="single" w:sz="4" w:space="0" w:color="000000"/>
              <w:left w:val="nil"/>
              <w:bottom w:val="single" w:sz="4" w:space="0" w:color="000000"/>
              <w:right w:val="nil"/>
            </w:tcBorders>
            <w:shd w:val="clear" w:color="auto" w:fill="FFFFFF"/>
            <w:tcMar>
              <w:top w:w="0" w:type="dxa"/>
              <w:left w:w="0" w:type="dxa"/>
              <w:bottom w:w="0" w:type="dxa"/>
              <w:right w:w="0" w:type="dxa"/>
            </w:tcMar>
          </w:tcPr>
          <w:p w14:paraId="73DC798F"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6C30476D"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2020-21 Interim Outcome at 30/6/21</w:t>
            </w:r>
          </w:p>
          <w:p w14:paraId="133110C5"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5C5D05E5"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Budget</w:t>
            </w:r>
          </w:p>
          <w:p w14:paraId="77B80219"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at</w:t>
            </w:r>
          </w:p>
          <w:p w14:paraId="6935661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30/6/22 </w:t>
            </w:r>
          </w:p>
          <w:p w14:paraId="409AD86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600"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0F6BA80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Var</w:t>
            </w:r>
          </w:p>
          <w:p w14:paraId="301AD802"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10DDA40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Estimate</w:t>
            </w:r>
          </w:p>
          <w:p w14:paraId="21EAC8E9"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at</w:t>
            </w:r>
          </w:p>
          <w:p w14:paraId="472A4BBD"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30/6/23 </w:t>
            </w:r>
          </w:p>
          <w:p w14:paraId="3CA87B3C"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268C8404"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Estimate</w:t>
            </w:r>
          </w:p>
          <w:p w14:paraId="77B15169"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at</w:t>
            </w:r>
          </w:p>
          <w:p w14:paraId="688D1FA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30/6/24 </w:t>
            </w:r>
          </w:p>
          <w:p w14:paraId="09053DD7"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29221C9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Estimate</w:t>
            </w:r>
          </w:p>
          <w:p w14:paraId="1CAFFBF7"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at</w:t>
            </w:r>
          </w:p>
          <w:p w14:paraId="2661F92A"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 xml:space="preserve">30/6/25 </w:t>
            </w:r>
          </w:p>
          <w:p w14:paraId="17A09036"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$'000</w:t>
            </w:r>
          </w:p>
        </w:tc>
      </w:tr>
      <w:tr w:rsidR="00B55EED" w:rsidRPr="005E3B44" w14:paraId="18B90F60" w14:textId="77777777" w:rsidTr="00B55EED">
        <w:trPr>
          <w:trHeight w:val="240"/>
        </w:trPr>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0E0A65F0"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2385" w:type="dxa"/>
            <w:tcBorders>
              <w:top w:val="single" w:sz="4" w:space="0" w:color="000000"/>
              <w:left w:val="nil"/>
              <w:bottom w:val="nil"/>
              <w:right w:val="nil"/>
            </w:tcBorders>
            <w:shd w:val="clear" w:color="auto" w:fill="FFFFFF"/>
            <w:tcMar>
              <w:top w:w="0" w:type="dxa"/>
              <w:left w:w="0" w:type="dxa"/>
              <w:bottom w:w="0" w:type="dxa"/>
              <w:right w:w="0" w:type="dxa"/>
            </w:tcMar>
          </w:tcPr>
          <w:p w14:paraId="3FF56B53"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45231F67"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6F787A7F"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600" w:type="dxa"/>
            <w:tcBorders>
              <w:top w:val="single" w:sz="4" w:space="0" w:color="000000"/>
              <w:left w:val="nil"/>
              <w:bottom w:val="nil"/>
              <w:right w:val="nil"/>
            </w:tcBorders>
            <w:shd w:val="clear" w:color="auto" w:fill="FFFFFF"/>
            <w:tcMar>
              <w:top w:w="0" w:type="dxa"/>
              <w:left w:w="0" w:type="dxa"/>
              <w:bottom w:w="0" w:type="dxa"/>
              <w:right w:w="0" w:type="dxa"/>
            </w:tcMar>
          </w:tcPr>
          <w:p w14:paraId="7C00504C"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33155EAF"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55DE28C7"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46CF45E4" w14:textId="77777777" w:rsidR="00B55EED" w:rsidRPr="005E3B44" w:rsidRDefault="00B55EED">
            <w:pPr>
              <w:spacing w:before="0" w:after="0"/>
              <w:jc w:val="right"/>
              <w:rPr>
                <w:rFonts w:asciiTheme="minorHAnsi" w:eastAsia="Calibri" w:hAnsiTheme="minorHAnsi" w:cstheme="minorHAnsi"/>
                <w:b/>
                <w:i/>
                <w:color w:val="000000"/>
                <w:sz w:val="18"/>
                <w:szCs w:val="24"/>
                <w:lang w:eastAsia="en-AU"/>
              </w:rPr>
            </w:pPr>
          </w:p>
        </w:tc>
      </w:tr>
      <w:tr w:rsidR="00B55EED" w:rsidRPr="005E3B44" w14:paraId="22D5593D" w14:textId="77777777" w:rsidTr="00B55EED">
        <w:trPr>
          <w:trHeight w:val="240"/>
        </w:trPr>
        <w:tc>
          <w:tcPr>
            <w:tcW w:w="1035" w:type="dxa"/>
            <w:shd w:val="clear" w:color="auto" w:fill="FFFFFF"/>
            <w:tcMar>
              <w:top w:w="0" w:type="dxa"/>
              <w:left w:w="0" w:type="dxa"/>
              <w:bottom w:w="0" w:type="dxa"/>
              <w:right w:w="0" w:type="dxa"/>
            </w:tcMar>
          </w:tcPr>
          <w:p w14:paraId="0E8F9DA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101" w:type="dxa"/>
              <w:bottom w:w="0" w:type="dxa"/>
              <w:right w:w="101" w:type="dxa"/>
            </w:tcMar>
            <w:hideMark/>
          </w:tcPr>
          <w:p w14:paraId="36A01052"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szCs w:val="24"/>
                <w:lang w:eastAsia="en-AU"/>
              </w:rPr>
              <w:t>Current Assets</w:t>
            </w:r>
          </w:p>
        </w:tc>
        <w:tc>
          <w:tcPr>
            <w:tcW w:w="1035" w:type="dxa"/>
            <w:shd w:val="clear" w:color="auto" w:fill="FFFFFF"/>
            <w:tcMar>
              <w:top w:w="0" w:type="dxa"/>
              <w:left w:w="0" w:type="dxa"/>
              <w:bottom w:w="0" w:type="dxa"/>
              <w:right w:w="0" w:type="dxa"/>
            </w:tcMar>
          </w:tcPr>
          <w:p w14:paraId="359EEEE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2D40214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104AA42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A8908F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629FBE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3B145F3"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0ADCBCC0" w14:textId="77777777" w:rsidTr="00B55EED">
        <w:trPr>
          <w:trHeight w:val="240"/>
        </w:trPr>
        <w:tc>
          <w:tcPr>
            <w:tcW w:w="1035" w:type="dxa"/>
            <w:shd w:val="clear" w:color="auto" w:fill="FFFFFF"/>
            <w:tcMar>
              <w:top w:w="0" w:type="dxa"/>
              <w:left w:w="101" w:type="dxa"/>
              <w:bottom w:w="0" w:type="dxa"/>
              <w:right w:w="101" w:type="dxa"/>
            </w:tcMar>
            <w:hideMark/>
          </w:tcPr>
          <w:p w14:paraId="6DCD4A74" w14:textId="590359B8"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842</w:t>
            </w:r>
          </w:p>
        </w:tc>
        <w:tc>
          <w:tcPr>
            <w:tcW w:w="2385" w:type="dxa"/>
            <w:noWrap/>
            <w:tcMar>
              <w:top w:w="0" w:type="dxa"/>
              <w:left w:w="101" w:type="dxa"/>
              <w:bottom w:w="0" w:type="dxa"/>
              <w:right w:w="101" w:type="dxa"/>
            </w:tcMar>
            <w:hideMark/>
          </w:tcPr>
          <w:p w14:paraId="77AE4769"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Cash and Cash Equivalents</w:t>
            </w:r>
          </w:p>
        </w:tc>
        <w:tc>
          <w:tcPr>
            <w:tcW w:w="1035" w:type="dxa"/>
            <w:shd w:val="clear" w:color="auto" w:fill="FFFFFF"/>
            <w:tcMar>
              <w:top w:w="0" w:type="dxa"/>
              <w:left w:w="101" w:type="dxa"/>
              <w:bottom w:w="0" w:type="dxa"/>
              <w:right w:w="101" w:type="dxa"/>
            </w:tcMar>
            <w:hideMark/>
          </w:tcPr>
          <w:p w14:paraId="73F69056" w14:textId="7095C6C6"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570</w:t>
            </w:r>
          </w:p>
        </w:tc>
        <w:tc>
          <w:tcPr>
            <w:tcW w:w="1035" w:type="dxa"/>
            <w:shd w:val="clear" w:color="auto" w:fill="FFFFFF"/>
            <w:tcMar>
              <w:top w:w="0" w:type="dxa"/>
              <w:left w:w="101" w:type="dxa"/>
              <w:bottom w:w="0" w:type="dxa"/>
              <w:right w:w="101" w:type="dxa"/>
            </w:tcMar>
            <w:hideMark/>
          </w:tcPr>
          <w:p w14:paraId="550C238F" w14:textId="3CF79F74"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408</w:t>
            </w:r>
          </w:p>
        </w:tc>
        <w:tc>
          <w:tcPr>
            <w:tcW w:w="600" w:type="dxa"/>
            <w:shd w:val="clear" w:color="auto" w:fill="FFFFFF"/>
            <w:tcMar>
              <w:top w:w="0" w:type="dxa"/>
              <w:left w:w="101" w:type="dxa"/>
              <w:bottom w:w="0" w:type="dxa"/>
              <w:right w:w="101" w:type="dxa"/>
            </w:tcMar>
            <w:hideMark/>
          </w:tcPr>
          <w:p w14:paraId="4DBD099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-2 </w:t>
            </w:r>
          </w:p>
        </w:tc>
        <w:tc>
          <w:tcPr>
            <w:tcW w:w="1035" w:type="dxa"/>
            <w:shd w:val="clear" w:color="auto" w:fill="FFFFFF"/>
            <w:tcMar>
              <w:top w:w="0" w:type="dxa"/>
              <w:left w:w="101" w:type="dxa"/>
              <w:bottom w:w="0" w:type="dxa"/>
              <w:right w:w="101" w:type="dxa"/>
            </w:tcMar>
            <w:hideMark/>
          </w:tcPr>
          <w:p w14:paraId="68254A6E" w14:textId="02ACF2FF"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478</w:t>
            </w:r>
          </w:p>
        </w:tc>
        <w:tc>
          <w:tcPr>
            <w:tcW w:w="1035" w:type="dxa"/>
            <w:shd w:val="clear" w:color="auto" w:fill="FFFFFF"/>
            <w:tcMar>
              <w:top w:w="0" w:type="dxa"/>
              <w:left w:w="101" w:type="dxa"/>
              <w:bottom w:w="0" w:type="dxa"/>
              <w:right w:w="101" w:type="dxa"/>
            </w:tcMar>
            <w:hideMark/>
          </w:tcPr>
          <w:p w14:paraId="79A54BBA" w14:textId="3FF2C98C"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253</w:t>
            </w:r>
          </w:p>
        </w:tc>
        <w:tc>
          <w:tcPr>
            <w:tcW w:w="1035" w:type="dxa"/>
            <w:shd w:val="clear" w:color="auto" w:fill="FFFFFF"/>
            <w:tcMar>
              <w:top w:w="0" w:type="dxa"/>
              <w:left w:w="101" w:type="dxa"/>
              <w:bottom w:w="0" w:type="dxa"/>
              <w:right w:w="101" w:type="dxa"/>
            </w:tcMar>
            <w:hideMark/>
          </w:tcPr>
          <w:p w14:paraId="555722BE" w14:textId="602AE071"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972</w:t>
            </w:r>
          </w:p>
        </w:tc>
      </w:tr>
      <w:tr w:rsidR="00B55EED" w:rsidRPr="005E3B44" w14:paraId="7CC6495F" w14:textId="77777777" w:rsidTr="00B55EED">
        <w:trPr>
          <w:trHeight w:val="240"/>
        </w:trPr>
        <w:tc>
          <w:tcPr>
            <w:tcW w:w="1035" w:type="dxa"/>
            <w:shd w:val="clear" w:color="auto" w:fill="FFFFFF"/>
            <w:tcMar>
              <w:top w:w="0" w:type="dxa"/>
              <w:left w:w="101" w:type="dxa"/>
              <w:bottom w:w="0" w:type="dxa"/>
              <w:right w:w="101" w:type="dxa"/>
            </w:tcMar>
            <w:hideMark/>
          </w:tcPr>
          <w:p w14:paraId="5141D08A"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164</w:t>
            </w:r>
          </w:p>
        </w:tc>
        <w:tc>
          <w:tcPr>
            <w:tcW w:w="2385" w:type="dxa"/>
            <w:noWrap/>
            <w:tcMar>
              <w:top w:w="0" w:type="dxa"/>
              <w:left w:w="101" w:type="dxa"/>
              <w:bottom w:w="0" w:type="dxa"/>
              <w:right w:w="101" w:type="dxa"/>
            </w:tcMar>
            <w:hideMark/>
          </w:tcPr>
          <w:p w14:paraId="64EA2036"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Receivables</w:t>
            </w:r>
          </w:p>
        </w:tc>
        <w:tc>
          <w:tcPr>
            <w:tcW w:w="1035" w:type="dxa"/>
            <w:shd w:val="clear" w:color="auto" w:fill="FFFFFF"/>
            <w:tcMar>
              <w:top w:w="0" w:type="dxa"/>
              <w:left w:w="101" w:type="dxa"/>
              <w:bottom w:w="0" w:type="dxa"/>
              <w:right w:w="101" w:type="dxa"/>
            </w:tcMar>
            <w:hideMark/>
          </w:tcPr>
          <w:p w14:paraId="04E2AEE8"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169</w:t>
            </w:r>
          </w:p>
        </w:tc>
        <w:tc>
          <w:tcPr>
            <w:tcW w:w="1035" w:type="dxa"/>
            <w:shd w:val="clear" w:color="auto" w:fill="FFFFFF"/>
            <w:tcMar>
              <w:top w:w="0" w:type="dxa"/>
              <w:left w:w="101" w:type="dxa"/>
              <w:bottom w:w="0" w:type="dxa"/>
              <w:right w:w="101" w:type="dxa"/>
            </w:tcMar>
            <w:hideMark/>
          </w:tcPr>
          <w:p w14:paraId="075CB45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112</w:t>
            </w:r>
          </w:p>
        </w:tc>
        <w:tc>
          <w:tcPr>
            <w:tcW w:w="600" w:type="dxa"/>
            <w:shd w:val="clear" w:color="auto" w:fill="FFFFFF"/>
            <w:tcMar>
              <w:top w:w="0" w:type="dxa"/>
              <w:left w:w="101" w:type="dxa"/>
              <w:bottom w:w="0" w:type="dxa"/>
              <w:right w:w="101" w:type="dxa"/>
            </w:tcMar>
            <w:hideMark/>
          </w:tcPr>
          <w:p w14:paraId="0A7FB1C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-34 </w:t>
            </w:r>
          </w:p>
        </w:tc>
        <w:tc>
          <w:tcPr>
            <w:tcW w:w="1035" w:type="dxa"/>
            <w:shd w:val="clear" w:color="auto" w:fill="FFFFFF"/>
            <w:tcMar>
              <w:top w:w="0" w:type="dxa"/>
              <w:left w:w="101" w:type="dxa"/>
              <w:bottom w:w="0" w:type="dxa"/>
              <w:right w:w="101" w:type="dxa"/>
            </w:tcMar>
            <w:hideMark/>
          </w:tcPr>
          <w:p w14:paraId="5FD39A9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112</w:t>
            </w:r>
          </w:p>
        </w:tc>
        <w:tc>
          <w:tcPr>
            <w:tcW w:w="1035" w:type="dxa"/>
            <w:shd w:val="clear" w:color="auto" w:fill="FFFFFF"/>
            <w:tcMar>
              <w:top w:w="0" w:type="dxa"/>
              <w:left w:w="101" w:type="dxa"/>
              <w:bottom w:w="0" w:type="dxa"/>
              <w:right w:w="101" w:type="dxa"/>
            </w:tcMar>
            <w:hideMark/>
          </w:tcPr>
          <w:p w14:paraId="53DDC23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112</w:t>
            </w:r>
          </w:p>
        </w:tc>
        <w:tc>
          <w:tcPr>
            <w:tcW w:w="1035" w:type="dxa"/>
            <w:shd w:val="clear" w:color="auto" w:fill="FFFFFF"/>
            <w:tcMar>
              <w:top w:w="0" w:type="dxa"/>
              <w:left w:w="101" w:type="dxa"/>
              <w:bottom w:w="0" w:type="dxa"/>
              <w:right w:w="101" w:type="dxa"/>
            </w:tcMar>
            <w:hideMark/>
          </w:tcPr>
          <w:p w14:paraId="7D71408C"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112</w:t>
            </w:r>
          </w:p>
        </w:tc>
      </w:tr>
      <w:tr w:rsidR="00B55EED" w:rsidRPr="005E3B44" w14:paraId="7071B2CF" w14:textId="77777777" w:rsidTr="00B55EED">
        <w:trPr>
          <w:trHeight w:val="240"/>
        </w:trPr>
        <w:tc>
          <w:tcPr>
            <w:tcW w:w="1035" w:type="dxa"/>
            <w:shd w:val="clear" w:color="auto" w:fill="FFFFFF"/>
            <w:tcMar>
              <w:top w:w="0" w:type="dxa"/>
              <w:left w:w="101" w:type="dxa"/>
              <w:bottom w:w="0" w:type="dxa"/>
              <w:right w:w="101" w:type="dxa"/>
            </w:tcMar>
            <w:hideMark/>
          </w:tcPr>
          <w:p w14:paraId="5DF9ADE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169</w:t>
            </w:r>
          </w:p>
        </w:tc>
        <w:tc>
          <w:tcPr>
            <w:tcW w:w="2385" w:type="dxa"/>
            <w:noWrap/>
            <w:tcMar>
              <w:top w:w="0" w:type="dxa"/>
              <w:left w:w="101" w:type="dxa"/>
              <w:bottom w:w="0" w:type="dxa"/>
              <w:right w:w="101" w:type="dxa"/>
            </w:tcMar>
            <w:hideMark/>
          </w:tcPr>
          <w:p w14:paraId="4E927D5E"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Other Assets</w:t>
            </w:r>
          </w:p>
        </w:tc>
        <w:tc>
          <w:tcPr>
            <w:tcW w:w="1035" w:type="dxa"/>
            <w:shd w:val="clear" w:color="auto" w:fill="FFFFFF"/>
            <w:tcMar>
              <w:top w:w="0" w:type="dxa"/>
              <w:left w:w="101" w:type="dxa"/>
              <w:bottom w:w="0" w:type="dxa"/>
              <w:right w:w="101" w:type="dxa"/>
            </w:tcMar>
            <w:hideMark/>
          </w:tcPr>
          <w:p w14:paraId="64E06D4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155</w:t>
            </w:r>
          </w:p>
        </w:tc>
        <w:tc>
          <w:tcPr>
            <w:tcW w:w="1035" w:type="dxa"/>
            <w:shd w:val="clear" w:color="auto" w:fill="FFFFFF"/>
            <w:tcMar>
              <w:top w:w="0" w:type="dxa"/>
              <w:left w:w="101" w:type="dxa"/>
              <w:bottom w:w="0" w:type="dxa"/>
              <w:right w:w="101" w:type="dxa"/>
            </w:tcMar>
            <w:hideMark/>
          </w:tcPr>
          <w:p w14:paraId="10CDB08A"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160</w:t>
            </w:r>
          </w:p>
        </w:tc>
        <w:tc>
          <w:tcPr>
            <w:tcW w:w="600" w:type="dxa"/>
            <w:shd w:val="clear" w:color="auto" w:fill="FFFFFF"/>
            <w:tcMar>
              <w:top w:w="0" w:type="dxa"/>
              <w:left w:w="101" w:type="dxa"/>
              <w:bottom w:w="0" w:type="dxa"/>
              <w:right w:w="101" w:type="dxa"/>
            </w:tcMar>
            <w:hideMark/>
          </w:tcPr>
          <w:p w14:paraId="3DFA4CE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3 </w:t>
            </w:r>
          </w:p>
        </w:tc>
        <w:tc>
          <w:tcPr>
            <w:tcW w:w="1035" w:type="dxa"/>
            <w:shd w:val="clear" w:color="auto" w:fill="FFFFFF"/>
            <w:tcMar>
              <w:top w:w="0" w:type="dxa"/>
              <w:left w:w="101" w:type="dxa"/>
              <w:bottom w:w="0" w:type="dxa"/>
              <w:right w:w="101" w:type="dxa"/>
            </w:tcMar>
            <w:hideMark/>
          </w:tcPr>
          <w:p w14:paraId="4664877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160</w:t>
            </w:r>
          </w:p>
        </w:tc>
        <w:tc>
          <w:tcPr>
            <w:tcW w:w="1035" w:type="dxa"/>
            <w:shd w:val="clear" w:color="auto" w:fill="FFFFFF"/>
            <w:tcMar>
              <w:top w:w="0" w:type="dxa"/>
              <w:left w:w="101" w:type="dxa"/>
              <w:bottom w:w="0" w:type="dxa"/>
              <w:right w:w="101" w:type="dxa"/>
            </w:tcMar>
            <w:hideMark/>
          </w:tcPr>
          <w:p w14:paraId="19AEBD4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160</w:t>
            </w:r>
          </w:p>
        </w:tc>
        <w:tc>
          <w:tcPr>
            <w:tcW w:w="1035" w:type="dxa"/>
            <w:shd w:val="clear" w:color="auto" w:fill="FFFFFF"/>
            <w:tcMar>
              <w:top w:w="0" w:type="dxa"/>
              <w:left w:w="101" w:type="dxa"/>
              <w:bottom w:w="0" w:type="dxa"/>
              <w:right w:w="101" w:type="dxa"/>
            </w:tcMar>
            <w:hideMark/>
          </w:tcPr>
          <w:p w14:paraId="5F9EF6DF"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160</w:t>
            </w:r>
          </w:p>
        </w:tc>
      </w:tr>
      <w:tr w:rsidR="00B55EED" w:rsidRPr="005E3B44" w14:paraId="62BBEEAD" w14:textId="77777777" w:rsidTr="00B55EED">
        <w:trPr>
          <w:trHeight w:val="240"/>
        </w:trPr>
        <w:tc>
          <w:tcPr>
            <w:tcW w:w="1035" w:type="dxa"/>
            <w:shd w:val="clear" w:color="auto" w:fill="FFFFFF"/>
            <w:tcMar>
              <w:top w:w="0" w:type="dxa"/>
              <w:left w:w="0" w:type="dxa"/>
              <w:bottom w:w="0" w:type="dxa"/>
              <w:right w:w="0" w:type="dxa"/>
            </w:tcMar>
          </w:tcPr>
          <w:p w14:paraId="54E59B5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078476D4"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7FCF54E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FF9942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34B5CC2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D66A7A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263B5CB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E6062D2"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527060F4" w14:textId="77777777" w:rsidTr="00B55EED">
        <w:trPr>
          <w:trHeight w:val="240"/>
        </w:trPr>
        <w:tc>
          <w:tcPr>
            <w:tcW w:w="1035" w:type="dxa"/>
            <w:shd w:val="clear" w:color="auto" w:fill="FFFFFF"/>
            <w:tcMar>
              <w:top w:w="0" w:type="dxa"/>
              <w:left w:w="101" w:type="dxa"/>
              <w:bottom w:w="0" w:type="dxa"/>
              <w:right w:w="101" w:type="dxa"/>
            </w:tcMar>
            <w:hideMark/>
          </w:tcPr>
          <w:p w14:paraId="5EC03B43" w14:textId="04CF577F"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7</w:t>
            </w:r>
            <w:r w:rsidR="00AB796B">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175</w:t>
            </w:r>
          </w:p>
        </w:tc>
        <w:tc>
          <w:tcPr>
            <w:tcW w:w="2385" w:type="dxa"/>
            <w:shd w:val="clear" w:color="auto" w:fill="FFFFFF"/>
            <w:tcMar>
              <w:top w:w="0" w:type="dxa"/>
              <w:left w:w="101" w:type="dxa"/>
              <w:bottom w:w="0" w:type="dxa"/>
              <w:right w:w="101" w:type="dxa"/>
            </w:tcMar>
            <w:hideMark/>
          </w:tcPr>
          <w:p w14:paraId="0FAE6012"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Total Current Assets</w:t>
            </w:r>
          </w:p>
        </w:tc>
        <w:tc>
          <w:tcPr>
            <w:tcW w:w="1035" w:type="dxa"/>
            <w:shd w:val="clear" w:color="auto" w:fill="FFFFFF"/>
            <w:tcMar>
              <w:top w:w="0" w:type="dxa"/>
              <w:left w:w="101" w:type="dxa"/>
              <w:bottom w:w="0" w:type="dxa"/>
              <w:right w:w="101" w:type="dxa"/>
            </w:tcMar>
            <w:hideMark/>
          </w:tcPr>
          <w:p w14:paraId="2FA84724" w14:textId="67F14510"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894</w:t>
            </w:r>
          </w:p>
        </w:tc>
        <w:tc>
          <w:tcPr>
            <w:tcW w:w="1035" w:type="dxa"/>
            <w:shd w:val="clear" w:color="auto" w:fill="FFFFFF"/>
            <w:tcMar>
              <w:top w:w="0" w:type="dxa"/>
              <w:left w:w="101" w:type="dxa"/>
              <w:bottom w:w="0" w:type="dxa"/>
              <w:right w:w="101" w:type="dxa"/>
            </w:tcMar>
            <w:hideMark/>
          </w:tcPr>
          <w:p w14:paraId="65BDF72F" w14:textId="2DF353E0"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680</w:t>
            </w:r>
          </w:p>
        </w:tc>
        <w:tc>
          <w:tcPr>
            <w:tcW w:w="600" w:type="dxa"/>
            <w:shd w:val="clear" w:color="auto" w:fill="FFFFFF"/>
            <w:tcMar>
              <w:top w:w="0" w:type="dxa"/>
              <w:left w:w="101" w:type="dxa"/>
              <w:bottom w:w="0" w:type="dxa"/>
              <w:right w:w="101" w:type="dxa"/>
            </w:tcMar>
            <w:hideMark/>
          </w:tcPr>
          <w:p w14:paraId="43C0AE6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-2 </w:t>
            </w:r>
          </w:p>
        </w:tc>
        <w:tc>
          <w:tcPr>
            <w:tcW w:w="1035" w:type="dxa"/>
            <w:shd w:val="clear" w:color="auto" w:fill="FFFFFF"/>
            <w:tcMar>
              <w:top w:w="0" w:type="dxa"/>
              <w:left w:w="101" w:type="dxa"/>
              <w:bottom w:w="0" w:type="dxa"/>
              <w:right w:w="101" w:type="dxa"/>
            </w:tcMar>
            <w:hideMark/>
          </w:tcPr>
          <w:p w14:paraId="51EE6CB8" w14:textId="6AE582C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750</w:t>
            </w:r>
          </w:p>
        </w:tc>
        <w:tc>
          <w:tcPr>
            <w:tcW w:w="1035" w:type="dxa"/>
            <w:shd w:val="clear" w:color="auto" w:fill="FFFFFF"/>
            <w:tcMar>
              <w:top w:w="0" w:type="dxa"/>
              <w:left w:w="101" w:type="dxa"/>
              <w:bottom w:w="0" w:type="dxa"/>
              <w:right w:w="101" w:type="dxa"/>
            </w:tcMar>
            <w:hideMark/>
          </w:tcPr>
          <w:p w14:paraId="42CDB280" w14:textId="01D6F44C"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525</w:t>
            </w:r>
          </w:p>
        </w:tc>
        <w:tc>
          <w:tcPr>
            <w:tcW w:w="1035" w:type="dxa"/>
            <w:shd w:val="clear" w:color="auto" w:fill="FFFFFF"/>
            <w:tcMar>
              <w:top w:w="0" w:type="dxa"/>
              <w:left w:w="101" w:type="dxa"/>
              <w:bottom w:w="0" w:type="dxa"/>
              <w:right w:w="101" w:type="dxa"/>
            </w:tcMar>
            <w:hideMark/>
          </w:tcPr>
          <w:p w14:paraId="6845A24D" w14:textId="2E66BF95"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244</w:t>
            </w:r>
          </w:p>
        </w:tc>
      </w:tr>
      <w:tr w:rsidR="00B55EED" w:rsidRPr="005E3B44" w14:paraId="193D9E35" w14:textId="77777777" w:rsidTr="00B55EED">
        <w:trPr>
          <w:trHeight w:val="240"/>
        </w:trPr>
        <w:tc>
          <w:tcPr>
            <w:tcW w:w="1035" w:type="dxa"/>
            <w:shd w:val="clear" w:color="auto" w:fill="FFFFFF"/>
            <w:tcMar>
              <w:top w:w="0" w:type="dxa"/>
              <w:left w:w="0" w:type="dxa"/>
              <w:bottom w:w="0" w:type="dxa"/>
              <w:right w:w="0" w:type="dxa"/>
            </w:tcMar>
          </w:tcPr>
          <w:p w14:paraId="3C44499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22C7A3E9"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5FE7DFC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D80059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136281B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5161A0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BF03C6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A4A236B"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6063FF17" w14:textId="77777777" w:rsidTr="00B55EED">
        <w:trPr>
          <w:trHeight w:val="240"/>
        </w:trPr>
        <w:tc>
          <w:tcPr>
            <w:tcW w:w="1035" w:type="dxa"/>
            <w:shd w:val="clear" w:color="auto" w:fill="FFFFFF"/>
            <w:tcMar>
              <w:top w:w="0" w:type="dxa"/>
              <w:left w:w="0" w:type="dxa"/>
              <w:bottom w:w="0" w:type="dxa"/>
              <w:right w:w="0" w:type="dxa"/>
            </w:tcMar>
          </w:tcPr>
          <w:p w14:paraId="6BEB250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101" w:type="dxa"/>
              <w:bottom w:w="0" w:type="dxa"/>
              <w:right w:w="101" w:type="dxa"/>
            </w:tcMar>
            <w:hideMark/>
          </w:tcPr>
          <w:p w14:paraId="36F86C37" w14:textId="77777777" w:rsidR="00B55EED" w:rsidRPr="005E3B44" w:rsidRDefault="00B55EED">
            <w:pPr>
              <w:spacing w:before="0" w:after="0"/>
              <w:rPr>
                <w:rFonts w:asciiTheme="minorHAnsi" w:eastAsia="Calibri" w:hAnsiTheme="minorHAnsi" w:cstheme="minorHAnsi"/>
                <w:b/>
                <w:color w:val="000000"/>
                <w:sz w:val="18"/>
                <w:szCs w:val="24"/>
                <w:lang w:eastAsia="en-AU"/>
              </w:rPr>
            </w:pP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Assets</w:t>
            </w:r>
          </w:p>
        </w:tc>
        <w:tc>
          <w:tcPr>
            <w:tcW w:w="1035" w:type="dxa"/>
            <w:shd w:val="clear" w:color="auto" w:fill="FFFFFF"/>
            <w:tcMar>
              <w:top w:w="0" w:type="dxa"/>
              <w:left w:w="0" w:type="dxa"/>
              <w:bottom w:w="0" w:type="dxa"/>
              <w:right w:w="0" w:type="dxa"/>
            </w:tcMar>
          </w:tcPr>
          <w:p w14:paraId="735C386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3EC604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0E3702C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F72447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DBA5218"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FEC1EBD"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078D658F" w14:textId="77777777" w:rsidTr="00B55EED">
        <w:trPr>
          <w:trHeight w:val="240"/>
        </w:trPr>
        <w:tc>
          <w:tcPr>
            <w:tcW w:w="1035" w:type="dxa"/>
            <w:shd w:val="clear" w:color="auto" w:fill="FFFFFF"/>
            <w:tcMar>
              <w:top w:w="0" w:type="dxa"/>
              <w:left w:w="101" w:type="dxa"/>
              <w:bottom w:w="0" w:type="dxa"/>
              <w:right w:w="101" w:type="dxa"/>
            </w:tcMar>
            <w:hideMark/>
          </w:tcPr>
          <w:p w14:paraId="773E0BAA" w14:textId="215C5C4F"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226</w:t>
            </w:r>
          </w:p>
        </w:tc>
        <w:tc>
          <w:tcPr>
            <w:tcW w:w="2385" w:type="dxa"/>
            <w:shd w:val="clear" w:color="auto" w:fill="FFFFFF"/>
            <w:noWrap/>
            <w:tcMar>
              <w:top w:w="0" w:type="dxa"/>
              <w:left w:w="101" w:type="dxa"/>
              <w:bottom w:w="0" w:type="dxa"/>
              <w:right w:w="101" w:type="dxa"/>
            </w:tcMar>
            <w:hideMark/>
          </w:tcPr>
          <w:p w14:paraId="225271B2"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Property, Plant and Equipment</w:t>
            </w:r>
          </w:p>
        </w:tc>
        <w:tc>
          <w:tcPr>
            <w:tcW w:w="1035" w:type="dxa"/>
            <w:shd w:val="clear" w:color="auto" w:fill="FFFFFF"/>
            <w:tcMar>
              <w:top w:w="0" w:type="dxa"/>
              <w:left w:w="101" w:type="dxa"/>
              <w:bottom w:w="0" w:type="dxa"/>
              <w:right w:w="101" w:type="dxa"/>
            </w:tcMar>
            <w:hideMark/>
          </w:tcPr>
          <w:p w14:paraId="4FE073BC" w14:textId="6F4E0CE0"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272</w:t>
            </w:r>
          </w:p>
        </w:tc>
        <w:tc>
          <w:tcPr>
            <w:tcW w:w="1035" w:type="dxa"/>
            <w:shd w:val="clear" w:color="auto" w:fill="FFFFFF"/>
            <w:tcMar>
              <w:top w:w="0" w:type="dxa"/>
              <w:left w:w="101" w:type="dxa"/>
              <w:bottom w:w="0" w:type="dxa"/>
              <w:right w:w="101" w:type="dxa"/>
            </w:tcMar>
            <w:hideMark/>
          </w:tcPr>
          <w:p w14:paraId="70C4C45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563</w:t>
            </w:r>
          </w:p>
        </w:tc>
        <w:tc>
          <w:tcPr>
            <w:tcW w:w="600" w:type="dxa"/>
            <w:shd w:val="clear" w:color="auto" w:fill="FFFFFF"/>
            <w:tcMar>
              <w:top w:w="0" w:type="dxa"/>
              <w:left w:w="101" w:type="dxa"/>
              <w:bottom w:w="0" w:type="dxa"/>
              <w:right w:w="101" w:type="dxa"/>
            </w:tcMar>
            <w:hideMark/>
          </w:tcPr>
          <w:p w14:paraId="47AE388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-75 </w:t>
            </w:r>
          </w:p>
        </w:tc>
        <w:tc>
          <w:tcPr>
            <w:tcW w:w="1035" w:type="dxa"/>
            <w:shd w:val="clear" w:color="auto" w:fill="FFFFFF"/>
            <w:tcMar>
              <w:top w:w="0" w:type="dxa"/>
              <w:left w:w="101" w:type="dxa"/>
              <w:bottom w:w="0" w:type="dxa"/>
              <w:right w:w="101" w:type="dxa"/>
            </w:tcMar>
            <w:hideMark/>
          </w:tcPr>
          <w:p w14:paraId="01BB0F3A" w14:textId="2050E6D6"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803</w:t>
            </w:r>
          </w:p>
        </w:tc>
        <w:tc>
          <w:tcPr>
            <w:tcW w:w="1035" w:type="dxa"/>
            <w:shd w:val="clear" w:color="auto" w:fill="FFFFFF"/>
            <w:tcMar>
              <w:top w:w="0" w:type="dxa"/>
              <w:left w:w="101" w:type="dxa"/>
              <w:bottom w:w="0" w:type="dxa"/>
              <w:right w:w="101" w:type="dxa"/>
            </w:tcMar>
            <w:hideMark/>
          </w:tcPr>
          <w:p w14:paraId="0043CD6F" w14:textId="5AB4642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451</w:t>
            </w:r>
          </w:p>
        </w:tc>
        <w:tc>
          <w:tcPr>
            <w:tcW w:w="1035" w:type="dxa"/>
            <w:shd w:val="clear" w:color="auto" w:fill="FFFFFF"/>
            <w:tcMar>
              <w:top w:w="0" w:type="dxa"/>
              <w:left w:w="101" w:type="dxa"/>
              <w:bottom w:w="0" w:type="dxa"/>
              <w:right w:w="101" w:type="dxa"/>
            </w:tcMar>
            <w:hideMark/>
          </w:tcPr>
          <w:p w14:paraId="442CD8FE" w14:textId="5572FFC9"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082</w:t>
            </w:r>
          </w:p>
        </w:tc>
      </w:tr>
      <w:tr w:rsidR="00B55EED" w:rsidRPr="005E3B44" w14:paraId="235BD017" w14:textId="77777777" w:rsidTr="00B55EED">
        <w:trPr>
          <w:trHeight w:val="240"/>
        </w:trPr>
        <w:tc>
          <w:tcPr>
            <w:tcW w:w="1035" w:type="dxa"/>
            <w:shd w:val="clear" w:color="auto" w:fill="FFFFFF"/>
            <w:tcMar>
              <w:top w:w="0" w:type="dxa"/>
              <w:left w:w="0" w:type="dxa"/>
              <w:bottom w:w="0" w:type="dxa"/>
              <w:right w:w="0" w:type="dxa"/>
            </w:tcMar>
          </w:tcPr>
          <w:p w14:paraId="567DC7A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326083E5"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3BB0AD3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3F1628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5E5DCF8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FF02D6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C0A0EA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8E0CE6C"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11FA5B7D" w14:textId="77777777" w:rsidTr="00B55EED">
        <w:trPr>
          <w:trHeight w:val="240"/>
        </w:trPr>
        <w:tc>
          <w:tcPr>
            <w:tcW w:w="1035" w:type="dxa"/>
            <w:shd w:val="clear" w:color="auto" w:fill="FFFFFF"/>
            <w:tcMar>
              <w:top w:w="0" w:type="dxa"/>
              <w:left w:w="101" w:type="dxa"/>
              <w:bottom w:w="0" w:type="dxa"/>
              <w:right w:w="101" w:type="dxa"/>
            </w:tcMar>
            <w:hideMark/>
          </w:tcPr>
          <w:p w14:paraId="144AC771" w14:textId="3AAC83C1"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2</w:t>
            </w:r>
            <w:r w:rsidR="00220403">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226</w:t>
            </w:r>
          </w:p>
        </w:tc>
        <w:tc>
          <w:tcPr>
            <w:tcW w:w="2385" w:type="dxa"/>
            <w:shd w:val="clear" w:color="auto" w:fill="FFFFFF"/>
            <w:tcMar>
              <w:top w:w="0" w:type="dxa"/>
              <w:left w:w="101" w:type="dxa"/>
              <w:bottom w:w="0" w:type="dxa"/>
              <w:right w:w="101" w:type="dxa"/>
            </w:tcMar>
            <w:hideMark/>
          </w:tcPr>
          <w:p w14:paraId="13D1FFAA"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Total </w:t>
            </w: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Assets</w:t>
            </w:r>
          </w:p>
        </w:tc>
        <w:tc>
          <w:tcPr>
            <w:tcW w:w="1035" w:type="dxa"/>
            <w:shd w:val="clear" w:color="auto" w:fill="FFFFFF"/>
            <w:tcMar>
              <w:top w:w="0" w:type="dxa"/>
              <w:left w:w="101" w:type="dxa"/>
              <w:bottom w:w="0" w:type="dxa"/>
              <w:right w:w="101" w:type="dxa"/>
            </w:tcMar>
            <w:hideMark/>
          </w:tcPr>
          <w:p w14:paraId="7A49C66A" w14:textId="37CBB722"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2</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272</w:t>
            </w:r>
          </w:p>
        </w:tc>
        <w:tc>
          <w:tcPr>
            <w:tcW w:w="1035" w:type="dxa"/>
            <w:shd w:val="clear" w:color="auto" w:fill="FFFFFF"/>
            <w:tcMar>
              <w:top w:w="0" w:type="dxa"/>
              <w:left w:w="101" w:type="dxa"/>
              <w:bottom w:w="0" w:type="dxa"/>
              <w:right w:w="101" w:type="dxa"/>
            </w:tcMar>
            <w:hideMark/>
          </w:tcPr>
          <w:p w14:paraId="7B4DD068"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563</w:t>
            </w:r>
          </w:p>
        </w:tc>
        <w:tc>
          <w:tcPr>
            <w:tcW w:w="600" w:type="dxa"/>
            <w:shd w:val="clear" w:color="auto" w:fill="FFFFFF"/>
            <w:tcMar>
              <w:top w:w="0" w:type="dxa"/>
              <w:left w:w="101" w:type="dxa"/>
              <w:bottom w:w="0" w:type="dxa"/>
              <w:right w:w="101" w:type="dxa"/>
            </w:tcMar>
            <w:hideMark/>
          </w:tcPr>
          <w:p w14:paraId="73412861"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-75 </w:t>
            </w:r>
          </w:p>
        </w:tc>
        <w:tc>
          <w:tcPr>
            <w:tcW w:w="1035" w:type="dxa"/>
            <w:shd w:val="clear" w:color="auto" w:fill="FFFFFF"/>
            <w:tcMar>
              <w:top w:w="0" w:type="dxa"/>
              <w:left w:w="101" w:type="dxa"/>
              <w:bottom w:w="0" w:type="dxa"/>
              <w:right w:w="101" w:type="dxa"/>
            </w:tcMar>
            <w:hideMark/>
          </w:tcPr>
          <w:p w14:paraId="25B70228" w14:textId="1D3D6986"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803</w:t>
            </w:r>
          </w:p>
        </w:tc>
        <w:tc>
          <w:tcPr>
            <w:tcW w:w="1035" w:type="dxa"/>
            <w:shd w:val="clear" w:color="auto" w:fill="FFFFFF"/>
            <w:tcMar>
              <w:top w:w="0" w:type="dxa"/>
              <w:left w:w="101" w:type="dxa"/>
              <w:bottom w:w="0" w:type="dxa"/>
              <w:right w:w="101" w:type="dxa"/>
            </w:tcMar>
            <w:hideMark/>
          </w:tcPr>
          <w:p w14:paraId="78DA882D" w14:textId="5805E8CF"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451</w:t>
            </w:r>
          </w:p>
        </w:tc>
        <w:tc>
          <w:tcPr>
            <w:tcW w:w="1035" w:type="dxa"/>
            <w:shd w:val="clear" w:color="auto" w:fill="FFFFFF"/>
            <w:tcMar>
              <w:top w:w="0" w:type="dxa"/>
              <w:left w:w="101" w:type="dxa"/>
              <w:bottom w:w="0" w:type="dxa"/>
              <w:right w:w="101" w:type="dxa"/>
            </w:tcMar>
            <w:hideMark/>
          </w:tcPr>
          <w:p w14:paraId="72A729C5" w14:textId="75C130B3"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082</w:t>
            </w:r>
          </w:p>
        </w:tc>
      </w:tr>
      <w:tr w:rsidR="00B55EED" w:rsidRPr="005E3B44" w14:paraId="79A26653" w14:textId="77777777" w:rsidTr="00B55EED">
        <w:trPr>
          <w:trHeight w:val="240"/>
        </w:trPr>
        <w:tc>
          <w:tcPr>
            <w:tcW w:w="1035" w:type="dxa"/>
            <w:shd w:val="clear" w:color="auto" w:fill="FFFFFF"/>
            <w:tcMar>
              <w:top w:w="0" w:type="dxa"/>
              <w:left w:w="0" w:type="dxa"/>
              <w:bottom w:w="0" w:type="dxa"/>
              <w:right w:w="0" w:type="dxa"/>
            </w:tcMar>
          </w:tcPr>
          <w:p w14:paraId="4C9473B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762750B9"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5D50B9F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CFB6D8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54A5DFB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A8412C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7D0FE9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7C48800"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001ECB1C" w14:textId="77777777" w:rsidTr="00B55EED">
        <w:trPr>
          <w:trHeight w:val="240"/>
        </w:trPr>
        <w:tc>
          <w:tcPr>
            <w:tcW w:w="1035" w:type="dxa"/>
            <w:shd w:val="clear" w:color="auto" w:fill="FFFFFF"/>
            <w:tcMar>
              <w:top w:w="0" w:type="dxa"/>
              <w:left w:w="101" w:type="dxa"/>
              <w:bottom w:w="0" w:type="dxa"/>
              <w:right w:w="101" w:type="dxa"/>
            </w:tcMar>
            <w:hideMark/>
          </w:tcPr>
          <w:p w14:paraId="663C87CB" w14:textId="57727210"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220403">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401</w:t>
            </w:r>
          </w:p>
        </w:tc>
        <w:tc>
          <w:tcPr>
            <w:tcW w:w="2385" w:type="dxa"/>
            <w:shd w:val="clear" w:color="auto" w:fill="FFFFFF"/>
            <w:tcMar>
              <w:top w:w="0" w:type="dxa"/>
              <w:left w:w="101" w:type="dxa"/>
              <w:bottom w:w="0" w:type="dxa"/>
              <w:right w:w="101" w:type="dxa"/>
            </w:tcMar>
            <w:hideMark/>
          </w:tcPr>
          <w:p w14:paraId="3B326A83"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TOTAL ASSETS</w:t>
            </w:r>
          </w:p>
        </w:tc>
        <w:tc>
          <w:tcPr>
            <w:tcW w:w="1035" w:type="dxa"/>
            <w:shd w:val="clear" w:color="auto" w:fill="FFFFFF"/>
            <w:tcMar>
              <w:top w:w="0" w:type="dxa"/>
              <w:left w:w="101" w:type="dxa"/>
              <w:bottom w:w="0" w:type="dxa"/>
              <w:right w:w="101" w:type="dxa"/>
            </w:tcMar>
            <w:hideMark/>
          </w:tcPr>
          <w:p w14:paraId="182CEF6C" w14:textId="0F764BA0"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12</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166</w:t>
            </w:r>
          </w:p>
        </w:tc>
        <w:tc>
          <w:tcPr>
            <w:tcW w:w="1035" w:type="dxa"/>
            <w:shd w:val="clear" w:color="auto" w:fill="FFFFFF"/>
            <w:tcMar>
              <w:top w:w="0" w:type="dxa"/>
              <w:left w:w="101" w:type="dxa"/>
              <w:bottom w:w="0" w:type="dxa"/>
              <w:right w:w="101" w:type="dxa"/>
            </w:tcMar>
            <w:hideMark/>
          </w:tcPr>
          <w:p w14:paraId="0EE9AED2" w14:textId="483FF1B2"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10</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243</w:t>
            </w:r>
          </w:p>
        </w:tc>
        <w:tc>
          <w:tcPr>
            <w:tcW w:w="600" w:type="dxa"/>
            <w:shd w:val="clear" w:color="auto" w:fill="FFFFFF"/>
            <w:tcMar>
              <w:top w:w="0" w:type="dxa"/>
              <w:left w:w="101" w:type="dxa"/>
              <w:bottom w:w="0" w:type="dxa"/>
              <w:right w:w="101" w:type="dxa"/>
            </w:tcMar>
            <w:hideMark/>
          </w:tcPr>
          <w:p w14:paraId="35E464B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-16 </w:t>
            </w:r>
          </w:p>
        </w:tc>
        <w:tc>
          <w:tcPr>
            <w:tcW w:w="1035" w:type="dxa"/>
            <w:shd w:val="clear" w:color="auto" w:fill="FFFFFF"/>
            <w:tcMar>
              <w:top w:w="0" w:type="dxa"/>
              <w:left w:w="101" w:type="dxa"/>
              <w:bottom w:w="0" w:type="dxa"/>
              <w:right w:w="101" w:type="dxa"/>
            </w:tcMar>
            <w:hideMark/>
          </w:tcPr>
          <w:p w14:paraId="15F788D6" w14:textId="582818D2"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553</w:t>
            </w:r>
          </w:p>
        </w:tc>
        <w:tc>
          <w:tcPr>
            <w:tcW w:w="1035" w:type="dxa"/>
            <w:shd w:val="clear" w:color="auto" w:fill="FFFFFF"/>
            <w:tcMar>
              <w:top w:w="0" w:type="dxa"/>
              <w:left w:w="101" w:type="dxa"/>
              <w:bottom w:w="0" w:type="dxa"/>
              <w:right w:w="101" w:type="dxa"/>
            </w:tcMar>
            <w:hideMark/>
          </w:tcPr>
          <w:p w14:paraId="54492580" w14:textId="154D245B"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976</w:t>
            </w:r>
          </w:p>
        </w:tc>
        <w:tc>
          <w:tcPr>
            <w:tcW w:w="1035" w:type="dxa"/>
            <w:shd w:val="clear" w:color="auto" w:fill="FFFFFF"/>
            <w:tcMar>
              <w:top w:w="0" w:type="dxa"/>
              <w:left w:w="101" w:type="dxa"/>
              <w:bottom w:w="0" w:type="dxa"/>
              <w:right w:w="101" w:type="dxa"/>
            </w:tcMar>
            <w:hideMark/>
          </w:tcPr>
          <w:p w14:paraId="15307C57" w14:textId="4B787865"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326</w:t>
            </w:r>
          </w:p>
        </w:tc>
      </w:tr>
      <w:tr w:rsidR="00B55EED" w:rsidRPr="005E3B44" w14:paraId="3BC51341" w14:textId="77777777" w:rsidTr="00B55EED">
        <w:trPr>
          <w:trHeight w:val="240"/>
        </w:trPr>
        <w:tc>
          <w:tcPr>
            <w:tcW w:w="1035" w:type="dxa"/>
            <w:shd w:val="clear" w:color="auto" w:fill="FFFFFF"/>
            <w:tcMar>
              <w:top w:w="0" w:type="dxa"/>
              <w:left w:w="0" w:type="dxa"/>
              <w:bottom w:w="0" w:type="dxa"/>
              <w:right w:w="0" w:type="dxa"/>
            </w:tcMar>
          </w:tcPr>
          <w:p w14:paraId="386298CF"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398D1A6A"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753B14D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69C89F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6E66031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A90E63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3DC9EA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1BE4760"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494381FC" w14:textId="77777777" w:rsidTr="00B55EED">
        <w:trPr>
          <w:trHeight w:val="240"/>
        </w:trPr>
        <w:tc>
          <w:tcPr>
            <w:tcW w:w="1035" w:type="dxa"/>
            <w:shd w:val="clear" w:color="auto" w:fill="FFFFFF"/>
            <w:tcMar>
              <w:top w:w="0" w:type="dxa"/>
              <w:left w:w="0" w:type="dxa"/>
              <w:bottom w:w="0" w:type="dxa"/>
              <w:right w:w="0" w:type="dxa"/>
            </w:tcMar>
          </w:tcPr>
          <w:p w14:paraId="1280753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101" w:type="dxa"/>
              <w:bottom w:w="0" w:type="dxa"/>
              <w:right w:w="101" w:type="dxa"/>
            </w:tcMar>
            <w:hideMark/>
          </w:tcPr>
          <w:p w14:paraId="651E69B8"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Current Liabilities</w:t>
            </w:r>
          </w:p>
        </w:tc>
        <w:tc>
          <w:tcPr>
            <w:tcW w:w="1035" w:type="dxa"/>
            <w:shd w:val="clear" w:color="auto" w:fill="FFFFFF"/>
            <w:tcMar>
              <w:top w:w="0" w:type="dxa"/>
              <w:left w:w="0" w:type="dxa"/>
              <w:bottom w:w="0" w:type="dxa"/>
              <w:right w:w="0" w:type="dxa"/>
            </w:tcMar>
          </w:tcPr>
          <w:p w14:paraId="5ACA996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296BCAE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2754BD0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78E410E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0694E9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2F84388"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2C96D246" w14:textId="77777777" w:rsidTr="00B55EED">
        <w:trPr>
          <w:trHeight w:val="240"/>
        </w:trPr>
        <w:tc>
          <w:tcPr>
            <w:tcW w:w="1035" w:type="dxa"/>
            <w:shd w:val="clear" w:color="auto" w:fill="FFFFFF"/>
            <w:tcMar>
              <w:top w:w="0" w:type="dxa"/>
              <w:left w:w="101" w:type="dxa"/>
              <w:bottom w:w="0" w:type="dxa"/>
              <w:right w:w="101" w:type="dxa"/>
            </w:tcMar>
            <w:hideMark/>
          </w:tcPr>
          <w:p w14:paraId="3DDE889F"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271</w:t>
            </w:r>
          </w:p>
        </w:tc>
        <w:tc>
          <w:tcPr>
            <w:tcW w:w="2385" w:type="dxa"/>
            <w:shd w:val="clear" w:color="auto" w:fill="FFFFFF"/>
            <w:noWrap/>
            <w:tcMar>
              <w:top w:w="0" w:type="dxa"/>
              <w:left w:w="101" w:type="dxa"/>
              <w:bottom w:w="0" w:type="dxa"/>
              <w:right w:w="101" w:type="dxa"/>
            </w:tcMar>
            <w:hideMark/>
          </w:tcPr>
          <w:p w14:paraId="1D2C2111"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Payables</w:t>
            </w:r>
          </w:p>
        </w:tc>
        <w:tc>
          <w:tcPr>
            <w:tcW w:w="1035" w:type="dxa"/>
            <w:shd w:val="clear" w:color="auto" w:fill="FFFFFF"/>
            <w:tcMar>
              <w:top w:w="0" w:type="dxa"/>
              <w:left w:w="101" w:type="dxa"/>
              <w:bottom w:w="0" w:type="dxa"/>
              <w:right w:w="101" w:type="dxa"/>
            </w:tcMar>
            <w:hideMark/>
          </w:tcPr>
          <w:p w14:paraId="40FD52D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232</w:t>
            </w:r>
          </w:p>
        </w:tc>
        <w:tc>
          <w:tcPr>
            <w:tcW w:w="1035" w:type="dxa"/>
            <w:shd w:val="clear" w:color="auto" w:fill="FFFFFF"/>
            <w:tcMar>
              <w:top w:w="0" w:type="dxa"/>
              <w:left w:w="101" w:type="dxa"/>
              <w:bottom w:w="0" w:type="dxa"/>
              <w:right w:w="101" w:type="dxa"/>
            </w:tcMar>
            <w:hideMark/>
          </w:tcPr>
          <w:p w14:paraId="515F7E0F"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190</w:t>
            </w:r>
          </w:p>
        </w:tc>
        <w:tc>
          <w:tcPr>
            <w:tcW w:w="600" w:type="dxa"/>
            <w:shd w:val="clear" w:color="auto" w:fill="FFFFFF"/>
            <w:tcMar>
              <w:top w:w="0" w:type="dxa"/>
              <w:left w:w="101" w:type="dxa"/>
              <w:bottom w:w="0" w:type="dxa"/>
              <w:right w:w="101" w:type="dxa"/>
            </w:tcMar>
            <w:hideMark/>
          </w:tcPr>
          <w:p w14:paraId="5773E6A1"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-18 </w:t>
            </w:r>
          </w:p>
        </w:tc>
        <w:tc>
          <w:tcPr>
            <w:tcW w:w="1035" w:type="dxa"/>
            <w:shd w:val="clear" w:color="auto" w:fill="FFFFFF"/>
            <w:tcMar>
              <w:top w:w="0" w:type="dxa"/>
              <w:left w:w="101" w:type="dxa"/>
              <w:bottom w:w="0" w:type="dxa"/>
              <w:right w:w="101" w:type="dxa"/>
            </w:tcMar>
            <w:hideMark/>
          </w:tcPr>
          <w:p w14:paraId="14639EE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190</w:t>
            </w:r>
          </w:p>
        </w:tc>
        <w:tc>
          <w:tcPr>
            <w:tcW w:w="1035" w:type="dxa"/>
            <w:shd w:val="clear" w:color="auto" w:fill="FFFFFF"/>
            <w:tcMar>
              <w:top w:w="0" w:type="dxa"/>
              <w:left w:w="101" w:type="dxa"/>
              <w:bottom w:w="0" w:type="dxa"/>
              <w:right w:w="101" w:type="dxa"/>
            </w:tcMar>
            <w:hideMark/>
          </w:tcPr>
          <w:p w14:paraId="4CD3094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190</w:t>
            </w:r>
          </w:p>
        </w:tc>
        <w:tc>
          <w:tcPr>
            <w:tcW w:w="1035" w:type="dxa"/>
            <w:shd w:val="clear" w:color="auto" w:fill="FFFFFF"/>
            <w:tcMar>
              <w:top w:w="0" w:type="dxa"/>
              <w:left w:w="101" w:type="dxa"/>
              <w:bottom w:w="0" w:type="dxa"/>
              <w:right w:w="101" w:type="dxa"/>
            </w:tcMar>
            <w:hideMark/>
          </w:tcPr>
          <w:p w14:paraId="57171BEA"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190</w:t>
            </w:r>
          </w:p>
        </w:tc>
      </w:tr>
      <w:tr w:rsidR="00B55EED" w:rsidRPr="005E3B44" w14:paraId="4B1C3E52" w14:textId="77777777" w:rsidTr="00B55EED">
        <w:trPr>
          <w:trHeight w:val="240"/>
        </w:trPr>
        <w:tc>
          <w:tcPr>
            <w:tcW w:w="1035" w:type="dxa"/>
            <w:shd w:val="clear" w:color="auto" w:fill="FFFFFF"/>
            <w:tcMar>
              <w:top w:w="0" w:type="dxa"/>
              <w:left w:w="101" w:type="dxa"/>
              <w:bottom w:w="0" w:type="dxa"/>
              <w:right w:w="101" w:type="dxa"/>
            </w:tcMar>
            <w:hideMark/>
          </w:tcPr>
          <w:p w14:paraId="310DA158" w14:textId="67AFA384"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255</w:t>
            </w:r>
          </w:p>
        </w:tc>
        <w:tc>
          <w:tcPr>
            <w:tcW w:w="2385" w:type="dxa"/>
            <w:shd w:val="clear" w:color="auto" w:fill="FFFFFF"/>
            <w:noWrap/>
            <w:tcMar>
              <w:top w:w="0" w:type="dxa"/>
              <w:left w:w="101" w:type="dxa"/>
              <w:bottom w:w="0" w:type="dxa"/>
              <w:right w:w="101" w:type="dxa"/>
            </w:tcMar>
            <w:hideMark/>
          </w:tcPr>
          <w:p w14:paraId="72F3859B"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Lease Liabilities</w:t>
            </w:r>
          </w:p>
        </w:tc>
        <w:tc>
          <w:tcPr>
            <w:tcW w:w="1035" w:type="dxa"/>
            <w:shd w:val="clear" w:color="auto" w:fill="FFFFFF"/>
            <w:tcMar>
              <w:top w:w="0" w:type="dxa"/>
              <w:left w:w="101" w:type="dxa"/>
              <w:bottom w:w="0" w:type="dxa"/>
              <w:right w:w="101" w:type="dxa"/>
            </w:tcMar>
            <w:hideMark/>
          </w:tcPr>
          <w:p w14:paraId="035986F2" w14:textId="0E482A35"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AB796B">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292</w:t>
            </w:r>
          </w:p>
        </w:tc>
        <w:tc>
          <w:tcPr>
            <w:tcW w:w="1035" w:type="dxa"/>
            <w:shd w:val="clear" w:color="auto" w:fill="FFFFFF"/>
            <w:tcMar>
              <w:top w:w="0" w:type="dxa"/>
              <w:left w:w="101" w:type="dxa"/>
              <w:bottom w:w="0" w:type="dxa"/>
              <w:right w:w="101" w:type="dxa"/>
            </w:tcMar>
            <w:hideMark/>
          </w:tcPr>
          <w:p w14:paraId="1C9A9A4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363</w:t>
            </w:r>
          </w:p>
        </w:tc>
        <w:tc>
          <w:tcPr>
            <w:tcW w:w="600" w:type="dxa"/>
            <w:shd w:val="clear" w:color="auto" w:fill="FFFFFF"/>
            <w:tcMar>
              <w:top w:w="0" w:type="dxa"/>
              <w:left w:w="101" w:type="dxa"/>
              <w:bottom w:w="0" w:type="dxa"/>
              <w:right w:w="101" w:type="dxa"/>
            </w:tcMar>
            <w:hideMark/>
          </w:tcPr>
          <w:p w14:paraId="721E522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-72 </w:t>
            </w:r>
          </w:p>
        </w:tc>
        <w:tc>
          <w:tcPr>
            <w:tcW w:w="1035" w:type="dxa"/>
            <w:shd w:val="clear" w:color="auto" w:fill="FFFFFF"/>
            <w:tcMar>
              <w:top w:w="0" w:type="dxa"/>
              <w:left w:w="101" w:type="dxa"/>
              <w:bottom w:w="0" w:type="dxa"/>
              <w:right w:w="101" w:type="dxa"/>
            </w:tcMar>
            <w:hideMark/>
          </w:tcPr>
          <w:p w14:paraId="1042049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890</w:t>
            </w:r>
          </w:p>
        </w:tc>
        <w:tc>
          <w:tcPr>
            <w:tcW w:w="1035" w:type="dxa"/>
            <w:shd w:val="clear" w:color="auto" w:fill="FFFFFF"/>
            <w:tcMar>
              <w:top w:w="0" w:type="dxa"/>
              <w:left w:w="101" w:type="dxa"/>
              <w:bottom w:w="0" w:type="dxa"/>
              <w:right w:w="101" w:type="dxa"/>
            </w:tcMar>
            <w:hideMark/>
          </w:tcPr>
          <w:p w14:paraId="4FB6389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983</w:t>
            </w:r>
          </w:p>
        </w:tc>
        <w:tc>
          <w:tcPr>
            <w:tcW w:w="1035" w:type="dxa"/>
            <w:shd w:val="clear" w:color="auto" w:fill="FFFFFF"/>
            <w:tcMar>
              <w:top w:w="0" w:type="dxa"/>
              <w:left w:w="101" w:type="dxa"/>
              <w:bottom w:w="0" w:type="dxa"/>
              <w:right w:w="101" w:type="dxa"/>
            </w:tcMar>
            <w:hideMark/>
          </w:tcPr>
          <w:p w14:paraId="1CA6EE9A" w14:textId="5820DD36"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018</w:t>
            </w:r>
          </w:p>
        </w:tc>
      </w:tr>
      <w:tr w:rsidR="00B55EED" w:rsidRPr="005E3B44" w14:paraId="0E52081E" w14:textId="77777777" w:rsidTr="00B55EED">
        <w:trPr>
          <w:trHeight w:val="240"/>
        </w:trPr>
        <w:tc>
          <w:tcPr>
            <w:tcW w:w="1035" w:type="dxa"/>
            <w:shd w:val="clear" w:color="auto" w:fill="FFFFFF"/>
            <w:tcMar>
              <w:top w:w="0" w:type="dxa"/>
              <w:left w:w="101" w:type="dxa"/>
              <w:bottom w:w="0" w:type="dxa"/>
              <w:right w:w="101" w:type="dxa"/>
            </w:tcMar>
            <w:hideMark/>
          </w:tcPr>
          <w:p w14:paraId="158FA85B" w14:textId="7FD34DC9"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770</w:t>
            </w:r>
          </w:p>
        </w:tc>
        <w:tc>
          <w:tcPr>
            <w:tcW w:w="2385" w:type="dxa"/>
            <w:shd w:val="clear" w:color="auto" w:fill="FFFFFF"/>
            <w:noWrap/>
            <w:tcMar>
              <w:top w:w="0" w:type="dxa"/>
              <w:left w:w="101" w:type="dxa"/>
              <w:bottom w:w="0" w:type="dxa"/>
              <w:right w:w="101" w:type="dxa"/>
            </w:tcMar>
            <w:hideMark/>
          </w:tcPr>
          <w:p w14:paraId="433A795C"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Employee Benefits</w:t>
            </w:r>
          </w:p>
        </w:tc>
        <w:tc>
          <w:tcPr>
            <w:tcW w:w="1035" w:type="dxa"/>
            <w:shd w:val="clear" w:color="auto" w:fill="FFFFFF"/>
            <w:tcMar>
              <w:top w:w="0" w:type="dxa"/>
              <w:left w:w="101" w:type="dxa"/>
              <w:bottom w:w="0" w:type="dxa"/>
              <w:right w:w="101" w:type="dxa"/>
            </w:tcMar>
            <w:hideMark/>
          </w:tcPr>
          <w:p w14:paraId="354E9125" w14:textId="0187DB32"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AB796B">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807</w:t>
            </w:r>
          </w:p>
        </w:tc>
        <w:tc>
          <w:tcPr>
            <w:tcW w:w="1035" w:type="dxa"/>
            <w:shd w:val="clear" w:color="auto" w:fill="FFFFFF"/>
            <w:tcMar>
              <w:top w:w="0" w:type="dxa"/>
              <w:left w:w="101" w:type="dxa"/>
              <w:bottom w:w="0" w:type="dxa"/>
              <w:right w:w="101" w:type="dxa"/>
            </w:tcMar>
            <w:hideMark/>
          </w:tcPr>
          <w:p w14:paraId="2223004D" w14:textId="685C0ACF"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989</w:t>
            </w:r>
          </w:p>
        </w:tc>
        <w:tc>
          <w:tcPr>
            <w:tcW w:w="600" w:type="dxa"/>
            <w:shd w:val="clear" w:color="auto" w:fill="FFFFFF"/>
            <w:tcMar>
              <w:top w:w="0" w:type="dxa"/>
              <w:left w:w="101" w:type="dxa"/>
              <w:bottom w:w="0" w:type="dxa"/>
              <w:right w:w="101" w:type="dxa"/>
            </w:tcMar>
            <w:hideMark/>
          </w:tcPr>
          <w:p w14:paraId="33CF44D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10 </w:t>
            </w:r>
          </w:p>
        </w:tc>
        <w:tc>
          <w:tcPr>
            <w:tcW w:w="1035" w:type="dxa"/>
            <w:shd w:val="clear" w:color="auto" w:fill="FFFFFF"/>
            <w:tcMar>
              <w:top w:w="0" w:type="dxa"/>
              <w:left w:w="101" w:type="dxa"/>
              <w:bottom w:w="0" w:type="dxa"/>
              <w:right w:w="101" w:type="dxa"/>
            </w:tcMar>
            <w:hideMark/>
          </w:tcPr>
          <w:p w14:paraId="3191C9A6" w14:textId="2E178B88"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117</w:t>
            </w:r>
          </w:p>
        </w:tc>
        <w:tc>
          <w:tcPr>
            <w:tcW w:w="1035" w:type="dxa"/>
            <w:shd w:val="clear" w:color="auto" w:fill="FFFFFF"/>
            <w:tcMar>
              <w:top w:w="0" w:type="dxa"/>
              <w:left w:w="101" w:type="dxa"/>
              <w:bottom w:w="0" w:type="dxa"/>
              <w:right w:w="101" w:type="dxa"/>
            </w:tcMar>
            <w:hideMark/>
          </w:tcPr>
          <w:p w14:paraId="40F1A658" w14:textId="58509C33"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222</w:t>
            </w:r>
          </w:p>
        </w:tc>
        <w:tc>
          <w:tcPr>
            <w:tcW w:w="1035" w:type="dxa"/>
            <w:shd w:val="clear" w:color="auto" w:fill="FFFFFF"/>
            <w:tcMar>
              <w:top w:w="0" w:type="dxa"/>
              <w:left w:w="101" w:type="dxa"/>
              <w:bottom w:w="0" w:type="dxa"/>
              <w:right w:w="101" w:type="dxa"/>
            </w:tcMar>
            <w:hideMark/>
          </w:tcPr>
          <w:p w14:paraId="11874AEC" w14:textId="2785286C"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343</w:t>
            </w:r>
          </w:p>
        </w:tc>
      </w:tr>
      <w:tr w:rsidR="00B55EED" w:rsidRPr="005E3B44" w14:paraId="4AE7FEAF" w14:textId="77777777" w:rsidTr="00B55EED">
        <w:trPr>
          <w:trHeight w:val="240"/>
        </w:trPr>
        <w:tc>
          <w:tcPr>
            <w:tcW w:w="1035" w:type="dxa"/>
            <w:shd w:val="clear" w:color="auto" w:fill="FFFFFF"/>
            <w:tcMar>
              <w:top w:w="0" w:type="dxa"/>
              <w:left w:w="101" w:type="dxa"/>
              <w:bottom w:w="0" w:type="dxa"/>
              <w:right w:w="101" w:type="dxa"/>
            </w:tcMar>
            <w:hideMark/>
          </w:tcPr>
          <w:p w14:paraId="7C0E2C3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339</w:t>
            </w:r>
          </w:p>
        </w:tc>
        <w:tc>
          <w:tcPr>
            <w:tcW w:w="2385" w:type="dxa"/>
            <w:shd w:val="clear" w:color="auto" w:fill="FFFFFF"/>
            <w:noWrap/>
            <w:tcMar>
              <w:top w:w="0" w:type="dxa"/>
              <w:left w:w="101" w:type="dxa"/>
              <w:bottom w:w="0" w:type="dxa"/>
              <w:right w:w="101" w:type="dxa"/>
            </w:tcMar>
            <w:hideMark/>
          </w:tcPr>
          <w:p w14:paraId="46C2C7C4"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Other Provisions</w:t>
            </w:r>
          </w:p>
        </w:tc>
        <w:tc>
          <w:tcPr>
            <w:tcW w:w="1035" w:type="dxa"/>
            <w:shd w:val="clear" w:color="auto" w:fill="FFFFFF"/>
            <w:tcMar>
              <w:top w:w="0" w:type="dxa"/>
              <w:left w:w="101" w:type="dxa"/>
              <w:bottom w:w="0" w:type="dxa"/>
              <w:right w:w="101" w:type="dxa"/>
            </w:tcMar>
            <w:hideMark/>
          </w:tcPr>
          <w:p w14:paraId="3976943A"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420</w:t>
            </w:r>
          </w:p>
        </w:tc>
        <w:tc>
          <w:tcPr>
            <w:tcW w:w="1035" w:type="dxa"/>
            <w:shd w:val="clear" w:color="auto" w:fill="FFFFFF"/>
            <w:tcMar>
              <w:top w:w="0" w:type="dxa"/>
              <w:left w:w="101" w:type="dxa"/>
              <w:bottom w:w="0" w:type="dxa"/>
              <w:right w:w="101" w:type="dxa"/>
            </w:tcMar>
            <w:hideMark/>
          </w:tcPr>
          <w:p w14:paraId="15214FBD"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433</w:t>
            </w:r>
          </w:p>
        </w:tc>
        <w:tc>
          <w:tcPr>
            <w:tcW w:w="600" w:type="dxa"/>
            <w:shd w:val="clear" w:color="auto" w:fill="FFFFFF"/>
            <w:tcMar>
              <w:top w:w="0" w:type="dxa"/>
              <w:left w:w="101" w:type="dxa"/>
              <w:bottom w:w="0" w:type="dxa"/>
              <w:right w:w="101" w:type="dxa"/>
            </w:tcMar>
            <w:hideMark/>
          </w:tcPr>
          <w:p w14:paraId="39FCB0E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3 </w:t>
            </w:r>
          </w:p>
        </w:tc>
        <w:tc>
          <w:tcPr>
            <w:tcW w:w="1035" w:type="dxa"/>
            <w:shd w:val="clear" w:color="auto" w:fill="FFFFFF"/>
            <w:tcMar>
              <w:top w:w="0" w:type="dxa"/>
              <w:left w:w="101" w:type="dxa"/>
              <w:bottom w:w="0" w:type="dxa"/>
              <w:right w:w="101" w:type="dxa"/>
            </w:tcMar>
            <w:hideMark/>
          </w:tcPr>
          <w:p w14:paraId="2E1B139D"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433</w:t>
            </w:r>
          </w:p>
        </w:tc>
        <w:tc>
          <w:tcPr>
            <w:tcW w:w="1035" w:type="dxa"/>
            <w:shd w:val="clear" w:color="auto" w:fill="FFFFFF"/>
            <w:tcMar>
              <w:top w:w="0" w:type="dxa"/>
              <w:left w:w="101" w:type="dxa"/>
              <w:bottom w:w="0" w:type="dxa"/>
              <w:right w:w="101" w:type="dxa"/>
            </w:tcMar>
            <w:hideMark/>
          </w:tcPr>
          <w:p w14:paraId="5FCC4061"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411</w:t>
            </w:r>
          </w:p>
        </w:tc>
        <w:tc>
          <w:tcPr>
            <w:tcW w:w="1035" w:type="dxa"/>
            <w:shd w:val="clear" w:color="auto" w:fill="FFFFFF"/>
            <w:tcMar>
              <w:top w:w="0" w:type="dxa"/>
              <w:left w:w="101" w:type="dxa"/>
              <w:bottom w:w="0" w:type="dxa"/>
              <w:right w:w="101" w:type="dxa"/>
            </w:tcMar>
            <w:hideMark/>
          </w:tcPr>
          <w:p w14:paraId="39CEBAF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389</w:t>
            </w:r>
          </w:p>
        </w:tc>
      </w:tr>
      <w:tr w:rsidR="00B55EED" w:rsidRPr="005E3B44" w14:paraId="300C1300" w14:textId="77777777" w:rsidTr="00B55EED">
        <w:trPr>
          <w:trHeight w:val="240"/>
        </w:trPr>
        <w:tc>
          <w:tcPr>
            <w:tcW w:w="1035" w:type="dxa"/>
            <w:shd w:val="clear" w:color="auto" w:fill="FFFFFF"/>
            <w:tcMar>
              <w:top w:w="0" w:type="dxa"/>
              <w:left w:w="101" w:type="dxa"/>
              <w:bottom w:w="0" w:type="dxa"/>
              <w:right w:w="101" w:type="dxa"/>
            </w:tcMar>
            <w:hideMark/>
          </w:tcPr>
          <w:p w14:paraId="41224EB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56</w:t>
            </w:r>
          </w:p>
        </w:tc>
        <w:tc>
          <w:tcPr>
            <w:tcW w:w="2385" w:type="dxa"/>
            <w:shd w:val="clear" w:color="auto" w:fill="FFFFFF"/>
            <w:noWrap/>
            <w:tcMar>
              <w:top w:w="0" w:type="dxa"/>
              <w:left w:w="101" w:type="dxa"/>
              <w:bottom w:w="0" w:type="dxa"/>
              <w:right w:w="101" w:type="dxa"/>
            </w:tcMar>
            <w:hideMark/>
          </w:tcPr>
          <w:p w14:paraId="5C31FBAC"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Other Liabilities</w:t>
            </w:r>
          </w:p>
        </w:tc>
        <w:tc>
          <w:tcPr>
            <w:tcW w:w="1035" w:type="dxa"/>
            <w:shd w:val="clear" w:color="auto" w:fill="FFFFFF"/>
            <w:tcMar>
              <w:top w:w="0" w:type="dxa"/>
              <w:left w:w="101" w:type="dxa"/>
              <w:bottom w:w="0" w:type="dxa"/>
              <w:right w:w="101" w:type="dxa"/>
            </w:tcMar>
            <w:hideMark/>
          </w:tcPr>
          <w:p w14:paraId="0490DCBD"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981</w:t>
            </w:r>
          </w:p>
        </w:tc>
        <w:tc>
          <w:tcPr>
            <w:tcW w:w="1035" w:type="dxa"/>
            <w:shd w:val="clear" w:color="auto" w:fill="FFFFFF"/>
            <w:tcMar>
              <w:top w:w="0" w:type="dxa"/>
              <w:left w:w="101" w:type="dxa"/>
              <w:bottom w:w="0" w:type="dxa"/>
              <w:right w:w="101" w:type="dxa"/>
            </w:tcMar>
            <w:hideMark/>
          </w:tcPr>
          <w:p w14:paraId="4470FDAD"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33</w:t>
            </w:r>
          </w:p>
        </w:tc>
        <w:tc>
          <w:tcPr>
            <w:tcW w:w="600" w:type="dxa"/>
            <w:shd w:val="clear" w:color="auto" w:fill="FFFFFF"/>
            <w:tcMar>
              <w:top w:w="0" w:type="dxa"/>
              <w:left w:w="101" w:type="dxa"/>
              <w:bottom w:w="0" w:type="dxa"/>
              <w:right w:w="101" w:type="dxa"/>
            </w:tcMar>
            <w:hideMark/>
          </w:tcPr>
          <w:p w14:paraId="3DC0A679"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-97 </w:t>
            </w:r>
          </w:p>
        </w:tc>
        <w:tc>
          <w:tcPr>
            <w:tcW w:w="1035" w:type="dxa"/>
            <w:shd w:val="clear" w:color="auto" w:fill="FFFFFF"/>
            <w:tcMar>
              <w:top w:w="0" w:type="dxa"/>
              <w:left w:w="101" w:type="dxa"/>
              <w:bottom w:w="0" w:type="dxa"/>
              <w:right w:w="101" w:type="dxa"/>
            </w:tcMar>
            <w:hideMark/>
          </w:tcPr>
          <w:p w14:paraId="22BF348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33</w:t>
            </w:r>
          </w:p>
        </w:tc>
        <w:tc>
          <w:tcPr>
            <w:tcW w:w="1035" w:type="dxa"/>
            <w:shd w:val="clear" w:color="auto" w:fill="FFFFFF"/>
            <w:tcMar>
              <w:top w:w="0" w:type="dxa"/>
              <w:left w:w="101" w:type="dxa"/>
              <w:bottom w:w="0" w:type="dxa"/>
              <w:right w:w="101" w:type="dxa"/>
            </w:tcMar>
            <w:hideMark/>
          </w:tcPr>
          <w:p w14:paraId="1C4E8D8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33</w:t>
            </w:r>
          </w:p>
        </w:tc>
        <w:tc>
          <w:tcPr>
            <w:tcW w:w="1035" w:type="dxa"/>
            <w:shd w:val="clear" w:color="auto" w:fill="FFFFFF"/>
            <w:tcMar>
              <w:top w:w="0" w:type="dxa"/>
              <w:left w:w="101" w:type="dxa"/>
              <w:bottom w:w="0" w:type="dxa"/>
              <w:right w:w="101" w:type="dxa"/>
            </w:tcMar>
            <w:hideMark/>
          </w:tcPr>
          <w:p w14:paraId="0C97A11A"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33</w:t>
            </w:r>
          </w:p>
        </w:tc>
      </w:tr>
      <w:tr w:rsidR="00B55EED" w:rsidRPr="005E3B44" w14:paraId="48B1025E" w14:textId="77777777" w:rsidTr="00B55EED">
        <w:trPr>
          <w:trHeight w:val="240"/>
        </w:trPr>
        <w:tc>
          <w:tcPr>
            <w:tcW w:w="1035" w:type="dxa"/>
            <w:shd w:val="clear" w:color="auto" w:fill="FFFFFF"/>
            <w:tcMar>
              <w:top w:w="0" w:type="dxa"/>
              <w:left w:w="0" w:type="dxa"/>
              <w:bottom w:w="0" w:type="dxa"/>
              <w:right w:w="0" w:type="dxa"/>
            </w:tcMar>
          </w:tcPr>
          <w:p w14:paraId="5A41B57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25DADD7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86DD14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80358F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03795F2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243A64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84E75C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508ABBB"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20A9798C" w14:textId="77777777" w:rsidTr="00B55EED">
        <w:trPr>
          <w:trHeight w:val="240"/>
        </w:trPr>
        <w:tc>
          <w:tcPr>
            <w:tcW w:w="1035" w:type="dxa"/>
            <w:shd w:val="clear" w:color="auto" w:fill="FFFFFF"/>
            <w:noWrap/>
            <w:tcMar>
              <w:top w:w="0" w:type="dxa"/>
              <w:left w:w="101" w:type="dxa"/>
              <w:bottom w:w="0" w:type="dxa"/>
              <w:right w:w="101" w:type="dxa"/>
            </w:tcMar>
            <w:hideMark/>
          </w:tcPr>
          <w:p w14:paraId="49B4BD65" w14:textId="7E4FA17D"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3</w:t>
            </w:r>
            <w:r w:rsidR="00AB796B">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691</w:t>
            </w:r>
          </w:p>
        </w:tc>
        <w:tc>
          <w:tcPr>
            <w:tcW w:w="2385" w:type="dxa"/>
            <w:shd w:val="clear" w:color="auto" w:fill="FFFFFF"/>
            <w:tcMar>
              <w:top w:w="0" w:type="dxa"/>
              <w:left w:w="101" w:type="dxa"/>
              <w:bottom w:w="0" w:type="dxa"/>
              <w:right w:w="101" w:type="dxa"/>
            </w:tcMar>
            <w:hideMark/>
          </w:tcPr>
          <w:p w14:paraId="35D29F16"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Total Current Liabilities</w:t>
            </w:r>
          </w:p>
        </w:tc>
        <w:tc>
          <w:tcPr>
            <w:tcW w:w="1035" w:type="dxa"/>
            <w:shd w:val="clear" w:color="auto" w:fill="FFFFFF"/>
            <w:noWrap/>
            <w:tcMar>
              <w:top w:w="0" w:type="dxa"/>
              <w:left w:w="101" w:type="dxa"/>
              <w:bottom w:w="0" w:type="dxa"/>
              <w:right w:w="101" w:type="dxa"/>
            </w:tcMar>
            <w:hideMark/>
          </w:tcPr>
          <w:p w14:paraId="6C2DEF33" w14:textId="4FF327C1"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4</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732</w:t>
            </w:r>
          </w:p>
        </w:tc>
        <w:tc>
          <w:tcPr>
            <w:tcW w:w="1035" w:type="dxa"/>
            <w:shd w:val="clear" w:color="auto" w:fill="FFFFFF"/>
            <w:noWrap/>
            <w:tcMar>
              <w:top w:w="0" w:type="dxa"/>
              <w:left w:w="101" w:type="dxa"/>
              <w:bottom w:w="0" w:type="dxa"/>
              <w:right w:w="101" w:type="dxa"/>
            </w:tcMar>
            <w:hideMark/>
          </w:tcPr>
          <w:p w14:paraId="393E5A0F" w14:textId="3E48EDF5"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3</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008</w:t>
            </w:r>
          </w:p>
        </w:tc>
        <w:tc>
          <w:tcPr>
            <w:tcW w:w="600" w:type="dxa"/>
            <w:shd w:val="clear" w:color="auto" w:fill="FFFFFF"/>
            <w:tcMar>
              <w:top w:w="0" w:type="dxa"/>
              <w:left w:w="101" w:type="dxa"/>
              <w:bottom w:w="0" w:type="dxa"/>
              <w:right w:w="101" w:type="dxa"/>
            </w:tcMar>
            <w:hideMark/>
          </w:tcPr>
          <w:p w14:paraId="2811C5E5"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-36 </w:t>
            </w:r>
          </w:p>
        </w:tc>
        <w:tc>
          <w:tcPr>
            <w:tcW w:w="1035" w:type="dxa"/>
            <w:shd w:val="clear" w:color="auto" w:fill="FFFFFF"/>
            <w:noWrap/>
            <w:tcMar>
              <w:top w:w="0" w:type="dxa"/>
              <w:left w:w="101" w:type="dxa"/>
              <w:bottom w:w="0" w:type="dxa"/>
              <w:right w:w="101" w:type="dxa"/>
            </w:tcMar>
            <w:hideMark/>
          </w:tcPr>
          <w:p w14:paraId="4CE1B0DE" w14:textId="0EDD977D"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3</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663</w:t>
            </w:r>
          </w:p>
        </w:tc>
        <w:tc>
          <w:tcPr>
            <w:tcW w:w="1035" w:type="dxa"/>
            <w:shd w:val="clear" w:color="auto" w:fill="FFFFFF"/>
            <w:noWrap/>
            <w:tcMar>
              <w:top w:w="0" w:type="dxa"/>
              <w:left w:w="101" w:type="dxa"/>
              <w:bottom w:w="0" w:type="dxa"/>
              <w:right w:w="101" w:type="dxa"/>
            </w:tcMar>
            <w:hideMark/>
          </w:tcPr>
          <w:p w14:paraId="094B03DA" w14:textId="660954D3"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3</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839</w:t>
            </w:r>
          </w:p>
        </w:tc>
        <w:tc>
          <w:tcPr>
            <w:tcW w:w="1035" w:type="dxa"/>
            <w:shd w:val="clear" w:color="auto" w:fill="FFFFFF"/>
            <w:noWrap/>
            <w:tcMar>
              <w:top w:w="0" w:type="dxa"/>
              <w:left w:w="101" w:type="dxa"/>
              <w:bottom w:w="0" w:type="dxa"/>
              <w:right w:w="101" w:type="dxa"/>
            </w:tcMar>
            <w:hideMark/>
          </w:tcPr>
          <w:p w14:paraId="1DDF7573" w14:textId="0F080842"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3</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973</w:t>
            </w:r>
          </w:p>
        </w:tc>
      </w:tr>
      <w:tr w:rsidR="00B55EED" w:rsidRPr="005E3B44" w14:paraId="3AA0A4DA" w14:textId="77777777" w:rsidTr="00B55EED">
        <w:trPr>
          <w:trHeight w:val="240"/>
        </w:trPr>
        <w:tc>
          <w:tcPr>
            <w:tcW w:w="1035" w:type="dxa"/>
            <w:shd w:val="clear" w:color="auto" w:fill="FFFFFF"/>
            <w:tcMar>
              <w:top w:w="0" w:type="dxa"/>
              <w:left w:w="0" w:type="dxa"/>
              <w:bottom w:w="0" w:type="dxa"/>
              <w:right w:w="0" w:type="dxa"/>
            </w:tcMar>
          </w:tcPr>
          <w:p w14:paraId="20A8AF4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0257F75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3B90E0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D5B6C8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675F1C9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6D7FE1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73C2F5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AF02AA5"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6384E4E3" w14:textId="77777777" w:rsidTr="00B55EED">
        <w:trPr>
          <w:trHeight w:val="240"/>
        </w:trPr>
        <w:tc>
          <w:tcPr>
            <w:tcW w:w="1035" w:type="dxa"/>
            <w:shd w:val="clear" w:color="auto" w:fill="FFFFFF"/>
            <w:tcMar>
              <w:top w:w="0" w:type="dxa"/>
              <w:left w:w="0" w:type="dxa"/>
              <w:bottom w:w="0" w:type="dxa"/>
              <w:right w:w="0" w:type="dxa"/>
            </w:tcMar>
          </w:tcPr>
          <w:p w14:paraId="3FE11FC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101" w:type="dxa"/>
              <w:bottom w:w="0" w:type="dxa"/>
              <w:right w:w="101" w:type="dxa"/>
            </w:tcMar>
            <w:hideMark/>
          </w:tcPr>
          <w:p w14:paraId="3A8CF44D" w14:textId="77777777" w:rsidR="00B55EED" w:rsidRPr="005E3B44" w:rsidRDefault="00B55EED">
            <w:pPr>
              <w:spacing w:before="0" w:after="0"/>
              <w:rPr>
                <w:rFonts w:asciiTheme="minorHAnsi" w:eastAsia="Calibri" w:hAnsiTheme="minorHAnsi" w:cstheme="minorHAnsi"/>
                <w:b/>
                <w:color w:val="000000"/>
                <w:sz w:val="18"/>
                <w:szCs w:val="24"/>
                <w:lang w:eastAsia="en-AU"/>
              </w:rPr>
            </w:pPr>
            <w:proofErr w:type="spellStart"/>
            <w:proofErr w:type="gramStart"/>
            <w:r w:rsidRPr="005E3B44">
              <w:rPr>
                <w:rFonts w:asciiTheme="minorHAnsi" w:eastAsia="Calibri" w:hAnsiTheme="minorHAnsi" w:cstheme="minorHAnsi"/>
                <w:b/>
                <w:color w:val="000000"/>
                <w:sz w:val="18"/>
              </w:rPr>
              <w:t>Non Current</w:t>
            </w:r>
            <w:proofErr w:type="spellEnd"/>
            <w:proofErr w:type="gramEnd"/>
            <w:r w:rsidRPr="005E3B44">
              <w:rPr>
                <w:rFonts w:asciiTheme="minorHAnsi" w:eastAsia="Calibri" w:hAnsiTheme="minorHAnsi" w:cstheme="minorHAnsi"/>
                <w:b/>
                <w:color w:val="000000"/>
                <w:sz w:val="18"/>
              </w:rPr>
              <w:t xml:space="preserve"> Liabilities</w:t>
            </w:r>
          </w:p>
        </w:tc>
        <w:tc>
          <w:tcPr>
            <w:tcW w:w="1035" w:type="dxa"/>
            <w:shd w:val="clear" w:color="auto" w:fill="FFFFFF"/>
            <w:tcMar>
              <w:top w:w="0" w:type="dxa"/>
              <w:left w:w="0" w:type="dxa"/>
              <w:bottom w:w="0" w:type="dxa"/>
              <w:right w:w="0" w:type="dxa"/>
            </w:tcMar>
          </w:tcPr>
          <w:p w14:paraId="4C851419"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2860F30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2A58154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03443E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01E580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723CD39"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2D4AD71B" w14:textId="77777777" w:rsidTr="00B55EED">
        <w:trPr>
          <w:trHeight w:val="240"/>
        </w:trPr>
        <w:tc>
          <w:tcPr>
            <w:tcW w:w="1035" w:type="dxa"/>
            <w:shd w:val="clear" w:color="auto" w:fill="FFFFFF"/>
            <w:tcMar>
              <w:top w:w="0" w:type="dxa"/>
              <w:left w:w="101" w:type="dxa"/>
              <w:bottom w:w="0" w:type="dxa"/>
              <w:right w:w="101" w:type="dxa"/>
            </w:tcMar>
            <w:hideMark/>
          </w:tcPr>
          <w:p w14:paraId="7C4DC8D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302</w:t>
            </w:r>
          </w:p>
        </w:tc>
        <w:tc>
          <w:tcPr>
            <w:tcW w:w="2385" w:type="dxa"/>
            <w:shd w:val="clear" w:color="auto" w:fill="FFFFFF"/>
            <w:noWrap/>
            <w:tcMar>
              <w:top w:w="0" w:type="dxa"/>
              <w:left w:w="101" w:type="dxa"/>
              <w:bottom w:w="0" w:type="dxa"/>
              <w:right w:w="101" w:type="dxa"/>
            </w:tcMar>
            <w:hideMark/>
          </w:tcPr>
          <w:p w14:paraId="4F1F6515"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Lease Liabilities</w:t>
            </w:r>
          </w:p>
        </w:tc>
        <w:tc>
          <w:tcPr>
            <w:tcW w:w="1035" w:type="dxa"/>
            <w:shd w:val="clear" w:color="auto" w:fill="FFFFFF"/>
            <w:tcMar>
              <w:top w:w="0" w:type="dxa"/>
              <w:left w:w="101" w:type="dxa"/>
              <w:bottom w:w="0" w:type="dxa"/>
              <w:right w:w="101" w:type="dxa"/>
            </w:tcMar>
            <w:hideMark/>
          </w:tcPr>
          <w:p w14:paraId="0275A349"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368</w:t>
            </w:r>
          </w:p>
        </w:tc>
        <w:tc>
          <w:tcPr>
            <w:tcW w:w="1035" w:type="dxa"/>
            <w:shd w:val="clear" w:color="auto" w:fill="FFFFFF"/>
            <w:tcMar>
              <w:top w:w="0" w:type="dxa"/>
              <w:left w:w="101" w:type="dxa"/>
              <w:bottom w:w="0" w:type="dxa"/>
              <w:right w:w="101" w:type="dxa"/>
            </w:tcMar>
            <w:hideMark/>
          </w:tcPr>
          <w:p w14:paraId="7605D40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66</w:t>
            </w:r>
          </w:p>
        </w:tc>
        <w:tc>
          <w:tcPr>
            <w:tcW w:w="600" w:type="dxa"/>
            <w:shd w:val="clear" w:color="auto" w:fill="FFFFFF"/>
            <w:tcMar>
              <w:top w:w="0" w:type="dxa"/>
              <w:left w:w="101" w:type="dxa"/>
              <w:bottom w:w="0" w:type="dxa"/>
              <w:right w:w="101" w:type="dxa"/>
            </w:tcMar>
            <w:hideMark/>
          </w:tcPr>
          <w:p w14:paraId="58A3E65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-82 </w:t>
            </w:r>
          </w:p>
        </w:tc>
        <w:tc>
          <w:tcPr>
            <w:tcW w:w="1035" w:type="dxa"/>
            <w:shd w:val="clear" w:color="auto" w:fill="FFFFFF"/>
            <w:tcMar>
              <w:top w:w="0" w:type="dxa"/>
              <w:left w:w="101" w:type="dxa"/>
              <w:bottom w:w="0" w:type="dxa"/>
              <w:right w:w="101" w:type="dxa"/>
            </w:tcMar>
            <w:hideMark/>
          </w:tcPr>
          <w:p w14:paraId="22C86143" w14:textId="42318B24"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615</w:t>
            </w:r>
          </w:p>
        </w:tc>
        <w:tc>
          <w:tcPr>
            <w:tcW w:w="1035" w:type="dxa"/>
            <w:shd w:val="clear" w:color="auto" w:fill="FFFFFF"/>
            <w:tcMar>
              <w:top w:w="0" w:type="dxa"/>
              <w:left w:w="101" w:type="dxa"/>
              <w:bottom w:w="0" w:type="dxa"/>
              <w:right w:w="101" w:type="dxa"/>
            </w:tcMar>
            <w:hideMark/>
          </w:tcPr>
          <w:p w14:paraId="7C481004" w14:textId="01B3C2A4"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7</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756</w:t>
            </w:r>
          </w:p>
        </w:tc>
        <w:tc>
          <w:tcPr>
            <w:tcW w:w="1035" w:type="dxa"/>
            <w:shd w:val="clear" w:color="auto" w:fill="FFFFFF"/>
            <w:tcMar>
              <w:top w:w="0" w:type="dxa"/>
              <w:left w:w="101" w:type="dxa"/>
              <w:bottom w:w="0" w:type="dxa"/>
              <w:right w:w="101" w:type="dxa"/>
            </w:tcMar>
            <w:hideMark/>
          </w:tcPr>
          <w:p w14:paraId="739B70FF" w14:textId="683EC9E5"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897</w:t>
            </w:r>
          </w:p>
        </w:tc>
      </w:tr>
      <w:tr w:rsidR="00B55EED" w:rsidRPr="005E3B44" w14:paraId="5E4CDDC4" w14:textId="77777777" w:rsidTr="00B55EED">
        <w:trPr>
          <w:trHeight w:val="240"/>
        </w:trPr>
        <w:tc>
          <w:tcPr>
            <w:tcW w:w="1035" w:type="dxa"/>
            <w:shd w:val="clear" w:color="auto" w:fill="FFFFFF"/>
            <w:tcMar>
              <w:top w:w="0" w:type="dxa"/>
              <w:left w:w="101" w:type="dxa"/>
              <w:bottom w:w="0" w:type="dxa"/>
              <w:right w:w="101" w:type="dxa"/>
            </w:tcMar>
            <w:hideMark/>
          </w:tcPr>
          <w:p w14:paraId="2B2AF303"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327</w:t>
            </w:r>
          </w:p>
        </w:tc>
        <w:tc>
          <w:tcPr>
            <w:tcW w:w="2385" w:type="dxa"/>
            <w:shd w:val="clear" w:color="auto" w:fill="FFFFFF"/>
            <w:noWrap/>
            <w:tcMar>
              <w:top w:w="0" w:type="dxa"/>
              <w:left w:w="101" w:type="dxa"/>
              <w:bottom w:w="0" w:type="dxa"/>
              <w:right w:w="101" w:type="dxa"/>
            </w:tcMar>
            <w:hideMark/>
          </w:tcPr>
          <w:p w14:paraId="29B98984"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Employee Benefits</w:t>
            </w:r>
          </w:p>
        </w:tc>
        <w:tc>
          <w:tcPr>
            <w:tcW w:w="1035" w:type="dxa"/>
            <w:shd w:val="clear" w:color="auto" w:fill="FFFFFF"/>
            <w:tcMar>
              <w:top w:w="0" w:type="dxa"/>
              <w:left w:w="101" w:type="dxa"/>
              <w:bottom w:w="0" w:type="dxa"/>
              <w:right w:w="101" w:type="dxa"/>
            </w:tcMar>
            <w:hideMark/>
          </w:tcPr>
          <w:p w14:paraId="4DDD551C"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130</w:t>
            </w:r>
          </w:p>
        </w:tc>
        <w:tc>
          <w:tcPr>
            <w:tcW w:w="1035" w:type="dxa"/>
            <w:shd w:val="clear" w:color="auto" w:fill="FFFFFF"/>
            <w:tcMar>
              <w:top w:w="0" w:type="dxa"/>
              <w:left w:w="101" w:type="dxa"/>
              <w:bottom w:w="0" w:type="dxa"/>
              <w:right w:w="101" w:type="dxa"/>
            </w:tcMar>
            <w:hideMark/>
          </w:tcPr>
          <w:p w14:paraId="3F16E9F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166</w:t>
            </w:r>
          </w:p>
        </w:tc>
        <w:tc>
          <w:tcPr>
            <w:tcW w:w="600" w:type="dxa"/>
            <w:shd w:val="clear" w:color="auto" w:fill="FFFFFF"/>
            <w:tcMar>
              <w:top w:w="0" w:type="dxa"/>
              <w:left w:w="101" w:type="dxa"/>
              <w:bottom w:w="0" w:type="dxa"/>
              <w:right w:w="101" w:type="dxa"/>
            </w:tcMar>
            <w:hideMark/>
          </w:tcPr>
          <w:p w14:paraId="6D198310"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28 </w:t>
            </w:r>
          </w:p>
        </w:tc>
        <w:tc>
          <w:tcPr>
            <w:tcW w:w="1035" w:type="dxa"/>
            <w:shd w:val="clear" w:color="auto" w:fill="FFFFFF"/>
            <w:tcMar>
              <w:top w:w="0" w:type="dxa"/>
              <w:left w:w="101" w:type="dxa"/>
              <w:bottom w:w="0" w:type="dxa"/>
              <w:right w:w="101" w:type="dxa"/>
            </w:tcMar>
            <w:hideMark/>
          </w:tcPr>
          <w:p w14:paraId="06C5E5B7"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173</w:t>
            </w:r>
          </w:p>
        </w:tc>
        <w:tc>
          <w:tcPr>
            <w:tcW w:w="1035" w:type="dxa"/>
            <w:shd w:val="clear" w:color="auto" w:fill="FFFFFF"/>
            <w:tcMar>
              <w:top w:w="0" w:type="dxa"/>
              <w:left w:w="101" w:type="dxa"/>
              <w:bottom w:w="0" w:type="dxa"/>
              <w:right w:w="101" w:type="dxa"/>
            </w:tcMar>
            <w:hideMark/>
          </w:tcPr>
          <w:p w14:paraId="710A5C58"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180</w:t>
            </w:r>
          </w:p>
        </w:tc>
        <w:tc>
          <w:tcPr>
            <w:tcW w:w="1035" w:type="dxa"/>
            <w:shd w:val="clear" w:color="auto" w:fill="FFFFFF"/>
            <w:tcMar>
              <w:top w:w="0" w:type="dxa"/>
              <w:left w:w="101" w:type="dxa"/>
              <w:bottom w:w="0" w:type="dxa"/>
              <w:right w:w="101" w:type="dxa"/>
            </w:tcMar>
            <w:hideMark/>
          </w:tcPr>
          <w:p w14:paraId="3585850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187</w:t>
            </w:r>
          </w:p>
        </w:tc>
      </w:tr>
      <w:tr w:rsidR="00B55EED" w:rsidRPr="005E3B44" w14:paraId="488B46F0" w14:textId="77777777" w:rsidTr="00B55EED">
        <w:trPr>
          <w:trHeight w:val="240"/>
        </w:trPr>
        <w:tc>
          <w:tcPr>
            <w:tcW w:w="1035" w:type="dxa"/>
            <w:shd w:val="clear" w:color="auto" w:fill="FFFFFF"/>
            <w:tcMar>
              <w:top w:w="0" w:type="dxa"/>
              <w:left w:w="101" w:type="dxa"/>
              <w:bottom w:w="0" w:type="dxa"/>
              <w:right w:w="101" w:type="dxa"/>
            </w:tcMar>
            <w:hideMark/>
          </w:tcPr>
          <w:p w14:paraId="45E496F2"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713</w:t>
            </w:r>
          </w:p>
        </w:tc>
        <w:tc>
          <w:tcPr>
            <w:tcW w:w="2385" w:type="dxa"/>
            <w:shd w:val="clear" w:color="auto" w:fill="FFFFFF"/>
            <w:noWrap/>
            <w:tcMar>
              <w:top w:w="0" w:type="dxa"/>
              <w:left w:w="101" w:type="dxa"/>
              <w:bottom w:w="0" w:type="dxa"/>
              <w:right w:w="101" w:type="dxa"/>
            </w:tcMar>
            <w:hideMark/>
          </w:tcPr>
          <w:p w14:paraId="6D7FAD95"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Other Provisions</w:t>
            </w:r>
          </w:p>
        </w:tc>
        <w:tc>
          <w:tcPr>
            <w:tcW w:w="1035" w:type="dxa"/>
            <w:shd w:val="clear" w:color="auto" w:fill="FFFFFF"/>
            <w:tcMar>
              <w:top w:w="0" w:type="dxa"/>
              <w:left w:w="101" w:type="dxa"/>
              <w:bottom w:w="0" w:type="dxa"/>
              <w:right w:w="101" w:type="dxa"/>
            </w:tcMar>
            <w:hideMark/>
          </w:tcPr>
          <w:p w14:paraId="56332E01"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662</w:t>
            </w:r>
          </w:p>
        </w:tc>
        <w:tc>
          <w:tcPr>
            <w:tcW w:w="1035" w:type="dxa"/>
            <w:shd w:val="clear" w:color="auto" w:fill="FFFFFF"/>
            <w:tcMar>
              <w:top w:w="0" w:type="dxa"/>
              <w:left w:w="101" w:type="dxa"/>
              <w:bottom w:w="0" w:type="dxa"/>
              <w:right w:w="101" w:type="dxa"/>
            </w:tcMar>
            <w:hideMark/>
          </w:tcPr>
          <w:p w14:paraId="0478C66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694</w:t>
            </w:r>
          </w:p>
        </w:tc>
        <w:tc>
          <w:tcPr>
            <w:tcW w:w="600" w:type="dxa"/>
            <w:shd w:val="clear" w:color="auto" w:fill="FFFFFF"/>
            <w:tcMar>
              <w:top w:w="0" w:type="dxa"/>
              <w:left w:w="101" w:type="dxa"/>
              <w:bottom w:w="0" w:type="dxa"/>
              <w:right w:w="101" w:type="dxa"/>
            </w:tcMar>
            <w:hideMark/>
          </w:tcPr>
          <w:p w14:paraId="285F9EA1"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5 </w:t>
            </w:r>
          </w:p>
        </w:tc>
        <w:tc>
          <w:tcPr>
            <w:tcW w:w="1035" w:type="dxa"/>
            <w:shd w:val="clear" w:color="auto" w:fill="FFFFFF"/>
            <w:tcMar>
              <w:top w:w="0" w:type="dxa"/>
              <w:left w:w="101" w:type="dxa"/>
              <w:bottom w:w="0" w:type="dxa"/>
              <w:right w:w="101" w:type="dxa"/>
            </w:tcMar>
            <w:hideMark/>
          </w:tcPr>
          <w:p w14:paraId="77555815"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726</w:t>
            </w:r>
          </w:p>
        </w:tc>
        <w:tc>
          <w:tcPr>
            <w:tcW w:w="1035" w:type="dxa"/>
            <w:shd w:val="clear" w:color="auto" w:fill="FFFFFF"/>
            <w:tcMar>
              <w:top w:w="0" w:type="dxa"/>
              <w:left w:w="101" w:type="dxa"/>
              <w:bottom w:w="0" w:type="dxa"/>
              <w:right w:w="101" w:type="dxa"/>
            </w:tcMar>
            <w:hideMark/>
          </w:tcPr>
          <w:p w14:paraId="2021166A"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758</w:t>
            </w:r>
          </w:p>
        </w:tc>
        <w:tc>
          <w:tcPr>
            <w:tcW w:w="1035" w:type="dxa"/>
            <w:shd w:val="clear" w:color="auto" w:fill="FFFFFF"/>
            <w:tcMar>
              <w:top w:w="0" w:type="dxa"/>
              <w:left w:w="101" w:type="dxa"/>
              <w:bottom w:w="0" w:type="dxa"/>
              <w:right w:w="101" w:type="dxa"/>
            </w:tcMar>
            <w:hideMark/>
          </w:tcPr>
          <w:p w14:paraId="3065B2D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790</w:t>
            </w:r>
          </w:p>
        </w:tc>
      </w:tr>
      <w:tr w:rsidR="00B55EED" w:rsidRPr="005E3B44" w14:paraId="3A086FBA" w14:textId="77777777" w:rsidTr="00B55EED">
        <w:trPr>
          <w:trHeight w:val="240"/>
        </w:trPr>
        <w:tc>
          <w:tcPr>
            <w:tcW w:w="1035" w:type="dxa"/>
            <w:shd w:val="clear" w:color="auto" w:fill="FFFFFF"/>
            <w:tcMar>
              <w:top w:w="0" w:type="dxa"/>
              <w:left w:w="0" w:type="dxa"/>
              <w:bottom w:w="0" w:type="dxa"/>
              <w:right w:w="0" w:type="dxa"/>
            </w:tcMar>
          </w:tcPr>
          <w:p w14:paraId="222D34B0"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3B4B1310"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4A271F7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9EEB2C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354C7B7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22A616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EE74A9D"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A264A97"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2D8CE880" w14:textId="77777777" w:rsidTr="00B55EED">
        <w:trPr>
          <w:trHeight w:val="240"/>
        </w:trPr>
        <w:tc>
          <w:tcPr>
            <w:tcW w:w="1035" w:type="dxa"/>
            <w:shd w:val="clear" w:color="auto" w:fill="FFFFFF"/>
            <w:noWrap/>
            <w:tcMar>
              <w:top w:w="0" w:type="dxa"/>
              <w:left w:w="101" w:type="dxa"/>
              <w:bottom w:w="0" w:type="dxa"/>
              <w:right w:w="101" w:type="dxa"/>
            </w:tcMar>
            <w:hideMark/>
          </w:tcPr>
          <w:p w14:paraId="70B3097C" w14:textId="169C67F4"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342</w:t>
            </w:r>
          </w:p>
        </w:tc>
        <w:tc>
          <w:tcPr>
            <w:tcW w:w="2385" w:type="dxa"/>
            <w:shd w:val="clear" w:color="auto" w:fill="FFFFFF"/>
            <w:tcMar>
              <w:top w:w="0" w:type="dxa"/>
              <w:left w:w="101" w:type="dxa"/>
              <w:bottom w:w="0" w:type="dxa"/>
              <w:right w:w="101" w:type="dxa"/>
            </w:tcMar>
            <w:hideMark/>
          </w:tcPr>
          <w:p w14:paraId="1F7FCEDD"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Non-Current Liabilities</w:t>
            </w:r>
          </w:p>
        </w:tc>
        <w:tc>
          <w:tcPr>
            <w:tcW w:w="1035" w:type="dxa"/>
            <w:shd w:val="clear" w:color="auto" w:fill="FFFFFF"/>
            <w:noWrap/>
            <w:tcMar>
              <w:top w:w="0" w:type="dxa"/>
              <w:left w:w="101" w:type="dxa"/>
              <w:bottom w:w="0" w:type="dxa"/>
              <w:right w:w="101" w:type="dxa"/>
            </w:tcMar>
            <w:hideMark/>
          </w:tcPr>
          <w:p w14:paraId="052FAEA9" w14:textId="094CA800"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160</w:t>
            </w:r>
          </w:p>
        </w:tc>
        <w:tc>
          <w:tcPr>
            <w:tcW w:w="1035" w:type="dxa"/>
            <w:shd w:val="clear" w:color="auto" w:fill="FFFFFF"/>
            <w:noWrap/>
            <w:tcMar>
              <w:top w:w="0" w:type="dxa"/>
              <w:left w:w="101" w:type="dxa"/>
              <w:bottom w:w="0" w:type="dxa"/>
              <w:right w:w="101" w:type="dxa"/>
            </w:tcMar>
            <w:hideMark/>
          </w:tcPr>
          <w:p w14:paraId="114C299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926</w:t>
            </w:r>
          </w:p>
        </w:tc>
        <w:tc>
          <w:tcPr>
            <w:tcW w:w="600" w:type="dxa"/>
            <w:shd w:val="clear" w:color="auto" w:fill="FFFFFF"/>
            <w:tcMar>
              <w:top w:w="0" w:type="dxa"/>
              <w:left w:w="101" w:type="dxa"/>
              <w:bottom w:w="0" w:type="dxa"/>
              <w:right w:w="101" w:type="dxa"/>
            </w:tcMar>
            <w:hideMark/>
          </w:tcPr>
          <w:p w14:paraId="31E549EC"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-20 </w:t>
            </w:r>
          </w:p>
        </w:tc>
        <w:tc>
          <w:tcPr>
            <w:tcW w:w="1035" w:type="dxa"/>
            <w:shd w:val="clear" w:color="auto" w:fill="FFFFFF"/>
            <w:noWrap/>
            <w:tcMar>
              <w:top w:w="0" w:type="dxa"/>
              <w:left w:w="101" w:type="dxa"/>
              <w:bottom w:w="0" w:type="dxa"/>
              <w:right w:w="101" w:type="dxa"/>
            </w:tcMar>
            <w:hideMark/>
          </w:tcPr>
          <w:p w14:paraId="4451AD10" w14:textId="5CD5CFDB"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514</w:t>
            </w:r>
          </w:p>
        </w:tc>
        <w:tc>
          <w:tcPr>
            <w:tcW w:w="1035" w:type="dxa"/>
            <w:shd w:val="clear" w:color="auto" w:fill="FFFFFF"/>
            <w:noWrap/>
            <w:tcMar>
              <w:top w:w="0" w:type="dxa"/>
              <w:left w:w="101" w:type="dxa"/>
              <w:bottom w:w="0" w:type="dxa"/>
              <w:right w:w="101" w:type="dxa"/>
            </w:tcMar>
            <w:hideMark/>
          </w:tcPr>
          <w:p w14:paraId="0C691FD9" w14:textId="1193E5D2"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694</w:t>
            </w:r>
          </w:p>
        </w:tc>
        <w:tc>
          <w:tcPr>
            <w:tcW w:w="1035" w:type="dxa"/>
            <w:shd w:val="clear" w:color="auto" w:fill="FFFFFF"/>
            <w:noWrap/>
            <w:tcMar>
              <w:top w:w="0" w:type="dxa"/>
              <w:left w:w="101" w:type="dxa"/>
              <w:bottom w:w="0" w:type="dxa"/>
              <w:right w:w="101" w:type="dxa"/>
            </w:tcMar>
            <w:hideMark/>
          </w:tcPr>
          <w:p w14:paraId="37F783ED" w14:textId="71E453EC"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7</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874</w:t>
            </w:r>
          </w:p>
        </w:tc>
      </w:tr>
      <w:tr w:rsidR="00B55EED" w:rsidRPr="005E3B44" w14:paraId="0729D6F3" w14:textId="77777777" w:rsidTr="00B55EED">
        <w:trPr>
          <w:trHeight w:val="240"/>
        </w:trPr>
        <w:tc>
          <w:tcPr>
            <w:tcW w:w="1035" w:type="dxa"/>
            <w:shd w:val="clear" w:color="auto" w:fill="FFFFFF"/>
            <w:tcMar>
              <w:top w:w="0" w:type="dxa"/>
              <w:left w:w="0" w:type="dxa"/>
              <w:bottom w:w="0" w:type="dxa"/>
              <w:right w:w="0" w:type="dxa"/>
            </w:tcMar>
          </w:tcPr>
          <w:p w14:paraId="11C0425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17BD6377"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79D82A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0A92F6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058B94BA"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6D55A0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1EC33D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D8E4CEB"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76049F7B" w14:textId="77777777" w:rsidTr="00B55EED">
        <w:trPr>
          <w:trHeight w:val="240"/>
        </w:trPr>
        <w:tc>
          <w:tcPr>
            <w:tcW w:w="1035" w:type="dxa"/>
            <w:shd w:val="clear" w:color="auto" w:fill="FFFFFF"/>
            <w:noWrap/>
            <w:tcMar>
              <w:top w:w="0" w:type="dxa"/>
              <w:left w:w="101" w:type="dxa"/>
              <w:bottom w:w="0" w:type="dxa"/>
              <w:right w:w="101" w:type="dxa"/>
            </w:tcMar>
            <w:hideMark/>
          </w:tcPr>
          <w:p w14:paraId="6B27DA41" w14:textId="5F746C22"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5</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033</w:t>
            </w:r>
          </w:p>
        </w:tc>
        <w:tc>
          <w:tcPr>
            <w:tcW w:w="2385" w:type="dxa"/>
            <w:shd w:val="clear" w:color="auto" w:fill="FFFFFF"/>
            <w:tcMar>
              <w:top w:w="0" w:type="dxa"/>
              <w:left w:w="101" w:type="dxa"/>
              <w:bottom w:w="0" w:type="dxa"/>
              <w:right w:w="101" w:type="dxa"/>
            </w:tcMar>
            <w:hideMark/>
          </w:tcPr>
          <w:p w14:paraId="72ECCF5E"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TOTAL LIABILITIES</w:t>
            </w:r>
          </w:p>
        </w:tc>
        <w:tc>
          <w:tcPr>
            <w:tcW w:w="1035" w:type="dxa"/>
            <w:shd w:val="clear" w:color="auto" w:fill="FFFFFF"/>
            <w:noWrap/>
            <w:tcMar>
              <w:top w:w="0" w:type="dxa"/>
              <w:left w:w="101" w:type="dxa"/>
              <w:bottom w:w="0" w:type="dxa"/>
              <w:right w:w="101" w:type="dxa"/>
            </w:tcMar>
            <w:hideMark/>
          </w:tcPr>
          <w:p w14:paraId="01DC4EC0" w14:textId="106547AB"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5</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892</w:t>
            </w:r>
          </w:p>
        </w:tc>
        <w:tc>
          <w:tcPr>
            <w:tcW w:w="1035" w:type="dxa"/>
            <w:shd w:val="clear" w:color="auto" w:fill="FFFFFF"/>
            <w:noWrap/>
            <w:tcMar>
              <w:top w:w="0" w:type="dxa"/>
              <w:left w:w="101" w:type="dxa"/>
              <w:bottom w:w="0" w:type="dxa"/>
              <w:right w:w="101" w:type="dxa"/>
            </w:tcMar>
            <w:hideMark/>
          </w:tcPr>
          <w:p w14:paraId="7BC5CA21" w14:textId="187B3381"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3</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934</w:t>
            </w:r>
          </w:p>
        </w:tc>
        <w:tc>
          <w:tcPr>
            <w:tcW w:w="600" w:type="dxa"/>
            <w:shd w:val="clear" w:color="auto" w:fill="FFFFFF"/>
            <w:tcMar>
              <w:top w:w="0" w:type="dxa"/>
              <w:left w:w="101" w:type="dxa"/>
              <w:bottom w:w="0" w:type="dxa"/>
              <w:right w:w="101" w:type="dxa"/>
            </w:tcMar>
            <w:hideMark/>
          </w:tcPr>
          <w:p w14:paraId="6DE83E89"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-33 </w:t>
            </w:r>
          </w:p>
        </w:tc>
        <w:tc>
          <w:tcPr>
            <w:tcW w:w="1035" w:type="dxa"/>
            <w:shd w:val="clear" w:color="auto" w:fill="FFFFFF"/>
            <w:noWrap/>
            <w:tcMar>
              <w:top w:w="0" w:type="dxa"/>
              <w:left w:w="101" w:type="dxa"/>
              <w:bottom w:w="0" w:type="dxa"/>
              <w:right w:w="101" w:type="dxa"/>
            </w:tcMar>
            <w:hideMark/>
          </w:tcPr>
          <w:p w14:paraId="01B409EE" w14:textId="4973A12C"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13</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177</w:t>
            </w:r>
          </w:p>
        </w:tc>
        <w:tc>
          <w:tcPr>
            <w:tcW w:w="1035" w:type="dxa"/>
            <w:shd w:val="clear" w:color="auto" w:fill="FFFFFF"/>
            <w:noWrap/>
            <w:tcMar>
              <w:top w:w="0" w:type="dxa"/>
              <w:left w:w="101" w:type="dxa"/>
              <w:bottom w:w="0" w:type="dxa"/>
              <w:right w:w="101" w:type="dxa"/>
            </w:tcMar>
            <w:hideMark/>
          </w:tcPr>
          <w:p w14:paraId="72EDA22F" w14:textId="73FAEF7F"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12</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533</w:t>
            </w:r>
          </w:p>
        </w:tc>
        <w:tc>
          <w:tcPr>
            <w:tcW w:w="1035" w:type="dxa"/>
            <w:shd w:val="clear" w:color="auto" w:fill="FFFFFF"/>
            <w:noWrap/>
            <w:tcMar>
              <w:top w:w="0" w:type="dxa"/>
              <w:left w:w="101" w:type="dxa"/>
              <w:bottom w:w="0" w:type="dxa"/>
              <w:right w:w="101" w:type="dxa"/>
            </w:tcMar>
            <w:hideMark/>
          </w:tcPr>
          <w:p w14:paraId="2173E428" w14:textId="7CC2C528"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847</w:t>
            </w:r>
          </w:p>
        </w:tc>
      </w:tr>
      <w:tr w:rsidR="00B55EED" w:rsidRPr="005E3B44" w14:paraId="6985DF23" w14:textId="77777777" w:rsidTr="00B55EED">
        <w:trPr>
          <w:trHeight w:val="240"/>
        </w:trPr>
        <w:tc>
          <w:tcPr>
            <w:tcW w:w="1035" w:type="dxa"/>
            <w:shd w:val="clear" w:color="auto" w:fill="FFFFFF"/>
            <w:tcMar>
              <w:top w:w="0" w:type="dxa"/>
              <w:left w:w="0" w:type="dxa"/>
              <w:bottom w:w="0" w:type="dxa"/>
              <w:right w:w="0" w:type="dxa"/>
            </w:tcMar>
          </w:tcPr>
          <w:p w14:paraId="2A67206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5153E16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9FBAE5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675B619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37BAF97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B00A1B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0247F93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1E316F41"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69A2529C" w14:textId="77777777" w:rsidTr="00B55EED">
        <w:trPr>
          <w:trHeight w:val="240"/>
        </w:trPr>
        <w:tc>
          <w:tcPr>
            <w:tcW w:w="1035" w:type="dxa"/>
            <w:shd w:val="clear" w:color="auto" w:fill="FFFFFF"/>
            <w:noWrap/>
            <w:tcMar>
              <w:top w:w="0" w:type="dxa"/>
              <w:left w:w="101" w:type="dxa"/>
              <w:bottom w:w="0" w:type="dxa"/>
              <w:right w:w="101" w:type="dxa"/>
            </w:tcMar>
            <w:hideMark/>
          </w:tcPr>
          <w:p w14:paraId="4FCE4058" w14:textId="571290A2"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4</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368</w:t>
            </w:r>
          </w:p>
        </w:tc>
        <w:tc>
          <w:tcPr>
            <w:tcW w:w="2385" w:type="dxa"/>
            <w:shd w:val="clear" w:color="auto" w:fill="FFFFFF"/>
            <w:tcMar>
              <w:top w:w="0" w:type="dxa"/>
              <w:left w:w="101" w:type="dxa"/>
              <w:bottom w:w="0" w:type="dxa"/>
              <w:right w:w="101" w:type="dxa"/>
            </w:tcMar>
            <w:hideMark/>
          </w:tcPr>
          <w:p w14:paraId="368748C2"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NET ASSETS</w:t>
            </w:r>
          </w:p>
        </w:tc>
        <w:tc>
          <w:tcPr>
            <w:tcW w:w="1035" w:type="dxa"/>
            <w:shd w:val="clear" w:color="auto" w:fill="FFFFFF"/>
            <w:noWrap/>
            <w:tcMar>
              <w:top w:w="0" w:type="dxa"/>
              <w:left w:w="101" w:type="dxa"/>
              <w:bottom w:w="0" w:type="dxa"/>
              <w:right w:w="101" w:type="dxa"/>
            </w:tcMar>
            <w:hideMark/>
          </w:tcPr>
          <w:p w14:paraId="7EFF1DAE" w14:textId="7E436F7D"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274</w:t>
            </w:r>
          </w:p>
        </w:tc>
        <w:tc>
          <w:tcPr>
            <w:tcW w:w="1035" w:type="dxa"/>
            <w:shd w:val="clear" w:color="auto" w:fill="FFFFFF"/>
            <w:noWrap/>
            <w:tcMar>
              <w:top w:w="0" w:type="dxa"/>
              <w:left w:w="101" w:type="dxa"/>
              <w:bottom w:w="0" w:type="dxa"/>
              <w:right w:w="101" w:type="dxa"/>
            </w:tcMar>
            <w:hideMark/>
          </w:tcPr>
          <w:p w14:paraId="1C2288EF" w14:textId="7C190A0A"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309</w:t>
            </w:r>
          </w:p>
        </w:tc>
        <w:tc>
          <w:tcPr>
            <w:tcW w:w="600" w:type="dxa"/>
            <w:shd w:val="clear" w:color="auto" w:fill="FFFFFF"/>
            <w:tcMar>
              <w:top w:w="0" w:type="dxa"/>
              <w:left w:w="101" w:type="dxa"/>
              <w:bottom w:w="0" w:type="dxa"/>
              <w:right w:w="101" w:type="dxa"/>
            </w:tcMar>
            <w:hideMark/>
          </w:tcPr>
          <w:p w14:paraId="73EC01E0"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 xml:space="preserve">1 </w:t>
            </w:r>
          </w:p>
        </w:tc>
        <w:tc>
          <w:tcPr>
            <w:tcW w:w="1035" w:type="dxa"/>
            <w:shd w:val="clear" w:color="auto" w:fill="FFFFFF"/>
            <w:noWrap/>
            <w:tcMar>
              <w:top w:w="0" w:type="dxa"/>
              <w:left w:w="101" w:type="dxa"/>
              <w:bottom w:w="0" w:type="dxa"/>
              <w:right w:w="101" w:type="dxa"/>
            </w:tcMar>
            <w:hideMark/>
          </w:tcPr>
          <w:p w14:paraId="4010F266" w14:textId="67A316BE"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376</w:t>
            </w:r>
          </w:p>
        </w:tc>
        <w:tc>
          <w:tcPr>
            <w:tcW w:w="1035" w:type="dxa"/>
            <w:shd w:val="clear" w:color="auto" w:fill="FFFFFF"/>
            <w:noWrap/>
            <w:tcMar>
              <w:top w:w="0" w:type="dxa"/>
              <w:left w:w="101" w:type="dxa"/>
              <w:bottom w:w="0" w:type="dxa"/>
              <w:right w:w="101" w:type="dxa"/>
            </w:tcMar>
            <w:hideMark/>
          </w:tcPr>
          <w:p w14:paraId="65300EFD" w14:textId="76AC73A0"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443</w:t>
            </w:r>
          </w:p>
        </w:tc>
        <w:tc>
          <w:tcPr>
            <w:tcW w:w="1035" w:type="dxa"/>
            <w:shd w:val="clear" w:color="auto" w:fill="FFFFFF"/>
            <w:noWrap/>
            <w:tcMar>
              <w:top w:w="0" w:type="dxa"/>
              <w:left w:w="101" w:type="dxa"/>
              <w:bottom w:w="0" w:type="dxa"/>
              <w:right w:w="101" w:type="dxa"/>
            </w:tcMar>
            <w:hideMark/>
          </w:tcPr>
          <w:p w14:paraId="7FBBFB3D" w14:textId="50DCC3F3"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479</w:t>
            </w:r>
          </w:p>
        </w:tc>
      </w:tr>
      <w:tr w:rsidR="00B55EED" w:rsidRPr="005E3B44" w14:paraId="166BCC48" w14:textId="77777777" w:rsidTr="00B55EED">
        <w:trPr>
          <w:trHeight w:val="480"/>
        </w:trPr>
        <w:tc>
          <w:tcPr>
            <w:tcW w:w="1035" w:type="dxa"/>
            <w:shd w:val="clear" w:color="auto" w:fill="FFFFFF"/>
            <w:tcMar>
              <w:top w:w="0" w:type="dxa"/>
              <w:left w:w="0" w:type="dxa"/>
              <w:bottom w:w="0" w:type="dxa"/>
              <w:right w:w="0" w:type="dxa"/>
            </w:tcMar>
          </w:tcPr>
          <w:p w14:paraId="134829D4"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8160" w:type="dxa"/>
            <w:gridSpan w:val="7"/>
            <w:shd w:val="clear" w:color="auto" w:fill="FFFFFF"/>
            <w:noWrap/>
            <w:tcMar>
              <w:top w:w="0" w:type="dxa"/>
              <w:left w:w="101" w:type="dxa"/>
              <w:bottom w:w="0" w:type="dxa"/>
              <w:right w:w="101" w:type="dxa"/>
            </w:tcMar>
            <w:vAlign w:val="bottom"/>
            <w:hideMark/>
          </w:tcPr>
          <w:p w14:paraId="527966DB"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REPRESENTED BY FUNDS EMPLOYED</w:t>
            </w:r>
          </w:p>
        </w:tc>
      </w:tr>
      <w:tr w:rsidR="00B55EED" w:rsidRPr="005E3B44" w14:paraId="1D0BB349" w14:textId="77777777" w:rsidTr="00B55EED">
        <w:trPr>
          <w:trHeight w:val="240"/>
        </w:trPr>
        <w:tc>
          <w:tcPr>
            <w:tcW w:w="1035" w:type="dxa"/>
            <w:shd w:val="clear" w:color="auto" w:fill="FFFFFF"/>
            <w:tcMar>
              <w:top w:w="0" w:type="dxa"/>
              <w:left w:w="0" w:type="dxa"/>
              <w:bottom w:w="0" w:type="dxa"/>
              <w:right w:w="0" w:type="dxa"/>
            </w:tcMar>
          </w:tcPr>
          <w:p w14:paraId="4088AF23"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shd w:val="clear" w:color="auto" w:fill="FFFFFF"/>
            <w:tcMar>
              <w:top w:w="0" w:type="dxa"/>
              <w:left w:w="0" w:type="dxa"/>
              <w:bottom w:w="0" w:type="dxa"/>
              <w:right w:w="0" w:type="dxa"/>
            </w:tcMar>
          </w:tcPr>
          <w:p w14:paraId="56B3A868"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45507DB1"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BF2B5F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shd w:val="clear" w:color="auto" w:fill="FFFFFF"/>
            <w:tcMar>
              <w:top w:w="0" w:type="dxa"/>
              <w:left w:w="0" w:type="dxa"/>
              <w:bottom w:w="0" w:type="dxa"/>
              <w:right w:w="0" w:type="dxa"/>
            </w:tcMar>
          </w:tcPr>
          <w:p w14:paraId="693B5CDB"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25662A2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5B6B1565"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shd w:val="clear" w:color="auto" w:fill="FFFFFF"/>
            <w:tcMar>
              <w:top w:w="0" w:type="dxa"/>
              <w:left w:w="0" w:type="dxa"/>
              <w:bottom w:w="0" w:type="dxa"/>
              <w:right w:w="0" w:type="dxa"/>
            </w:tcMar>
          </w:tcPr>
          <w:p w14:paraId="3620A2A0"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r w:rsidR="00B55EED" w:rsidRPr="005E3B44" w14:paraId="7855E6F0" w14:textId="77777777" w:rsidTr="00B55EED">
        <w:trPr>
          <w:trHeight w:val="240"/>
        </w:trPr>
        <w:tc>
          <w:tcPr>
            <w:tcW w:w="1035" w:type="dxa"/>
            <w:shd w:val="clear" w:color="auto" w:fill="FFFFFF"/>
            <w:tcMar>
              <w:top w:w="0" w:type="dxa"/>
              <w:left w:w="101" w:type="dxa"/>
              <w:bottom w:w="0" w:type="dxa"/>
              <w:right w:w="101" w:type="dxa"/>
            </w:tcMar>
            <w:hideMark/>
          </w:tcPr>
          <w:p w14:paraId="64E9C538" w14:textId="405620D0"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368</w:t>
            </w:r>
          </w:p>
        </w:tc>
        <w:tc>
          <w:tcPr>
            <w:tcW w:w="2385" w:type="dxa"/>
            <w:shd w:val="clear" w:color="auto" w:fill="FFFFFF"/>
            <w:noWrap/>
            <w:tcMar>
              <w:top w:w="0" w:type="dxa"/>
              <w:left w:w="101" w:type="dxa"/>
              <w:bottom w:w="0" w:type="dxa"/>
              <w:right w:w="101" w:type="dxa"/>
            </w:tcMar>
            <w:hideMark/>
          </w:tcPr>
          <w:p w14:paraId="773FDD0B"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Accumulated Funds</w:t>
            </w:r>
          </w:p>
        </w:tc>
        <w:tc>
          <w:tcPr>
            <w:tcW w:w="1035" w:type="dxa"/>
            <w:shd w:val="clear" w:color="auto" w:fill="FFFFFF"/>
            <w:tcMar>
              <w:top w:w="0" w:type="dxa"/>
              <w:left w:w="101" w:type="dxa"/>
              <w:bottom w:w="0" w:type="dxa"/>
              <w:right w:w="101" w:type="dxa"/>
            </w:tcMar>
            <w:hideMark/>
          </w:tcPr>
          <w:p w14:paraId="680FD7D2" w14:textId="433595BE"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411</w:t>
            </w:r>
          </w:p>
        </w:tc>
        <w:tc>
          <w:tcPr>
            <w:tcW w:w="1035" w:type="dxa"/>
            <w:shd w:val="clear" w:color="auto" w:fill="FFFFFF"/>
            <w:tcMar>
              <w:top w:w="0" w:type="dxa"/>
              <w:left w:w="101" w:type="dxa"/>
              <w:bottom w:w="0" w:type="dxa"/>
              <w:right w:w="101" w:type="dxa"/>
            </w:tcMar>
            <w:hideMark/>
          </w:tcPr>
          <w:p w14:paraId="42D771A0" w14:textId="79BE6D1E"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446</w:t>
            </w:r>
          </w:p>
        </w:tc>
        <w:tc>
          <w:tcPr>
            <w:tcW w:w="600" w:type="dxa"/>
            <w:shd w:val="clear" w:color="auto" w:fill="FFFFFF"/>
            <w:tcMar>
              <w:top w:w="0" w:type="dxa"/>
              <w:left w:w="101" w:type="dxa"/>
              <w:bottom w:w="0" w:type="dxa"/>
              <w:right w:w="101" w:type="dxa"/>
            </w:tcMar>
            <w:hideMark/>
          </w:tcPr>
          <w:p w14:paraId="5E2ED4E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1 </w:t>
            </w:r>
          </w:p>
        </w:tc>
        <w:tc>
          <w:tcPr>
            <w:tcW w:w="1035" w:type="dxa"/>
            <w:shd w:val="clear" w:color="auto" w:fill="FFFFFF"/>
            <w:tcMar>
              <w:top w:w="0" w:type="dxa"/>
              <w:left w:w="101" w:type="dxa"/>
              <w:bottom w:w="0" w:type="dxa"/>
              <w:right w:w="101" w:type="dxa"/>
            </w:tcMar>
            <w:hideMark/>
          </w:tcPr>
          <w:p w14:paraId="45AA6A39" w14:textId="196D0299"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513</w:t>
            </w:r>
          </w:p>
        </w:tc>
        <w:tc>
          <w:tcPr>
            <w:tcW w:w="1035" w:type="dxa"/>
            <w:shd w:val="clear" w:color="auto" w:fill="FFFFFF"/>
            <w:tcMar>
              <w:top w:w="0" w:type="dxa"/>
              <w:left w:w="101" w:type="dxa"/>
              <w:bottom w:w="0" w:type="dxa"/>
              <w:right w:w="101" w:type="dxa"/>
            </w:tcMar>
            <w:hideMark/>
          </w:tcPr>
          <w:p w14:paraId="35B9F169" w14:textId="0609743D"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580</w:t>
            </w:r>
          </w:p>
        </w:tc>
        <w:tc>
          <w:tcPr>
            <w:tcW w:w="1035" w:type="dxa"/>
            <w:shd w:val="clear" w:color="auto" w:fill="FFFFFF"/>
            <w:tcMar>
              <w:top w:w="0" w:type="dxa"/>
              <w:left w:w="101" w:type="dxa"/>
              <w:bottom w:w="0" w:type="dxa"/>
              <w:right w:w="101" w:type="dxa"/>
            </w:tcMar>
            <w:hideMark/>
          </w:tcPr>
          <w:p w14:paraId="396F27C8" w14:textId="33BCF4AB"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616</w:t>
            </w:r>
          </w:p>
        </w:tc>
      </w:tr>
      <w:tr w:rsidR="00B55EED" w:rsidRPr="005E3B44" w14:paraId="718C744D" w14:textId="77777777" w:rsidTr="00B55EED">
        <w:trPr>
          <w:trHeight w:val="240"/>
        </w:trPr>
        <w:tc>
          <w:tcPr>
            <w:tcW w:w="1035" w:type="dxa"/>
            <w:shd w:val="clear" w:color="auto" w:fill="FFFFFF"/>
            <w:tcMar>
              <w:top w:w="0" w:type="dxa"/>
              <w:left w:w="101" w:type="dxa"/>
              <w:bottom w:w="0" w:type="dxa"/>
              <w:right w:w="101" w:type="dxa"/>
            </w:tcMar>
            <w:hideMark/>
          </w:tcPr>
          <w:p w14:paraId="128989BD"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0</w:t>
            </w:r>
          </w:p>
        </w:tc>
        <w:tc>
          <w:tcPr>
            <w:tcW w:w="2385" w:type="dxa"/>
            <w:shd w:val="clear" w:color="auto" w:fill="FFFFFF"/>
            <w:noWrap/>
            <w:tcMar>
              <w:top w:w="0" w:type="dxa"/>
              <w:left w:w="101" w:type="dxa"/>
              <w:bottom w:w="0" w:type="dxa"/>
              <w:right w:w="101" w:type="dxa"/>
            </w:tcMar>
            <w:hideMark/>
          </w:tcPr>
          <w:p w14:paraId="4175D793" w14:textId="77777777" w:rsidR="00B55EED" w:rsidRPr="005E3B44" w:rsidRDefault="00B55EED">
            <w:pPr>
              <w:spacing w:before="0" w:after="0"/>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Asset Revaluation Surplus</w:t>
            </w:r>
          </w:p>
        </w:tc>
        <w:tc>
          <w:tcPr>
            <w:tcW w:w="1035" w:type="dxa"/>
            <w:shd w:val="clear" w:color="auto" w:fill="FFFFFF"/>
            <w:tcMar>
              <w:top w:w="0" w:type="dxa"/>
              <w:left w:w="101" w:type="dxa"/>
              <w:bottom w:w="0" w:type="dxa"/>
              <w:right w:w="101" w:type="dxa"/>
            </w:tcMar>
            <w:hideMark/>
          </w:tcPr>
          <w:p w14:paraId="60DBF9EB"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863</w:t>
            </w:r>
          </w:p>
        </w:tc>
        <w:tc>
          <w:tcPr>
            <w:tcW w:w="1035" w:type="dxa"/>
            <w:shd w:val="clear" w:color="auto" w:fill="FFFFFF"/>
            <w:tcMar>
              <w:top w:w="0" w:type="dxa"/>
              <w:left w:w="101" w:type="dxa"/>
              <w:bottom w:w="0" w:type="dxa"/>
              <w:right w:w="101" w:type="dxa"/>
            </w:tcMar>
            <w:hideMark/>
          </w:tcPr>
          <w:p w14:paraId="720F8C34"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863</w:t>
            </w:r>
          </w:p>
        </w:tc>
        <w:tc>
          <w:tcPr>
            <w:tcW w:w="600" w:type="dxa"/>
            <w:shd w:val="clear" w:color="auto" w:fill="FFFFFF"/>
            <w:tcMar>
              <w:top w:w="0" w:type="dxa"/>
              <w:left w:w="101" w:type="dxa"/>
              <w:bottom w:w="0" w:type="dxa"/>
              <w:right w:w="101" w:type="dxa"/>
            </w:tcMar>
            <w:hideMark/>
          </w:tcPr>
          <w:p w14:paraId="59828CF1"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 xml:space="preserve">- </w:t>
            </w:r>
          </w:p>
        </w:tc>
        <w:tc>
          <w:tcPr>
            <w:tcW w:w="1035" w:type="dxa"/>
            <w:shd w:val="clear" w:color="auto" w:fill="FFFFFF"/>
            <w:tcMar>
              <w:top w:w="0" w:type="dxa"/>
              <w:left w:w="101" w:type="dxa"/>
              <w:bottom w:w="0" w:type="dxa"/>
              <w:right w:w="101" w:type="dxa"/>
            </w:tcMar>
            <w:hideMark/>
          </w:tcPr>
          <w:p w14:paraId="0065E2A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863</w:t>
            </w:r>
          </w:p>
        </w:tc>
        <w:tc>
          <w:tcPr>
            <w:tcW w:w="1035" w:type="dxa"/>
            <w:shd w:val="clear" w:color="auto" w:fill="FFFFFF"/>
            <w:tcMar>
              <w:top w:w="0" w:type="dxa"/>
              <w:left w:w="101" w:type="dxa"/>
              <w:bottom w:w="0" w:type="dxa"/>
              <w:right w:w="101" w:type="dxa"/>
            </w:tcMar>
            <w:hideMark/>
          </w:tcPr>
          <w:p w14:paraId="5FB5DA9E"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863</w:t>
            </w:r>
          </w:p>
        </w:tc>
        <w:tc>
          <w:tcPr>
            <w:tcW w:w="1035" w:type="dxa"/>
            <w:shd w:val="clear" w:color="auto" w:fill="FFFFFF"/>
            <w:tcMar>
              <w:top w:w="0" w:type="dxa"/>
              <w:left w:w="101" w:type="dxa"/>
              <w:bottom w:w="0" w:type="dxa"/>
              <w:right w:w="101" w:type="dxa"/>
            </w:tcMar>
            <w:hideMark/>
          </w:tcPr>
          <w:p w14:paraId="5E90BC16" w14:textId="77777777" w:rsidR="00B55EED" w:rsidRPr="005E3B44" w:rsidRDefault="00B55EED">
            <w:pPr>
              <w:spacing w:before="0" w:after="0"/>
              <w:jc w:val="right"/>
              <w:rPr>
                <w:rFonts w:asciiTheme="minorHAnsi" w:eastAsia="Calibri" w:hAnsiTheme="minorHAnsi" w:cstheme="minorHAnsi"/>
                <w:color w:val="000000"/>
                <w:sz w:val="18"/>
                <w:szCs w:val="24"/>
                <w:lang w:eastAsia="en-AU"/>
              </w:rPr>
            </w:pPr>
            <w:r w:rsidRPr="005E3B44">
              <w:rPr>
                <w:rFonts w:asciiTheme="minorHAnsi" w:eastAsia="Calibri" w:hAnsiTheme="minorHAnsi" w:cstheme="minorHAnsi"/>
                <w:color w:val="000000"/>
                <w:sz w:val="18"/>
              </w:rPr>
              <w:t>863</w:t>
            </w:r>
          </w:p>
        </w:tc>
      </w:tr>
      <w:tr w:rsidR="00B55EED" w:rsidRPr="005E3B44" w14:paraId="23E7FE3A" w14:textId="77777777" w:rsidTr="00B55EED">
        <w:trPr>
          <w:trHeight w:val="240"/>
        </w:trPr>
        <w:tc>
          <w:tcPr>
            <w:tcW w:w="1035" w:type="dxa"/>
            <w:shd w:val="clear" w:color="auto" w:fill="FFFFFF"/>
            <w:tcMar>
              <w:top w:w="0" w:type="dxa"/>
              <w:left w:w="0" w:type="dxa"/>
              <w:bottom w:w="0" w:type="dxa"/>
              <w:right w:w="0" w:type="dxa"/>
            </w:tcMar>
          </w:tcPr>
          <w:p w14:paraId="3456A5C9"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2385" w:type="dxa"/>
            <w:shd w:val="clear" w:color="auto" w:fill="FFFFFF"/>
            <w:tcMar>
              <w:top w:w="0" w:type="dxa"/>
              <w:left w:w="0" w:type="dxa"/>
              <w:bottom w:w="0" w:type="dxa"/>
              <w:right w:w="0" w:type="dxa"/>
            </w:tcMar>
          </w:tcPr>
          <w:p w14:paraId="7B22D493"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02421354"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3BEC1DCF"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600" w:type="dxa"/>
            <w:shd w:val="clear" w:color="auto" w:fill="FFFFFF"/>
            <w:tcMar>
              <w:top w:w="0" w:type="dxa"/>
              <w:left w:w="0" w:type="dxa"/>
              <w:bottom w:w="0" w:type="dxa"/>
              <w:right w:w="0" w:type="dxa"/>
            </w:tcMar>
          </w:tcPr>
          <w:p w14:paraId="6C40730D"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7F8ABD4B"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088CE4F4"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c>
          <w:tcPr>
            <w:tcW w:w="1035" w:type="dxa"/>
            <w:shd w:val="clear" w:color="auto" w:fill="FFFFFF"/>
            <w:tcMar>
              <w:top w:w="0" w:type="dxa"/>
              <w:left w:w="0" w:type="dxa"/>
              <w:bottom w:w="0" w:type="dxa"/>
              <w:right w:w="0" w:type="dxa"/>
            </w:tcMar>
          </w:tcPr>
          <w:p w14:paraId="20381E1D" w14:textId="77777777" w:rsidR="00B55EED" w:rsidRPr="005E3B44" w:rsidRDefault="00B55EED">
            <w:pPr>
              <w:spacing w:before="0" w:after="0"/>
              <w:rPr>
                <w:rFonts w:asciiTheme="minorHAnsi" w:eastAsia="Calibri" w:hAnsiTheme="minorHAnsi" w:cstheme="minorHAnsi"/>
                <w:b/>
                <w:color w:val="000000"/>
                <w:sz w:val="18"/>
                <w:szCs w:val="24"/>
                <w:lang w:eastAsia="en-AU"/>
              </w:rPr>
            </w:pPr>
          </w:p>
        </w:tc>
      </w:tr>
      <w:tr w:rsidR="00B55EED" w:rsidRPr="005E3B44" w14:paraId="63A7285E" w14:textId="77777777" w:rsidTr="00B55EED">
        <w:trPr>
          <w:trHeight w:val="240"/>
        </w:trPr>
        <w:tc>
          <w:tcPr>
            <w:tcW w:w="1035" w:type="dxa"/>
            <w:shd w:val="clear" w:color="auto" w:fill="FFFFFF"/>
            <w:noWrap/>
            <w:tcMar>
              <w:top w:w="0" w:type="dxa"/>
              <w:left w:w="101" w:type="dxa"/>
              <w:bottom w:w="0" w:type="dxa"/>
              <w:right w:w="101" w:type="dxa"/>
            </w:tcMar>
            <w:hideMark/>
          </w:tcPr>
          <w:p w14:paraId="1610B9AF" w14:textId="730319E9"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4</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368</w:t>
            </w:r>
          </w:p>
        </w:tc>
        <w:tc>
          <w:tcPr>
            <w:tcW w:w="2385" w:type="dxa"/>
            <w:shd w:val="clear" w:color="auto" w:fill="FFFFFF"/>
            <w:tcMar>
              <w:top w:w="0" w:type="dxa"/>
              <w:left w:w="101" w:type="dxa"/>
              <w:bottom w:w="0" w:type="dxa"/>
              <w:right w:w="101" w:type="dxa"/>
            </w:tcMar>
            <w:hideMark/>
          </w:tcPr>
          <w:p w14:paraId="1AB03469" w14:textId="77777777" w:rsidR="00B55EED" w:rsidRPr="005E3B44" w:rsidRDefault="00B55EED">
            <w:pPr>
              <w:spacing w:before="0" w:after="0"/>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TOTAL FUNDS EMPLOYED</w:t>
            </w:r>
          </w:p>
        </w:tc>
        <w:tc>
          <w:tcPr>
            <w:tcW w:w="1035" w:type="dxa"/>
            <w:shd w:val="clear" w:color="auto" w:fill="FFFFFF"/>
            <w:noWrap/>
            <w:tcMar>
              <w:top w:w="0" w:type="dxa"/>
              <w:left w:w="101" w:type="dxa"/>
              <w:bottom w:w="0" w:type="dxa"/>
              <w:right w:w="101" w:type="dxa"/>
            </w:tcMar>
            <w:hideMark/>
          </w:tcPr>
          <w:p w14:paraId="74D75EB5" w14:textId="5905FF05"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274</w:t>
            </w:r>
          </w:p>
        </w:tc>
        <w:tc>
          <w:tcPr>
            <w:tcW w:w="1035" w:type="dxa"/>
            <w:shd w:val="clear" w:color="auto" w:fill="FFFFFF"/>
            <w:noWrap/>
            <w:tcMar>
              <w:top w:w="0" w:type="dxa"/>
              <w:left w:w="101" w:type="dxa"/>
              <w:bottom w:w="0" w:type="dxa"/>
              <w:right w:w="101" w:type="dxa"/>
            </w:tcMar>
            <w:hideMark/>
          </w:tcPr>
          <w:p w14:paraId="0559394C" w14:textId="56155AED"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309</w:t>
            </w:r>
          </w:p>
        </w:tc>
        <w:tc>
          <w:tcPr>
            <w:tcW w:w="600" w:type="dxa"/>
            <w:shd w:val="clear" w:color="auto" w:fill="FFFFFF"/>
            <w:tcMar>
              <w:top w:w="0" w:type="dxa"/>
              <w:left w:w="101" w:type="dxa"/>
              <w:bottom w:w="0" w:type="dxa"/>
              <w:right w:w="101" w:type="dxa"/>
            </w:tcMar>
            <w:hideMark/>
          </w:tcPr>
          <w:p w14:paraId="4AF7CFAE" w14:textId="77777777"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1</w:t>
            </w:r>
          </w:p>
        </w:tc>
        <w:tc>
          <w:tcPr>
            <w:tcW w:w="1035" w:type="dxa"/>
            <w:shd w:val="clear" w:color="auto" w:fill="FFFFFF"/>
            <w:noWrap/>
            <w:tcMar>
              <w:top w:w="0" w:type="dxa"/>
              <w:left w:w="101" w:type="dxa"/>
              <w:bottom w:w="0" w:type="dxa"/>
              <w:right w:w="101" w:type="dxa"/>
            </w:tcMar>
            <w:hideMark/>
          </w:tcPr>
          <w:p w14:paraId="1FE73375" w14:textId="0C4E1675"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376</w:t>
            </w:r>
          </w:p>
        </w:tc>
        <w:tc>
          <w:tcPr>
            <w:tcW w:w="1035" w:type="dxa"/>
            <w:shd w:val="clear" w:color="auto" w:fill="FFFFFF"/>
            <w:noWrap/>
            <w:tcMar>
              <w:top w:w="0" w:type="dxa"/>
              <w:left w:w="101" w:type="dxa"/>
              <w:bottom w:w="0" w:type="dxa"/>
              <w:right w:w="101" w:type="dxa"/>
            </w:tcMar>
            <w:hideMark/>
          </w:tcPr>
          <w:p w14:paraId="03ADE2E7" w14:textId="2AC0509C"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443</w:t>
            </w:r>
          </w:p>
        </w:tc>
        <w:tc>
          <w:tcPr>
            <w:tcW w:w="1035" w:type="dxa"/>
            <w:shd w:val="clear" w:color="auto" w:fill="FFFFFF"/>
            <w:noWrap/>
            <w:tcMar>
              <w:top w:w="0" w:type="dxa"/>
              <w:left w:w="101" w:type="dxa"/>
              <w:bottom w:w="0" w:type="dxa"/>
              <w:right w:w="101" w:type="dxa"/>
            </w:tcMar>
            <w:hideMark/>
          </w:tcPr>
          <w:p w14:paraId="40E671C3" w14:textId="2EE13CCD" w:rsidR="00B55EED" w:rsidRPr="005E3B44" w:rsidRDefault="00B55EED">
            <w:pPr>
              <w:spacing w:before="0" w:after="0"/>
              <w:jc w:val="right"/>
              <w:rPr>
                <w:rFonts w:asciiTheme="minorHAnsi" w:eastAsia="Calibri" w:hAnsiTheme="minorHAnsi" w:cstheme="minorHAnsi"/>
                <w:b/>
                <w:color w:val="000000"/>
                <w:sz w:val="18"/>
                <w:szCs w:val="24"/>
                <w:lang w:eastAsia="en-AU"/>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479</w:t>
            </w:r>
          </w:p>
        </w:tc>
      </w:tr>
      <w:tr w:rsidR="00B55EED" w:rsidRPr="005E3B44" w14:paraId="2E1AC3C9" w14:textId="77777777" w:rsidTr="00B55EED">
        <w:trPr>
          <w:trHeight w:val="240"/>
        </w:trPr>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1EC498E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2385" w:type="dxa"/>
            <w:tcBorders>
              <w:top w:val="nil"/>
              <w:left w:val="nil"/>
              <w:bottom w:val="single" w:sz="4" w:space="0" w:color="000000"/>
              <w:right w:val="nil"/>
            </w:tcBorders>
            <w:shd w:val="clear" w:color="auto" w:fill="FFFFFF"/>
            <w:tcMar>
              <w:top w:w="0" w:type="dxa"/>
              <w:left w:w="0" w:type="dxa"/>
              <w:bottom w:w="0" w:type="dxa"/>
              <w:right w:w="0" w:type="dxa"/>
            </w:tcMar>
          </w:tcPr>
          <w:p w14:paraId="7729DDC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1C2F2186"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5725C48E"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600" w:type="dxa"/>
            <w:tcBorders>
              <w:top w:val="nil"/>
              <w:left w:val="nil"/>
              <w:bottom w:val="single" w:sz="4" w:space="0" w:color="000000"/>
              <w:right w:val="nil"/>
            </w:tcBorders>
            <w:shd w:val="clear" w:color="auto" w:fill="FFFFFF"/>
            <w:tcMar>
              <w:top w:w="0" w:type="dxa"/>
              <w:left w:w="0" w:type="dxa"/>
              <w:bottom w:w="0" w:type="dxa"/>
              <w:right w:w="0" w:type="dxa"/>
            </w:tcMar>
          </w:tcPr>
          <w:p w14:paraId="5EF2623C"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13AF9228"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5186D3C2" w14:textId="77777777" w:rsidR="00B55EED" w:rsidRPr="005E3B44" w:rsidRDefault="00B55EED">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3C76A167" w14:textId="77777777" w:rsidR="00B55EED" w:rsidRPr="005E3B44" w:rsidRDefault="00B55EED">
            <w:pPr>
              <w:spacing w:before="0" w:after="0"/>
              <w:rPr>
                <w:rFonts w:asciiTheme="minorHAnsi" w:eastAsia="Calibri" w:hAnsiTheme="minorHAnsi" w:cstheme="minorHAnsi"/>
                <w:color w:val="000000"/>
                <w:sz w:val="18"/>
                <w:szCs w:val="24"/>
                <w:lang w:eastAsia="en-AU"/>
              </w:rPr>
            </w:pPr>
          </w:p>
        </w:tc>
      </w:tr>
    </w:tbl>
    <w:p w14:paraId="53D5C7EA" w14:textId="77777777" w:rsidR="00B55EED" w:rsidRPr="005E3B44" w:rsidRDefault="00B55EED" w:rsidP="00B55EED">
      <w:pPr>
        <w:pStyle w:val="Normal3"/>
        <w:rPr>
          <w:rFonts w:asciiTheme="minorHAnsi" w:hAnsiTheme="minorHAnsi" w:cstheme="minorHAnsi"/>
        </w:rPr>
      </w:pPr>
    </w:p>
    <w:p w14:paraId="4B634A4D" w14:textId="77777777" w:rsidR="00B55EED" w:rsidRPr="005E3B44" w:rsidRDefault="00B55EED" w:rsidP="00B55EED">
      <w:pPr>
        <w:pStyle w:val="Caption"/>
        <w:pageBreakBefore/>
        <w:outlineLvl w:val="0"/>
        <w:rPr>
          <w:rFonts w:asciiTheme="minorHAnsi" w:hAnsiTheme="minorHAnsi" w:cstheme="minorHAnsi"/>
          <w:color w:val="FF0000"/>
          <w:bdr w:val="none" w:sz="0" w:space="0" w:color="auto" w:frame="1"/>
        </w:rPr>
      </w:pPr>
    </w:p>
    <w:p w14:paraId="3B265433" w14:textId="77777777" w:rsidR="00B55EED" w:rsidRPr="005E3B44" w:rsidRDefault="00B55EED" w:rsidP="00B55EED">
      <w:pPr>
        <w:pStyle w:val="Normal7"/>
        <w:rPr>
          <w:rFonts w:asciiTheme="minorHAnsi" w:hAnsiTheme="minorHAnsi" w:cstheme="minorHAnsi"/>
          <w:b/>
        </w:rPr>
      </w:pPr>
      <w:r w:rsidRPr="005E3B44">
        <w:rPr>
          <w:rFonts w:asciiTheme="minorHAnsi" w:hAnsiTheme="minorHAnsi" w:cstheme="minorHAnsi"/>
          <w:b/>
        </w:rPr>
        <w:t>Significant variations in the Balance Sheet are as follows:</w:t>
      </w:r>
    </w:p>
    <w:p w14:paraId="4878F567" w14:textId="77777777" w:rsidR="00B55EED" w:rsidRPr="005E3B44" w:rsidRDefault="00B55EED" w:rsidP="00B55EED">
      <w:pPr>
        <w:pStyle w:val="Normal7"/>
        <w:numPr>
          <w:ilvl w:val="0"/>
          <w:numId w:val="59"/>
        </w:numPr>
        <w:spacing w:before="200" w:after="120"/>
        <w:jc w:val="both"/>
        <w:rPr>
          <w:rFonts w:asciiTheme="minorHAnsi" w:hAnsiTheme="minorHAnsi" w:cstheme="minorHAnsi"/>
        </w:rPr>
      </w:pPr>
      <w:r w:rsidRPr="005E3B44">
        <w:rPr>
          <w:rFonts w:asciiTheme="minorHAnsi" w:hAnsiTheme="minorHAnsi" w:cstheme="minorHAnsi"/>
        </w:rPr>
        <w:t>cash and cash equivalents:</w:t>
      </w:r>
    </w:p>
    <w:p w14:paraId="636B5831" w14:textId="77777777" w:rsidR="00B55EED" w:rsidRPr="005E3B44" w:rsidRDefault="00B55EED" w:rsidP="00B55EED">
      <w:pPr>
        <w:pStyle w:val="Normal7"/>
        <w:numPr>
          <w:ilvl w:val="0"/>
          <w:numId w:val="72"/>
        </w:numPr>
        <w:spacing w:before="120" w:after="120"/>
        <w:rPr>
          <w:rFonts w:asciiTheme="minorHAnsi" w:hAnsiTheme="minorHAnsi" w:cstheme="minorHAnsi"/>
        </w:rPr>
      </w:pPr>
      <w:r w:rsidRPr="005E3B44">
        <w:rPr>
          <w:rFonts w:asciiTheme="minorHAnsi" w:hAnsiTheme="minorHAnsi" w:cstheme="minorHAnsi"/>
        </w:rPr>
        <w:t xml:space="preserve">the increase of $2.728 million in the 2020-21 Interim Outcome from the 2020-21 Budget reflects revenue received in advance from specific projects that are yet to commence, or yet to be completed ($0.981 million), delay in the office </w:t>
      </w:r>
      <w:proofErr w:type="spellStart"/>
      <w:r w:rsidRPr="005E3B44">
        <w:rPr>
          <w:rFonts w:asciiTheme="minorHAnsi" w:hAnsiTheme="minorHAnsi" w:cstheme="minorHAnsi"/>
        </w:rPr>
        <w:t>fitout</w:t>
      </w:r>
      <w:proofErr w:type="spellEnd"/>
      <w:r w:rsidRPr="005E3B44">
        <w:rPr>
          <w:rFonts w:asciiTheme="minorHAnsi" w:hAnsiTheme="minorHAnsi" w:cstheme="minorHAnsi"/>
        </w:rPr>
        <w:t xml:space="preserve"> for the Commission’s accommodation that was budgeted for 2020-21 ($0.500 million), lower staff expenses than budgeted ($0.438 million), lower Referrals to Private Legal Practitioners and Legal Disbursements ($0.437 million), additional funds from the ACT Law Society ($0.163 million) and additional funds from the Australian Taxation Office for COVID-19 Pandemic relief ($0.100 million). </w:t>
      </w:r>
    </w:p>
    <w:p w14:paraId="28233F98" w14:textId="77777777" w:rsidR="00B55EED" w:rsidRPr="005E3B44" w:rsidRDefault="00B55EED" w:rsidP="00B55EED">
      <w:pPr>
        <w:pStyle w:val="Normal7"/>
        <w:numPr>
          <w:ilvl w:val="0"/>
          <w:numId w:val="59"/>
        </w:numPr>
        <w:spacing w:before="200" w:after="120"/>
        <w:rPr>
          <w:rFonts w:asciiTheme="minorHAnsi" w:hAnsiTheme="minorHAnsi" w:cstheme="minorHAnsi"/>
        </w:rPr>
      </w:pPr>
      <w:r w:rsidRPr="005E3B44">
        <w:rPr>
          <w:rFonts w:asciiTheme="minorHAnsi" w:hAnsiTheme="minorHAnsi" w:cstheme="minorHAnsi"/>
        </w:rPr>
        <w:t>property, plant and equipment (</w:t>
      </w:r>
      <w:proofErr w:type="spellStart"/>
      <w:proofErr w:type="gramStart"/>
      <w:r w:rsidRPr="005E3B44">
        <w:rPr>
          <w:rFonts w:asciiTheme="minorHAnsi" w:hAnsiTheme="minorHAnsi" w:cstheme="minorHAnsi"/>
        </w:rPr>
        <w:t>non current</w:t>
      </w:r>
      <w:proofErr w:type="spellEnd"/>
      <w:proofErr w:type="gramEnd"/>
      <w:r w:rsidRPr="005E3B44">
        <w:rPr>
          <w:rFonts w:asciiTheme="minorHAnsi" w:hAnsiTheme="minorHAnsi" w:cstheme="minorHAnsi"/>
        </w:rPr>
        <w:t xml:space="preserve">):   </w:t>
      </w:r>
    </w:p>
    <w:p w14:paraId="6B4B845B" w14:textId="77777777" w:rsidR="00B55EED" w:rsidRPr="005E3B44" w:rsidRDefault="00B55EED" w:rsidP="00B55EED">
      <w:pPr>
        <w:pStyle w:val="Normal7"/>
        <w:numPr>
          <w:ilvl w:val="0"/>
          <w:numId w:val="72"/>
        </w:numPr>
        <w:spacing w:before="120" w:after="120"/>
        <w:rPr>
          <w:rFonts w:asciiTheme="minorHAnsi" w:hAnsiTheme="minorHAnsi" w:cstheme="minorHAnsi"/>
        </w:rPr>
      </w:pPr>
      <w:r w:rsidRPr="005E3B44">
        <w:rPr>
          <w:rFonts w:asciiTheme="minorHAnsi" w:hAnsiTheme="minorHAnsi" w:cstheme="minorHAnsi"/>
        </w:rPr>
        <w:t xml:space="preserve">the decrease </w:t>
      </w:r>
      <w:proofErr w:type="gramStart"/>
      <w:r w:rsidRPr="005E3B44">
        <w:rPr>
          <w:rFonts w:asciiTheme="minorHAnsi" w:hAnsiTheme="minorHAnsi" w:cstheme="minorHAnsi"/>
        </w:rPr>
        <w:t>of  $</w:t>
      </w:r>
      <w:proofErr w:type="gramEnd"/>
      <w:r w:rsidRPr="005E3B44">
        <w:rPr>
          <w:rFonts w:asciiTheme="minorHAnsi" w:hAnsiTheme="minorHAnsi" w:cstheme="minorHAnsi"/>
        </w:rPr>
        <w:t xml:space="preserve">1.709 million in the 2021-22 Budget from the 2020-21 Interim Outcome is mainly due to annual depreciation associated with right-of-use asset – building ($1.248 million), leasehold improvements ($0.224 million) and office and computer equipment ($0.201 million). </w:t>
      </w:r>
    </w:p>
    <w:p w14:paraId="4B21849A" w14:textId="77777777" w:rsidR="00B55EED" w:rsidRPr="005E3B44" w:rsidRDefault="00B55EED" w:rsidP="00B55EED">
      <w:pPr>
        <w:pStyle w:val="Normal7"/>
        <w:numPr>
          <w:ilvl w:val="0"/>
          <w:numId w:val="59"/>
        </w:numPr>
        <w:spacing w:before="200" w:after="120"/>
        <w:rPr>
          <w:rFonts w:asciiTheme="minorHAnsi" w:hAnsiTheme="minorHAnsi" w:cstheme="minorHAnsi"/>
        </w:rPr>
      </w:pPr>
      <w:r w:rsidRPr="005E3B44">
        <w:rPr>
          <w:rFonts w:asciiTheme="minorHAnsi" w:hAnsiTheme="minorHAnsi" w:cstheme="minorHAnsi"/>
        </w:rPr>
        <w:t>lease liabilities (current):</w:t>
      </w:r>
    </w:p>
    <w:p w14:paraId="5FE8F75D" w14:textId="77777777" w:rsidR="00B55EED" w:rsidRPr="005E3B44" w:rsidRDefault="00B55EED" w:rsidP="00B55EED">
      <w:pPr>
        <w:pStyle w:val="Normal7"/>
        <w:numPr>
          <w:ilvl w:val="0"/>
          <w:numId w:val="72"/>
        </w:numPr>
        <w:spacing w:before="200" w:after="120"/>
        <w:rPr>
          <w:rFonts w:asciiTheme="minorHAnsi" w:hAnsiTheme="minorHAnsi" w:cstheme="minorHAnsi"/>
        </w:rPr>
      </w:pPr>
      <w:r w:rsidRPr="005E3B44">
        <w:rPr>
          <w:rFonts w:asciiTheme="minorHAnsi" w:hAnsiTheme="minorHAnsi" w:cstheme="minorHAnsi"/>
        </w:rPr>
        <w:t xml:space="preserve">The decrease of $0.929 million in the 2021-22 Budget from the 2020-21 Interim Outcome reflects the impending expiration in September 2022 of the office premises lease contract. </w:t>
      </w:r>
    </w:p>
    <w:p w14:paraId="07668873" w14:textId="77777777" w:rsidR="00B55EED" w:rsidRPr="005E3B44" w:rsidRDefault="00B55EED" w:rsidP="00B55EED">
      <w:pPr>
        <w:pStyle w:val="Normal7"/>
        <w:numPr>
          <w:ilvl w:val="0"/>
          <w:numId w:val="59"/>
        </w:numPr>
        <w:spacing w:before="200" w:after="120"/>
        <w:rPr>
          <w:rFonts w:asciiTheme="minorHAnsi" w:hAnsiTheme="minorHAnsi" w:cstheme="minorHAnsi"/>
        </w:rPr>
      </w:pPr>
      <w:r w:rsidRPr="005E3B44">
        <w:rPr>
          <w:rFonts w:asciiTheme="minorHAnsi" w:hAnsiTheme="minorHAnsi" w:cstheme="minorHAnsi"/>
        </w:rPr>
        <w:t xml:space="preserve">other liabilities (current):  </w:t>
      </w:r>
    </w:p>
    <w:p w14:paraId="038D5935" w14:textId="77777777" w:rsidR="00B55EED" w:rsidRPr="005E3B44" w:rsidRDefault="00B55EED" w:rsidP="00B55EED">
      <w:pPr>
        <w:pStyle w:val="Normal7"/>
        <w:numPr>
          <w:ilvl w:val="0"/>
          <w:numId w:val="72"/>
        </w:numPr>
        <w:spacing w:before="120" w:after="120"/>
        <w:rPr>
          <w:rFonts w:asciiTheme="minorHAnsi" w:hAnsiTheme="minorHAnsi" w:cstheme="minorHAnsi"/>
        </w:rPr>
      </w:pPr>
      <w:r w:rsidRPr="005E3B44">
        <w:rPr>
          <w:rFonts w:asciiTheme="minorHAnsi" w:hAnsiTheme="minorHAnsi" w:cstheme="minorHAnsi"/>
        </w:rPr>
        <w:t xml:space="preserve">the increase of $0.925 million in the 2020-21 Interim Outcome from the 2020-21 Budget is due to contract liabilities from the revenue received in advance for specific projects that didn’t </w:t>
      </w:r>
      <w:proofErr w:type="gramStart"/>
      <w:r w:rsidRPr="005E3B44">
        <w:rPr>
          <w:rFonts w:asciiTheme="minorHAnsi" w:hAnsiTheme="minorHAnsi" w:cstheme="minorHAnsi"/>
        </w:rPr>
        <w:t>commence, or</w:t>
      </w:r>
      <w:proofErr w:type="gramEnd"/>
      <w:r w:rsidRPr="005E3B44">
        <w:rPr>
          <w:rFonts w:asciiTheme="minorHAnsi" w:hAnsiTheme="minorHAnsi" w:cstheme="minorHAnsi"/>
        </w:rPr>
        <w:t xml:space="preserve"> weren’t completed in 2020-21.</w:t>
      </w:r>
    </w:p>
    <w:p w14:paraId="60A3E6EC" w14:textId="77777777" w:rsidR="00B55EED" w:rsidRPr="005E3B44" w:rsidRDefault="00B55EED" w:rsidP="00B55EED">
      <w:pPr>
        <w:pStyle w:val="Normal7"/>
        <w:numPr>
          <w:ilvl w:val="0"/>
          <w:numId w:val="72"/>
        </w:numPr>
        <w:spacing w:before="200" w:after="120"/>
        <w:rPr>
          <w:rFonts w:asciiTheme="minorHAnsi" w:hAnsiTheme="minorHAnsi" w:cstheme="minorHAnsi"/>
        </w:rPr>
      </w:pPr>
      <w:r w:rsidRPr="005E3B44">
        <w:rPr>
          <w:rFonts w:asciiTheme="minorHAnsi" w:hAnsiTheme="minorHAnsi" w:cstheme="minorHAnsi"/>
        </w:rPr>
        <w:t>the decrease of $0.948 million in the 2021-22 Budget from the 2020-21 Interim Outcome is due to the reduction of revenue received in advance as the contracts are expected to be fulfilled in 2021-22.</w:t>
      </w:r>
    </w:p>
    <w:p w14:paraId="0ADECD12" w14:textId="77777777" w:rsidR="00B55EED" w:rsidRPr="005E3B44" w:rsidRDefault="00B55EED" w:rsidP="00B55EED">
      <w:pPr>
        <w:pStyle w:val="Normal7"/>
        <w:numPr>
          <w:ilvl w:val="0"/>
          <w:numId w:val="59"/>
        </w:numPr>
        <w:spacing w:before="200" w:after="120"/>
        <w:rPr>
          <w:rFonts w:asciiTheme="minorHAnsi" w:hAnsiTheme="minorHAnsi" w:cstheme="minorHAnsi"/>
        </w:rPr>
      </w:pPr>
      <w:r w:rsidRPr="005E3B44">
        <w:rPr>
          <w:rFonts w:asciiTheme="minorHAnsi" w:hAnsiTheme="minorHAnsi" w:cstheme="minorHAnsi"/>
        </w:rPr>
        <w:t>lease liabilities (non-current):</w:t>
      </w:r>
    </w:p>
    <w:p w14:paraId="206DDD25" w14:textId="77777777" w:rsidR="00B55EED" w:rsidRPr="005E3B44" w:rsidRDefault="00B55EED" w:rsidP="00B55EED">
      <w:pPr>
        <w:pStyle w:val="Normal7"/>
        <w:numPr>
          <w:ilvl w:val="0"/>
          <w:numId w:val="72"/>
        </w:numPr>
        <w:spacing w:before="120" w:after="120"/>
        <w:rPr>
          <w:rFonts w:asciiTheme="minorHAnsi" w:hAnsiTheme="minorHAnsi" w:cstheme="minorHAnsi"/>
        </w:rPr>
      </w:pPr>
      <w:r w:rsidRPr="005E3B44">
        <w:rPr>
          <w:rFonts w:asciiTheme="minorHAnsi" w:hAnsiTheme="minorHAnsi" w:cstheme="minorHAnsi"/>
        </w:rPr>
        <w:t>the decrease of $0.302 million in the 2021-22 Budget from the 2020-21 Interim Outcome reflects the impending expiration in September 2022 of the office premises lease contract.</w:t>
      </w:r>
    </w:p>
    <w:p w14:paraId="31C9915C" w14:textId="77777777" w:rsidR="00B55EED" w:rsidRPr="005E3B44" w:rsidRDefault="00B55EED" w:rsidP="00B55EED">
      <w:pPr>
        <w:pStyle w:val="Normal7"/>
        <w:numPr>
          <w:ilvl w:val="0"/>
          <w:numId w:val="59"/>
        </w:numPr>
        <w:spacing w:before="200" w:after="120"/>
        <w:rPr>
          <w:rFonts w:asciiTheme="minorHAnsi" w:hAnsiTheme="minorHAnsi" w:cstheme="minorHAnsi"/>
        </w:rPr>
      </w:pPr>
      <w:r w:rsidRPr="005E3B44">
        <w:rPr>
          <w:rFonts w:asciiTheme="minorHAnsi" w:hAnsiTheme="minorHAnsi" w:cstheme="minorHAnsi"/>
        </w:rPr>
        <w:t>employee benefits (non-current):</w:t>
      </w:r>
    </w:p>
    <w:p w14:paraId="1CDA43C0" w14:textId="77777777" w:rsidR="00B55EED" w:rsidRPr="005E3B44" w:rsidRDefault="00B55EED" w:rsidP="00B55EED">
      <w:pPr>
        <w:pStyle w:val="Normal7"/>
        <w:numPr>
          <w:ilvl w:val="0"/>
          <w:numId w:val="72"/>
        </w:numPr>
        <w:spacing w:before="120" w:after="120"/>
        <w:rPr>
          <w:rFonts w:asciiTheme="minorHAnsi" w:hAnsiTheme="minorHAnsi" w:cstheme="minorHAnsi"/>
        </w:rPr>
      </w:pPr>
      <w:r w:rsidRPr="005E3B44">
        <w:rPr>
          <w:rFonts w:asciiTheme="minorHAnsi" w:hAnsiTheme="minorHAnsi" w:cstheme="minorHAnsi"/>
        </w:rPr>
        <w:t xml:space="preserve">the decrease of $0.197 million in the 2020-21 Interim Outcome from the 2020-21 Budget is due to a change in calculation of long service leave liability split between current and non-current, as advised by the ACT Government accounting policy.  </w:t>
      </w:r>
    </w:p>
    <w:p w14:paraId="7C65E19B" w14:textId="77777777" w:rsidR="00B55EED" w:rsidRPr="005E3B44" w:rsidRDefault="00B55EED" w:rsidP="00B55EED">
      <w:pPr>
        <w:pStyle w:val="Normal7"/>
        <w:spacing w:before="120" w:after="120"/>
        <w:rPr>
          <w:rFonts w:asciiTheme="minorHAnsi" w:hAnsiTheme="minorHAnsi" w:cstheme="minorHAnsi"/>
        </w:rPr>
      </w:pPr>
    </w:p>
    <w:p w14:paraId="6B8CF4BC" w14:textId="77777777" w:rsidR="00B55EED" w:rsidRPr="005E3B44" w:rsidRDefault="00B55EED" w:rsidP="00B55EED">
      <w:pPr>
        <w:pStyle w:val="Caption"/>
        <w:pageBreakBefore/>
        <w:outlineLvl w:val="0"/>
        <w:rPr>
          <w:rFonts w:asciiTheme="minorHAnsi" w:hAnsiTheme="minorHAnsi" w:cstheme="minorHAnsi"/>
          <w:color w:val="auto"/>
          <w:bdr w:val="none" w:sz="0" w:space="0" w:color="auto" w:frame="1"/>
        </w:rPr>
      </w:pPr>
      <w:r w:rsidRPr="005E3B44">
        <w:rPr>
          <w:rFonts w:asciiTheme="minorHAnsi" w:hAnsiTheme="minorHAnsi" w:cstheme="minorHAnsi"/>
          <w:color w:val="auto"/>
          <w:bdr w:val="none" w:sz="0" w:space="0" w:color="auto" w:frame="1"/>
        </w:rPr>
        <w:lastRenderedPageBreak/>
        <w:t xml:space="preserve">Table 8: Legal Aid Commission (ACT): Statement of Changes in Equity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B55EED" w:rsidRPr="005E3B44" w14:paraId="75BD440A" w14:textId="77777777" w:rsidTr="00B55EED">
        <w:trPr>
          <w:trHeight w:val="1245"/>
        </w:trPr>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1995D333"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23D40B98"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18CD855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30/6/21 </w:t>
            </w:r>
          </w:p>
          <w:p w14:paraId="1F7FFF4B"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2385" w:type="dxa"/>
            <w:tcBorders>
              <w:top w:val="single" w:sz="4" w:space="0" w:color="000000"/>
              <w:left w:val="nil"/>
              <w:bottom w:val="single" w:sz="4" w:space="0" w:color="000000"/>
              <w:right w:val="nil"/>
            </w:tcBorders>
            <w:shd w:val="clear" w:color="auto" w:fill="FFFFFF"/>
            <w:tcMar>
              <w:top w:w="0" w:type="dxa"/>
              <w:left w:w="0" w:type="dxa"/>
              <w:bottom w:w="0" w:type="dxa"/>
              <w:right w:w="0" w:type="dxa"/>
            </w:tcMar>
          </w:tcPr>
          <w:p w14:paraId="0C71A0B0"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7E2E3B81"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at 30/6/21</w:t>
            </w:r>
          </w:p>
          <w:p w14:paraId="4EADAD36"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77DAD97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Budget</w:t>
            </w:r>
          </w:p>
          <w:p w14:paraId="21D4A25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75639E04"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30/6/22 </w:t>
            </w:r>
          </w:p>
          <w:p w14:paraId="09B2002F"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600"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0CBDC0F3"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Var</w:t>
            </w:r>
          </w:p>
          <w:p w14:paraId="669FF4C1"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217D7F16"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668122D7"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0322869F"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30/6/23 </w:t>
            </w:r>
          </w:p>
          <w:p w14:paraId="5E93468B"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530638F6"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30C40684"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6B3AC4ED"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30/6/24 </w:t>
            </w:r>
          </w:p>
          <w:p w14:paraId="48A1A32C"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7BFD983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Estimate</w:t>
            </w:r>
          </w:p>
          <w:p w14:paraId="4AC45509"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at</w:t>
            </w:r>
          </w:p>
          <w:p w14:paraId="68FF0DD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30/6/25 </w:t>
            </w:r>
          </w:p>
          <w:p w14:paraId="1BC1D2B6"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$'000</w:t>
            </w:r>
          </w:p>
        </w:tc>
      </w:tr>
      <w:tr w:rsidR="00B55EED" w:rsidRPr="005E3B44" w14:paraId="17D463D0" w14:textId="77777777" w:rsidTr="00B55EED">
        <w:trPr>
          <w:trHeight w:val="102"/>
        </w:trPr>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78E82F1D"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tcBorders>
              <w:top w:val="single" w:sz="4" w:space="0" w:color="000000"/>
              <w:left w:val="nil"/>
              <w:bottom w:val="nil"/>
              <w:right w:val="nil"/>
            </w:tcBorders>
            <w:shd w:val="clear" w:color="auto" w:fill="FFFFFF"/>
            <w:tcMar>
              <w:top w:w="0" w:type="dxa"/>
              <w:left w:w="0" w:type="dxa"/>
              <w:bottom w:w="0" w:type="dxa"/>
              <w:right w:w="0" w:type="dxa"/>
            </w:tcMar>
          </w:tcPr>
          <w:p w14:paraId="7E64528F"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69C02EDC"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0CD291F4"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tcBorders>
              <w:top w:val="single" w:sz="4" w:space="0" w:color="000000"/>
              <w:left w:val="nil"/>
              <w:bottom w:val="nil"/>
              <w:right w:val="nil"/>
            </w:tcBorders>
            <w:shd w:val="clear" w:color="auto" w:fill="FFFFFF"/>
            <w:tcMar>
              <w:top w:w="0" w:type="dxa"/>
              <w:left w:w="0" w:type="dxa"/>
              <w:bottom w:w="0" w:type="dxa"/>
              <w:right w:w="0" w:type="dxa"/>
            </w:tcMar>
          </w:tcPr>
          <w:p w14:paraId="053603ED"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04415D1D"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5A9DD5FC"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74270414"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27D9D282" w14:textId="77777777" w:rsidTr="00B55EED">
        <w:trPr>
          <w:trHeight w:val="240"/>
        </w:trPr>
        <w:tc>
          <w:tcPr>
            <w:tcW w:w="1035" w:type="dxa"/>
            <w:shd w:val="clear" w:color="auto" w:fill="FFFFFF"/>
            <w:noWrap/>
            <w:tcMar>
              <w:top w:w="0" w:type="dxa"/>
              <w:left w:w="0" w:type="dxa"/>
              <w:bottom w:w="0" w:type="dxa"/>
              <w:right w:w="0" w:type="dxa"/>
            </w:tcMar>
          </w:tcPr>
          <w:p w14:paraId="4A05CF72"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tcMar>
              <w:top w:w="0" w:type="dxa"/>
              <w:left w:w="101" w:type="dxa"/>
              <w:bottom w:w="0" w:type="dxa"/>
              <w:right w:w="101" w:type="dxa"/>
            </w:tcMar>
            <w:hideMark/>
          </w:tcPr>
          <w:p w14:paraId="5BF41AAF"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Opening Equity</w:t>
            </w:r>
          </w:p>
        </w:tc>
        <w:tc>
          <w:tcPr>
            <w:tcW w:w="1035" w:type="dxa"/>
            <w:shd w:val="clear" w:color="auto" w:fill="FFFFFF"/>
            <w:noWrap/>
            <w:tcMar>
              <w:top w:w="0" w:type="dxa"/>
              <w:left w:w="0" w:type="dxa"/>
              <w:bottom w:w="0" w:type="dxa"/>
              <w:right w:w="0" w:type="dxa"/>
            </w:tcMar>
          </w:tcPr>
          <w:p w14:paraId="3EB09659"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784A7F4"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572C0A64"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4F97747F"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005D01A2"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0B1460FF"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3C180414" w14:textId="77777777" w:rsidTr="00B55EED">
        <w:trPr>
          <w:trHeight w:hRule="exact" w:val="240"/>
        </w:trPr>
        <w:tc>
          <w:tcPr>
            <w:tcW w:w="1035" w:type="dxa"/>
            <w:shd w:val="clear" w:color="auto" w:fill="FFFFFF"/>
            <w:noWrap/>
            <w:tcMar>
              <w:top w:w="0" w:type="dxa"/>
              <w:left w:w="101" w:type="dxa"/>
              <w:bottom w:w="0" w:type="dxa"/>
              <w:right w:w="101" w:type="dxa"/>
            </w:tcMar>
            <w:hideMark/>
          </w:tcPr>
          <w:p w14:paraId="6A6D8C19" w14:textId="11E64CEE"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462</w:t>
            </w:r>
          </w:p>
        </w:tc>
        <w:tc>
          <w:tcPr>
            <w:tcW w:w="2385" w:type="dxa"/>
            <w:noWrap/>
            <w:tcMar>
              <w:top w:w="0" w:type="dxa"/>
              <w:left w:w="101" w:type="dxa"/>
              <w:bottom w:w="0" w:type="dxa"/>
              <w:right w:w="101" w:type="dxa"/>
            </w:tcMar>
            <w:hideMark/>
          </w:tcPr>
          <w:p w14:paraId="07A48599" w14:textId="77777777" w:rsidR="00B55EED" w:rsidRPr="005E3B44" w:rsidRDefault="00B55EED">
            <w:pPr>
              <w:pStyle w:val="Normal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Opening Accumulated Funds</w:t>
            </w:r>
          </w:p>
        </w:tc>
        <w:tc>
          <w:tcPr>
            <w:tcW w:w="1035" w:type="dxa"/>
            <w:shd w:val="clear" w:color="auto" w:fill="FFFFFF"/>
            <w:noWrap/>
            <w:tcMar>
              <w:top w:w="0" w:type="dxa"/>
              <w:left w:w="101" w:type="dxa"/>
              <w:bottom w:w="0" w:type="dxa"/>
              <w:right w:w="101" w:type="dxa"/>
            </w:tcMar>
            <w:hideMark/>
          </w:tcPr>
          <w:p w14:paraId="4DA5E698" w14:textId="4B2212BD"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599</w:t>
            </w:r>
          </w:p>
        </w:tc>
        <w:tc>
          <w:tcPr>
            <w:tcW w:w="1035" w:type="dxa"/>
            <w:shd w:val="clear" w:color="auto" w:fill="FFFFFF"/>
            <w:noWrap/>
            <w:tcMar>
              <w:top w:w="0" w:type="dxa"/>
              <w:left w:w="101" w:type="dxa"/>
              <w:bottom w:w="0" w:type="dxa"/>
              <w:right w:w="101" w:type="dxa"/>
            </w:tcMar>
            <w:hideMark/>
          </w:tcPr>
          <w:p w14:paraId="708C2EE8" w14:textId="7535B30D"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413</w:t>
            </w:r>
          </w:p>
        </w:tc>
        <w:tc>
          <w:tcPr>
            <w:tcW w:w="600" w:type="dxa"/>
            <w:shd w:val="clear" w:color="auto" w:fill="FFFFFF"/>
            <w:noWrap/>
            <w:tcMar>
              <w:top w:w="0" w:type="dxa"/>
              <w:left w:w="101" w:type="dxa"/>
              <w:bottom w:w="0" w:type="dxa"/>
              <w:right w:w="101" w:type="dxa"/>
            </w:tcMar>
            <w:hideMark/>
          </w:tcPr>
          <w:p w14:paraId="4CF06461"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50 </w:t>
            </w:r>
          </w:p>
        </w:tc>
        <w:tc>
          <w:tcPr>
            <w:tcW w:w="1035" w:type="dxa"/>
            <w:shd w:val="clear" w:color="auto" w:fill="FFFFFF"/>
            <w:noWrap/>
            <w:tcMar>
              <w:top w:w="0" w:type="dxa"/>
              <w:left w:w="101" w:type="dxa"/>
              <w:bottom w:w="0" w:type="dxa"/>
              <w:right w:w="101" w:type="dxa"/>
            </w:tcMar>
            <w:hideMark/>
          </w:tcPr>
          <w:p w14:paraId="3D47BEDF" w14:textId="2822E41F"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446</w:t>
            </w:r>
          </w:p>
        </w:tc>
        <w:tc>
          <w:tcPr>
            <w:tcW w:w="1035" w:type="dxa"/>
            <w:shd w:val="clear" w:color="auto" w:fill="FFFFFF"/>
            <w:noWrap/>
            <w:tcMar>
              <w:top w:w="0" w:type="dxa"/>
              <w:left w:w="101" w:type="dxa"/>
              <w:bottom w:w="0" w:type="dxa"/>
              <w:right w:w="101" w:type="dxa"/>
            </w:tcMar>
            <w:hideMark/>
          </w:tcPr>
          <w:p w14:paraId="04723E7E" w14:textId="5D96506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513</w:t>
            </w:r>
          </w:p>
        </w:tc>
        <w:tc>
          <w:tcPr>
            <w:tcW w:w="1035" w:type="dxa"/>
            <w:shd w:val="clear" w:color="auto" w:fill="FFFFFF"/>
            <w:noWrap/>
            <w:tcMar>
              <w:top w:w="0" w:type="dxa"/>
              <w:left w:w="101" w:type="dxa"/>
              <w:bottom w:w="0" w:type="dxa"/>
              <w:right w:w="101" w:type="dxa"/>
            </w:tcMar>
            <w:hideMark/>
          </w:tcPr>
          <w:p w14:paraId="2DD41435" w14:textId="6A9762C5"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580</w:t>
            </w:r>
          </w:p>
        </w:tc>
      </w:tr>
      <w:tr w:rsidR="00B55EED" w:rsidRPr="005E3B44" w14:paraId="30E48B7A" w14:textId="77777777" w:rsidTr="00B55EED">
        <w:trPr>
          <w:trHeight w:val="480"/>
        </w:trPr>
        <w:tc>
          <w:tcPr>
            <w:tcW w:w="1035" w:type="dxa"/>
            <w:shd w:val="clear" w:color="auto" w:fill="FFFFFF"/>
            <w:noWrap/>
            <w:tcMar>
              <w:top w:w="0" w:type="dxa"/>
              <w:left w:w="101" w:type="dxa"/>
              <w:bottom w:w="0" w:type="dxa"/>
              <w:right w:w="101" w:type="dxa"/>
            </w:tcMar>
            <w:hideMark/>
          </w:tcPr>
          <w:p w14:paraId="00615068"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Mar>
              <w:top w:w="0" w:type="dxa"/>
              <w:left w:w="101" w:type="dxa"/>
              <w:bottom w:w="0" w:type="dxa"/>
              <w:right w:w="101" w:type="dxa"/>
            </w:tcMar>
            <w:hideMark/>
          </w:tcPr>
          <w:p w14:paraId="305650CB" w14:textId="77777777" w:rsidR="00B55EED" w:rsidRPr="005E3B44" w:rsidRDefault="00B55EED">
            <w:pPr>
              <w:pStyle w:val="Normal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Opening Asset Revaluation Reserve</w:t>
            </w:r>
          </w:p>
        </w:tc>
        <w:tc>
          <w:tcPr>
            <w:tcW w:w="1035" w:type="dxa"/>
            <w:shd w:val="clear" w:color="auto" w:fill="FFFFFF"/>
            <w:noWrap/>
            <w:tcMar>
              <w:top w:w="0" w:type="dxa"/>
              <w:left w:w="101" w:type="dxa"/>
              <w:bottom w:w="0" w:type="dxa"/>
              <w:right w:w="101" w:type="dxa"/>
            </w:tcMar>
            <w:hideMark/>
          </w:tcPr>
          <w:p w14:paraId="7A663943"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1035" w:type="dxa"/>
            <w:shd w:val="clear" w:color="auto" w:fill="FFFFFF"/>
            <w:noWrap/>
            <w:tcMar>
              <w:top w:w="0" w:type="dxa"/>
              <w:left w:w="101" w:type="dxa"/>
              <w:bottom w:w="0" w:type="dxa"/>
              <w:right w:w="101" w:type="dxa"/>
            </w:tcMar>
            <w:hideMark/>
          </w:tcPr>
          <w:p w14:paraId="3EAFAC70"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600" w:type="dxa"/>
            <w:shd w:val="clear" w:color="auto" w:fill="FFFFFF"/>
            <w:noWrap/>
            <w:tcMar>
              <w:top w:w="0" w:type="dxa"/>
              <w:left w:w="101" w:type="dxa"/>
              <w:bottom w:w="0" w:type="dxa"/>
              <w:right w:w="101" w:type="dxa"/>
            </w:tcMar>
            <w:hideMark/>
          </w:tcPr>
          <w:p w14:paraId="74770A25"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shd w:val="clear" w:color="auto" w:fill="FFFFFF"/>
            <w:noWrap/>
            <w:tcMar>
              <w:top w:w="0" w:type="dxa"/>
              <w:left w:w="101" w:type="dxa"/>
              <w:bottom w:w="0" w:type="dxa"/>
              <w:right w:w="101" w:type="dxa"/>
            </w:tcMar>
            <w:hideMark/>
          </w:tcPr>
          <w:p w14:paraId="15CD15E5"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1035" w:type="dxa"/>
            <w:shd w:val="clear" w:color="auto" w:fill="FFFFFF"/>
            <w:noWrap/>
            <w:tcMar>
              <w:top w:w="0" w:type="dxa"/>
              <w:left w:w="101" w:type="dxa"/>
              <w:bottom w:w="0" w:type="dxa"/>
              <w:right w:w="101" w:type="dxa"/>
            </w:tcMar>
            <w:hideMark/>
          </w:tcPr>
          <w:p w14:paraId="77CDADC2"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1035" w:type="dxa"/>
            <w:shd w:val="clear" w:color="auto" w:fill="FFFFFF"/>
            <w:noWrap/>
            <w:tcMar>
              <w:top w:w="0" w:type="dxa"/>
              <w:left w:w="101" w:type="dxa"/>
              <w:bottom w:w="0" w:type="dxa"/>
              <w:right w:w="101" w:type="dxa"/>
            </w:tcMar>
            <w:hideMark/>
          </w:tcPr>
          <w:p w14:paraId="288FD4D4"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r>
      <w:tr w:rsidR="00B55EED" w:rsidRPr="005E3B44" w14:paraId="013BAD5C" w14:textId="77777777" w:rsidTr="00B55EED">
        <w:trPr>
          <w:trHeight w:val="240"/>
        </w:trPr>
        <w:tc>
          <w:tcPr>
            <w:tcW w:w="1035" w:type="dxa"/>
            <w:shd w:val="clear" w:color="auto" w:fill="FFFFFF"/>
            <w:noWrap/>
            <w:tcMar>
              <w:top w:w="0" w:type="dxa"/>
              <w:left w:w="0" w:type="dxa"/>
              <w:bottom w:w="0" w:type="dxa"/>
              <w:right w:w="0" w:type="dxa"/>
            </w:tcMar>
          </w:tcPr>
          <w:p w14:paraId="4AC7A594"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tcMar>
              <w:top w:w="0" w:type="dxa"/>
              <w:left w:w="0" w:type="dxa"/>
              <w:bottom w:w="0" w:type="dxa"/>
              <w:right w:w="0" w:type="dxa"/>
            </w:tcMar>
          </w:tcPr>
          <w:p w14:paraId="68280BEF"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635EC29D"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455CE55D"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17D802F2"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54F5AF71"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70585E5C"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0928E73C"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7CB5414E" w14:textId="77777777" w:rsidTr="00B55EED">
        <w:trPr>
          <w:trHeight w:val="480"/>
        </w:trPr>
        <w:tc>
          <w:tcPr>
            <w:tcW w:w="1035" w:type="dxa"/>
            <w:shd w:val="clear" w:color="auto" w:fill="FFFFFF"/>
            <w:noWrap/>
            <w:tcMar>
              <w:top w:w="0" w:type="dxa"/>
              <w:left w:w="101" w:type="dxa"/>
              <w:bottom w:w="0" w:type="dxa"/>
              <w:right w:w="101" w:type="dxa"/>
            </w:tcMar>
            <w:hideMark/>
          </w:tcPr>
          <w:p w14:paraId="69765D9D" w14:textId="4CB51A39"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462</w:t>
            </w:r>
          </w:p>
        </w:tc>
        <w:tc>
          <w:tcPr>
            <w:tcW w:w="2385" w:type="dxa"/>
            <w:tcMar>
              <w:top w:w="0" w:type="dxa"/>
              <w:left w:w="101" w:type="dxa"/>
              <w:bottom w:w="0" w:type="dxa"/>
              <w:right w:w="101" w:type="dxa"/>
            </w:tcMar>
            <w:hideMark/>
          </w:tcPr>
          <w:p w14:paraId="7CF23CE7"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Balance at the Start of the Reporting Period</w:t>
            </w:r>
          </w:p>
        </w:tc>
        <w:tc>
          <w:tcPr>
            <w:tcW w:w="1035" w:type="dxa"/>
            <w:shd w:val="clear" w:color="auto" w:fill="FFFFFF"/>
            <w:noWrap/>
            <w:tcMar>
              <w:top w:w="0" w:type="dxa"/>
              <w:left w:w="101" w:type="dxa"/>
              <w:bottom w:w="0" w:type="dxa"/>
              <w:right w:w="101" w:type="dxa"/>
            </w:tcMar>
            <w:hideMark/>
          </w:tcPr>
          <w:p w14:paraId="741772A9" w14:textId="5ABBE3CF"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462</w:t>
            </w:r>
          </w:p>
        </w:tc>
        <w:tc>
          <w:tcPr>
            <w:tcW w:w="1035" w:type="dxa"/>
            <w:shd w:val="clear" w:color="auto" w:fill="FFFFFF"/>
            <w:noWrap/>
            <w:tcMar>
              <w:top w:w="0" w:type="dxa"/>
              <w:left w:w="101" w:type="dxa"/>
              <w:bottom w:w="0" w:type="dxa"/>
              <w:right w:w="101" w:type="dxa"/>
            </w:tcMar>
            <w:hideMark/>
          </w:tcPr>
          <w:p w14:paraId="4296AA44" w14:textId="751F53A3"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276</w:t>
            </w:r>
          </w:p>
        </w:tc>
        <w:tc>
          <w:tcPr>
            <w:tcW w:w="600" w:type="dxa"/>
            <w:shd w:val="clear" w:color="auto" w:fill="FFFFFF"/>
            <w:noWrap/>
            <w:tcMar>
              <w:top w:w="0" w:type="dxa"/>
              <w:left w:w="101" w:type="dxa"/>
              <w:bottom w:w="0" w:type="dxa"/>
              <w:right w:w="101" w:type="dxa"/>
            </w:tcMar>
            <w:hideMark/>
          </w:tcPr>
          <w:p w14:paraId="290EC9B2"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41 </w:t>
            </w:r>
          </w:p>
        </w:tc>
        <w:tc>
          <w:tcPr>
            <w:tcW w:w="1035" w:type="dxa"/>
            <w:shd w:val="clear" w:color="auto" w:fill="FFFFFF"/>
            <w:noWrap/>
            <w:tcMar>
              <w:top w:w="0" w:type="dxa"/>
              <w:left w:w="101" w:type="dxa"/>
              <w:bottom w:w="0" w:type="dxa"/>
              <w:right w:w="101" w:type="dxa"/>
            </w:tcMar>
            <w:hideMark/>
          </w:tcPr>
          <w:p w14:paraId="375C8715" w14:textId="4DD89371"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309</w:t>
            </w:r>
          </w:p>
        </w:tc>
        <w:tc>
          <w:tcPr>
            <w:tcW w:w="1035" w:type="dxa"/>
            <w:shd w:val="clear" w:color="auto" w:fill="FFFFFF"/>
            <w:noWrap/>
            <w:tcMar>
              <w:top w:w="0" w:type="dxa"/>
              <w:left w:w="101" w:type="dxa"/>
              <w:bottom w:w="0" w:type="dxa"/>
              <w:right w:w="101" w:type="dxa"/>
            </w:tcMar>
            <w:hideMark/>
          </w:tcPr>
          <w:p w14:paraId="73B70D2A" w14:textId="089D4061"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376</w:t>
            </w:r>
          </w:p>
        </w:tc>
        <w:tc>
          <w:tcPr>
            <w:tcW w:w="1035" w:type="dxa"/>
            <w:shd w:val="clear" w:color="auto" w:fill="FFFFFF"/>
            <w:noWrap/>
            <w:tcMar>
              <w:top w:w="0" w:type="dxa"/>
              <w:left w:w="101" w:type="dxa"/>
              <w:bottom w:w="0" w:type="dxa"/>
              <w:right w:w="101" w:type="dxa"/>
            </w:tcMar>
            <w:hideMark/>
          </w:tcPr>
          <w:p w14:paraId="5080EA9C" w14:textId="13BB730D"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443</w:t>
            </w:r>
          </w:p>
        </w:tc>
      </w:tr>
      <w:tr w:rsidR="00B55EED" w:rsidRPr="005E3B44" w14:paraId="50C48ACE" w14:textId="77777777" w:rsidTr="00B55EED">
        <w:trPr>
          <w:trHeight w:val="240"/>
        </w:trPr>
        <w:tc>
          <w:tcPr>
            <w:tcW w:w="1035" w:type="dxa"/>
            <w:shd w:val="clear" w:color="auto" w:fill="FFFFFF"/>
            <w:noWrap/>
            <w:tcMar>
              <w:top w:w="0" w:type="dxa"/>
              <w:left w:w="0" w:type="dxa"/>
              <w:bottom w:w="0" w:type="dxa"/>
              <w:right w:w="0" w:type="dxa"/>
            </w:tcMar>
          </w:tcPr>
          <w:p w14:paraId="509736FC"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54253FE1"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4108EE1"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7A46160A"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6DC888B2"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413119A9"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3B2521F"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B052E0D"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5D05F718" w14:textId="77777777" w:rsidTr="00B55EED">
        <w:trPr>
          <w:trHeight w:val="240"/>
        </w:trPr>
        <w:tc>
          <w:tcPr>
            <w:tcW w:w="1035" w:type="dxa"/>
            <w:shd w:val="clear" w:color="auto" w:fill="FFFFFF"/>
            <w:noWrap/>
            <w:tcMar>
              <w:top w:w="0" w:type="dxa"/>
              <w:left w:w="0" w:type="dxa"/>
              <w:bottom w:w="0" w:type="dxa"/>
              <w:right w:w="0" w:type="dxa"/>
            </w:tcMar>
          </w:tcPr>
          <w:p w14:paraId="1F0DD1C3"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101" w:type="dxa"/>
              <w:bottom w:w="0" w:type="dxa"/>
              <w:right w:w="101" w:type="dxa"/>
            </w:tcMar>
            <w:hideMark/>
          </w:tcPr>
          <w:p w14:paraId="7034DFE8"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Comprehensive Income</w:t>
            </w:r>
          </w:p>
        </w:tc>
        <w:tc>
          <w:tcPr>
            <w:tcW w:w="1035" w:type="dxa"/>
            <w:shd w:val="clear" w:color="auto" w:fill="FFFFFF"/>
            <w:noWrap/>
            <w:tcMar>
              <w:top w:w="0" w:type="dxa"/>
              <w:left w:w="0" w:type="dxa"/>
              <w:bottom w:w="0" w:type="dxa"/>
              <w:right w:w="0" w:type="dxa"/>
            </w:tcMar>
          </w:tcPr>
          <w:p w14:paraId="377EBEB8"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4676101"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5D0113C4"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0D602D15"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DAE412A"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6106CD7C"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76FB7B05" w14:textId="77777777" w:rsidTr="00B55EED">
        <w:trPr>
          <w:trHeight w:val="480"/>
        </w:trPr>
        <w:tc>
          <w:tcPr>
            <w:tcW w:w="1035" w:type="dxa"/>
            <w:shd w:val="clear" w:color="auto" w:fill="FFFFFF"/>
            <w:noWrap/>
            <w:tcMar>
              <w:top w:w="0" w:type="dxa"/>
              <w:left w:w="101" w:type="dxa"/>
              <w:bottom w:w="0" w:type="dxa"/>
              <w:right w:w="101" w:type="dxa"/>
            </w:tcMar>
            <w:hideMark/>
          </w:tcPr>
          <w:p w14:paraId="48E546E2"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-94</w:t>
            </w:r>
          </w:p>
        </w:tc>
        <w:tc>
          <w:tcPr>
            <w:tcW w:w="2385" w:type="dxa"/>
            <w:tcMar>
              <w:top w:w="0" w:type="dxa"/>
              <w:left w:w="101" w:type="dxa"/>
              <w:bottom w:w="0" w:type="dxa"/>
              <w:right w:w="101" w:type="dxa"/>
            </w:tcMar>
            <w:hideMark/>
          </w:tcPr>
          <w:p w14:paraId="1EDD2CE9" w14:textId="77777777" w:rsidR="00B55EED" w:rsidRPr="005E3B44" w:rsidRDefault="00B55EED">
            <w:pPr>
              <w:pStyle w:val="Normal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Operating Result - Including Economic Flows</w:t>
            </w:r>
          </w:p>
        </w:tc>
        <w:tc>
          <w:tcPr>
            <w:tcW w:w="1035" w:type="dxa"/>
            <w:shd w:val="clear" w:color="auto" w:fill="FFFFFF"/>
            <w:noWrap/>
            <w:tcMar>
              <w:top w:w="0" w:type="dxa"/>
              <w:left w:w="101" w:type="dxa"/>
              <w:bottom w:w="0" w:type="dxa"/>
              <w:right w:w="101" w:type="dxa"/>
            </w:tcMar>
            <w:hideMark/>
          </w:tcPr>
          <w:p w14:paraId="2610B432" w14:textId="19397AD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812</w:t>
            </w:r>
          </w:p>
        </w:tc>
        <w:tc>
          <w:tcPr>
            <w:tcW w:w="1035" w:type="dxa"/>
            <w:shd w:val="clear" w:color="auto" w:fill="FFFFFF"/>
            <w:noWrap/>
            <w:tcMar>
              <w:top w:w="0" w:type="dxa"/>
              <w:left w:w="101" w:type="dxa"/>
              <w:bottom w:w="0" w:type="dxa"/>
              <w:right w:w="101" w:type="dxa"/>
            </w:tcMar>
            <w:hideMark/>
          </w:tcPr>
          <w:p w14:paraId="69DDBBED"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33</w:t>
            </w:r>
          </w:p>
        </w:tc>
        <w:tc>
          <w:tcPr>
            <w:tcW w:w="600" w:type="dxa"/>
            <w:shd w:val="clear" w:color="auto" w:fill="FFFFFF"/>
            <w:noWrap/>
            <w:tcMar>
              <w:top w:w="0" w:type="dxa"/>
              <w:left w:w="101" w:type="dxa"/>
              <w:bottom w:w="0" w:type="dxa"/>
              <w:right w:w="101" w:type="dxa"/>
            </w:tcMar>
            <w:hideMark/>
          </w:tcPr>
          <w:p w14:paraId="7A7F6429"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-98 </w:t>
            </w:r>
          </w:p>
        </w:tc>
        <w:tc>
          <w:tcPr>
            <w:tcW w:w="1035" w:type="dxa"/>
            <w:shd w:val="clear" w:color="auto" w:fill="FFFFFF"/>
            <w:noWrap/>
            <w:tcMar>
              <w:top w:w="0" w:type="dxa"/>
              <w:left w:w="101" w:type="dxa"/>
              <w:bottom w:w="0" w:type="dxa"/>
              <w:right w:w="101" w:type="dxa"/>
            </w:tcMar>
            <w:hideMark/>
          </w:tcPr>
          <w:p w14:paraId="04327CC6"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67</w:t>
            </w:r>
          </w:p>
        </w:tc>
        <w:tc>
          <w:tcPr>
            <w:tcW w:w="1035" w:type="dxa"/>
            <w:shd w:val="clear" w:color="auto" w:fill="FFFFFF"/>
            <w:noWrap/>
            <w:tcMar>
              <w:top w:w="0" w:type="dxa"/>
              <w:left w:w="101" w:type="dxa"/>
              <w:bottom w:w="0" w:type="dxa"/>
              <w:right w:w="101" w:type="dxa"/>
            </w:tcMar>
            <w:hideMark/>
          </w:tcPr>
          <w:p w14:paraId="1FE95F6B"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67</w:t>
            </w:r>
          </w:p>
        </w:tc>
        <w:tc>
          <w:tcPr>
            <w:tcW w:w="1035" w:type="dxa"/>
            <w:shd w:val="clear" w:color="auto" w:fill="FFFFFF"/>
            <w:noWrap/>
            <w:tcMar>
              <w:top w:w="0" w:type="dxa"/>
              <w:left w:w="101" w:type="dxa"/>
              <w:bottom w:w="0" w:type="dxa"/>
              <w:right w:w="101" w:type="dxa"/>
            </w:tcMar>
            <w:hideMark/>
          </w:tcPr>
          <w:p w14:paraId="56FE5B25"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36</w:t>
            </w:r>
          </w:p>
        </w:tc>
      </w:tr>
      <w:tr w:rsidR="00B55EED" w:rsidRPr="005E3B44" w14:paraId="72EF95FC" w14:textId="77777777" w:rsidTr="00B55EED">
        <w:trPr>
          <w:trHeight w:val="240"/>
        </w:trPr>
        <w:tc>
          <w:tcPr>
            <w:tcW w:w="1035" w:type="dxa"/>
            <w:shd w:val="clear" w:color="auto" w:fill="FFFFFF"/>
            <w:noWrap/>
            <w:tcMar>
              <w:top w:w="0" w:type="dxa"/>
              <w:left w:w="0" w:type="dxa"/>
              <w:bottom w:w="0" w:type="dxa"/>
              <w:right w:w="0" w:type="dxa"/>
            </w:tcMar>
          </w:tcPr>
          <w:p w14:paraId="28AB7431"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54953B90"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7C1AF341"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0F2ECB1"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726F0150"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792510D"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33C2448"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548BFB7"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77435F36" w14:textId="77777777" w:rsidTr="00B55EED">
        <w:trPr>
          <w:trHeight w:val="240"/>
        </w:trPr>
        <w:tc>
          <w:tcPr>
            <w:tcW w:w="1035" w:type="dxa"/>
            <w:shd w:val="clear" w:color="auto" w:fill="FFFFFF"/>
            <w:noWrap/>
            <w:tcMar>
              <w:top w:w="0" w:type="dxa"/>
              <w:left w:w="101" w:type="dxa"/>
              <w:bottom w:w="0" w:type="dxa"/>
              <w:right w:w="101" w:type="dxa"/>
            </w:tcMar>
            <w:hideMark/>
          </w:tcPr>
          <w:p w14:paraId="6C59E1D3"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-94</w:t>
            </w:r>
          </w:p>
        </w:tc>
        <w:tc>
          <w:tcPr>
            <w:tcW w:w="2385" w:type="dxa"/>
            <w:shd w:val="clear" w:color="auto" w:fill="FFFFFF"/>
            <w:tcMar>
              <w:top w:w="0" w:type="dxa"/>
              <w:left w:w="101" w:type="dxa"/>
              <w:bottom w:w="0" w:type="dxa"/>
              <w:right w:w="101" w:type="dxa"/>
            </w:tcMar>
            <w:hideMark/>
          </w:tcPr>
          <w:p w14:paraId="4F395077"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Comprehensive Income</w:t>
            </w:r>
          </w:p>
        </w:tc>
        <w:tc>
          <w:tcPr>
            <w:tcW w:w="1035" w:type="dxa"/>
            <w:shd w:val="clear" w:color="auto" w:fill="FFFFFF"/>
            <w:noWrap/>
            <w:tcMar>
              <w:top w:w="0" w:type="dxa"/>
              <w:left w:w="101" w:type="dxa"/>
              <w:bottom w:w="0" w:type="dxa"/>
              <w:right w:w="101" w:type="dxa"/>
            </w:tcMar>
            <w:hideMark/>
          </w:tcPr>
          <w:p w14:paraId="64D0C5F6" w14:textId="4D2A37A9"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812</w:t>
            </w:r>
          </w:p>
        </w:tc>
        <w:tc>
          <w:tcPr>
            <w:tcW w:w="1035" w:type="dxa"/>
            <w:shd w:val="clear" w:color="auto" w:fill="FFFFFF"/>
            <w:noWrap/>
            <w:tcMar>
              <w:top w:w="0" w:type="dxa"/>
              <w:left w:w="101" w:type="dxa"/>
              <w:bottom w:w="0" w:type="dxa"/>
              <w:right w:w="101" w:type="dxa"/>
            </w:tcMar>
            <w:hideMark/>
          </w:tcPr>
          <w:p w14:paraId="38475B5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33</w:t>
            </w:r>
          </w:p>
        </w:tc>
        <w:tc>
          <w:tcPr>
            <w:tcW w:w="600" w:type="dxa"/>
            <w:shd w:val="clear" w:color="auto" w:fill="FFFFFF"/>
            <w:noWrap/>
            <w:tcMar>
              <w:top w:w="0" w:type="dxa"/>
              <w:left w:w="101" w:type="dxa"/>
              <w:bottom w:w="0" w:type="dxa"/>
              <w:right w:w="101" w:type="dxa"/>
            </w:tcMar>
            <w:hideMark/>
          </w:tcPr>
          <w:p w14:paraId="2486E9F3"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-98 </w:t>
            </w:r>
          </w:p>
        </w:tc>
        <w:tc>
          <w:tcPr>
            <w:tcW w:w="1035" w:type="dxa"/>
            <w:shd w:val="clear" w:color="auto" w:fill="FFFFFF"/>
            <w:noWrap/>
            <w:tcMar>
              <w:top w:w="0" w:type="dxa"/>
              <w:left w:w="101" w:type="dxa"/>
              <w:bottom w:w="0" w:type="dxa"/>
              <w:right w:w="101" w:type="dxa"/>
            </w:tcMar>
            <w:hideMark/>
          </w:tcPr>
          <w:p w14:paraId="66C9D99B"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67</w:t>
            </w:r>
          </w:p>
        </w:tc>
        <w:tc>
          <w:tcPr>
            <w:tcW w:w="1035" w:type="dxa"/>
            <w:shd w:val="clear" w:color="auto" w:fill="FFFFFF"/>
            <w:noWrap/>
            <w:tcMar>
              <w:top w:w="0" w:type="dxa"/>
              <w:left w:w="101" w:type="dxa"/>
              <w:bottom w:w="0" w:type="dxa"/>
              <w:right w:w="101" w:type="dxa"/>
            </w:tcMar>
            <w:hideMark/>
          </w:tcPr>
          <w:p w14:paraId="68ADF057"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67</w:t>
            </w:r>
          </w:p>
        </w:tc>
        <w:tc>
          <w:tcPr>
            <w:tcW w:w="1035" w:type="dxa"/>
            <w:shd w:val="clear" w:color="auto" w:fill="FFFFFF"/>
            <w:noWrap/>
            <w:tcMar>
              <w:top w:w="0" w:type="dxa"/>
              <w:left w:w="101" w:type="dxa"/>
              <w:bottom w:w="0" w:type="dxa"/>
              <w:right w:w="101" w:type="dxa"/>
            </w:tcMar>
            <w:hideMark/>
          </w:tcPr>
          <w:p w14:paraId="73EA1C0F"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36</w:t>
            </w:r>
          </w:p>
        </w:tc>
      </w:tr>
      <w:tr w:rsidR="00B55EED" w:rsidRPr="005E3B44" w14:paraId="1C5CC92E" w14:textId="77777777" w:rsidTr="00B55EED">
        <w:trPr>
          <w:trHeight w:val="240"/>
        </w:trPr>
        <w:tc>
          <w:tcPr>
            <w:tcW w:w="1035" w:type="dxa"/>
            <w:shd w:val="clear" w:color="auto" w:fill="FFFFFF"/>
            <w:noWrap/>
            <w:tcMar>
              <w:top w:w="0" w:type="dxa"/>
              <w:left w:w="0" w:type="dxa"/>
              <w:bottom w:w="0" w:type="dxa"/>
              <w:right w:w="0" w:type="dxa"/>
            </w:tcMar>
          </w:tcPr>
          <w:p w14:paraId="6EA88CE1"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53319417"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00B160A"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45955C0"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623B719A"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D820C65"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122444D"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AA30DFF"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7D5BF357" w14:textId="77777777" w:rsidTr="00B55EED">
        <w:trPr>
          <w:trHeight w:val="240"/>
        </w:trPr>
        <w:tc>
          <w:tcPr>
            <w:tcW w:w="1035" w:type="dxa"/>
            <w:shd w:val="clear" w:color="auto" w:fill="FFFFFF"/>
            <w:noWrap/>
            <w:tcMar>
              <w:top w:w="0" w:type="dxa"/>
              <w:left w:w="0" w:type="dxa"/>
              <w:bottom w:w="0" w:type="dxa"/>
              <w:right w:w="0" w:type="dxa"/>
            </w:tcMar>
          </w:tcPr>
          <w:p w14:paraId="2E9E9F83"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165A281A"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BC13A2D"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5EE183D2"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0C8B0754"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4CA4D48B"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6A7AA6B8"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7E5AD2F5"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6CFABA41" w14:textId="77777777" w:rsidTr="00B55EED">
        <w:trPr>
          <w:trHeight w:val="240"/>
        </w:trPr>
        <w:tc>
          <w:tcPr>
            <w:tcW w:w="1035" w:type="dxa"/>
            <w:shd w:val="clear" w:color="auto" w:fill="FFFFFF"/>
            <w:noWrap/>
            <w:tcMar>
              <w:top w:w="0" w:type="dxa"/>
              <w:left w:w="101" w:type="dxa"/>
              <w:bottom w:w="0" w:type="dxa"/>
              <w:right w:w="101" w:type="dxa"/>
            </w:tcMar>
            <w:hideMark/>
          </w:tcPr>
          <w:p w14:paraId="4B93580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Mar>
              <w:top w:w="0" w:type="dxa"/>
              <w:left w:w="101" w:type="dxa"/>
              <w:bottom w:w="0" w:type="dxa"/>
              <w:right w:w="101" w:type="dxa"/>
            </w:tcMar>
            <w:hideMark/>
          </w:tcPr>
          <w:p w14:paraId="6EA3DA87"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Movement in Reserves</w:t>
            </w:r>
          </w:p>
        </w:tc>
        <w:tc>
          <w:tcPr>
            <w:tcW w:w="1035" w:type="dxa"/>
            <w:shd w:val="clear" w:color="auto" w:fill="FFFFFF"/>
            <w:noWrap/>
            <w:tcMar>
              <w:top w:w="0" w:type="dxa"/>
              <w:left w:w="101" w:type="dxa"/>
              <w:bottom w:w="0" w:type="dxa"/>
              <w:right w:w="101" w:type="dxa"/>
            </w:tcMar>
            <w:hideMark/>
          </w:tcPr>
          <w:p w14:paraId="1F0367C7"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shd w:val="clear" w:color="auto" w:fill="FFFFFF"/>
            <w:noWrap/>
            <w:tcMar>
              <w:top w:w="0" w:type="dxa"/>
              <w:left w:w="101" w:type="dxa"/>
              <w:bottom w:w="0" w:type="dxa"/>
              <w:right w:w="101" w:type="dxa"/>
            </w:tcMar>
            <w:hideMark/>
          </w:tcPr>
          <w:p w14:paraId="60B10526"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shd w:val="clear" w:color="auto" w:fill="FFFFFF"/>
            <w:noWrap/>
            <w:tcMar>
              <w:top w:w="0" w:type="dxa"/>
              <w:left w:w="101" w:type="dxa"/>
              <w:bottom w:w="0" w:type="dxa"/>
              <w:right w:w="101" w:type="dxa"/>
            </w:tcMar>
            <w:hideMark/>
          </w:tcPr>
          <w:p w14:paraId="021F6411"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shd w:val="clear" w:color="auto" w:fill="FFFFFF"/>
            <w:noWrap/>
            <w:tcMar>
              <w:top w:w="0" w:type="dxa"/>
              <w:left w:w="101" w:type="dxa"/>
              <w:bottom w:w="0" w:type="dxa"/>
              <w:right w:w="101" w:type="dxa"/>
            </w:tcMar>
            <w:hideMark/>
          </w:tcPr>
          <w:p w14:paraId="094E8AD0"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shd w:val="clear" w:color="auto" w:fill="FFFFFF"/>
            <w:noWrap/>
            <w:tcMar>
              <w:top w:w="0" w:type="dxa"/>
              <w:left w:w="101" w:type="dxa"/>
              <w:bottom w:w="0" w:type="dxa"/>
              <w:right w:w="101" w:type="dxa"/>
            </w:tcMar>
            <w:hideMark/>
          </w:tcPr>
          <w:p w14:paraId="25300E9B"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shd w:val="clear" w:color="auto" w:fill="FFFFFF"/>
            <w:noWrap/>
            <w:tcMar>
              <w:top w:w="0" w:type="dxa"/>
              <w:left w:w="101" w:type="dxa"/>
              <w:bottom w:w="0" w:type="dxa"/>
              <w:right w:w="101" w:type="dxa"/>
            </w:tcMar>
            <w:hideMark/>
          </w:tcPr>
          <w:p w14:paraId="3FAD0DE4"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B55EED" w:rsidRPr="005E3B44" w14:paraId="2923887D" w14:textId="77777777" w:rsidTr="00B55EED">
        <w:trPr>
          <w:trHeight w:val="240"/>
        </w:trPr>
        <w:tc>
          <w:tcPr>
            <w:tcW w:w="1035" w:type="dxa"/>
            <w:shd w:val="clear" w:color="auto" w:fill="FFFFFF"/>
            <w:noWrap/>
            <w:tcMar>
              <w:top w:w="0" w:type="dxa"/>
              <w:left w:w="0" w:type="dxa"/>
              <w:bottom w:w="0" w:type="dxa"/>
              <w:right w:w="0" w:type="dxa"/>
            </w:tcMar>
          </w:tcPr>
          <w:p w14:paraId="69C850A3"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44CA7553"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603D183"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7B8958B1"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5F1C70CA"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611FE433"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F826B2C"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69562703"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339BC010" w14:textId="77777777" w:rsidTr="00B55EED">
        <w:trPr>
          <w:trHeight w:hRule="exact" w:val="240"/>
        </w:trPr>
        <w:tc>
          <w:tcPr>
            <w:tcW w:w="1035" w:type="dxa"/>
            <w:shd w:val="clear" w:color="auto" w:fill="FFFFFF"/>
            <w:noWrap/>
            <w:tcMar>
              <w:top w:w="0" w:type="dxa"/>
              <w:left w:w="0" w:type="dxa"/>
              <w:bottom w:w="0" w:type="dxa"/>
              <w:right w:w="0" w:type="dxa"/>
            </w:tcMar>
          </w:tcPr>
          <w:p w14:paraId="5337FA8D" w14:textId="77777777" w:rsidR="00B55EED" w:rsidRPr="005E3B44" w:rsidRDefault="00B55EED">
            <w:pPr>
              <w:pStyle w:val="Normal2"/>
              <w:jc w:val="right"/>
              <w:rPr>
                <w:rFonts w:asciiTheme="minorHAnsi" w:eastAsia="Calibri" w:hAnsiTheme="minorHAnsi" w:cstheme="minorHAnsi"/>
                <w:b/>
                <w:color w:val="000000"/>
                <w:sz w:val="18"/>
              </w:rPr>
            </w:pPr>
          </w:p>
        </w:tc>
        <w:tc>
          <w:tcPr>
            <w:tcW w:w="8160" w:type="dxa"/>
            <w:gridSpan w:val="7"/>
            <w:noWrap/>
            <w:tcMar>
              <w:top w:w="0" w:type="dxa"/>
              <w:left w:w="101" w:type="dxa"/>
              <w:bottom w:w="0" w:type="dxa"/>
              <w:right w:w="101" w:type="dxa"/>
            </w:tcMar>
            <w:hideMark/>
          </w:tcPr>
          <w:p w14:paraId="2593D694"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Transactions Involving Owners Affecting Accumulated Funds</w:t>
            </w:r>
          </w:p>
        </w:tc>
      </w:tr>
      <w:tr w:rsidR="00B55EED" w:rsidRPr="005E3B44" w14:paraId="795CC13D" w14:textId="77777777" w:rsidTr="00B55EED">
        <w:trPr>
          <w:trHeight w:val="240"/>
        </w:trPr>
        <w:tc>
          <w:tcPr>
            <w:tcW w:w="1035" w:type="dxa"/>
            <w:shd w:val="clear" w:color="auto" w:fill="FFFFFF"/>
            <w:noWrap/>
            <w:tcMar>
              <w:top w:w="0" w:type="dxa"/>
              <w:left w:w="0" w:type="dxa"/>
              <w:bottom w:w="0" w:type="dxa"/>
              <w:right w:w="0" w:type="dxa"/>
            </w:tcMar>
          </w:tcPr>
          <w:p w14:paraId="7923E68C"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715086A9"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94B00B3"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0D669DE2"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34C3AC30"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51B1730C"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F976363"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0DCC8025"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25E55F84" w14:textId="77777777" w:rsidTr="00B55EED">
        <w:trPr>
          <w:trHeight w:val="720"/>
        </w:trPr>
        <w:tc>
          <w:tcPr>
            <w:tcW w:w="1035" w:type="dxa"/>
            <w:shd w:val="clear" w:color="auto" w:fill="FFFFFF"/>
            <w:noWrap/>
            <w:tcMar>
              <w:top w:w="0" w:type="dxa"/>
              <w:left w:w="101" w:type="dxa"/>
              <w:bottom w:w="0" w:type="dxa"/>
              <w:right w:w="101" w:type="dxa"/>
            </w:tcMar>
            <w:hideMark/>
          </w:tcPr>
          <w:p w14:paraId="766E2B08"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2385" w:type="dxa"/>
            <w:tcMar>
              <w:top w:w="0" w:type="dxa"/>
              <w:left w:w="101" w:type="dxa"/>
              <w:bottom w:w="0" w:type="dxa"/>
              <w:right w:w="101" w:type="dxa"/>
            </w:tcMar>
            <w:hideMark/>
          </w:tcPr>
          <w:p w14:paraId="7B75C511"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Total Transactions Involving Owners Affecting Accumulated Funds</w:t>
            </w:r>
          </w:p>
        </w:tc>
        <w:tc>
          <w:tcPr>
            <w:tcW w:w="1035" w:type="dxa"/>
            <w:shd w:val="clear" w:color="auto" w:fill="FFFFFF"/>
            <w:noWrap/>
            <w:tcMar>
              <w:top w:w="0" w:type="dxa"/>
              <w:left w:w="101" w:type="dxa"/>
              <w:bottom w:w="0" w:type="dxa"/>
              <w:right w:w="101" w:type="dxa"/>
            </w:tcMar>
            <w:hideMark/>
          </w:tcPr>
          <w:p w14:paraId="7016246B"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shd w:val="clear" w:color="auto" w:fill="FFFFFF"/>
            <w:noWrap/>
            <w:tcMar>
              <w:top w:w="0" w:type="dxa"/>
              <w:left w:w="101" w:type="dxa"/>
              <w:bottom w:w="0" w:type="dxa"/>
              <w:right w:w="101" w:type="dxa"/>
            </w:tcMar>
            <w:hideMark/>
          </w:tcPr>
          <w:p w14:paraId="1C8017D5"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600" w:type="dxa"/>
            <w:shd w:val="clear" w:color="auto" w:fill="FFFFFF"/>
            <w:noWrap/>
            <w:tcMar>
              <w:top w:w="0" w:type="dxa"/>
              <w:left w:w="101" w:type="dxa"/>
              <w:bottom w:w="0" w:type="dxa"/>
              <w:right w:w="101" w:type="dxa"/>
            </w:tcMar>
            <w:hideMark/>
          </w:tcPr>
          <w:p w14:paraId="791EFCB3"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w:t>
            </w:r>
          </w:p>
        </w:tc>
        <w:tc>
          <w:tcPr>
            <w:tcW w:w="1035" w:type="dxa"/>
            <w:shd w:val="clear" w:color="auto" w:fill="FFFFFF"/>
            <w:noWrap/>
            <w:tcMar>
              <w:top w:w="0" w:type="dxa"/>
              <w:left w:w="101" w:type="dxa"/>
              <w:bottom w:w="0" w:type="dxa"/>
              <w:right w:w="101" w:type="dxa"/>
            </w:tcMar>
            <w:hideMark/>
          </w:tcPr>
          <w:p w14:paraId="34D15351"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shd w:val="clear" w:color="auto" w:fill="FFFFFF"/>
            <w:noWrap/>
            <w:tcMar>
              <w:top w:w="0" w:type="dxa"/>
              <w:left w:w="101" w:type="dxa"/>
              <w:bottom w:w="0" w:type="dxa"/>
              <w:right w:w="101" w:type="dxa"/>
            </w:tcMar>
            <w:hideMark/>
          </w:tcPr>
          <w:p w14:paraId="5D7620AB"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c>
          <w:tcPr>
            <w:tcW w:w="1035" w:type="dxa"/>
            <w:shd w:val="clear" w:color="auto" w:fill="FFFFFF"/>
            <w:noWrap/>
            <w:tcMar>
              <w:top w:w="0" w:type="dxa"/>
              <w:left w:w="101" w:type="dxa"/>
              <w:bottom w:w="0" w:type="dxa"/>
              <w:right w:w="101" w:type="dxa"/>
            </w:tcMar>
            <w:hideMark/>
          </w:tcPr>
          <w:p w14:paraId="17D01C96"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0</w:t>
            </w:r>
          </w:p>
        </w:tc>
      </w:tr>
      <w:tr w:rsidR="00B55EED" w:rsidRPr="005E3B44" w14:paraId="520E0CD7" w14:textId="77777777" w:rsidTr="00B55EED">
        <w:trPr>
          <w:trHeight w:val="240"/>
        </w:trPr>
        <w:tc>
          <w:tcPr>
            <w:tcW w:w="1035" w:type="dxa"/>
            <w:shd w:val="clear" w:color="auto" w:fill="FFFFFF"/>
            <w:noWrap/>
            <w:tcMar>
              <w:top w:w="0" w:type="dxa"/>
              <w:left w:w="0" w:type="dxa"/>
              <w:bottom w:w="0" w:type="dxa"/>
              <w:right w:w="0" w:type="dxa"/>
            </w:tcMar>
          </w:tcPr>
          <w:p w14:paraId="6B8E0731"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42B6E480"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7D68EC85"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3D46AB58"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5B2820B7"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D7BECD7"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0639BE37"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7042E9BE"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5D38F260" w14:textId="77777777" w:rsidTr="00B55EED">
        <w:trPr>
          <w:trHeight w:val="240"/>
        </w:trPr>
        <w:tc>
          <w:tcPr>
            <w:tcW w:w="1035" w:type="dxa"/>
            <w:shd w:val="clear" w:color="auto" w:fill="FFFFFF"/>
            <w:noWrap/>
            <w:tcMar>
              <w:top w:w="0" w:type="dxa"/>
              <w:left w:w="0" w:type="dxa"/>
              <w:bottom w:w="0" w:type="dxa"/>
              <w:right w:w="0" w:type="dxa"/>
            </w:tcMar>
          </w:tcPr>
          <w:p w14:paraId="000F86D3"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tcMar>
              <w:top w:w="0" w:type="dxa"/>
              <w:left w:w="101" w:type="dxa"/>
              <w:bottom w:w="0" w:type="dxa"/>
              <w:right w:w="101" w:type="dxa"/>
            </w:tcMar>
            <w:hideMark/>
          </w:tcPr>
          <w:p w14:paraId="6EB403A6"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Closing Equity</w:t>
            </w:r>
          </w:p>
        </w:tc>
        <w:tc>
          <w:tcPr>
            <w:tcW w:w="1035" w:type="dxa"/>
            <w:shd w:val="clear" w:color="auto" w:fill="FFFFFF"/>
            <w:noWrap/>
            <w:tcMar>
              <w:top w:w="0" w:type="dxa"/>
              <w:left w:w="0" w:type="dxa"/>
              <w:bottom w:w="0" w:type="dxa"/>
              <w:right w:w="0" w:type="dxa"/>
            </w:tcMar>
          </w:tcPr>
          <w:p w14:paraId="0AFCDD96"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1CD825C"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640EC61B"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5D2ECFA"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27D9ED44"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6E701740"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1BE516C0" w14:textId="77777777" w:rsidTr="00B55EED">
        <w:trPr>
          <w:trHeight w:val="240"/>
        </w:trPr>
        <w:tc>
          <w:tcPr>
            <w:tcW w:w="1035" w:type="dxa"/>
            <w:shd w:val="clear" w:color="auto" w:fill="FFFFFF"/>
            <w:noWrap/>
            <w:tcMar>
              <w:top w:w="0" w:type="dxa"/>
              <w:left w:w="101" w:type="dxa"/>
              <w:bottom w:w="0" w:type="dxa"/>
              <w:right w:w="101" w:type="dxa"/>
            </w:tcMar>
            <w:hideMark/>
          </w:tcPr>
          <w:p w14:paraId="6CB73E17" w14:textId="67A63904"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368</w:t>
            </w:r>
          </w:p>
        </w:tc>
        <w:tc>
          <w:tcPr>
            <w:tcW w:w="2385" w:type="dxa"/>
            <w:tcMar>
              <w:top w:w="0" w:type="dxa"/>
              <w:left w:w="101" w:type="dxa"/>
              <w:bottom w:w="0" w:type="dxa"/>
              <w:right w:w="101" w:type="dxa"/>
            </w:tcMar>
            <w:hideMark/>
          </w:tcPr>
          <w:p w14:paraId="4CD5E3CD" w14:textId="77777777" w:rsidR="00B55EED" w:rsidRPr="005E3B44" w:rsidRDefault="00B55EED">
            <w:pPr>
              <w:pStyle w:val="Normal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Closing Accumulated Funds</w:t>
            </w:r>
          </w:p>
        </w:tc>
        <w:tc>
          <w:tcPr>
            <w:tcW w:w="1035" w:type="dxa"/>
            <w:shd w:val="clear" w:color="auto" w:fill="FFFFFF"/>
            <w:noWrap/>
            <w:tcMar>
              <w:top w:w="0" w:type="dxa"/>
              <w:left w:w="101" w:type="dxa"/>
              <w:bottom w:w="0" w:type="dxa"/>
              <w:right w:w="101" w:type="dxa"/>
            </w:tcMar>
            <w:hideMark/>
          </w:tcPr>
          <w:p w14:paraId="44911B98" w14:textId="6EE63A7F"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411</w:t>
            </w:r>
          </w:p>
        </w:tc>
        <w:tc>
          <w:tcPr>
            <w:tcW w:w="1035" w:type="dxa"/>
            <w:shd w:val="clear" w:color="auto" w:fill="FFFFFF"/>
            <w:noWrap/>
            <w:tcMar>
              <w:top w:w="0" w:type="dxa"/>
              <w:left w:w="101" w:type="dxa"/>
              <w:bottom w:w="0" w:type="dxa"/>
              <w:right w:w="101" w:type="dxa"/>
            </w:tcMar>
            <w:hideMark/>
          </w:tcPr>
          <w:p w14:paraId="0DDC742F" w14:textId="115F177F"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446</w:t>
            </w:r>
          </w:p>
        </w:tc>
        <w:tc>
          <w:tcPr>
            <w:tcW w:w="600" w:type="dxa"/>
            <w:shd w:val="clear" w:color="auto" w:fill="FFFFFF"/>
            <w:noWrap/>
            <w:tcMar>
              <w:top w:w="0" w:type="dxa"/>
              <w:left w:w="101" w:type="dxa"/>
              <w:bottom w:w="0" w:type="dxa"/>
              <w:right w:w="101" w:type="dxa"/>
            </w:tcMar>
            <w:hideMark/>
          </w:tcPr>
          <w:p w14:paraId="5D61DA02"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 </w:t>
            </w:r>
          </w:p>
        </w:tc>
        <w:tc>
          <w:tcPr>
            <w:tcW w:w="1035" w:type="dxa"/>
            <w:shd w:val="clear" w:color="auto" w:fill="FFFFFF"/>
            <w:noWrap/>
            <w:tcMar>
              <w:top w:w="0" w:type="dxa"/>
              <w:left w:w="101" w:type="dxa"/>
              <w:bottom w:w="0" w:type="dxa"/>
              <w:right w:w="101" w:type="dxa"/>
            </w:tcMar>
            <w:hideMark/>
          </w:tcPr>
          <w:p w14:paraId="0DF55BA4" w14:textId="08151245"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513</w:t>
            </w:r>
          </w:p>
        </w:tc>
        <w:tc>
          <w:tcPr>
            <w:tcW w:w="1035" w:type="dxa"/>
            <w:shd w:val="clear" w:color="auto" w:fill="FFFFFF"/>
            <w:noWrap/>
            <w:tcMar>
              <w:top w:w="0" w:type="dxa"/>
              <w:left w:w="101" w:type="dxa"/>
              <w:bottom w:w="0" w:type="dxa"/>
              <w:right w:w="101" w:type="dxa"/>
            </w:tcMar>
            <w:hideMark/>
          </w:tcPr>
          <w:p w14:paraId="18C95F0C" w14:textId="2B6A9E36"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580</w:t>
            </w:r>
          </w:p>
        </w:tc>
        <w:tc>
          <w:tcPr>
            <w:tcW w:w="1035" w:type="dxa"/>
            <w:shd w:val="clear" w:color="auto" w:fill="FFFFFF"/>
            <w:noWrap/>
            <w:tcMar>
              <w:top w:w="0" w:type="dxa"/>
              <w:left w:w="101" w:type="dxa"/>
              <w:bottom w:w="0" w:type="dxa"/>
              <w:right w:w="101" w:type="dxa"/>
            </w:tcMar>
            <w:hideMark/>
          </w:tcPr>
          <w:p w14:paraId="0050193E" w14:textId="3444397C"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616</w:t>
            </w:r>
          </w:p>
        </w:tc>
      </w:tr>
      <w:tr w:rsidR="00B55EED" w:rsidRPr="005E3B44" w14:paraId="1C36A693" w14:textId="77777777" w:rsidTr="00B55EED">
        <w:trPr>
          <w:trHeight w:val="480"/>
        </w:trPr>
        <w:tc>
          <w:tcPr>
            <w:tcW w:w="1035" w:type="dxa"/>
            <w:shd w:val="clear" w:color="auto" w:fill="FFFFFF"/>
            <w:noWrap/>
            <w:tcMar>
              <w:top w:w="0" w:type="dxa"/>
              <w:left w:w="101" w:type="dxa"/>
              <w:bottom w:w="0" w:type="dxa"/>
              <w:right w:w="101" w:type="dxa"/>
            </w:tcMar>
            <w:hideMark/>
          </w:tcPr>
          <w:p w14:paraId="3EA67235"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tcMar>
              <w:top w:w="0" w:type="dxa"/>
              <w:left w:w="101" w:type="dxa"/>
              <w:bottom w:w="0" w:type="dxa"/>
              <w:right w:w="101" w:type="dxa"/>
            </w:tcMar>
            <w:hideMark/>
          </w:tcPr>
          <w:p w14:paraId="127834CC" w14:textId="77777777" w:rsidR="00B55EED" w:rsidRPr="005E3B44" w:rsidRDefault="00B55EED">
            <w:pPr>
              <w:pStyle w:val="Normal2"/>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Closing Asset Revaluation Reserve</w:t>
            </w:r>
          </w:p>
        </w:tc>
        <w:tc>
          <w:tcPr>
            <w:tcW w:w="1035" w:type="dxa"/>
            <w:shd w:val="clear" w:color="auto" w:fill="FFFFFF"/>
            <w:noWrap/>
            <w:tcMar>
              <w:top w:w="0" w:type="dxa"/>
              <w:left w:w="101" w:type="dxa"/>
              <w:bottom w:w="0" w:type="dxa"/>
              <w:right w:w="101" w:type="dxa"/>
            </w:tcMar>
            <w:hideMark/>
          </w:tcPr>
          <w:p w14:paraId="288E2BE9"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1035" w:type="dxa"/>
            <w:shd w:val="clear" w:color="auto" w:fill="FFFFFF"/>
            <w:noWrap/>
            <w:tcMar>
              <w:top w:w="0" w:type="dxa"/>
              <w:left w:w="101" w:type="dxa"/>
              <w:bottom w:w="0" w:type="dxa"/>
              <w:right w:w="101" w:type="dxa"/>
            </w:tcMar>
            <w:hideMark/>
          </w:tcPr>
          <w:p w14:paraId="71374D27"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600" w:type="dxa"/>
            <w:shd w:val="clear" w:color="auto" w:fill="FFFFFF"/>
            <w:noWrap/>
            <w:tcMar>
              <w:top w:w="0" w:type="dxa"/>
              <w:left w:w="101" w:type="dxa"/>
              <w:bottom w:w="0" w:type="dxa"/>
              <w:right w:w="101" w:type="dxa"/>
            </w:tcMar>
            <w:hideMark/>
          </w:tcPr>
          <w:p w14:paraId="7197C441"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shd w:val="clear" w:color="auto" w:fill="FFFFFF"/>
            <w:noWrap/>
            <w:tcMar>
              <w:top w:w="0" w:type="dxa"/>
              <w:left w:w="101" w:type="dxa"/>
              <w:bottom w:w="0" w:type="dxa"/>
              <w:right w:w="101" w:type="dxa"/>
            </w:tcMar>
            <w:hideMark/>
          </w:tcPr>
          <w:p w14:paraId="6650F1D0"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1035" w:type="dxa"/>
            <w:shd w:val="clear" w:color="auto" w:fill="FFFFFF"/>
            <w:noWrap/>
            <w:tcMar>
              <w:top w:w="0" w:type="dxa"/>
              <w:left w:w="101" w:type="dxa"/>
              <w:bottom w:w="0" w:type="dxa"/>
              <w:right w:w="101" w:type="dxa"/>
            </w:tcMar>
            <w:hideMark/>
          </w:tcPr>
          <w:p w14:paraId="4A59B0AC"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c>
          <w:tcPr>
            <w:tcW w:w="1035" w:type="dxa"/>
            <w:shd w:val="clear" w:color="auto" w:fill="FFFFFF"/>
            <w:noWrap/>
            <w:tcMar>
              <w:top w:w="0" w:type="dxa"/>
              <w:left w:w="101" w:type="dxa"/>
              <w:bottom w:w="0" w:type="dxa"/>
              <w:right w:w="101" w:type="dxa"/>
            </w:tcMar>
            <w:hideMark/>
          </w:tcPr>
          <w:p w14:paraId="6DDB96D7" w14:textId="77777777" w:rsidR="00B55EED" w:rsidRPr="005E3B44" w:rsidRDefault="00B55EED">
            <w:pPr>
              <w:pStyle w:val="Normal2"/>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863</w:t>
            </w:r>
          </w:p>
        </w:tc>
      </w:tr>
      <w:tr w:rsidR="00B55EED" w:rsidRPr="005E3B44" w14:paraId="0F2EAE1F" w14:textId="77777777" w:rsidTr="00B55EED">
        <w:trPr>
          <w:trHeight w:val="240"/>
        </w:trPr>
        <w:tc>
          <w:tcPr>
            <w:tcW w:w="1035" w:type="dxa"/>
            <w:shd w:val="clear" w:color="auto" w:fill="FFFFFF"/>
            <w:noWrap/>
            <w:tcMar>
              <w:top w:w="0" w:type="dxa"/>
              <w:left w:w="0" w:type="dxa"/>
              <w:bottom w:w="0" w:type="dxa"/>
              <w:right w:w="0" w:type="dxa"/>
            </w:tcMar>
          </w:tcPr>
          <w:p w14:paraId="77A1219A"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7B9306BB" w14:textId="77777777" w:rsidR="00B55EED" w:rsidRPr="005E3B44" w:rsidRDefault="00B55EED">
            <w:pPr>
              <w:pStyle w:val="Normal2"/>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52762274"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91492FC"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shd w:val="clear" w:color="auto" w:fill="FFFFFF"/>
            <w:noWrap/>
            <w:tcMar>
              <w:top w:w="0" w:type="dxa"/>
              <w:left w:w="0" w:type="dxa"/>
              <w:bottom w:w="0" w:type="dxa"/>
              <w:right w:w="0" w:type="dxa"/>
            </w:tcMar>
          </w:tcPr>
          <w:p w14:paraId="45579507"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4BFD1252"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46B4B964"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shd w:val="clear" w:color="auto" w:fill="FFFFFF"/>
            <w:noWrap/>
            <w:tcMar>
              <w:top w:w="0" w:type="dxa"/>
              <w:left w:w="0" w:type="dxa"/>
              <w:bottom w:w="0" w:type="dxa"/>
              <w:right w:w="0" w:type="dxa"/>
            </w:tcMar>
          </w:tcPr>
          <w:p w14:paraId="1E3916DC" w14:textId="77777777" w:rsidR="00B55EED" w:rsidRPr="005E3B44" w:rsidRDefault="00B55EED">
            <w:pPr>
              <w:pStyle w:val="Normal2"/>
              <w:jc w:val="right"/>
              <w:rPr>
                <w:rFonts w:asciiTheme="minorHAnsi" w:eastAsia="Calibri" w:hAnsiTheme="minorHAnsi" w:cstheme="minorHAnsi"/>
                <w:b/>
                <w:color w:val="000000"/>
                <w:sz w:val="18"/>
              </w:rPr>
            </w:pPr>
          </w:p>
        </w:tc>
      </w:tr>
      <w:tr w:rsidR="00B55EED" w:rsidRPr="005E3B44" w14:paraId="2974ED6F" w14:textId="77777777" w:rsidTr="00B55EED">
        <w:trPr>
          <w:trHeight w:val="480"/>
        </w:trPr>
        <w:tc>
          <w:tcPr>
            <w:tcW w:w="1035" w:type="dxa"/>
            <w:shd w:val="clear" w:color="auto" w:fill="FFFFFF"/>
            <w:noWrap/>
            <w:tcMar>
              <w:top w:w="0" w:type="dxa"/>
              <w:left w:w="101" w:type="dxa"/>
              <w:bottom w:w="0" w:type="dxa"/>
              <w:right w:w="101" w:type="dxa"/>
            </w:tcMar>
            <w:hideMark/>
          </w:tcPr>
          <w:p w14:paraId="0CDA9795" w14:textId="385E28E8"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4</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368</w:t>
            </w:r>
          </w:p>
        </w:tc>
        <w:tc>
          <w:tcPr>
            <w:tcW w:w="2385" w:type="dxa"/>
            <w:shd w:val="clear" w:color="auto" w:fill="FFFFFF"/>
            <w:tcMar>
              <w:top w:w="0" w:type="dxa"/>
              <w:left w:w="101" w:type="dxa"/>
              <w:bottom w:w="0" w:type="dxa"/>
              <w:right w:w="101" w:type="dxa"/>
            </w:tcMar>
            <w:hideMark/>
          </w:tcPr>
          <w:p w14:paraId="38F5EB13" w14:textId="77777777" w:rsidR="00B55EED" w:rsidRPr="005E3B44" w:rsidRDefault="00B55EED">
            <w:pPr>
              <w:pStyle w:val="Normal2"/>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Balance at the end of the Reporting Period</w:t>
            </w:r>
          </w:p>
        </w:tc>
        <w:tc>
          <w:tcPr>
            <w:tcW w:w="1035" w:type="dxa"/>
            <w:shd w:val="clear" w:color="auto" w:fill="FFFFFF"/>
            <w:noWrap/>
            <w:tcMar>
              <w:top w:w="0" w:type="dxa"/>
              <w:left w:w="101" w:type="dxa"/>
              <w:bottom w:w="0" w:type="dxa"/>
              <w:right w:w="101" w:type="dxa"/>
            </w:tcMar>
            <w:hideMark/>
          </w:tcPr>
          <w:p w14:paraId="4D47F75E" w14:textId="0F54247A"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274</w:t>
            </w:r>
          </w:p>
        </w:tc>
        <w:tc>
          <w:tcPr>
            <w:tcW w:w="1035" w:type="dxa"/>
            <w:shd w:val="clear" w:color="auto" w:fill="FFFFFF"/>
            <w:noWrap/>
            <w:tcMar>
              <w:top w:w="0" w:type="dxa"/>
              <w:left w:w="101" w:type="dxa"/>
              <w:bottom w:w="0" w:type="dxa"/>
              <w:right w:w="101" w:type="dxa"/>
            </w:tcMar>
            <w:hideMark/>
          </w:tcPr>
          <w:p w14:paraId="5CE9A537" w14:textId="2A0807C8"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309</w:t>
            </w:r>
          </w:p>
        </w:tc>
        <w:tc>
          <w:tcPr>
            <w:tcW w:w="600" w:type="dxa"/>
            <w:shd w:val="clear" w:color="auto" w:fill="FFFFFF"/>
            <w:noWrap/>
            <w:tcMar>
              <w:top w:w="0" w:type="dxa"/>
              <w:left w:w="101" w:type="dxa"/>
              <w:bottom w:w="0" w:type="dxa"/>
              <w:right w:w="101" w:type="dxa"/>
            </w:tcMar>
            <w:hideMark/>
          </w:tcPr>
          <w:p w14:paraId="0A74278B" w14:textId="77777777"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p>
        </w:tc>
        <w:tc>
          <w:tcPr>
            <w:tcW w:w="1035" w:type="dxa"/>
            <w:shd w:val="clear" w:color="auto" w:fill="FFFFFF"/>
            <w:noWrap/>
            <w:tcMar>
              <w:top w:w="0" w:type="dxa"/>
              <w:left w:w="101" w:type="dxa"/>
              <w:bottom w:w="0" w:type="dxa"/>
              <w:right w:w="101" w:type="dxa"/>
            </w:tcMar>
            <w:hideMark/>
          </w:tcPr>
          <w:p w14:paraId="251DBCF0" w14:textId="111F449F"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376</w:t>
            </w:r>
          </w:p>
        </w:tc>
        <w:tc>
          <w:tcPr>
            <w:tcW w:w="1035" w:type="dxa"/>
            <w:shd w:val="clear" w:color="auto" w:fill="FFFFFF"/>
            <w:noWrap/>
            <w:tcMar>
              <w:top w:w="0" w:type="dxa"/>
              <w:left w:w="101" w:type="dxa"/>
              <w:bottom w:w="0" w:type="dxa"/>
              <w:right w:w="101" w:type="dxa"/>
            </w:tcMar>
            <w:hideMark/>
          </w:tcPr>
          <w:p w14:paraId="00E61AEF" w14:textId="77984DBE"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443</w:t>
            </w:r>
          </w:p>
        </w:tc>
        <w:tc>
          <w:tcPr>
            <w:tcW w:w="1035" w:type="dxa"/>
            <w:shd w:val="clear" w:color="auto" w:fill="FFFFFF"/>
            <w:noWrap/>
            <w:tcMar>
              <w:top w:w="0" w:type="dxa"/>
              <w:left w:w="101" w:type="dxa"/>
              <w:bottom w:w="0" w:type="dxa"/>
              <w:right w:w="101" w:type="dxa"/>
            </w:tcMar>
            <w:hideMark/>
          </w:tcPr>
          <w:p w14:paraId="16A3EAD7" w14:textId="28EB64E4" w:rsidR="00B55EED" w:rsidRPr="005E3B44" w:rsidRDefault="00B55EED">
            <w:pPr>
              <w:pStyle w:val="Normal2"/>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479</w:t>
            </w:r>
          </w:p>
        </w:tc>
      </w:tr>
      <w:tr w:rsidR="00B55EED" w:rsidRPr="005E3B44" w14:paraId="42BA6B35" w14:textId="77777777" w:rsidTr="00B55EED">
        <w:trPr>
          <w:trHeight w:val="102"/>
        </w:trPr>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05C58A91" w14:textId="77777777" w:rsidR="00B55EED" w:rsidRPr="005E3B44" w:rsidRDefault="00B55EED">
            <w:pPr>
              <w:pStyle w:val="Normal2"/>
              <w:jc w:val="right"/>
              <w:rPr>
                <w:rFonts w:asciiTheme="minorHAnsi" w:eastAsia="Calibri" w:hAnsiTheme="minorHAnsi" w:cstheme="minorHAnsi"/>
                <w:b/>
                <w:color w:val="000000"/>
                <w:sz w:val="18"/>
              </w:rPr>
            </w:pPr>
          </w:p>
        </w:tc>
        <w:tc>
          <w:tcPr>
            <w:tcW w:w="2385" w:type="dxa"/>
            <w:tcBorders>
              <w:top w:val="nil"/>
              <w:left w:val="nil"/>
              <w:bottom w:val="single" w:sz="4" w:space="0" w:color="000000"/>
              <w:right w:val="nil"/>
            </w:tcBorders>
            <w:shd w:val="clear" w:color="auto" w:fill="FFFFFF"/>
            <w:tcMar>
              <w:top w:w="0" w:type="dxa"/>
              <w:left w:w="0" w:type="dxa"/>
              <w:bottom w:w="0" w:type="dxa"/>
              <w:right w:w="0" w:type="dxa"/>
            </w:tcMar>
          </w:tcPr>
          <w:p w14:paraId="0661803C"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65812552"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2681A0BB" w14:textId="77777777" w:rsidR="00B55EED" w:rsidRPr="005E3B44" w:rsidRDefault="00B55EED">
            <w:pPr>
              <w:pStyle w:val="Normal2"/>
              <w:jc w:val="right"/>
              <w:rPr>
                <w:rFonts w:asciiTheme="minorHAnsi" w:eastAsia="Calibri" w:hAnsiTheme="minorHAnsi" w:cstheme="minorHAnsi"/>
                <w:b/>
                <w:color w:val="000000"/>
                <w:sz w:val="18"/>
              </w:rPr>
            </w:pPr>
          </w:p>
        </w:tc>
        <w:tc>
          <w:tcPr>
            <w:tcW w:w="600" w:type="dxa"/>
            <w:tcBorders>
              <w:top w:val="nil"/>
              <w:left w:val="nil"/>
              <w:bottom w:val="single" w:sz="4" w:space="0" w:color="000000"/>
              <w:right w:val="nil"/>
            </w:tcBorders>
            <w:shd w:val="clear" w:color="auto" w:fill="FFFFFF"/>
            <w:tcMar>
              <w:top w:w="0" w:type="dxa"/>
              <w:left w:w="0" w:type="dxa"/>
              <w:bottom w:w="0" w:type="dxa"/>
              <w:right w:w="0" w:type="dxa"/>
            </w:tcMar>
          </w:tcPr>
          <w:p w14:paraId="55FFF14F"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56D9598F"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6B4DB86F" w14:textId="77777777" w:rsidR="00B55EED" w:rsidRPr="005E3B44" w:rsidRDefault="00B55EED">
            <w:pPr>
              <w:pStyle w:val="Normal2"/>
              <w:jc w:val="right"/>
              <w:rPr>
                <w:rFonts w:asciiTheme="minorHAnsi" w:eastAsia="Calibri" w:hAnsiTheme="minorHAnsi" w:cstheme="minorHAnsi"/>
                <w:b/>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1FA97356" w14:textId="77777777" w:rsidR="00B55EED" w:rsidRPr="005E3B44" w:rsidRDefault="00B55EED">
            <w:pPr>
              <w:pStyle w:val="Normal2"/>
              <w:jc w:val="right"/>
              <w:rPr>
                <w:rFonts w:asciiTheme="minorHAnsi" w:eastAsia="Calibri" w:hAnsiTheme="minorHAnsi" w:cstheme="minorHAnsi"/>
                <w:b/>
                <w:color w:val="000000"/>
                <w:sz w:val="18"/>
              </w:rPr>
            </w:pPr>
          </w:p>
        </w:tc>
      </w:tr>
    </w:tbl>
    <w:p w14:paraId="04AF963E" w14:textId="77777777" w:rsidR="00B55EED" w:rsidRPr="005E3B44" w:rsidRDefault="00B55EED" w:rsidP="00B55EED">
      <w:pPr>
        <w:pStyle w:val="BSbullet10"/>
        <w:numPr>
          <w:ilvl w:val="0"/>
          <w:numId w:val="0"/>
        </w:numPr>
        <w:ind w:left="357" w:hanging="357"/>
        <w:jc w:val="left"/>
        <w:rPr>
          <w:rFonts w:asciiTheme="minorHAnsi" w:hAnsiTheme="minorHAnsi" w:cstheme="minorHAnsi"/>
        </w:rPr>
      </w:pPr>
      <w:r w:rsidRPr="005E3B44">
        <w:rPr>
          <w:rFonts w:asciiTheme="minorHAnsi" w:hAnsiTheme="minorHAnsi" w:cstheme="minorHAnsi"/>
        </w:rPr>
        <w:t>Variations in the Statement of Changes in Equity are explained in the Operating Statement and Balance Sheet notes above.</w:t>
      </w:r>
    </w:p>
    <w:p w14:paraId="5F236EA9" w14:textId="77777777" w:rsidR="00B55EED" w:rsidRPr="005E3B44" w:rsidRDefault="00B55EED" w:rsidP="00B55EED">
      <w:pPr>
        <w:pStyle w:val="Heading42"/>
        <w:rPr>
          <w:rFonts w:asciiTheme="minorHAnsi" w:hAnsiTheme="minorHAnsi" w:cstheme="minorHAnsi"/>
          <w:color w:val="FF0000"/>
          <w:bdr w:val="none" w:sz="0" w:space="0" w:color="auto" w:frame="1"/>
        </w:rPr>
      </w:pPr>
    </w:p>
    <w:p w14:paraId="6D5934B0" w14:textId="77777777" w:rsidR="00B55EED" w:rsidRPr="005E3B44" w:rsidRDefault="00B55EED" w:rsidP="00B55EED">
      <w:pPr>
        <w:pStyle w:val="Caption"/>
        <w:pageBreakBefore/>
        <w:outlineLvl w:val="0"/>
        <w:rPr>
          <w:rFonts w:asciiTheme="minorHAnsi" w:hAnsiTheme="minorHAnsi" w:cstheme="minorHAnsi"/>
          <w:color w:val="auto"/>
          <w:bdr w:val="none" w:sz="0" w:space="0" w:color="auto" w:frame="1"/>
        </w:rPr>
      </w:pPr>
      <w:r w:rsidRPr="005E3B44">
        <w:rPr>
          <w:rFonts w:asciiTheme="minorHAnsi" w:hAnsiTheme="minorHAnsi" w:cstheme="minorHAnsi"/>
          <w:color w:val="auto"/>
          <w:bdr w:val="none" w:sz="0" w:space="0" w:color="auto" w:frame="1"/>
        </w:rPr>
        <w:lastRenderedPageBreak/>
        <w:t xml:space="preserve">Table 9: Legal Aid Commission (ACT): Cash Flow Statement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B55EED" w:rsidRPr="005E3B44" w14:paraId="25A40DE8" w14:textId="77777777" w:rsidTr="00B55EED">
        <w:trPr>
          <w:trHeight w:val="960"/>
        </w:trPr>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12474857"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2020-21 Budget            </w:t>
            </w:r>
          </w:p>
          <w:p w14:paraId="53AEE395" w14:textId="77777777" w:rsidR="00B55EED" w:rsidRPr="005E3B44" w:rsidRDefault="00B55EED">
            <w:pPr>
              <w:pStyle w:val="Normal3"/>
              <w:jc w:val="right"/>
              <w:rPr>
                <w:rFonts w:asciiTheme="minorHAnsi" w:eastAsia="Calibri" w:hAnsiTheme="minorHAnsi" w:cstheme="minorHAnsi"/>
                <w:b/>
                <w:color w:val="000000"/>
                <w:sz w:val="18"/>
              </w:rPr>
            </w:pPr>
          </w:p>
          <w:p w14:paraId="775DAAE2"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2385" w:type="dxa"/>
            <w:tcBorders>
              <w:top w:val="single" w:sz="4" w:space="0" w:color="000000"/>
              <w:left w:val="nil"/>
              <w:bottom w:val="single" w:sz="4" w:space="0" w:color="000000"/>
              <w:right w:val="nil"/>
            </w:tcBorders>
            <w:shd w:val="clear" w:color="auto" w:fill="FFFFFF"/>
            <w:tcMar>
              <w:top w:w="0" w:type="dxa"/>
              <w:left w:w="0" w:type="dxa"/>
              <w:bottom w:w="0" w:type="dxa"/>
              <w:right w:w="0" w:type="dxa"/>
            </w:tcMar>
          </w:tcPr>
          <w:p w14:paraId="5F71A58C" w14:textId="77777777" w:rsidR="00B55EED" w:rsidRPr="005E3B44" w:rsidRDefault="00B55EED">
            <w:pPr>
              <w:pStyle w:val="Normal3"/>
              <w:jc w:val="right"/>
              <w:rPr>
                <w:rFonts w:asciiTheme="minorHAnsi" w:eastAsia="Calibri" w:hAnsiTheme="minorHAnsi" w:cstheme="minorHAnsi"/>
                <w:b/>
                <w:color w:val="000000"/>
                <w:sz w:val="18"/>
              </w:rPr>
            </w:pP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25E8D908"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2020-21 Interim Outcome $'000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70DAD455"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2021-22 Budget            </w:t>
            </w:r>
          </w:p>
          <w:p w14:paraId="1610A536" w14:textId="77777777" w:rsidR="00B55EED" w:rsidRPr="005E3B44" w:rsidRDefault="00B55EED">
            <w:pPr>
              <w:pStyle w:val="Normal3"/>
              <w:jc w:val="right"/>
              <w:rPr>
                <w:rFonts w:asciiTheme="minorHAnsi" w:eastAsia="Calibri" w:hAnsiTheme="minorHAnsi" w:cstheme="minorHAnsi"/>
                <w:b/>
                <w:color w:val="000000"/>
                <w:sz w:val="18"/>
              </w:rPr>
            </w:pPr>
          </w:p>
          <w:p w14:paraId="179EC47D"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600"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hideMark/>
          </w:tcPr>
          <w:p w14:paraId="40E4A7E8"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Var </w:t>
            </w:r>
          </w:p>
          <w:p w14:paraId="1F0A4779"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6864BEC7"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2022-23 Estimate            </w:t>
            </w:r>
          </w:p>
          <w:p w14:paraId="7BF7BF9E" w14:textId="77777777" w:rsidR="00B55EED" w:rsidRPr="005E3B44" w:rsidRDefault="00B55EED">
            <w:pPr>
              <w:pStyle w:val="Normal3"/>
              <w:jc w:val="right"/>
              <w:rPr>
                <w:rFonts w:asciiTheme="minorHAnsi" w:eastAsia="Calibri" w:hAnsiTheme="minorHAnsi" w:cstheme="minorHAnsi"/>
                <w:b/>
                <w:color w:val="000000"/>
                <w:sz w:val="18"/>
              </w:rPr>
            </w:pPr>
          </w:p>
          <w:p w14:paraId="6A7EFCBE"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24B2F80A"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2023-24 Estimate            </w:t>
            </w:r>
          </w:p>
          <w:p w14:paraId="00E26A82" w14:textId="77777777" w:rsidR="00B55EED" w:rsidRPr="005E3B44" w:rsidRDefault="00B55EED">
            <w:pPr>
              <w:pStyle w:val="Normal3"/>
              <w:jc w:val="right"/>
              <w:rPr>
                <w:rFonts w:asciiTheme="minorHAnsi" w:eastAsia="Calibri" w:hAnsiTheme="minorHAnsi" w:cstheme="minorHAnsi"/>
                <w:b/>
                <w:color w:val="000000"/>
                <w:sz w:val="18"/>
              </w:rPr>
            </w:pPr>
          </w:p>
          <w:p w14:paraId="091CACA9"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c>
          <w:tcPr>
            <w:tcW w:w="1035" w:type="dxa"/>
            <w:tcBorders>
              <w:top w:val="single" w:sz="4" w:space="0" w:color="000000"/>
              <w:left w:val="nil"/>
              <w:bottom w:val="single" w:sz="4" w:space="0" w:color="000000"/>
              <w:right w:val="nil"/>
            </w:tcBorders>
            <w:shd w:val="clear" w:color="auto" w:fill="FFFFFF"/>
            <w:tcMar>
              <w:top w:w="0" w:type="dxa"/>
              <w:left w:w="101" w:type="dxa"/>
              <w:bottom w:w="0" w:type="dxa"/>
              <w:right w:w="101" w:type="dxa"/>
            </w:tcMar>
          </w:tcPr>
          <w:p w14:paraId="2C18820C"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2024-25 Estimate            </w:t>
            </w:r>
          </w:p>
          <w:p w14:paraId="4341E39C" w14:textId="77777777" w:rsidR="00B55EED" w:rsidRPr="005E3B44" w:rsidRDefault="00B55EED">
            <w:pPr>
              <w:pStyle w:val="Normal3"/>
              <w:jc w:val="right"/>
              <w:rPr>
                <w:rFonts w:asciiTheme="minorHAnsi" w:eastAsia="Calibri" w:hAnsiTheme="minorHAnsi" w:cstheme="minorHAnsi"/>
                <w:b/>
                <w:color w:val="000000"/>
                <w:sz w:val="18"/>
              </w:rPr>
            </w:pPr>
          </w:p>
          <w:p w14:paraId="51C5A050"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 $'000</w:t>
            </w:r>
          </w:p>
        </w:tc>
      </w:tr>
      <w:tr w:rsidR="00B55EED" w:rsidRPr="005E3B44" w14:paraId="2FCBF029" w14:textId="77777777" w:rsidTr="00B55EED">
        <w:trPr>
          <w:trHeight w:val="102"/>
        </w:trPr>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21B645E4" w14:textId="77777777" w:rsidR="00B55EED" w:rsidRPr="005E3B44" w:rsidRDefault="00B55EED">
            <w:pPr>
              <w:pStyle w:val="Normal3"/>
              <w:rPr>
                <w:rFonts w:asciiTheme="minorHAnsi" w:eastAsia="Calibri" w:hAnsiTheme="minorHAnsi" w:cstheme="minorHAnsi"/>
                <w:color w:val="000000"/>
                <w:sz w:val="18"/>
              </w:rPr>
            </w:pPr>
          </w:p>
        </w:tc>
        <w:tc>
          <w:tcPr>
            <w:tcW w:w="2385" w:type="dxa"/>
            <w:tcBorders>
              <w:top w:val="single" w:sz="4" w:space="0" w:color="000000"/>
              <w:left w:val="nil"/>
              <w:bottom w:val="nil"/>
              <w:right w:val="nil"/>
            </w:tcBorders>
            <w:shd w:val="clear" w:color="auto" w:fill="FFFFFF"/>
            <w:tcMar>
              <w:top w:w="0" w:type="dxa"/>
              <w:left w:w="0" w:type="dxa"/>
              <w:bottom w:w="0" w:type="dxa"/>
              <w:right w:w="0" w:type="dxa"/>
            </w:tcMar>
          </w:tcPr>
          <w:p w14:paraId="68A3EFAD"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742EB45C"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3ECA1892" w14:textId="77777777" w:rsidR="00B55EED" w:rsidRPr="005E3B44" w:rsidRDefault="00B55EED">
            <w:pPr>
              <w:pStyle w:val="Normal3"/>
              <w:rPr>
                <w:rFonts w:asciiTheme="minorHAnsi" w:eastAsia="Calibri" w:hAnsiTheme="minorHAnsi" w:cstheme="minorHAnsi"/>
                <w:color w:val="000000"/>
                <w:sz w:val="18"/>
              </w:rPr>
            </w:pPr>
          </w:p>
        </w:tc>
        <w:tc>
          <w:tcPr>
            <w:tcW w:w="600" w:type="dxa"/>
            <w:tcBorders>
              <w:top w:val="single" w:sz="4" w:space="0" w:color="000000"/>
              <w:left w:val="nil"/>
              <w:bottom w:val="nil"/>
              <w:right w:val="nil"/>
            </w:tcBorders>
            <w:shd w:val="clear" w:color="auto" w:fill="FFFFFF"/>
            <w:tcMar>
              <w:top w:w="0" w:type="dxa"/>
              <w:left w:w="0" w:type="dxa"/>
              <w:bottom w:w="0" w:type="dxa"/>
              <w:right w:w="0" w:type="dxa"/>
            </w:tcMar>
          </w:tcPr>
          <w:p w14:paraId="6A1D6949"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055D03F8"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5C6DEA87"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7FCB2809" w14:textId="77777777" w:rsidR="00B55EED" w:rsidRPr="005E3B44" w:rsidRDefault="00B55EED">
            <w:pPr>
              <w:pStyle w:val="Normal3"/>
              <w:rPr>
                <w:rFonts w:asciiTheme="minorHAnsi" w:eastAsia="Calibri" w:hAnsiTheme="minorHAnsi" w:cstheme="minorHAnsi"/>
                <w:color w:val="000000"/>
                <w:sz w:val="18"/>
              </w:rPr>
            </w:pPr>
          </w:p>
        </w:tc>
      </w:tr>
      <w:tr w:rsidR="00B55EED" w:rsidRPr="005E3B44" w14:paraId="04BDFC9A" w14:textId="77777777" w:rsidTr="00B55EED">
        <w:trPr>
          <w:trHeight w:val="240"/>
        </w:trPr>
        <w:tc>
          <w:tcPr>
            <w:tcW w:w="1035" w:type="dxa"/>
            <w:noWrap/>
            <w:tcMar>
              <w:top w:w="0" w:type="dxa"/>
              <w:left w:w="0" w:type="dxa"/>
              <w:bottom w:w="0" w:type="dxa"/>
              <w:right w:w="0" w:type="dxa"/>
            </w:tcMar>
          </w:tcPr>
          <w:p w14:paraId="3DC9175B" w14:textId="77777777" w:rsidR="00B55EED" w:rsidRPr="005E3B44" w:rsidRDefault="00B55EED">
            <w:pPr>
              <w:pStyle w:val="Normal3"/>
              <w:rPr>
                <w:rFonts w:asciiTheme="minorHAnsi" w:eastAsia="Calibri" w:hAnsiTheme="minorHAnsi" w:cstheme="minorHAnsi"/>
                <w:color w:val="000000"/>
                <w:sz w:val="18"/>
              </w:rPr>
            </w:pPr>
          </w:p>
        </w:tc>
        <w:tc>
          <w:tcPr>
            <w:tcW w:w="8160" w:type="dxa"/>
            <w:gridSpan w:val="7"/>
            <w:tcMar>
              <w:top w:w="0" w:type="dxa"/>
              <w:left w:w="101" w:type="dxa"/>
              <w:bottom w:w="0" w:type="dxa"/>
              <w:right w:w="101" w:type="dxa"/>
            </w:tcMar>
            <w:vAlign w:val="bottom"/>
            <w:hideMark/>
          </w:tcPr>
          <w:p w14:paraId="6691DC51" w14:textId="77777777" w:rsidR="00B55EED" w:rsidRPr="00A92584" w:rsidRDefault="00B55EED">
            <w:pPr>
              <w:pStyle w:val="Normal3"/>
              <w:rPr>
                <w:rFonts w:asciiTheme="minorHAnsi" w:eastAsia="Calibri" w:hAnsiTheme="minorHAnsi" w:cstheme="minorHAnsi"/>
                <w:b/>
                <w:bCs/>
                <w:color w:val="000000"/>
                <w:sz w:val="18"/>
              </w:rPr>
            </w:pPr>
            <w:r w:rsidRPr="00A92584">
              <w:rPr>
                <w:rFonts w:asciiTheme="minorHAnsi" w:eastAsia="Calibri" w:hAnsiTheme="minorHAnsi" w:cstheme="minorHAnsi"/>
                <w:b/>
                <w:bCs/>
                <w:color w:val="000000"/>
                <w:sz w:val="18"/>
              </w:rPr>
              <w:t>CASH FLOWS FROM OPERATING ACTIVITIES</w:t>
            </w:r>
          </w:p>
        </w:tc>
      </w:tr>
      <w:tr w:rsidR="00B55EED" w:rsidRPr="005E3B44" w14:paraId="7010176C" w14:textId="77777777" w:rsidTr="00B55EED">
        <w:trPr>
          <w:trHeight w:val="240"/>
        </w:trPr>
        <w:tc>
          <w:tcPr>
            <w:tcW w:w="1035" w:type="dxa"/>
            <w:shd w:val="clear" w:color="auto" w:fill="FFFFFF"/>
            <w:tcMar>
              <w:top w:w="0" w:type="dxa"/>
              <w:left w:w="0" w:type="dxa"/>
              <w:bottom w:w="0" w:type="dxa"/>
              <w:right w:w="0" w:type="dxa"/>
            </w:tcMar>
          </w:tcPr>
          <w:p w14:paraId="07904603" w14:textId="77777777" w:rsidR="00B55EED" w:rsidRPr="005E3B44" w:rsidRDefault="00B55EED">
            <w:pPr>
              <w:pStyle w:val="Normal3"/>
              <w:rPr>
                <w:rFonts w:asciiTheme="minorHAnsi" w:eastAsia="Calibri" w:hAnsiTheme="minorHAnsi" w:cstheme="minorHAnsi"/>
                <w:b/>
                <w:color w:val="000000"/>
                <w:sz w:val="18"/>
              </w:rPr>
            </w:pPr>
          </w:p>
        </w:tc>
        <w:tc>
          <w:tcPr>
            <w:tcW w:w="2385" w:type="dxa"/>
            <w:shd w:val="clear" w:color="auto" w:fill="FFFFFF"/>
            <w:tcMar>
              <w:top w:w="0" w:type="dxa"/>
              <w:left w:w="101" w:type="dxa"/>
              <w:bottom w:w="0" w:type="dxa"/>
              <w:right w:w="101" w:type="dxa"/>
            </w:tcMar>
            <w:hideMark/>
          </w:tcPr>
          <w:p w14:paraId="44DA9F0E"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Receipts</w:t>
            </w:r>
          </w:p>
        </w:tc>
        <w:tc>
          <w:tcPr>
            <w:tcW w:w="1035" w:type="dxa"/>
            <w:shd w:val="clear" w:color="auto" w:fill="FFFFFF"/>
            <w:tcMar>
              <w:top w:w="0" w:type="dxa"/>
              <w:left w:w="0" w:type="dxa"/>
              <w:bottom w:w="0" w:type="dxa"/>
              <w:right w:w="0" w:type="dxa"/>
            </w:tcMar>
          </w:tcPr>
          <w:p w14:paraId="1214BE3F"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40D3286A" w14:textId="77777777" w:rsidR="00B55EED" w:rsidRPr="005E3B44" w:rsidRDefault="00B55EED">
            <w:pPr>
              <w:pStyle w:val="Normal3"/>
              <w:rPr>
                <w:rFonts w:asciiTheme="minorHAnsi" w:eastAsia="Calibri" w:hAnsiTheme="minorHAnsi" w:cstheme="minorHAnsi"/>
                <w:b/>
                <w:color w:val="000000"/>
                <w:sz w:val="18"/>
              </w:rPr>
            </w:pPr>
          </w:p>
        </w:tc>
        <w:tc>
          <w:tcPr>
            <w:tcW w:w="600" w:type="dxa"/>
            <w:shd w:val="clear" w:color="auto" w:fill="FFFFFF"/>
            <w:tcMar>
              <w:top w:w="0" w:type="dxa"/>
              <w:left w:w="0" w:type="dxa"/>
              <w:bottom w:w="0" w:type="dxa"/>
              <w:right w:w="0" w:type="dxa"/>
            </w:tcMar>
          </w:tcPr>
          <w:p w14:paraId="7FC246D1"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5B23B7BC"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044C9239"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08924FE7" w14:textId="77777777" w:rsidR="00B55EED" w:rsidRPr="005E3B44" w:rsidRDefault="00B55EED">
            <w:pPr>
              <w:pStyle w:val="Normal3"/>
              <w:rPr>
                <w:rFonts w:asciiTheme="minorHAnsi" w:eastAsia="Calibri" w:hAnsiTheme="minorHAnsi" w:cstheme="minorHAnsi"/>
                <w:b/>
                <w:color w:val="000000"/>
                <w:sz w:val="18"/>
              </w:rPr>
            </w:pPr>
          </w:p>
        </w:tc>
      </w:tr>
      <w:tr w:rsidR="00B55EED" w:rsidRPr="005E3B44" w14:paraId="75B852BE" w14:textId="77777777" w:rsidTr="00B55EED">
        <w:trPr>
          <w:trHeight w:val="240"/>
        </w:trPr>
        <w:tc>
          <w:tcPr>
            <w:tcW w:w="1035" w:type="dxa"/>
            <w:shd w:val="clear" w:color="auto" w:fill="FFFFFF"/>
            <w:tcMar>
              <w:top w:w="0" w:type="dxa"/>
              <w:left w:w="101" w:type="dxa"/>
              <w:bottom w:w="0" w:type="dxa"/>
              <w:right w:w="101" w:type="dxa"/>
            </w:tcMar>
            <w:hideMark/>
          </w:tcPr>
          <w:p w14:paraId="345F8784" w14:textId="698A43D6"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408</w:t>
            </w:r>
          </w:p>
        </w:tc>
        <w:tc>
          <w:tcPr>
            <w:tcW w:w="2385" w:type="dxa"/>
            <w:noWrap/>
            <w:tcMar>
              <w:top w:w="0" w:type="dxa"/>
              <w:left w:w="101" w:type="dxa"/>
              <w:bottom w:w="0" w:type="dxa"/>
              <w:right w:w="101" w:type="dxa"/>
            </w:tcMar>
            <w:hideMark/>
          </w:tcPr>
          <w:p w14:paraId="4FDEA167"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Controlled Recurrent Payments</w:t>
            </w:r>
          </w:p>
        </w:tc>
        <w:tc>
          <w:tcPr>
            <w:tcW w:w="1035" w:type="dxa"/>
            <w:shd w:val="clear" w:color="auto" w:fill="FFFFFF"/>
            <w:tcMar>
              <w:top w:w="0" w:type="dxa"/>
              <w:left w:w="101" w:type="dxa"/>
              <w:bottom w:w="0" w:type="dxa"/>
              <w:right w:w="101" w:type="dxa"/>
            </w:tcMar>
            <w:hideMark/>
          </w:tcPr>
          <w:p w14:paraId="2AE2CD14" w14:textId="78594DBE"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408</w:t>
            </w:r>
          </w:p>
        </w:tc>
        <w:tc>
          <w:tcPr>
            <w:tcW w:w="1035" w:type="dxa"/>
            <w:shd w:val="clear" w:color="auto" w:fill="FFFFFF"/>
            <w:tcMar>
              <w:top w:w="0" w:type="dxa"/>
              <w:left w:w="101" w:type="dxa"/>
              <w:bottom w:w="0" w:type="dxa"/>
              <w:right w:w="101" w:type="dxa"/>
            </w:tcMar>
            <w:hideMark/>
          </w:tcPr>
          <w:p w14:paraId="59E237E1" w14:textId="15086C89"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443</w:t>
            </w:r>
          </w:p>
        </w:tc>
        <w:tc>
          <w:tcPr>
            <w:tcW w:w="600" w:type="dxa"/>
            <w:shd w:val="clear" w:color="auto" w:fill="FFFFFF"/>
            <w:tcMar>
              <w:top w:w="0" w:type="dxa"/>
              <w:left w:w="101" w:type="dxa"/>
              <w:bottom w:w="0" w:type="dxa"/>
              <w:right w:w="101" w:type="dxa"/>
            </w:tcMar>
            <w:hideMark/>
          </w:tcPr>
          <w:p w14:paraId="568694BE"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14 </w:t>
            </w:r>
          </w:p>
        </w:tc>
        <w:tc>
          <w:tcPr>
            <w:tcW w:w="1035" w:type="dxa"/>
            <w:shd w:val="clear" w:color="auto" w:fill="FFFFFF"/>
            <w:tcMar>
              <w:top w:w="0" w:type="dxa"/>
              <w:left w:w="101" w:type="dxa"/>
              <w:bottom w:w="0" w:type="dxa"/>
              <w:right w:w="101" w:type="dxa"/>
            </w:tcMar>
            <w:hideMark/>
          </w:tcPr>
          <w:p w14:paraId="04052D58" w14:textId="7F3876A4"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306</w:t>
            </w:r>
          </w:p>
        </w:tc>
        <w:tc>
          <w:tcPr>
            <w:tcW w:w="1035" w:type="dxa"/>
            <w:shd w:val="clear" w:color="auto" w:fill="FFFFFF"/>
            <w:tcMar>
              <w:top w:w="0" w:type="dxa"/>
              <w:left w:w="101" w:type="dxa"/>
              <w:bottom w:w="0" w:type="dxa"/>
              <w:right w:w="101" w:type="dxa"/>
            </w:tcMar>
            <w:hideMark/>
          </w:tcPr>
          <w:p w14:paraId="55A94729" w14:textId="342C7E98"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139</w:t>
            </w:r>
          </w:p>
        </w:tc>
        <w:tc>
          <w:tcPr>
            <w:tcW w:w="1035" w:type="dxa"/>
            <w:shd w:val="clear" w:color="auto" w:fill="FFFFFF"/>
            <w:tcMar>
              <w:top w:w="0" w:type="dxa"/>
              <w:left w:w="101" w:type="dxa"/>
              <w:bottom w:w="0" w:type="dxa"/>
              <w:right w:w="101" w:type="dxa"/>
            </w:tcMar>
            <w:hideMark/>
          </w:tcPr>
          <w:p w14:paraId="5A1BC097" w14:textId="2A01615D"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325</w:t>
            </w:r>
          </w:p>
        </w:tc>
      </w:tr>
      <w:tr w:rsidR="00B55EED" w:rsidRPr="005E3B44" w14:paraId="04AAE6B2" w14:textId="77777777" w:rsidTr="00B55EED">
        <w:trPr>
          <w:trHeight w:val="240"/>
        </w:trPr>
        <w:tc>
          <w:tcPr>
            <w:tcW w:w="1035" w:type="dxa"/>
            <w:shd w:val="clear" w:color="auto" w:fill="FFFFFF"/>
            <w:tcMar>
              <w:top w:w="0" w:type="dxa"/>
              <w:left w:w="101" w:type="dxa"/>
              <w:bottom w:w="0" w:type="dxa"/>
              <w:right w:w="101" w:type="dxa"/>
            </w:tcMar>
            <w:hideMark/>
          </w:tcPr>
          <w:p w14:paraId="3B4B46D3" w14:textId="120105F4"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782</w:t>
            </w:r>
          </w:p>
        </w:tc>
        <w:tc>
          <w:tcPr>
            <w:tcW w:w="2385" w:type="dxa"/>
            <w:noWrap/>
            <w:tcMar>
              <w:top w:w="0" w:type="dxa"/>
              <w:left w:w="101" w:type="dxa"/>
              <w:bottom w:w="0" w:type="dxa"/>
              <w:right w:w="101" w:type="dxa"/>
            </w:tcMar>
            <w:hideMark/>
          </w:tcPr>
          <w:p w14:paraId="51E8D39C"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Sale of Goods and Services from Contracts with Customers</w:t>
            </w:r>
          </w:p>
        </w:tc>
        <w:tc>
          <w:tcPr>
            <w:tcW w:w="1035" w:type="dxa"/>
            <w:shd w:val="clear" w:color="auto" w:fill="FFFFFF"/>
            <w:tcMar>
              <w:top w:w="0" w:type="dxa"/>
              <w:left w:w="101" w:type="dxa"/>
              <w:bottom w:w="0" w:type="dxa"/>
              <w:right w:w="101" w:type="dxa"/>
            </w:tcMar>
            <w:hideMark/>
          </w:tcPr>
          <w:p w14:paraId="6C0AE208" w14:textId="4C4E1AF6"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795</w:t>
            </w:r>
          </w:p>
        </w:tc>
        <w:tc>
          <w:tcPr>
            <w:tcW w:w="1035" w:type="dxa"/>
            <w:shd w:val="clear" w:color="auto" w:fill="FFFFFF"/>
            <w:tcMar>
              <w:top w:w="0" w:type="dxa"/>
              <w:left w:w="101" w:type="dxa"/>
              <w:bottom w:w="0" w:type="dxa"/>
              <w:right w:w="101" w:type="dxa"/>
            </w:tcMar>
            <w:hideMark/>
          </w:tcPr>
          <w:p w14:paraId="788E4F5A" w14:textId="6B6D277B"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604</w:t>
            </w:r>
          </w:p>
        </w:tc>
        <w:tc>
          <w:tcPr>
            <w:tcW w:w="600" w:type="dxa"/>
            <w:shd w:val="clear" w:color="auto" w:fill="FFFFFF"/>
            <w:tcMar>
              <w:top w:w="0" w:type="dxa"/>
              <w:left w:w="101" w:type="dxa"/>
              <w:bottom w:w="0" w:type="dxa"/>
              <w:right w:w="101" w:type="dxa"/>
            </w:tcMar>
            <w:hideMark/>
          </w:tcPr>
          <w:p w14:paraId="0687390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-43 </w:t>
            </w:r>
          </w:p>
        </w:tc>
        <w:tc>
          <w:tcPr>
            <w:tcW w:w="1035" w:type="dxa"/>
            <w:shd w:val="clear" w:color="auto" w:fill="FFFFFF"/>
            <w:tcMar>
              <w:top w:w="0" w:type="dxa"/>
              <w:left w:w="101" w:type="dxa"/>
              <w:bottom w:w="0" w:type="dxa"/>
              <w:right w:w="101" w:type="dxa"/>
            </w:tcMar>
            <w:hideMark/>
          </w:tcPr>
          <w:p w14:paraId="0CA40C87" w14:textId="55908AE6"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184</w:t>
            </w:r>
          </w:p>
        </w:tc>
        <w:tc>
          <w:tcPr>
            <w:tcW w:w="1035" w:type="dxa"/>
            <w:shd w:val="clear" w:color="auto" w:fill="FFFFFF"/>
            <w:tcMar>
              <w:top w:w="0" w:type="dxa"/>
              <w:left w:w="101" w:type="dxa"/>
              <w:bottom w:w="0" w:type="dxa"/>
              <w:right w:w="101" w:type="dxa"/>
            </w:tcMar>
            <w:hideMark/>
          </w:tcPr>
          <w:p w14:paraId="0C814CFF"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692</w:t>
            </w:r>
          </w:p>
        </w:tc>
        <w:tc>
          <w:tcPr>
            <w:tcW w:w="1035" w:type="dxa"/>
            <w:shd w:val="clear" w:color="auto" w:fill="FFFFFF"/>
            <w:tcMar>
              <w:top w:w="0" w:type="dxa"/>
              <w:left w:w="101" w:type="dxa"/>
              <w:bottom w:w="0" w:type="dxa"/>
              <w:right w:w="101" w:type="dxa"/>
            </w:tcMar>
            <w:hideMark/>
          </w:tcPr>
          <w:p w14:paraId="57737DB8"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710</w:t>
            </w:r>
          </w:p>
        </w:tc>
      </w:tr>
      <w:tr w:rsidR="00B55EED" w:rsidRPr="005E3B44" w14:paraId="50A0A6D5" w14:textId="77777777" w:rsidTr="00B55EED">
        <w:trPr>
          <w:trHeight w:val="240"/>
        </w:trPr>
        <w:tc>
          <w:tcPr>
            <w:tcW w:w="1035" w:type="dxa"/>
            <w:shd w:val="clear" w:color="auto" w:fill="FFFFFF"/>
            <w:tcMar>
              <w:top w:w="0" w:type="dxa"/>
              <w:left w:w="101" w:type="dxa"/>
              <w:bottom w:w="0" w:type="dxa"/>
              <w:right w:w="101" w:type="dxa"/>
            </w:tcMar>
            <w:hideMark/>
          </w:tcPr>
          <w:p w14:paraId="2B60EEE4"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937</w:t>
            </w:r>
          </w:p>
        </w:tc>
        <w:tc>
          <w:tcPr>
            <w:tcW w:w="2385" w:type="dxa"/>
            <w:noWrap/>
            <w:tcMar>
              <w:top w:w="0" w:type="dxa"/>
              <w:left w:w="101" w:type="dxa"/>
              <w:bottom w:w="0" w:type="dxa"/>
              <w:right w:w="101" w:type="dxa"/>
            </w:tcMar>
            <w:hideMark/>
          </w:tcPr>
          <w:p w14:paraId="40B96B75"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Contributions</w:t>
            </w:r>
          </w:p>
        </w:tc>
        <w:tc>
          <w:tcPr>
            <w:tcW w:w="1035" w:type="dxa"/>
            <w:shd w:val="clear" w:color="auto" w:fill="FFFFFF"/>
            <w:tcMar>
              <w:top w:w="0" w:type="dxa"/>
              <w:left w:w="101" w:type="dxa"/>
              <w:bottom w:w="0" w:type="dxa"/>
              <w:right w:w="101" w:type="dxa"/>
            </w:tcMar>
            <w:hideMark/>
          </w:tcPr>
          <w:p w14:paraId="245C3E0C" w14:textId="252D8514"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686</w:t>
            </w:r>
          </w:p>
        </w:tc>
        <w:tc>
          <w:tcPr>
            <w:tcW w:w="1035" w:type="dxa"/>
            <w:shd w:val="clear" w:color="auto" w:fill="FFFFFF"/>
            <w:tcMar>
              <w:top w:w="0" w:type="dxa"/>
              <w:left w:w="101" w:type="dxa"/>
              <w:bottom w:w="0" w:type="dxa"/>
              <w:right w:w="101" w:type="dxa"/>
            </w:tcMar>
            <w:hideMark/>
          </w:tcPr>
          <w:p w14:paraId="01C52456"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626</w:t>
            </w:r>
          </w:p>
        </w:tc>
        <w:tc>
          <w:tcPr>
            <w:tcW w:w="600" w:type="dxa"/>
            <w:shd w:val="clear" w:color="auto" w:fill="FFFFFF"/>
            <w:tcMar>
              <w:top w:w="0" w:type="dxa"/>
              <w:left w:w="101" w:type="dxa"/>
              <w:bottom w:w="0" w:type="dxa"/>
              <w:right w:w="101" w:type="dxa"/>
            </w:tcMar>
            <w:hideMark/>
          </w:tcPr>
          <w:p w14:paraId="030F9FC8"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-63 </w:t>
            </w:r>
          </w:p>
        </w:tc>
        <w:tc>
          <w:tcPr>
            <w:tcW w:w="1035" w:type="dxa"/>
            <w:shd w:val="clear" w:color="auto" w:fill="FFFFFF"/>
            <w:tcMar>
              <w:top w:w="0" w:type="dxa"/>
              <w:left w:w="101" w:type="dxa"/>
              <w:bottom w:w="0" w:type="dxa"/>
              <w:right w:w="101" w:type="dxa"/>
            </w:tcMar>
            <w:hideMark/>
          </w:tcPr>
          <w:p w14:paraId="09717967"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632</w:t>
            </w:r>
          </w:p>
        </w:tc>
        <w:tc>
          <w:tcPr>
            <w:tcW w:w="1035" w:type="dxa"/>
            <w:shd w:val="clear" w:color="auto" w:fill="FFFFFF"/>
            <w:tcMar>
              <w:top w:w="0" w:type="dxa"/>
              <w:left w:w="101" w:type="dxa"/>
              <w:bottom w:w="0" w:type="dxa"/>
              <w:right w:w="101" w:type="dxa"/>
            </w:tcMar>
            <w:hideMark/>
          </w:tcPr>
          <w:p w14:paraId="614B224D"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640</w:t>
            </w:r>
          </w:p>
        </w:tc>
        <w:tc>
          <w:tcPr>
            <w:tcW w:w="1035" w:type="dxa"/>
            <w:shd w:val="clear" w:color="auto" w:fill="FFFFFF"/>
            <w:tcMar>
              <w:top w:w="0" w:type="dxa"/>
              <w:left w:w="101" w:type="dxa"/>
              <w:bottom w:w="0" w:type="dxa"/>
              <w:right w:w="101" w:type="dxa"/>
            </w:tcMar>
            <w:hideMark/>
          </w:tcPr>
          <w:p w14:paraId="1A6FDDE7"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587</w:t>
            </w:r>
          </w:p>
        </w:tc>
      </w:tr>
      <w:tr w:rsidR="00B55EED" w:rsidRPr="005E3B44" w14:paraId="64E448F0" w14:textId="77777777" w:rsidTr="00B55EED">
        <w:trPr>
          <w:trHeight w:val="240"/>
        </w:trPr>
        <w:tc>
          <w:tcPr>
            <w:tcW w:w="1035" w:type="dxa"/>
            <w:shd w:val="clear" w:color="auto" w:fill="FFFFFF"/>
            <w:tcMar>
              <w:top w:w="0" w:type="dxa"/>
              <w:left w:w="101" w:type="dxa"/>
              <w:bottom w:w="0" w:type="dxa"/>
              <w:right w:w="101" w:type="dxa"/>
            </w:tcMar>
            <w:hideMark/>
          </w:tcPr>
          <w:p w14:paraId="3E2D10E5"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101</w:t>
            </w:r>
          </w:p>
        </w:tc>
        <w:tc>
          <w:tcPr>
            <w:tcW w:w="2385" w:type="dxa"/>
            <w:noWrap/>
            <w:tcMar>
              <w:top w:w="0" w:type="dxa"/>
              <w:left w:w="101" w:type="dxa"/>
              <w:bottom w:w="0" w:type="dxa"/>
              <w:right w:w="101" w:type="dxa"/>
            </w:tcMar>
            <w:hideMark/>
          </w:tcPr>
          <w:p w14:paraId="61EE0106"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Interest Received</w:t>
            </w:r>
          </w:p>
        </w:tc>
        <w:tc>
          <w:tcPr>
            <w:tcW w:w="1035" w:type="dxa"/>
            <w:shd w:val="clear" w:color="auto" w:fill="FFFFFF"/>
            <w:tcMar>
              <w:top w:w="0" w:type="dxa"/>
              <w:left w:w="101" w:type="dxa"/>
              <w:bottom w:w="0" w:type="dxa"/>
              <w:right w:w="101" w:type="dxa"/>
            </w:tcMar>
            <w:hideMark/>
          </w:tcPr>
          <w:p w14:paraId="02AA293C"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103</w:t>
            </w:r>
          </w:p>
        </w:tc>
        <w:tc>
          <w:tcPr>
            <w:tcW w:w="1035" w:type="dxa"/>
            <w:shd w:val="clear" w:color="auto" w:fill="FFFFFF"/>
            <w:tcMar>
              <w:top w:w="0" w:type="dxa"/>
              <w:left w:w="101" w:type="dxa"/>
              <w:bottom w:w="0" w:type="dxa"/>
              <w:right w:w="101" w:type="dxa"/>
            </w:tcMar>
            <w:hideMark/>
          </w:tcPr>
          <w:p w14:paraId="54FCA568"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96</w:t>
            </w:r>
          </w:p>
        </w:tc>
        <w:tc>
          <w:tcPr>
            <w:tcW w:w="600" w:type="dxa"/>
            <w:shd w:val="clear" w:color="auto" w:fill="FFFFFF"/>
            <w:tcMar>
              <w:top w:w="0" w:type="dxa"/>
              <w:left w:w="101" w:type="dxa"/>
              <w:bottom w:w="0" w:type="dxa"/>
              <w:right w:w="101" w:type="dxa"/>
            </w:tcMar>
            <w:hideMark/>
          </w:tcPr>
          <w:p w14:paraId="7B6272FA"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-7 </w:t>
            </w:r>
          </w:p>
        </w:tc>
        <w:tc>
          <w:tcPr>
            <w:tcW w:w="1035" w:type="dxa"/>
            <w:shd w:val="clear" w:color="auto" w:fill="FFFFFF"/>
            <w:tcMar>
              <w:top w:w="0" w:type="dxa"/>
              <w:left w:w="101" w:type="dxa"/>
              <w:bottom w:w="0" w:type="dxa"/>
              <w:right w:w="101" w:type="dxa"/>
            </w:tcMar>
            <w:hideMark/>
          </w:tcPr>
          <w:p w14:paraId="0AE1DCC1"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98</w:t>
            </w:r>
          </w:p>
        </w:tc>
        <w:tc>
          <w:tcPr>
            <w:tcW w:w="1035" w:type="dxa"/>
            <w:shd w:val="clear" w:color="auto" w:fill="FFFFFF"/>
            <w:tcMar>
              <w:top w:w="0" w:type="dxa"/>
              <w:left w:w="101" w:type="dxa"/>
              <w:bottom w:w="0" w:type="dxa"/>
              <w:right w:w="101" w:type="dxa"/>
            </w:tcMar>
            <w:hideMark/>
          </w:tcPr>
          <w:p w14:paraId="15DE9C60"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100</w:t>
            </w:r>
          </w:p>
        </w:tc>
        <w:tc>
          <w:tcPr>
            <w:tcW w:w="1035" w:type="dxa"/>
            <w:shd w:val="clear" w:color="auto" w:fill="FFFFFF"/>
            <w:tcMar>
              <w:top w:w="0" w:type="dxa"/>
              <w:left w:w="101" w:type="dxa"/>
              <w:bottom w:w="0" w:type="dxa"/>
              <w:right w:w="101" w:type="dxa"/>
            </w:tcMar>
            <w:hideMark/>
          </w:tcPr>
          <w:p w14:paraId="1821D490"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102</w:t>
            </w:r>
          </w:p>
        </w:tc>
      </w:tr>
      <w:tr w:rsidR="00B55EED" w:rsidRPr="005E3B44" w14:paraId="2D6B5623" w14:textId="77777777" w:rsidTr="00B55EED">
        <w:trPr>
          <w:trHeight w:val="240"/>
        </w:trPr>
        <w:tc>
          <w:tcPr>
            <w:tcW w:w="1035" w:type="dxa"/>
            <w:shd w:val="clear" w:color="auto" w:fill="FFFFFF"/>
            <w:tcMar>
              <w:top w:w="0" w:type="dxa"/>
              <w:left w:w="101" w:type="dxa"/>
              <w:bottom w:w="0" w:type="dxa"/>
              <w:right w:w="101" w:type="dxa"/>
            </w:tcMar>
            <w:hideMark/>
          </w:tcPr>
          <w:p w14:paraId="24CF1AF9"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noWrap/>
            <w:tcMar>
              <w:top w:w="0" w:type="dxa"/>
              <w:left w:w="101" w:type="dxa"/>
              <w:bottom w:w="0" w:type="dxa"/>
              <w:right w:w="101" w:type="dxa"/>
            </w:tcMar>
            <w:hideMark/>
          </w:tcPr>
          <w:p w14:paraId="384A78A2"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Goods and Services Tax Input Tax Credits from the Australian Taxation Office</w:t>
            </w:r>
          </w:p>
        </w:tc>
        <w:tc>
          <w:tcPr>
            <w:tcW w:w="1035" w:type="dxa"/>
            <w:shd w:val="clear" w:color="auto" w:fill="FFFFFF"/>
            <w:tcMar>
              <w:top w:w="0" w:type="dxa"/>
              <w:left w:w="101" w:type="dxa"/>
              <w:bottom w:w="0" w:type="dxa"/>
              <w:right w:w="101" w:type="dxa"/>
            </w:tcMar>
            <w:hideMark/>
          </w:tcPr>
          <w:p w14:paraId="1C029ED8"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269</w:t>
            </w:r>
          </w:p>
        </w:tc>
        <w:tc>
          <w:tcPr>
            <w:tcW w:w="1035" w:type="dxa"/>
            <w:shd w:val="clear" w:color="auto" w:fill="FFFFFF"/>
            <w:tcMar>
              <w:top w:w="0" w:type="dxa"/>
              <w:left w:w="101" w:type="dxa"/>
              <w:bottom w:w="0" w:type="dxa"/>
              <w:right w:w="101" w:type="dxa"/>
            </w:tcMar>
            <w:hideMark/>
          </w:tcPr>
          <w:p w14:paraId="2B947C97"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600" w:type="dxa"/>
            <w:shd w:val="clear" w:color="auto" w:fill="FFFFFF"/>
            <w:tcMar>
              <w:top w:w="0" w:type="dxa"/>
              <w:left w:w="101" w:type="dxa"/>
              <w:bottom w:w="0" w:type="dxa"/>
              <w:right w:w="101" w:type="dxa"/>
            </w:tcMar>
            <w:hideMark/>
          </w:tcPr>
          <w:p w14:paraId="7A7C8891"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49 </w:t>
            </w:r>
          </w:p>
        </w:tc>
        <w:tc>
          <w:tcPr>
            <w:tcW w:w="1035" w:type="dxa"/>
            <w:shd w:val="clear" w:color="auto" w:fill="FFFFFF"/>
            <w:tcMar>
              <w:top w:w="0" w:type="dxa"/>
              <w:left w:w="101" w:type="dxa"/>
              <w:bottom w:w="0" w:type="dxa"/>
              <w:right w:w="101" w:type="dxa"/>
            </w:tcMar>
            <w:hideMark/>
          </w:tcPr>
          <w:p w14:paraId="1690091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1035" w:type="dxa"/>
            <w:shd w:val="clear" w:color="auto" w:fill="FFFFFF"/>
            <w:tcMar>
              <w:top w:w="0" w:type="dxa"/>
              <w:left w:w="101" w:type="dxa"/>
              <w:bottom w:w="0" w:type="dxa"/>
              <w:right w:w="101" w:type="dxa"/>
            </w:tcMar>
            <w:hideMark/>
          </w:tcPr>
          <w:p w14:paraId="2EBA0FF9"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c>
          <w:tcPr>
            <w:tcW w:w="1035" w:type="dxa"/>
            <w:shd w:val="clear" w:color="auto" w:fill="FFFFFF"/>
            <w:tcMar>
              <w:top w:w="0" w:type="dxa"/>
              <w:left w:w="101" w:type="dxa"/>
              <w:bottom w:w="0" w:type="dxa"/>
              <w:right w:w="101" w:type="dxa"/>
            </w:tcMar>
            <w:hideMark/>
          </w:tcPr>
          <w:p w14:paraId="3303A205"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400</w:t>
            </w:r>
          </w:p>
        </w:tc>
      </w:tr>
      <w:tr w:rsidR="00B55EED" w:rsidRPr="005E3B44" w14:paraId="16369A37" w14:textId="77777777" w:rsidTr="00B55EED">
        <w:trPr>
          <w:trHeight w:val="240"/>
        </w:trPr>
        <w:tc>
          <w:tcPr>
            <w:tcW w:w="1035" w:type="dxa"/>
            <w:shd w:val="clear" w:color="auto" w:fill="FFFFFF"/>
            <w:tcMar>
              <w:top w:w="0" w:type="dxa"/>
              <w:left w:w="101" w:type="dxa"/>
              <w:bottom w:w="0" w:type="dxa"/>
              <w:right w:w="101" w:type="dxa"/>
            </w:tcMar>
            <w:hideMark/>
          </w:tcPr>
          <w:p w14:paraId="09D438A9"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2385" w:type="dxa"/>
            <w:noWrap/>
            <w:tcMar>
              <w:top w:w="0" w:type="dxa"/>
              <w:left w:w="101" w:type="dxa"/>
              <w:bottom w:w="0" w:type="dxa"/>
              <w:right w:w="101" w:type="dxa"/>
            </w:tcMar>
            <w:hideMark/>
          </w:tcPr>
          <w:p w14:paraId="2D8E6ADC"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Goods and Services Tax Collected from Customers</w:t>
            </w:r>
          </w:p>
        </w:tc>
        <w:tc>
          <w:tcPr>
            <w:tcW w:w="1035" w:type="dxa"/>
            <w:shd w:val="clear" w:color="auto" w:fill="FFFFFF"/>
            <w:tcMar>
              <w:top w:w="0" w:type="dxa"/>
              <w:left w:w="101" w:type="dxa"/>
              <w:bottom w:w="0" w:type="dxa"/>
              <w:right w:w="101" w:type="dxa"/>
            </w:tcMar>
            <w:hideMark/>
          </w:tcPr>
          <w:p w14:paraId="4BA64DFE"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294</w:t>
            </w:r>
          </w:p>
        </w:tc>
        <w:tc>
          <w:tcPr>
            <w:tcW w:w="1035" w:type="dxa"/>
            <w:shd w:val="clear" w:color="auto" w:fill="FFFFFF"/>
            <w:tcMar>
              <w:top w:w="0" w:type="dxa"/>
              <w:left w:w="101" w:type="dxa"/>
              <w:bottom w:w="0" w:type="dxa"/>
              <w:right w:w="101" w:type="dxa"/>
            </w:tcMar>
            <w:hideMark/>
          </w:tcPr>
          <w:p w14:paraId="460ADB78"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c>
          <w:tcPr>
            <w:tcW w:w="600" w:type="dxa"/>
            <w:shd w:val="clear" w:color="auto" w:fill="FFFFFF"/>
            <w:tcMar>
              <w:top w:w="0" w:type="dxa"/>
              <w:left w:w="101" w:type="dxa"/>
              <w:bottom w:w="0" w:type="dxa"/>
              <w:right w:w="101" w:type="dxa"/>
            </w:tcMar>
            <w:hideMark/>
          </w:tcPr>
          <w:p w14:paraId="29926E66"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-63 </w:t>
            </w:r>
          </w:p>
        </w:tc>
        <w:tc>
          <w:tcPr>
            <w:tcW w:w="1035" w:type="dxa"/>
            <w:shd w:val="clear" w:color="auto" w:fill="FFFFFF"/>
            <w:tcMar>
              <w:top w:w="0" w:type="dxa"/>
              <w:left w:w="101" w:type="dxa"/>
              <w:bottom w:w="0" w:type="dxa"/>
              <w:right w:w="101" w:type="dxa"/>
            </w:tcMar>
            <w:hideMark/>
          </w:tcPr>
          <w:p w14:paraId="71A216C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c>
          <w:tcPr>
            <w:tcW w:w="1035" w:type="dxa"/>
            <w:shd w:val="clear" w:color="auto" w:fill="FFFFFF"/>
            <w:tcMar>
              <w:top w:w="0" w:type="dxa"/>
              <w:left w:w="101" w:type="dxa"/>
              <w:bottom w:w="0" w:type="dxa"/>
              <w:right w:w="101" w:type="dxa"/>
            </w:tcMar>
            <w:hideMark/>
          </w:tcPr>
          <w:p w14:paraId="72515E7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c>
          <w:tcPr>
            <w:tcW w:w="1035" w:type="dxa"/>
            <w:shd w:val="clear" w:color="auto" w:fill="FFFFFF"/>
            <w:tcMar>
              <w:top w:w="0" w:type="dxa"/>
              <w:left w:w="101" w:type="dxa"/>
              <w:bottom w:w="0" w:type="dxa"/>
              <w:right w:w="101" w:type="dxa"/>
            </w:tcMar>
            <w:hideMark/>
          </w:tcPr>
          <w:p w14:paraId="36A294E3"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110</w:t>
            </w:r>
          </w:p>
        </w:tc>
      </w:tr>
      <w:tr w:rsidR="00B55EED" w:rsidRPr="005E3B44" w14:paraId="6EEA78C9" w14:textId="77777777" w:rsidTr="00B55EED">
        <w:trPr>
          <w:trHeight w:val="240"/>
        </w:trPr>
        <w:tc>
          <w:tcPr>
            <w:tcW w:w="1035" w:type="dxa"/>
            <w:shd w:val="clear" w:color="auto" w:fill="FFFFFF"/>
            <w:tcMar>
              <w:top w:w="0" w:type="dxa"/>
              <w:left w:w="101" w:type="dxa"/>
              <w:bottom w:w="0" w:type="dxa"/>
              <w:right w:w="101" w:type="dxa"/>
            </w:tcMar>
            <w:hideMark/>
          </w:tcPr>
          <w:p w14:paraId="47C6E9FA"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2385" w:type="dxa"/>
            <w:noWrap/>
            <w:tcMar>
              <w:top w:w="0" w:type="dxa"/>
              <w:left w:w="101" w:type="dxa"/>
              <w:bottom w:w="0" w:type="dxa"/>
              <w:right w:w="101" w:type="dxa"/>
            </w:tcMar>
            <w:hideMark/>
          </w:tcPr>
          <w:p w14:paraId="350AE5ED"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w:t>
            </w:r>
          </w:p>
        </w:tc>
        <w:tc>
          <w:tcPr>
            <w:tcW w:w="1035" w:type="dxa"/>
            <w:shd w:val="clear" w:color="auto" w:fill="FFFFFF"/>
            <w:tcMar>
              <w:top w:w="0" w:type="dxa"/>
              <w:left w:w="101" w:type="dxa"/>
              <w:bottom w:w="0" w:type="dxa"/>
              <w:right w:w="101" w:type="dxa"/>
            </w:tcMar>
            <w:hideMark/>
          </w:tcPr>
          <w:p w14:paraId="7E238139"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12</w:t>
            </w:r>
          </w:p>
        </w:tc>
        <w:tc>
          <w:tcPr>
            <w:tcW w:w="1035" w:type="dxa"/>
            <w:shd w:val="clear" w:color="auto" w:fill="FFFFFF"/>
            <w:tcMar>
              <w:top w:w="0" w:type="dxa"/>
              <w:left w:w="101" w:type="dxa"/>
              <w:bottom w:w="0" w:type="dxa"/>
              <w:right w:w="101" w:type="dxa"/>
            </w:tcMar>
            <w:hideMark/>
          </w:tcPr>
          <w:p w14:paraId="33215687"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w:t>
            </w:r>
          </w:p>
        </w:tc>
        <w:tc>
          <w:tcPr>
            <w:tcW w:w="600" w:type="dxa"/>
            <w:shd w:val="clear" w:color="auto" w:fill="FFFFFF"/>
            <w:tcMar>
              <w:top w:w="0" w:type="dxa"/>
              <w:left w:w="101" w:type="dxa"/>
              <w:bottom w:w="0" w:type="dxa"/>
              <w:right w:w="101" w:type="dxa"/>
            </w:tcMar>
            <w:hideMark/>
          </w:tcPr>
          <w:p w14:paraId="21014566"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-67 </w:t>
            </w:r>
          </w:p>
        </w:tc>
        <w:tc>
          <w:tcPr>
            <w:tcW w:w="1035" w:type="dxa"/>
            <w:shd w:val="clear" w:color="auto" w:fill="FFFFFF"/>
            <w:tcMar>
              <w:top w:w="0" w:type="dxa"/>
              <w:left w:w="101" w:type="dxa"/>
              <w:bottom w:w="0" w:type="dxa"/>
              <w:right w:w="101" w:type="dxa"/>
            </w:tcMar>
            <w:hideMark/>
          </w:tcPr>
          <w:p w14:paraId="48D0110D"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p>
        </w:tc>
        <w:tc>
          <w:tcPr>
            <w:tcW w:w="1035" w:type="dxa"/>
            <w:shd w:val="clear" w:color="auto" w:fill="FFFFFF"/>
            <w:tcMar>
              <w:top w:w="0" w:type="dxa"/>
              <w:left w:w="101" w:type="dxa"/>
              <w:bottom w:w="0" w:type="dxa"/>
              <w:right w:w="101" w:type="dxa"/>
            </w:tcMar>
            <w:hideMark/>
          </w:tcPr>
          <w:p w14:paraId="712B05FF"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p>
        </w:tc>
        <w:tc>
          <w:tcPr>
            <w:tcW w:w="1035" w:type="dxa"/>
            <w:shd w:val="clear" w:color="auto" w:fill="FFFFFF"/>
            <w:tcMar>
              <w:top w:w="0" w:type="dxa"/>
              <w:left w:w="101" w:type="dxa"/>
              <w:bottom w:w="0" w:type="dxa"/>
              <w:right w:w="101" w:type="dxa"/>
            </w:tcMar>
            <w:hideMark/>
          </w:tcPr>
          <w:p w14:paraId="1A920585"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p>
        </w:tc>
      </w:tr>
      <w:tr w:rsidR="00B55EED" w:rsidRPr="005E3B44" w14:paraId="7DCF9390" w14:textId="77777777" w:rsidTr="00B55EED">
        <w:trPr>
          <w:trHeight w:val="240"/>
        </w:trPr>
        <w:tc>
          <w:tcPr>
            <w:tcW w:w="1035" w:type="dxa"/>
            <w:shd w:val="clear" w:color="auto" w:fill="FFFFFF"/>
            <w:tcMar>
              <w:top w:w="0" w:type="dxa"/>
              <w:left w:w="101" w:type="dxa"/>
              <w:bottom w:w="0" w:type="dxa"/>
              <w:right w:w="101" w:type="dxa"/>
            </w:tcMar>
            <w:hideMark/>
          </w:tcPr>
          <w:p w14:paraId="34289D13" w14:textId="5E571CD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738</w:t>
            </w:r>
          </w:p>
        </w:tc>
        <w:tc>
          <w:tcPr>
            <w:tcW w:w="2385" w:type="dxa"/>
            <w:shd w:val="clear" w:color="auto" w:fill="FFFFFF"/>
            <w:tcMar>
              <w:top w:w="0" w:type="dxa"/>
              <w:left w:w="101" w:type="dxa"/>
              <w:bottom w:w="0" w:type="dxa"/>
              <w:right w:w="101" w:type="dxa"/>
            </w:tcMar>
            <w:hideMark/>
          </w:tcPr>
          <w:p w14:paraId="151EA4AB"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Receipts</w:t>
            </w:r>
          </w:p>
        </w:tc>
        <w:tc>
          <w:tcPr>
            <w:tcW w:w="1035" w:type="dxa"/>
            <w:shd w:val="clear" w:color="auto" w:fill="FFFFFF"/>
            <w:tcMar>
              <w:top w:w="0" w:type="dxa"/>
              <w:left w:w="101" w:type="dxa"/>
              <w:bottom w:w="0" w:type="dxa"/>
              <w:right w:w="101" w:type="dxa"/>
            </w:tcMar>
            <w:hideMark/>
          </w:tcPr>
          <w:p w14:paraId="539FE187" w14:textId="4EFA565F"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567</w:t>
            </w:r>
          </w:p>
        </w:tc>
        <w:tc>
          <w:tcPr>
            <w:tcW w:w="1035" w:type="dxa"/>
            <w:shd w:val="clear" w:color="auto" w:fill="FFFFFF"/>
            <w:tcMar>
              <w:top w:w="0" w:type="dxa"/>
              <w:left w:w="101" w:type="dxa"/>
              <w:bottom w:w="0" w:type="dxa"/>
              <w:right w:w="101" w:type="dxa"/>
            </w:tcMar>
            <w:hideMark/>
          </w:tcPr>
          <w:p w14:paraId="379BD4BB" w14:textId="74D0546C"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283</w:t>
            </w:r>
          </w:p>
        </w:tc>
        <w:tc>
          <w:tcPr>
            <w:tcW w:w="600" w:type="dxa"/>
            <w:shd w:val="clear" w:color="auto" w:fill="FFFFFF"/>
            <w:tcMar>
              <w:top w:w="0" w:type="dxa"/>
              <w:left w:w="101" w:type="dxa"/>
              <w:bottom w:w="0" w:type="dxa"/>
              <w:right w:w="101" w:type="dxa"/>
            </w:tcMar>
            <w:hideMark/>
          </w:tcPr>
          <w:p w14:paraId="703CD7DB"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 </w:t>
            </w:r>
          </w:p>
        </w:tc>
        <w:tc>
          <w:tcPr>
            <w:tcW w:w="1035" w:type="dxa"/>
            <w:shd w:val="clear" w:color="auto" w:fill="FFFFFF"/>
            <w:tcMar>
              <w:top w:w="0" w:type="dxa"/>
              <w:left w:w="101" w:type="dxa"/>
              <w:bottom w:w="0" w:type="dxa"/>
              <w:right w:w="101" w:type="dxa"/>
            </w:tcMar>
            <w:hideMark/>
          </w:tcPr>
          <w:p w14:paraId="6931E92A" w14:textId="7743B23C"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731</w:t>
            </w:r>
          </w:p>
        </w:tc>
        <w:tc>
          <w:tcPr>
            <w:tcW w:w="1035" w:type="dxa"/>
            <w:shd w:val="clear" w:color="auto" w:fill="FFFFFF"/>
            <w:tcMar>
              <w:top w:w="0" w:type="dxa"/>
              <w:left w:w="101" w:type="dxa"/>
              <w:bottom w:w="0" w:type="dxa"/>
              <w:right w:w="101" w:type="dxa"/>
            </w:tcMar>
            <w:hideMark/>
          </w:tcPr>
          <w:p w14:paraId="3ACACCCB" w14:textId="7B19A380"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082</w:t>
            </w:r>
          </w:p>
        </w:tc>
        <w:tc>
          <w:tcPr>
            <w:tcW w:w="1035" w:type="dxa"/>
            <w:shd w:val="clear" w:color="auto" w:fill="FFFFFF"/>
            <w:tcMar>
              <w:top w:w="0" w:type="dxa"/>
              <w:left w:w="101" w:type="dxa"/>
              <w:bottom w:w="0" w:type="dxa"/>
              <w:right w:w="101" w:type="dxa"/>
            </w:tcMar>
            <w:hideMark/>
          </w:tcPr>
          <w:p w14:paraId="111F6E1A" w14:textId="21A26182"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235</w:t>
            </w:r>
          </w:p>
        </w:tc>
      </w:tr>
      <w:tr w:rsidR="00B55EED" w:rsidRPr="005E3B44" w14:paraId="69B2C362" w14:textId="77777777" w:rsidTr="00B55EED">
        <w:trPr>
          <w:trHeight w:val="120"/>
        </w:trPr>
        <w:tc>
          <w:tcPr>
            <w:tcW w:w="1035" w:type="dxa"/>
            <w:shd w:val="clear" w:color="auto" w:fill="FFFFFF"/>
            <w:tcMar>
              <w:top w:w="0" w:type="dxa"/>
              <w:left w:w="0" w:type="dxa"/>
              <w:bottom w:w="0" w:type="dxa"/>
              <w:right w:w="0" w:type="dxa"/>
            </w:tcMar>
          </w:tcPr>
          <w:p w14:paraId="1F5CFD64" w14:textId="77777777" w:rsidR="00B55EED" w:rsidRPr="005E3B44" w:rsidRDefault="00B55EED">
            <w:pPr>
              <w:pStyle w:val="Normal3"/>
              <w:jc w:val="right"/>
              <w:rPr>
                <w:rFonts w:asciiTheme="minorHAnsi" w:eastAsia="Calibri" w:hAnsiTheme="minorHAnsi" w:cstheme="minorHAnsi"/>
                <w:color w:val="000000"/>
                <w:sz w:val="18"/>
              </w:rPr>
            </w:pPr>
          </w:p>
        </w:tc>
        <w:tc>
          <w:tcPr>
            <w:tcW w:w="2385" w:type="dxa"/>
            <w:shd w:val="clear" w:color="auto" w:fill="FFFFFF"/>
            <w:tcMar>
              <w:top w:w="0" w:type="dxa"/>
              <w:left w:w="0" w:type="dxa"/>
              <w:bottom w:w="0" w:type="dxa"/>
              <w:right w:w="0" w:type="dxa"/>
            </w:tcMar>
          </w:tcPr>
          <w:p w14:paraId="4D71A564"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1BE2D2C9"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67BD1A3F" w14:textId="77777777" w:rsidR="00B55EED" w:rsidRPr="005E3B44" w:rsidRDefault="00B55EED">
            <w:pPr>
              <w:pStyle w:val="Normal3"/>
              <w:jc w:val="right"/>
              <w:rPr>
                <w:rFonts w:asciiTheme="minorHAnsi" w:eastAsia="Calibri" w:hAnsiTheme="minorHAnsi" w:cstheme="minorHAnsi"/>
                <w:color w:val="000000"/>
                <w:sz w:val="18"/>
              </w:rPr>
            </w:pPr>
          </w:p>
        </w:tc>
        <w:tc>
          <w:tcPr>
            <w:tcW w:w="600" w:type="dxa"/>
            <w:shd w:val="clear" w:color="auto" w:fill="FFFFFF"/>
            <w:tcMar>
              <w:top w:w="0" w:type="dxa"/>
              <w:left w:w="0" w:type="dxa"/>
              <w:bottom w:w="0" w:type="dxa"/>
              <w:right w:w="0" w:type="dxa"/>
            </w:tcMar>
          </w:tcPr>
          <w:p w14:paraId="5CA4C9B0"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38DA46DF"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28DD9C00"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58B66E4F" w14:textId="77777777" w:rsidR="00B55EED" w:rsidRPr="005E3B44" w:rsidRDefault="00B55EED">
            <w:pPr>
              <w:pStyle w:val="Normal3"/>
              <w:jc w:val="right"/>
              <w:rPr>
                <w:rFonts w:asciiTheme="minorHAnsi" w:eastAsia="Calibri" w:hAnsiTheme="minorHAnsi" w:cstheme="minorHAnsi"/>
                <w:color w:val="000000"/>
                <w:sz w:val="18"/>
              </w:rPr>
            </w:pPr>
          </w:p>
        </w:tc>
      </w:tr>
      <w:tr w:rsidR="00B55EED" w:rsidRPr="005E3B44" w14:paraId="071A5F61" w14:textId="77777777" w:rsidTr="00B55EED">
        <w:trPr>
          <w:trHeight w:val="240"/>
        </w:trPr>
        <w:tc>
          <w:tcPr>
            <w:tcW w:w="1035" w:type="dxa"/>
            <w:shd w:val="clear" w:color="auto" w:fill="FFFFFF"/>
            <w:tcMar>
              <w:top w:w="0" w:type="dxa"/>
              <w:left w:w="0" w:type="dxa"/>
              <w:bottom w:w="0" w:type="dxa"/>
              <w:right w:w="0" w:type="dxa"/>
            </w:tcMar>
          </w:tcPr>
          <w:p w14:paraId="09FE7C05" w14:textId="77777777" w:rsidR="00B55EED" w:rsidRPr="005E3B44" w:rsidRDefault="00B55EED">
            <w:pPr>
              <w:pStyle w:val="Normal3"/>
              <w:jc w:val="right"/>
              <w:rPr>
                <w:rFonts w:asciiTheme="minorHAnsi" w:eastAsia="Calibri" w:hAnsiTheme="minorHAnsi" w:cstheme="minorHAnsi"/>
                <w:b/>
                <w:color w:val="000000"/>
                <w:sz w:val="18"/>
              </w:rPr>
            </w:pPr>
          </w:p>
        </w:tc>
        <w:tc>
          <w:tcPr>
            <w:tcW w:w="2385" w:type="dxa"/>
            <w:shd w:val="clear" w:color="auto" w:fill="FFFFFF"/>
            <w:tcMar>
              <w:top w:w="0" w:type="dxa"/>
              <w:left w:w="101" w:type="dxa"/>
              <w:bottom w:w="0" w:type="dxa"/>
              <w:right w:w="101" w:type="dxa"/>
            </w:tcMar>
            <w:hideMark/>
          </w:tcPr>
          <w:p w14:paraId="02E87122"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35" w:type="dxa"/>
            <w:shd w:val="clear" w:color="auto" w:fill="FFFFFF"/>
            <w:tcMar>
              <w:top w:w="0" w:type="dxa"/>
              <w:left w:w="0" w:type="dxa"/>
              <w:bottom w:w="0" w:type="dxa"/>
              <w:right w:w="0" w:type="dxa"/>
            </w:tcMar>
          </w:tcPr>
          <w:p w14:paraId="2A48EA5D" w14:textId="77777777" w:rsidR="00B55EED" w:rsidRPr="005E3B44" w:rsidRDefault="00B55EED">
            <w:pPr>
              <w:pStyle w:val="Normal3"/>
              <w:jc w:val="right"/>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4A53B06D" w14:textId="77777777" w:rsidR="00B55EED" w:rsidRPr="005E3B44" w:rsidRDefault="00B55EED">
            <w:pPr>
              <w:pStyle w:val="Normal3"/>
              <w:jc w:val="right"/>
              <w:rPr>
                <w:rFonts w:asciiTheme="minorHAnsi" w:eastAsia="Calibri" w:hAnsiTheme="minorHAnsi" w:cstheme="minorHAnsi"/>
                <w:b/>
                <w:color w:val="000000"/>
                <w:sz w:val="18"/>
              </w:rPr>
            </w:pPr>
          </w:p>
        </w:tc>
        <w:tc>
          <w:tcPr>
            <w:tcW w:w="600" w:type="dxa"/>
            <w:shd w:val="clear" w:color="auto" w:fill="FFFFFF"/>
            <w:tcMar>
              <w:top w:w="0" w:type="dxa"/>
              <w:left w:w="0" w:type="dxa"/>
              <w:bottom w:w="0" w:type="dxa"/>
              <w:right w:w="0" w:type="dxa"/>
            </w:tcMar>
          </w:tcPr>
          <w:p w14:paraId="07A430C0" w14:textId="77777777" w:rsidR="00B55EED" w:rsidRPr="005E3B44" w:rsidRDefault="00B55EED">
            <w:pPr>
              <w:pStyle w:val="Normal3"/>
              <w:jc w:val="right"/>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40EEDF7C" w14:textId="77777777" w:rsidR="00B55EED" w:rsidRPr="005E3B44" w:rsidRDefault="00B55EED">
            <w:pPr>
              <w:pStyle w:val="Normal3"/>
              <w:jc w:val="right"/>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2700788E" w14:textId="77777777" w:rsidR="00B55EED" w:rsidRPr="005E3B44" w:rsidRDefault="00B55EED">
            <w:pPr>
              <w:pStyle w:val="Normal3"/>
              <w:jc w:val="right"/>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581DB7A0" w14:textId="77777777" w:rsidR="00B55EED" w:rsidRPr="005E3B44" w:rsidRDefault="00B55EED">
            <w:pPr>
              <w:pStyle w:val="Normal3"/>
              <w:jc w:val="right"/>
              <w:rPr>
                <w:rFonts w:asciiTheme="minorHAnsi" w:eastAsia="Calibri" w:hAnsiTheme="minorHAnsi" w:cstheme="minorHAnsi"/>
                <w:b/>
                <w:color w:val="000000"/>
                <w:sz w:val="18"/>
              </w:rPr>
            </w:pPr>
          </w:p>
        </w:tc>
      </w:tr>
      <w:tr w:rsidR="00B55EED" w:rsidRPr="005E3B44" w14:paraId="0342A5A6" w14:textId="77777777" w:rsidTr="00B55EED">
        <w:trPr>
          <w:trHeight w:val="240"/>
        </w:trPr>
        <w:tc>
          <w:tcPr>
            <w:tcW w:w="1035" w:type="dxa"/>
            <w:shd w:val="clear" w:color="auto" w:fill="FFFFFF"/>
            <w:tcMar>
              <w:top w:w="0" w:type="dxa"/>
              <w:left w:w="101" w:type="dxa"/>
              <w:bottom w:w="0" w:type="dxa"/>
              <w:right w:w="101" w:type="dxa"/>
            </w:tcMar>
            <w:hideMark/>
          </w:tcPr>
          <w:p w14:paraId="19C9AF15" w14:textId="6D838361"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290</w:t>
            </w:r>
          </w:p>
        </w:tc>
        <w:tc>
          <w:tcPr>
            <w:tcW w:w="2385" w:type="dxa"/>
            <w:shd w:val="clear" w:color="auto" w:fill="FFFFFF"/>
            <w:noWrap/>
            <w:tcMar>
              <w:top w:w="0" w:type="dxa"/>
              <w:left w:w="101" w:type="dxa"/>
              <w:bottom w:w="0" w:type="dxa"/>
              <w:right w:w="101" w:type="dxa"/>
            </w:tcMar>
            <w:hideMark/>
          </w:tcPr>
          <w:p w14:paraId="694E7DDC"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Employee</w:t>
            </w:r>
          </w:p>
        </w:tc>
        <w:tc>
          <w:tcPr>
            <w:tcW w:w="1035" w:type="dxa"/>
            <w:shd w:val="clear" w:color="auto" w:fill="FFFFFF"/>
            <w:tcMar>
              <w:top w:w="0" w:type="dxa"/>
              <w:left w:w="101" w:type="dxa"/>
              <w:bottom w:w="0" w:type="dxa"/>
              <w:right w:w="101" w:type="dxa"/>
            </w:tcMar>
            <w:hideMark/>
          </w:tcPr>
          <w:p w14:paraId="033F5AD6" w14:textId="69540131"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8</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972</w:t>
            </w:r>
          </w:p>
        </w:tc>
        <w:tc>
          <w:tcPr>
            <w:tcW w:w="1035" w:type="dxa"/>
            <w:shd w:val="clear" w:color="auto" w:fill="FFFFFF"/>
            <w:tcMar>
              <w:top w:w="0" w:type="dxa"/>
              <w:left w:w="101" w:type="dxa"/>
              <w:bottom w:w="0" w:type="dxa"/>
              <w:right w:w="101" w:type="dxa"/>
            </w:tcMar>
            <w:hideMark/>
          </w:tcPr>
          <w:p w14:paraId="308C6529" w14:textId="56BEB6CD"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662</w:t>
            </w:r>
          </w:p>
        </w:tc>
        <w:tc>
          <w:tcPr>
            <w:tcW w:w="600" w:type="dxa"/>
            <w:shd w:val="clear" w:color="auto" w:fill="FFFFFF"/>
            <w:tcMar>
              <w:top w:w="0" w:type="dxa"/>
              <w:left w:w="101" w:type="dxa"/>
              <w:bottom w:w="0" w:type="dxa"/>
              <w:right w:w="101" w:type="dxa"/>
            </w:tcMar>
            <w:hideMark/>
          </w:tcPr>
          <w:p w14:paraId="1511B030"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8 </w:t>
            </w:r>
          </w:p>
        </w:tc>
        <w:tc>
          <w:tcPr>
            <w:tcW w:w="1035" w:type="dxa"/>
            <w:shd w:val="clear" w:color="auto" w:fill="FFFFFF"/>
            <w:tcMar>
              <w:top w:w="0" w:type="dxa"/>
              <w:left w:w="101" w:type="dxa"/>
              <w:bottom w:w="0" w:type="dxa"/>
              <w:right w:w="101" w:type="dxa"/>
            </w:tcMar>
            <w:hideMark/>
          </w:tcPr>
          <w:p w14:paraId="62A0E732" w14:textId="6D77B5EE"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917</w:t>
            </w:r>
          </w:p>
        </w:tc>
        <w:tc>
          <w:tcPr>
            <w:tcW w:w="1035" w:type="dxa"/>
            <w:shd w:val="clear" w:color="auto" w:fill="FFFFFF"/>
            <w:tcMar>
              <w:top w:w="0" w:type="dxa"/>
              <w:left w:w="101" w:type="dxa"/>
              <w:bottom w:w="0" w:type="dxa"/>
              <w:right w:w="101" w:type="dxa"/>
            </w:tcMar>
            <w:hideMark/>
          </w:tcPr>
          <w:p w14:paraId="51D24720" w14:textId="248B5509"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240</w:t>
            </w:r>
          </w:p>
        </w:tc>
        <w:tc>
          <w:tcPr>
            <w:tcW w:w="1035" w:type="dxa"/>
            <w:shd w:val="clear" w:color="auto" w:fill="FFFFFF"/>
            <w:tcMar>
              <w:top w:w="0" w:type="dxa"/>
              <w:left w:w="101" w:type="dxa"/>
              <w:bottom w:w="0" w:type="dxa"/>
              <w:right w:w="101" w:type="dxa"/>
            </w:tcMar>
            <w:hideMark/>
          </w:tcPr>
          <w:p w14:paraId="0AFF67ED" w14:textId="51F0E662"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9 132</w:t>
            </w:r>
          </w:p>
        </w:tc>
      </w:tr>
      <w:tr w:rsidR="00B55EED" w:rsidRPr="005E3B44" w14:paraId="421C9741" w14:textId="77777777" w:rsidTr="00B55EED">
        <w:trPr>
          <w:trHeight w:val="240"/>
        </w:trPr>
        <w:tc>
          <w:tcPr>
            <w:tcW w:w="1035" w:type="dxa"/>
            <w:shd w:val="clear" w:color="auto" w:fill="FFFFFF"/>
            <w:tcMar>
              <w:top w:w="0" w:type="dxa"/>
              <w:left w:w="101" w:type="dxa"/>
              <w:bottom w:w="0" w:type="dxa"/>
              <w:right w:w="101" w:type="dxa"/>
            </w:tcMar>
            <w:hideMark/>
          </w:tcPr>
          <w:p w14:paraId="2ED98DC6" w14:textId="104A1190"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539</w:t>
            </w:r>
          </w:p>
        </w:tc>
        <w:tc>
          <w:tcPr>
            <w:tcW w:w="2385" w:type="dxa"/>
            <w:shd w:val="clear" w:color="auto" w:fill="FFFFFF"/>
            <w:noWrap/>
            <w:tcMar>
              <w:top w:w="0" w:type="dxa"/>
              <w:left w:w="101" w:type="dxa"/>
              <w:bottom w:w="0" w:type="dxa"/>
              <w:right w:w="101" w:type="dxa"/>
            </w:tcMar>
            <w:hideMark/>
          </w:tcPr>
          <w:p w14:paraId="6B20AECF"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Superannuation</w:t>
            </w:r>
          </w:p>
        </w:tc>
        <w:tc>
          <w:tcPr>
            <w:tcW w:w="1035" w:type="dxa"/>
            <w:shd w:val="clear" w:color="auto" w:fill="FFFFFF"/>
            <w:tcMar>
              <w:top w:w="0" w:type="dxa"/>
              <w:left w:w="101" w:type="dxa"/>
              <w:bottom w:w="0" w:type="dxa"/>
              <w:right w:w="101" w:type="dxa"/>
            </w:tcMar>
            <w:hideMark/>
          </w:tcPr>
          <w:p w14:paraId="5FDF2FC9" w14:textId="04908C3F"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491</w:t>
            </w:r>
          </w:p>
        </w:tc>
        <w:tc>
          <w:tcPr>
            <w:tcW w:w="1035" w:type="dxa"/>
            <w:shd w:val="clear" w:color="auto" w:fill="FFFFFF"/>
            <w:tcMar>
              <w:top w:w="0" w:type="dxa"/>
              <w:left w:w="101" w:type="dxa"/>
              <w:bottom w:w="0" w:type="dxa"/>
              <w:right w:w="101" w:type="dxa"/>
            </w:tcMar>
            <w:hideMark/>
          </w:tcPr>
          <w:p w14:paraId="10392423" w14:textId="3860F294"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638</w:t>
            </w:r>
          </w:p>
        </w:tc>
        <w:tc>
          <w:tcPr>
            <w:tcW w:w="600" w:type="dxa"/>
            <w:shd w:val="clear" w:color="auto" w:fill="FFFFFF"/>
            <w:tcMar>
              <w:top w:w="0" w:type="dxa"/>
              <w:left w:w="101" w:type="dxa"/>
              <w:bottom w:w="0" w:type="dxa"/>
              <w:right w:w="101" w:type="dxa"/>
            </w:tcMar>
            <w:hideMark/>
          </w:tcPr>
          <w:p w14:paraId="7B2C1EB0"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10 </w:t>
            </w:r>
          </w:p>
        </w:tc>
        <w:tc>
          <w:tcPr>
            <w:tcW w:w="1035" w:type="dxa"/>
            <w:shd w:val="clear" w:color="auto" w:fill="FFFFFF"/>
            <w:tcMar>
              <w:top w:w="0" w:type="dxa"/>
              <w:left w:w="101" w:type="dxa"/>
              <w:bottom w:w="0" w:type="dxa"/>
              <w:right w:w="101" w:type="dxa"/>
            </w:tcMar>
            <w:hideMark/>
          </w:tcPr>
          <w:p w14:paraId="66A24D2E" w14:textId="7A46D940"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714</w:t>
            </w:r>
          </w:p>
        </w:tc>
        <w:tc>
          <w:tcPr>
            <w:tcW w:w="1035" w:type="dxa"/>
            <w:shd w:val="clear" w:color="auto" w:fill="FFFFFF"/>
            <w:tcMar>
              <w:top w:w="0" w:type="dxa"/>
              <w:left w:w="101" w:type="dxa"/>
              <w:bottom w:w="0" w:type="dxa"/>
              <w:right w:w="101" w:type="dxa"/>
            </w:tcMar>
            <w:hideMark/>
          </w:tcPr>
          <w:p w14:paraId="7B77D8AA" w14:textId="0B096304"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712</w:t>
            </w:r>
          </w:p>
        </w:tc>
        <w:tc>
          <w:tcPr>
            <w:tcW w:w="1035" w:type="dxa"/>
            <w:shd w:val="clear" w:color="auto" w:fill="FFFFFF"/>
            <w:tcMar>
              <w:top w:w="0" w:type="dxa"/>
              <w:left w:w="101" w:type="dxa"/>
              <w:bottom w:w="0" w:type="dxa"/>
              <w:right w:w="101" w:type="dxa"/>
            </w:tcMar>
            <w:hideMark/>
          </w:tcPr>
          <w:p w14:paraId="3FBFF4BC" w14:textId="02284030"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711</w:t>
            </w:r>
          </w:p>
        </w:tc>
      </w:tr>
      <w:tr w:rsidR="00B55EED" w:rsidRPr="005E3B44" w14:paraId="6385E7F6" w14:textId="77777777" w:rsidTr="00B55EED">
        <w:trPr>
          <w:trHeight w:val="240"/>
        </w:trPr>
        <w:tc>
          <w:tcPr>
            <w:tcW w:w="1035" w:type="dxa"/>
            <w:shd w:val="clear" w:color="auto" w:fill="FFFFFF"/>
            <w:tcMar>
              <w:top w:w="0" w:type="dxa"/>
              <w:left w:w="101" w:type="dxa"/>
              <w:bottom w:w="0" w:type="dxa"/>
              <w:right w:w="101" w:type="dxa"/>
            </w:tcMar>
            <w:hideMark/>
          </w:tcPr>
          <w:p w14:paraId="5DE372FA" w14:textId="5D331999"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157</w:t>
            </w:r>
          </w:p>
        </w:tc>
        <w:tc>
          <w:tcPr>
            <w:tcW w:w="2385" w:type="dxa"/>
            <w:shd w:val="clear" w:color="auto" w:fill="FFFFFF"/>
            <w:noWrap/>
            <w:tcMar>
              <w:top w:w="0" w:type="dxa"/>
              <w:left w:w="101" w:type="dxa"/>
              <w:bottom w:w="0" w:type="dxa"/>
              <w:right w:w="101" w:type="dxa"/>
            </w:tcMar>
            <w:hideMark/>
          </w:tcPr>
          <w:p w14:paraId="79BEBCE7"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Supplies and Services</w:t>
            </w:r>
          </w:p>
        </w:tc>
        <w:tc>
          <w:tcPr>
            <w:tcW w:w="1035" w:type="dxa"/>
            <w:shd w:val="clear" w:color="auto" w:fill="FFFFFF"/>
            <w:tcMar>
              <w:top w:w="0" w:type="dxa"/>
              <w:left w:w="101" w:type="dxa"/>
              <w:bottom w:w="0" w:type="dxa"/>
              <w:right w:w="101" w:type="dxa"/>
            </w:tcMar>
            <w:hideMark/>
          </w:tcPr>
          <w:p w14:paraId="2561F330" w14:textId="0C69EA3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550</w:t>
            </w:r>
          </w:p>
        </w:tc>
        <w:tc>
          <w:tcPr>
            <w:tcW w:w="1035" w:type="dxa"/>
            <w:shd w:val="clear" w:color="auto" w:fill="FFFFFF"/>
            <w:tcMar>
              <w:top w:w="0" w:type="dxa"/>
              <w:left w:w="101" w:type="dxa"/>
              <w:bottom w:w="0" w:type="dxa"/>
              <w:right w:w="101" w:type="dxa"/>
            </w:tcMar>
            <w:hideMark/>
          </w:tcPr>
          <w:p w14:paraId="39BB4949" w14:textId="564AEC1D"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6</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330</w:t>
            </w:r>
          </w:p>
        </w:tc>
        <w:tc>
          <w:tcPr>
            <w:tcW w:w="600" w:type="dxa"/>
            <w:shd w:val="clear" w:color="auto" w:fill="FFFFFF"/>
            <w:tcMar>
              <w:top w:w="0" w:type="dxa"/>
              <w:left w:w="101" w:type="dxa"/>
              <w:bottom w:w="0" w:type="dxa"/>
              <w:right w:w="101" w:type="dxa"/>
            </w:tcMar>
            <w:hideMark/>
          </w:tcPr>
          <w:p w14:paraId="60F74EF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39 </w:t>
            </w:r>
          </w:p>
        </w:tc>
        <w:tc>
          <w:tcPr>
            <w:tcW w:w="1035" w:type="dxa"/>
            <w:shd w:val="clear" w:color="auto" w:fill="FFFFFF"/>
            <w:tcMar>
              <w:top w:w="0" w:type="dxa"/>
              <w:left w:w="101" w:type="dxa"/>
              <w:bottom w:w="0" w:type="dxa"/>
              <w:right w:w="101" w:type="dxa"/>
            </w:tcMar>
            <w:hideMark/>
          </w:tcPr>
          <w:p w14:paraId="0A9DEEBE" w14:textId="1350EDDA"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462</w:t>
            </w:r>
          </w:p>
        </w:tc>
        <w:tc>
          <w:tcPr>
            <w:tcW w:w="1035" w:type="dxa"/>
            <w:shd w:val="clear" w:color="auto" w:fill="FFFFFF"/>
            <w:tcMar>
              <w:top w:w="0" w:type="dxa"/>
              <w:left w:w="101" w:type="dxa"/>
              <w:bottom w:w="0" w:type="dxa"/>
              <w:right w:w="101" w:type="dxa"/>
            </w:tcMar>
            <w:hideMark/>
          </w:tcPr>
          <w:p w14:paraId="67DCB6A7" w14:textId="22C18B74"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650</w:t>
            </w:r>
          </w:p>
        </w:tc>
        <w:tc>
          <w:tcPr>
            <w:tcW w:w="1035" w:type="dxa"/>
            <w:shd w:val="clear" w:color="auto" w:fill="FFFFFF"/>
            <w:tcMar>
              <w:top w:w="0" w:type="dxa"/>
              <w:left w:w="101" w:type="dxa"/>
              <w:bottom w:w="0" w:type="dxa"/>
              <w:right w:w="101" w:type="dxa"/>
            </w:tcMar>
            <w:hideMark/>
          </w:tcPr>
          <w:p w14:paraId="19581763" w14:textId="760FB103"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4</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968</w:t>
            </w:r>
          </w:p>
        </w:tc>
      </w:tr>
      <w:tr w:rsidR="00B55EED" w:rsidRPr="005E3B44" w14:paraId="2A178DBD" w14:textId="77777777" w:rsidTr="00B55EED">
        <w:trPr>
          <w:trHeight w:val="240"/>
        </w:trPr>
        <w:tc>
          <w:tcPr>
            <w:tcW w:w="1035" w:type="dxa"/>
            <w:shd w:val="clear" w:color="auto" w:fill="FFFFFF"/>
            <w:tcMar>
              <w:top w:w="0" w:type="dxa"/>
              <w:left w:w="101" w:type="dxa"/>
              <w:bottom w:w="0" w:type="dxa"/>
              <w:right w:w="101" w:type="dxa"/>
            </w:tcMar>
            <w:hideMark/>
          </w:tcPr>
          <w:p w14:paraId="2320AEA5"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36</w:t>
            </w:r>
          </w:p>
        </w:tc>
        <w:tc>
          <w:tcPr>
            <w:tcW w:w="2385" w:type="dxa"/>
            <w:shd w:val="clear" w:color="auto" w:fill="FFFFFF"/>
            <w:noWrap/>
            <w:tcMar>
              <w:top w:w="0" w:type="dxa"/>
              <w:left w:w="101" w:type="dxa"/>
              <w:bottom w:w="0" w:type="dxa"/>
              <w:right w:w="101" w:type="dxa"/>
            </w:tcMar>
            <w:hideMark/>
          </w:tcPr>
          <w:p w14:paraId="37D8C775"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Grants and Purchased Services</w:t>
            </w:r>
          </w:p>
        </w:tc>
        <w:tc>
          <w:tcPr>
            <w:tcW w:w="1035" w:type="dxa"/>
            <w:shd w:val="clear" w:color="auto" w:fill="FFFFFF"/>
            <w:tcMar>
              <w:top w:w="0" w:type="dxa"/>
              <w:left w:w="101" w:type="dxa"/>
              <w:bottom w:w="0" w:type="dxa"/>
              <w:right w:w="101" w:type="dxa"/>
            </w:tcMar>
            <w:hideMark/>
          </w:tcPr>
          <w:p w14:paraId="1268B357"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shd w:val="clear" w:color="auto" w:fill="FFFFFF"/>
            <w:tcMar>
              <w:top w:w="0" w:type="dxa"/>
              <w:left w:w="101" w:type="dxa"/>
              <w:bottom w:w="0" w:type="dxa"/>
              <w:right w:w="101" w:type="dxa"/>
            </w:tcMar>
            <w:hideMark/>
          </w:tcPr>
          <w:p w14:paraId="55B4D04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600" w:type="dxa"/>
            <w:shd w:val="clear" w:color="auto" w:fill="FFFFFF"/>
            <w:tcMar>
              <w:top w:w="0" w:type="dxa"/>
              <w:left w:w="101" w:type="dxa"/>
              <w:bottom w:w="0" w:type="dxa"/>
              <w:right w:w="101" w:type="dxa"/>
            </w:tcMar>
            <w:hideMark/>
          </w:tcPr>
          <w:p w14:paraId="14A7B639"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 </w:t>
            </w:r>
          </w:p>
        </w:tc>
        <w:tc>
          <w:tcPr>
            <w:tcW w:w="1035" w:type="dxa"/>
            <w:shd w:val="clear" w:color="auto" w:fill="FFFFFF"/>
            <w:tcMar>
              <w:top w:w="0" w:type="dxa"/>
              <w:left w:w="101" w:type="dxa"/>
              <w:bottom w:w="0" w:type="dxa"/>
              <w:right w:w="101" w:type="dxa"/>
            </w:tcMar>
            <w:hideMark/>
          </w:tcPr>
          <w:p w14:paraId="01066E8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shd w:val="clear" w:color="auto" w:fill="FFFFFF"/>
            <w:tcMar>
              <w:top w:w="0" w:type="dxa"/>
              <w:left w:w="101" w:type="dxa"/>
              <w:bottom w:w="0" w:type="dxa"/>
              <w:right w:w="101" w:type="dxa"/>
            </w:tcMar>
            <w:hideMark/>
          </w:tcPr>
          <w:p w14:paraId="6ECB890F"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c>
          <w:tcPr>
            <w:tcW w:w="1035" w:type="dxa"/>
            <w:shd w:val="clear" w:color="auto" w:fill="FFFFFF"/>
            <w:tcMar>
              <w:top w:w="0" w:type="dxa"/>
              <w:left w:w="101" w:type="dxa"/>
              <w:bottom w:w="0" w:type="dxa"/>
              <w:right w:w="101" w:type="dxa"/>
            </w:tcMar>
            <w:hideMark/>
          </w:tcPr>
          <w:p w14:paraId="1155F7FE"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w:t>
            </w:r>
          </w:p>
        </w:tc>
      </w:tr>
      <w:tr w:rsidR="00B55EED" w:rsidRPr="005E3B44" w14:paraId="74D0F781" w14:textId="77777777" w:rsidTr="00B55EED">
        <w:trPr>
          <w:trHeight w:val="240"/>
        </w:trPr>
        <w:tc>
          <w:tcPr>
            <w:tcW w:w="1035" w:type="dxa"/>
            <w:shd w:val="clear" w:color="auto" w:fill="FFFFFF"/>
            <w:tcMar>
              <w:top w:w="0" w:type="dxa"/>
              <w:left w:w="101" w:type="dxa"/>
              <w:bottom w:w="0" w:type="dxa"/>
              <w:right w:w="101" w:type="dxa"/>
            </w:tcMar>
            <w:hideMark/>
          </w:tcPr>
          <w:p w14:paraId="64A5438E"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2385" w:type="dxa"/>
            <w:shd w:val="clear" w:color="auto" w:fill="FFFFFF"/>
            <w:noWrap/>
            <w:tcMar>
              <w:top w:w="0" w:type="dxa"/>
              <w:left w:w="101" w:type="dxa"/>
              <w:bottom w:w="0" w:type="dxa"/>
              <w:right w:w="101" w:type="dxa"/>
            </w:tcMar>
            <w:hideMark/>
          </w:tcPr>
          <w:p w14:paraId="331D8BC2"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Other</w:t>
            </w:r>
          </w:p>
        </w:tc>
        <w:tc>
          <w:tcPr>
            <w:tcW w:w="1035" w:type="dxa"/>
            <w:shd w:val="clear" w:color="auto" w:fill="FFFFFF"/>
            <w:tcMar>
              <w:top w:w="0" w:type="dxa"/>
              <w:left w:w="101" w:type="dxa"/>
              <w:bottom w:w="0" w:type="dxa"/>
              <w:right w:w="101" w:type="dxa"/>
            </w:tcMar>
            <w:hideMark/>
          </w:tcPr>
          <w:p w14:paraId="0F875DE8"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558</w:t>
            </w:r>
          </w:p>
        </w:tc>
        <w:tc>
          <w:tcPr>
            <w:tcW w:w="1035" w:type="dxa"/>
            <w:shd w:val="clear" w:color="auto" w:fill="FFFFFF"/>
            <w:tcMar>
              <w:top w:w="0" w:type="dxa"/>
              <w:left w:w="101" w:type="dxa"/>
              <w:bottom w:w="0" w:type="dxa"/>
              <w:right w:w="101" w:type="dxa"/>
            </w:tcMar>
            <w:hideMark/>
          </w:tcPr>
          <w:p w14:paraId="572A4B3F"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600" w:type="dxa"/>
            <w:shd w:val="clear" w:color="auto" w:fill="FFFFFF"/>
            <w:tcMar>
              <w:top w:w="0" w:type="dxa"/>
              <w:left w:w="101" w:type="dxa"/>
              <w:bottom w:w="0" w:type="dxa"/>
              <w:right w:w="101" w:type="dxa"/>
            </w:tcMar>
            <w:hideMark/>
          </w:tcPr>
          <w:p w14:paraId="0C95920C"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-9 </w:t>
            </w:r>
          </w:p>
        </w:tc>
        <w:tc>
          <w:tcPr>
            <w:tcW w:w="1035" w:type="dxa"/>
            <w:shd w:val="clear" w:color="auto" w:fill="FFFFFF"/>
            <w:tcMar>
              <w:top w:w="0" w:type="dxa"/>
              <w:left w:w="101" w:type="dxa"/>
              <w:bottom w:w="0" w:type="dxa"/>
              <w:right w:w="101" w:type="dxa"/>
            </w:tcMar>
            <w:hideMark/>
          </w:tcPr>
          <w:p w14:paraId="611087E3"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1035" w:type="dxa"/>
            <w:shd w:val="clear" w:color="auto" w:fill="FFFFFF"/>
            <w:tcMar>
              <w:top w:w="0" w:type="dxa"/>
              <w:left w:w="101" w:type="dxa"/>
              <w:bottom w:w="0" w:type="dxa"/>
              <w:right w:w="101" w:type="dxa"/>
            </w:tcMar>
            <w:hideMark/>
          </w:tcPr>
          <w:p w14:paraId="5239EBC7"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c>
          <w:tcPr>
            <w:tcW w:w="1035" w:type="dxa"/>
            <w:shd w:val="clear" w:color="auto" w:fill="FFFFFF"/>
            <w:tcMar>
              <w:top w:w="0" w:type="dxa"/>
              <w:left w:w="101" w:type="dxa"/>
              <w:bottom w:w="0" w:type="dxa"/>
              <w:right w:w="101" w:type="dxa"/>
            </w:tcMar>
            <w:hideMark/>
          </w:tcPr>
          <w:p w14:paraId="131702BE"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510</w:t>
            </w:r>
          </w:p>
        </w:tc>
      </w:tr>
      <w:tr w:rsidR="00B55EED" w:rsidRPr="005E3B44" w14:paraId="1F70DE18" w14:textId="77777777" w:rsidTr="00B55EED">
        <w:trPr>
          <w:trHeight w:val="240"/>
        </w:trPr>
        <w:tc>
          <w:tcPr>
            <w:tcW w:w="1035" w:type="dxa"/>
            <w:shd w:val="clear" w:color="auto" w:fill="FFFFFF"/>
            <w:tcMar>
              <w:top w:w="0" w:type="dxa"/>
              <w:left w:w="101" w:type="dxa"/>
              <w:bottom w:w="0" w:type="dxa"/>
              <w:right w:w="101" w:type="dxa"/>
            </w:tcMar>
            <w:hideMark/>
          </w:tcPr>
          <w:p w14:paraId="0FB410D1" w14:textId="5306B20E"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532</w:t>
            </w:r>
          </w:p>
        </w:tc>
        <w:tc>
          <w:tcPr>
            <w:tcW w:w="2385" w:type="dxa"/>
            <w:shd w:val="clear" w:color="auto" w:fill="FFFFFF"/>
            <w:tcMar>
              <w:top w:w="0" w:type="dxa"/>
              <w:left w:w="101" w:type="dxa"/>
              <w:bottom w:w="0" w:type="dxa"/>
              <w:right w:w="101" w:type="dxa"/>
            </w:tcMar>
            <w:hideMark/>
          </w:tcPr>
          <w:p w14:paraId="09F5ECA2"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Operating Payments</w:t>
            </w:r>
          </w:p>
        </w:tc>
        <w:tc>
          <w:tcPr>
            <w:tcW w:w="1035" w:type="dxa"/>
            <w:shd w:val="clear" w:color="auto" w:fill="FFFFFF"/>
            <w:tcMar>
              <w:top w:w="0" w:type="dxa"/>
              <w:left w:w="101" w:type="dxa"/>
              <w:bottom w:w="0" w:type="dxa"/>
              <w:right w:w="101" w:type="dxa"/>
            </w:tcMar>
            <w:hideMark/>
          </w:tcPr>
          <w:p w14:paraId="3A83BA00" w14:textId="42E9A791"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15</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571</w:t>
            </w:r>
          </w:p>
        </w:tc>
        <w:tc>
          <w:tcPr>
            <w:tcW w:w="1035" w:type="dxa"/>
            <w:shd w:val="clear" w:color="auto" w:fill="FFFFFF"/>
            <w:tcMar>
              <w:top w:w="0" w:type="dxa"/>
              <w:left w:w="101" w:type="dxa"/>
              <w:bottom w:w="0" w:type="dxa"/>
              <w:right w:w="101" w:type="dxa"/>
            </w:tcMar>
            <w:hideMark/>
          </w:tcPr>
          <w:p w14:paraId="6A835FD9" w14:textId="18CE2F68"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140</w:t>
            </w:r>
          </w:p>
        </w:tc>
        <w:tc>
          <w:tcPr>
            <w:tcW w:w="600" w:type="dxa"/>
            <w:shd w:val="clear" w:color="auto" w:fill="FFFFFF"/>
            <w:tcMar>
              <w:top w:w="0" w:type="dxa"/>
              <w:left w:w="101" w:type="dxa"/>
              <w:bottom w:w="0" w:type="dxa"/>
              <w:right w:w="101" w:type="dxa"/>
            </w:tcMar>
            <w:hideMark/>
          </w:tcPr>
          <w:p w14:paraId="4D00FD78"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16 </w:t>
            </w:r>
          </w:p>
        </w:tc>
        <w:tc>
          <w:tcPr>
            <w:tcW w:w="1035" w:type="dxa"/>
            <w:shd w:val="clear" w:color="auto" w:fill="FFFFFF"/>
            <w:tcMar>
              <w:top w:w="0" w:type="dxa"/>
              <w:left w:w="101" w:type="dxa"/>
              <w:bottom w:w="0" w:type="dxa"/>
              <w:right w:w="101" w:type="dxa"/>
            </w:tcMar>
            <w:hideMark/>
          </w:tcPr>
          <w:p w14:paraId="3A08C52D" w14:textId="38FD786E"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17</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603</w:t>
            </w:r>
          </w:p>
        </w:tc>
        <w:tc>
          <w:tcPr>
            <w:tcW w:w="1035" w:type="dxa"/>
            <w:shd w:val="clear" w:color="auto" w:fill="FFFFFF"/>
            <w:tcMar>
              <w:top w:w="0" w:type="dxa"/>
              <w:left w:w="101" w:type="dxa"/>
              <w:bottom w:w="0" w:type="dxa"/>
              <w:right w:w="101" w:type="dxa"/>
            </w:tcMar>
            <w:hideMark/>
          </w:tcPr>
          <w:p w14:paraId="7D812E5A" w14:textId="6F01F105"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112</w:t>
            </w:r>
          </w:p>
        </w:tc>
        <w:tc>
          <w:tcPr>
            <w:tcW w:w="1035" w:type="dxa"/>
            <w:shd w:val="clear" w:color="auto" w:fill="FFFFFF"/>
            <w:tcMar>
              <w:top w:w="0" w:type="dxa"/>
              <w:left w:w="101" w:type="dxa"/>
              <w:bottom w:w="0" w:type="dxa"/>
              <w:right w:w="101" w:type="dxa"/>
            </w:tcMar>
            <w:hideMark/>
          </w:tcPr>
          <w:p w14:paraId="5FDC3F2F" w14:textId="38883D96"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321</w:t>
            </w:r>
          </w:p>
        </w:tc>
      </w:tr>
      <w:tr w:rsidR="00B55EED" w:rsidRPr="005E3B44" w14:paraId="15954EBC" w14:textId="77777777" w:rsidTr="00B55EED">
        <w:trPr>
          <w:trHeight w:val="120"/>
        </w:trPr>
        <w:tc>
          <w:tcPr>
            <w:tcW w:w="1035" w:type="dxa"/>
            <w:shd w:val="clear" w:color="auto" w:fill="FFFFFF"/>
            <w:tcMar>
              <w:top w:w="0" w:type="dxa"/>
              <w:left w:w="0" w:type="dxa"/>
              <w:bottom w:w="0" w:type="dxa"/>
              <w:right w:w="0" w:type="dxa"/>
            </w:tcMar>
          </w:tcPr>
          <w:p w14:paraId="48050766" w14:textId="77777777" w:rsidR="00B55EED" w:rsidRPr="005E3B44" w:rsidRDefault="00B55EED">
            <w:pPr>
              <w:pStyle w:val="Normal3"/>
              <w:jc w:val="right"/>
              <w:rPr>
                <w:rFonts w:asciiTheme="minorHAnsi" w:eastAsia="Calibri" w:hAnsiTheme="minorHAnsi" w:cstheme="minorHAnsi"/>
                <w:color w:val="000000"/>
                <w:sz w:val="18"/>
              </w:rPr>
            </w:pPr>
          </w:p>
        </w:tc>
        <w:tc>
          <w:tcPr>
            <w:tcW w:w="2385" w:type="dxa"/>
            <w:shd w:val="clear" w:color="auto" w:fill="FFFFFF"/>
            <w:tcMar>
              <w:top w:w="0" w:type="dxa"/>
              <w:left w:w="0" w:type="dxa"/>
              <w:bottom w:w="0" w:type="dxa"/>
              <w:right w:w="0" w:type="dxa"/>
            </w:tcMar>
          </w:tcPr>
          <w:p w14:paraId="03F9B53E"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1DAAAF31"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380FAFF6" w14:textId="77777777" w:rsidR="00B55EED" w:rsidRPr="005E3B44" w:rsidRDefault="00B55EED">
            <w:pPr>
              <w:pStyle w:val="Normal3"/>
              <w:jc w:val="right"/>
              <w:rPr>
                <w:rFonts w:asciiTheme="minorHAnsi" w:eastAsia="Calibri" w:hAnsiTheme="minorHAnsi" w:cstheme="minorHAnsi"/>
                <w:color w:val="000000"/>
                <w:sz w:val="18"/>
              </w:rPr>
            </w:pPr>
          </w:p>
        </w:tc>
        <w:tc>
          <w:tcPr>
            <w:tcW w:w="600" w:type="dxa"/>
            <w:shd w:val="clear" w:color="auto" w:fill="FFFFFF"/>
            <w:tcMar>
              <w:top w:w="0" w:type="dxa"/>
              <w:left w:w="0" w:type="dxa"/>
              <w:bottom w:w="0" w:type="dxa"/>
              <w:right w:w="0" w:type="dxa"/>
            </w:tcMar>
          </w:tcPr>
          <w:p w14:paraId="4CDE3CF2"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04D4DBD2"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7501BAD6"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5E69A2BE" w14:textId="77777777" w:rsidR="00B55EED" w:rsidRPr="005E3B44" w:rsidRDefault="00B55EED">
            <w:pPr>
              <w:pStyle w:val="Normal3"/>
              <w:jc w:val="right"/>
              <w:rPr>
                <w:rFonts w:asciiTheme="minorHAnsi" w:eastAsia="Calibri" w:hAnsiTheme="minorHAnsi" w:cstheme="minorHAnsi"/>
                <w:color w:val="000000"/>
                <w:sz w:val="18"/>
              </w:rPr>
            </w:pPr>
          </w:p>
        </w:tc>
      </w:tr>
      <w:tr w:rsidR="00B55EED" w:rsidRPr="005E3B44" w14:paraId="698D52D7" w14:textId="77777777" w:rsidTr="00B55EED">
        <w:trPr>
          <w:trHeight w:val="240"/>
        </w:trPr>
        <w:tc>
          <w:tcPr>
            <w:tcW w:w="1035" w:type="dxa"/>
            <w:shd w:val="clear" w:color="auto" w:fill="FFFFFF"/>
            <w:tcMar>
              <w:top w:w="0" w:type="dxa"/>
              <w:left w:w="101" w:type="dxa"/>
              <w:bottom w:w="0" w:type="dxa"/>
              <w:right w:w="101" w:type="dxa"/>
            </w:tcMar>
            <w:hideMark/>
          </w:tcPr>
          <w:p w14:paraId="1BFA3181" w14:textId="5DAF6534"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206</w:t>
            </w:r>
          </w:p>
        </w:tc>
        <w:tc>
          <w:tcPr>
            <w:tcW w:w="2385" w:type="dxa"/>
            <w:shd w:val="clear" w:color="auto" w:fill="FFFFFF"/>
            <w:noWrap/>
            <w:tcMar>
              <w:top w:w="0" w:type="dxa"/>
              <w:left w:w="101" w:type="dxa"/>
              <w:bottom w:w="0" w:type="dxa"/>
              <w:right w:w="101" w:type="dxa"/>
            </w:tcMar>
            <w:hideMark/>
          </w:tcPr>
          <w:p w14:paraId="6849E5F9"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OPERATING ACTIVITIES</w:t>
            </w:r>
          </w:p>
        </w:tc>
        <w:tc>
          <w:tcPr>
            <w:tcW w:w="1035" w:type="dxa"/>
            <w:shd w:val="clear" w:color="auto" w:fill="FFFFFF"/>
            <w:tcMar>
              <w:top w:w="0" w:type="dxa"/>
              <w:left w:w="101" w:type="dxa"/>
              <w:bottom w:w="0" w:type="dxa"/>
              <w:right w:w="101" w:type="dxa"/>
            </w:tcMar>
            <w:hideMark/>
          </w:tcPr>
          <w:p w14:paraId="76085F90" w14:textId="2CCA6132"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3</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996</w:t>
            </w:r>
          </w:p>
        </w:tc>
        <w:tc>
          <w:tcPr>
            <w:tcW w:w="1035" w:type="dxa"/>
            <w:shd w:val="clear" w:color="auto" w:fill="FFFFFF"/>
            <w:tcMar>
              <w:top w:w="0" w:type="dxa"/>
              <w:left w:w="101" w:type="dxa"/>
              <w:bottom w:w="0" w:type="dxa"/>
              <w:right w:w="101" w:type="dxa"/>
            </w:tcMar>
            <w:hideMark/>
          </w:tcPr>
          <w:p w14:paraId="3A471CE9" w14:textId="6AFF84D1"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143</w:t>
            </w:r>
          </w:p>
        </w:tc>
        <w:tc>
          <w:tcPr>
            <w:tcW w:w="600" w:type="dxa"/>
            <w:shd w:val="clear" w:color="auto" w:fill="FFFFFF"/>
            <w:tcMar>
              <w:top w:w="0" w:type="dxa"/>
              <w:left w:w="101" w:type="dxa"/>
              <w:bottom w:w="0" w:type="dxa"/>
              <w:right w:w="101" w:type="dxa"/>
            </w:tcMar>
            <w:hideMark/>
          </w:tcPr>
          <w:p w14:paraId="552CEB63"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-71 </w:t>
            </w:r>
          </w:p>
        </w:tc>
        <w:tc>
          <w:tcPr>
            <w:tcW w:w="1035" w:type="dxa"/>
            <w:shd w:val="clear" w:color="auto" w:fill="FFFFFF"/>
            <w:tcMar>
              <w:top w:w="0" w:type="dxa"/>
              <w:left w:w="101" w:type="dxa"/>
              <w:bottom w:w="0" w:type="dxa"/>
              <w:right w:w="101" w:type="dxa"/>
            </w:tcMar>
            <w:hideMark/>
          </w:tcPr>
          <w:p w14:paraId="374F1F84" w14:textId="679734F8"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128</w:t>
            </w:r>
          </w:p>
        </w:tc>
        <w:tc>
          <w:tcPr>
            <w:tcW w:w="1035" w:type="dxa"/>
            <w:shd w:val="clear" w:color="auto" w:fill="FFFFFF"/>
            <w:tcMar>
              <w:top w:w="0" w:type="dxa"/>
              <w:left w:w="101" w:type="dxa"/>
              <w:bottom w:w="0" w:type="dxa"/>
              <w:right w:w="101" w:type="dxa"/>
            </w:tcMar>
            <w:hideMark/>
          </w:tcPr>
          <w:p w14:paraId="7178C9AA"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970</w:t>
            </w:r>
          </w:p>
        </w:tc>
        <w:tc>
          <w:tcPr>
            <w:tcW w:w="1035" w:type="dxa"/>
            <w:shd w:val="clear" w:color="auto" w:fill="FFFFFF"/>
            <w:tcMar>
              <w:top w:w="0" w:type="dxa"/>
              <w:left w:w="101" w:type="dxa"/>
              <w:bottom w:w="0" w:type="dxa"/>
              <w:right w:w="101" w:type="dxa"/>
            </w:tcMar>
            <w:hideMark/>
          </w:tcPr>
          <w:p w14:paraId="41DD803C"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914</w:t>
            </w:r>
          </w:p>
        </w:tc>
      </w:tr>
      <w:tr w:rsidR="00B55EED" w:rsidRPr="005E3B44" w14:paraId="5EAC3CE1" w14:textId="77777777" w:rsidTr="00B55EED">
        <w:trPr>
          <w:trHeight w:val="480"/>
        </w:trPr>
        <w:tc>
          <w:tcPr>
            <w:tcW w:w="1035" w:type="dxa"/>
            <w:shd w:val="clear" w:color="auto" w:fill="FFFFFF"/>
            <w:tcMar>
              <w:top w:w="0" w:type="dxa"/>
              <w:left w:w="0" w:type="dxa"/>
              <w:bottom w:w="0" w:type="dxa"/>
              <w:right w:w="0" w:type="dxa"/>
            </w:tcMar>
          </w:tcPr>
          <w:p w14:paraId="6DAFE229" w14:textId="77777777" w:rsidR="00B55EED" w:rsidRPr="005E3B44" w:rsidRDefault="00B55EED">
            <w:pPr>
              <w:pStyle w:val="Normal3"/>
              <w:rPr>
                <w:rFonts w:asciiTheme="minorHAnsi" w:eastAsia="Calibri" w:hAnsiTheme="minorHAnsi" w:cstheme="minorHAnsi"/>
                <w:b/>
                <w:color w:val="000000"/>
                <w:sz w:val="18"/>
              </w:rPr>
            </w:pPr>
          </w:p>
        </w:tc>
        <w:tc>
          <w:tcPr>
            <w:tcW w:w="8160" w:type="dxa"/>
            <w:gridSpan w:val="7"/>
            <w:tcMar>
              <w:top w:w="0" w:type="dxa"/>
              <w:left w:w="101" w:type="dxa"/>
              <w:bottom w:w="0" w:type="dxa"/>
              <w:right w:w="101" w:type="dxa"/>
            </w:tcMar>
            <w:vAlign w:val="bottom"/>
            <w:hideMark/>
          </w:tcPr>
          <w:p w14:paraId="0F8439DB"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INVESTING ACTIVITIES</w:t>
            </w:r>
          </w:p>
        </w:tc>
      </w:tr>
      <w:tr w:rsidR="00B55EED" w:rsidRPr="005E3B44" w14:paraId="0A131461" w14:textId="77777777" w:rsidTr="00B55EED">
        <w:trPr>
          <w:trHeight w:val="120"/>
        </w:trPr>
        <w:tc>
          <w:tcPr>
            <w:tcW w:w="1035" w:type="dxa"/>
            <w:shd w:val="clear" w:color="auto" w:fill="FFFFFF"/>
            <w:tcMar>
              <w:top w:w="0" w:type="dxa"/>
              <w:left w:w="0" w:type="dxa"/>
              <w:bottom w:w="0" w:type="dxa"/>
              <w:right w:w="0" w:type="dxa"/>
            </w:tcMar>
          </w:tcPr>
          <w:p w14:paraId="10A87808" w14:textId="77777777" w:rsidR="00B55EED" w:rsidRPr="005E3B44" w:rsidRDefault="00B55EED">
            <w:pPr>
              <w:pStyle w:val="Normal3"/>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2A117AC9"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7BA04D7A"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4FC94711" w14:textId="77777777" w:rsidR="00B55EED" w:rsidRPr="005E3B44" w:rsidRDefault="00B55EED">
            <w:pPr>
              <w:pStyle w:val="Normal3"/>
              <w:rPr>
                <w:rFonts w:asciiTheme="minorHAnsi" w:eastAsia="Calibri" w:hAnsiTheme="minorHAnsi" w:cstheme="minorHAnsi"/>
                <w:b/>
                <w:color w:val="000000"/>
                <w:sz w:val="18"/>
              </w:rPr>
            </w:pPr>
          </w:p>
        </w:tc>
        <w:tc>
          <w:tcPr>
            <w:tcW w:w="600" w:type="dxa"/>
            <w:shd w:val="clear" w:color="auto" w:fill="FFFFFF"/>
            <w:tcMar>
              <w:top w:w="0" w:type="dxa"/>
              <w:left w:w="0" w:type="dxa"/>
              <w:bottom w:w="0" w:type="dxa"/>
              <w:right w:w="0" w:type="dxa"/>
            </w:tcMar>
          </w:tcPr>
          <w:p w14:paraId="77B839DA"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719068DD"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4C13CC1D"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2E8A48AE" w14:textId="77777777" w:rsidR="00B55EED" w:rsidRPr="005E3B44" w:rsidRDefault="00B55EED">
            <w:pPr>
              <w:pStyle w:val="Normal3"/>
              <w:rPr>
                <w:rFonts w:asciiTheme="minorHAnsi" w:eastAsia="Calibri" w:hAnsiTheme="minorHAnsi" w:cstheme="minorHAnsi"/>
                <w:b/>
                <w:color w:val="000000"/>
                <w:sz w:val="18"/>
              </w:rPr>
            </w:pPr>
          </w:p>
        </w:tc>
      </w:tr>
      <w:tr w:rsidR="00B55EED" w:rsidRPr="005E3B44" w14:paraId="418423BF" w14:textId="77777777" w:rsidTr="00B55EED">
        <w:trPr>
          <w:trHeight w:val="240"/>
        </w:trPr>
        <w:tc>
          <w:tcPr>
            <w:tcW w:w="1035" w:type="dxa"/>
            <w:shd w:val="clear" w:color="auto" w:fill="FFFFFF"/>
            <w:tcMar>
              <w:top w:w="0" w:type="dxa"/>
              <w:left w:w="0" w:type="dxa"/>
              <w:bottom w:w="0" w:type="dxa"/>
              <w:right w:w="0" w:type="dxa"/>
            </w:tcMar>
          </w:tcPr>
          <w:p w14:paraId="19018690" w14:textId="77777777" w:rsidR="00B55EED" w:rsidRPr="005E3B44" w:rsidRDefault="00B55EED">
            <w:pPr>
              <w:pStyle w:val="Normal3"/>
              <w:rPr>
                <w:rFonts w:asciiTheme="minorHAnsi" w:eastAsia="Calibri" w:hAnsiTheme="minorHAnsi" w:cstheme="minorHAnsi"/>
                <w:b/>
                <w:color w:val="000000"/>
                <w:sz w:val="18"/>
              </w:rPr>
            </w:pPr>
          </w:p>
        </w:tc>
        <w:tc>
          <w:tcPr>
            <w:tcW w:w="2385" w:type="dxa"/>
            <w:shd w:val="clear" w:color="auto" w:fill="FFFFFF"/>
            <w:tcMar>
              <w:top w:w="0" w:type="dxa"/>
              <w:left w:w="101" w:type="dxa"/>
              <w:bottom w:w="0" w:type="dxa"/>
              <w:right w:w="101" w:type="dxa"/>
            </w:tcMar>
            <w:hideMark/>
          </w:tcPr>
          <w:p w14:paraId="6A93F410"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35" w:type="dxa"/>
            <w:shd w:val="clear" w:color="auto" w:fill="FFFFFF"/>
            <w:tcMar>
              <w:top w:w="0" w:type="dxa"/>
              <w:left w:w="0" w:type="dxa"/>
              <w:bottom w:w="0" w:type="dxa"/>
              <w:right w:w="0" w:type="dxa"/>
            </w:tcMar>
          </w:tcPr>
          <w:p w14:paraId="4906FB07"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2BD926FE" w14:textId="77777777" w:rsidR="00B55EED" w:rsidRPr="005E3B44" w:rsidRDefault="00B55EED">
            <w:pPr>
              <w:pStyle w:val="Normal3"/>
              <w:rPr>
                <w:rFonts w:asciiTheme="minorHAnsi" w:eastAsia="Calibri" w:hAnsiTheme="minorHAnsi" w:cstheme="minorHAnsi"/>
                <w:b/>
                <w:color w:val="000000"/>
                <w:sz w:val="18"/>
              </w:rPr>
            </w:pPr>
          </w:p>
        </w:tc>
        <w:tc>
          <w:tcPr>
            <w:tcW w:w="600" w:type="dxa"/>
            <w:shd w:val="clear" w:color="auto" w:fill="FFFFFF"/>
            <w:tcMar>
              <w:top w:w="0" w:type="dxa"/>
              <w:left w:w="0" w:type="dxa"/>
              <w:bottom w:w="0" w:type="dxa"/>
              <w:right w:w="0" w:type="dxa"/>
            </w:tcMar>
          </w:tcPr>
          <w:p w14:paraId="44B9A3E2"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20D0E521"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08F2D62B"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670EE56B" w14:textId="77777777" w:rsidR="00B55EED" w:rsidRPr="005E3B44" w:rsidRDefault="00B55EED">
            <w:pPr>
              <w:pStyle w:val="Normal3"/>
              <w:rPr>
                <w:rFonts w:asciiTheme="minorHAnsi" w:eastAsia="Calibri" w:hAnsiTheme="minorHAnsi" w:cstheme="minorHAnsi"/>
                <w:b/>
                <w:color w:val="000000"/>
                <w:sz w:val="18"/>
              </w:rPr>
            </w:pPr>
          </w:p>
        </w:tc>
      </w:tr>
      <w:tr w:rsidR="00B55EED" w:rsidRPr="005E3B44" w14:paraId="385EF248" w14:textId="77777777" w:rsidTr="00B55EED">
        <w:trPr>
          <w:trHeight w:val="240"/>
        </w:trPr>
        <w:tc>
          <w:tcPr>
            <w:tcW w:w="1035" w:type="dxa"/>
            <w:shd w:val="clear" w:color="auto" w:fill="FFFFFF"/>
            <w:tcMar>
              <w:top w:w="0" w:type="dxa"/>
              <w:left w:w="101" w:type="dxa"/>
              <w:bottom w:w="0" w:type="dxa"/>
              <w:right w:w="101" w:type="dxa"/>
            </w:tcMar>
            <w:hideMark/>
          </w:tcPr>
          <w:p w14:paraId="055C231E"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2385" w:type="dxa"/>
            <w:shd w:val="clear" w:color="auto" w:fill="FFFFFF"/>
            <w:noWrap/>
            <w:tcMar>
              <w:top w:w="0" w:type="dxa"/>
              <w:left w:w="101" w:type="dxa"/>
              <w:bottom w:w="0" w:type="dxa"/>
              <w:right w:w="101" w:type="dxa"/>
            </w:tcMar>
            <w:hideMark/>
          </w:tcPr>
          <w:p w14:paraId="3ABBE960"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Purchase of Property, Plant and Equipment</w:t>
            </w:r>
          </w:p>
        </w:tc>
        <w:tc>
          <w:tcPr>
            <w:tcW w:w="1035" w:type="dxa"/>
            <w:shd w:val="clear" w:color="auto" w:fill="FFFFFF"/>
            <w:tcMar>
              <w:top w:w="0" w:type="dxa"/>
              <w:left w:w="101" w:type="dxa"/>
              <w:bottom w:w="0" w:type="dxa"/>
              <w:right w:w="101" w:type="dxa"/>
            </w:tcMar>
            <w:hideMark/>
          </w:tcPr>
          <w:p w14:paraId="55F4D98C"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99</w:t>
            </w:r>
          </w:p>
        </w:tc>
        <w:tc>
          <w:tcPr>
            <w:tcW w:w="1035" w:type="dxa"/>
            <w:shd w:val="clear" w:color="auto" w:fill="FFFFFF"/>
            <w:tcMar>
              <w:top w:w="0" w:type="dxa"/>
              <w:left w:w="101" w:type="dxa"/>
              <w:bottom w:w="0" w:type="dxa"/>
              <w:right w:w="101" w:type="dxa"/>
            </w:tcMar>
            <w:hideMark/>
          </w:tcPr>
          <w:p w14:paraId="2D4AA940"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600" w:type="dxa"/>
            <w:shd w:val="clear" w:color="auto" w:fill="FFFFFF"/>
            <w:tcMar>
              <w:top w:w="0" w:type="dxa"/>
              <w:left w:w="101" w:type="dxa"/>
              <w:bottom w:w="0" w:type="dxa"/>
              <w:right w:w="101" w:type="dxa"/>
            </w:tcMar>
            <w:hideMark/>
          </w:tcPr>
          <w:p w14:paraId="244BCA7A"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-49 </w:t>
            </w:r>
          </w:p>
        </w:tc>
        <w:tc>
          <w:tcPr>
            <w:tcW w:w="1035" w:type="dxa"/>
            <w:shd w:val="clear" w:color="auto" w:fill="FFFFFF"/>
            <w:tcMar>
              <w:top w:w="0" w:type="dxa"/>
              <w:left w:w="101" w:type="dxa"/>
              <w:bottom w:w="0" w:type="dxa"/>
              <w:right w:w="101" w:type="dxa"/>
            </w:tcMar>
            <w:hideMark/>
          </w:tcPr>
          <w:p w14:paraId="0AA37614"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035" w:type="dxa"/>
            <w:shd w:val="clear" w:color="auto" w:fill="FFFFFF"/>
            <w:tcMar>
              <w:top w:w="0" w:type="dxa"/>
              <w:left w:w="101" w:type="dxa"/>
              <w:bottom w:w="0" w:type="dxa"/>
              <w:right w:w="101" w:type="dxa"/>
            </w:tcMar>
            <w:hideMark/>
          </w:tcPr>
          <w:p w14:paraId="3BF582E1"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035" w:type="dxa"/>
            <w:shd w:val="clear" w:color="auto" w:fill="FFFFFF"/>
            <w:tcMar>
              <w:top w:w="0" w:type="dxa"/>
              <w:left w:w="101" w:type="dxa"/>
              <w:bottom w:w="0" w:type="dxa"/>
              <w:right w:w="101" w:type="dxa"/>
            </w:tcMar>
            <w:hideMark/>
          </w:tcPr>
          <w:p w14:paraId="54AAD29F"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r>
      <w:tr w:rsidR="00B55EED" w:rsidRPr="005E3B44" w14:paraId="3B2D2371" w14:textId="77777777" w:rsidTr="00B55EED">
        <w:trPr>
          <w:trHeight w:val="240"/>
        </w:trPr>
        <w:tc>
          <w:tcPr>
            <w:tcW w:w="1035" w:type="dxa"/>
            <w:shd w:val="clear" w:color="auto" w:fill="FFFFFF"/>
            <w:tcMar>
              <w:top w:w="0" w:type="dxa"/>
              <w:left w:w="101" w:type="dxa"/>
              <w:bottom w:w="0" w:type="dxa"/>
              <w:right w:w="101" w:type="dxa"/>
            </w:tcMar>
            <w:hideMark/>
          </w:tcPr>
          <w:p w14:paraId="2D8189CD"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2385" w:type="dxa"/>
            <w:shd w:val="clear" w:color="auto" w:fill="FFFFFF"/>
            <w:noWrap/>
            <w:tcMar>
              <w:top w:w="0" w:type="dxa"/>
              <w:left w:w="101" w:type="dxa"/>
              <w:bottom w:w="0" w:type="dxa"/>
              <w:right w:w="101" w:type="dxa"/>
            </w:tcMar>
            <w:hideMark/>
          </w:tcPr>
          <w:p w14:paraId="5D90488D"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Investing Payments</w:t>
            </w:r>
          </w:p>
        </w:tc>
        <w:tc>
          <w:tcPr>
            <w:tcW w:w="1035" w:type="dxa"/>
            <w:shd w:val="clear" w:color="auto" w:fill="FFFFFF"/>
            <w:tcMar>
              <w:top w:w="0" w:type="dxa"/>
              <w:left w:w="101" w:type="dxa"/>
              <w:bottom w:w="0" w:type="dxa"/>
              <w:right w:w="101" w:type="dxa"/>
            </w:tcMar>
            <w:hideMark/>
          </w:tcPr>
          <w:p w14:paraId="033C2337"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99</w:t>
            </w:r>
          </w:p>
        </w:tc>
        <w:tc>
          <w:tcPr>
            <w:tcW w:w="1035" w:type="dxa"/>
            <w:shd w:val="clear" w:color="auto" w:fill="FFFFFF"/>
            <w:tcMar>
              <w:top w:w="0" w:type="dxa"/>
              <w:left w:w="101" w:type="dxa"/>
              <w:bottom w:w="0" w:type="dxa"/>
              <w:right w:w="101" w:type="dxa"/>
            </w:tcMar>
            <w:hideMark/>
          </w:tcPr>
          <w:p w14:paraId="351FAE3A"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600" w:type="dxa"/>
            <w:shd w:val="clear" w:color="auto" w:fill="FFFFFF"/>
            <w:tcMar>
              <w:top w:w="0" w:type="dxa"/>
              <w:left w:w="101" w:type="dxa"/>
              <w:bottom w:w="0" w:type="dxa"/>
              <w:right w:w="101" w:type="dxa"/>
            </w:tcMar>
            <w:hideMark/>
          </w:tcPr>
          <w:p w14:paraId="1B6BB839"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-49 </w:t>
            </w:r>
          </w:p>
        </w:tc>
        <w:tc>
          <w:tcPr>
            <w:tcW w:w="1035" w:type="dxa"/>
            <w:shd w:val="clear" w:color="auto" w:fill="FFFFFF"/>
            <w:tcMar>
              <w:top w:w="0" w:type="dxa"/>
              <w:left w:w="101" w:type="dxa"/>
              <w:bottom w:w="0" w:type="dxa"/>
              <w:right w:w="101" w:type="dxa"/>
            </w:tcMar>
            <w:hideMark/>
          </w:tcPr>
          <w:p w14:paraId="0E872253"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035" w:type="dxa"/>
            <w:shd w:val="clear" w:color="auto" w:fill="FFFFFF"/>
            <w:tcMar>
              <w:top w:w="0" w:type="dxa"/>
              <w:left w:w="101" w:type="dxa"/>
              <w:bottom w:w="0" w:type="dxa"/>
              <w:right w:w="101" w:type="dxa"/>
            </w:tcMar>
            <w:hideMark/>
          </w:tcPr>
          <w:p w14:paraId="713C85CB"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c>
          <w:tcPr>
            <w:tcW w:w="1035" w:type="dxa"/>
            <w:shd w:val="clear" w:color="auto" w:fill="FFFFFF"/>
            <w:tcMar>
              <w:top w:w="0" w:type="dxa"/>
              <w:left w:w="101" w:type="dxa"/>
              <w:bottom w:w="0" w:type="dxa"/>
              <w:right w:w="101" w:type="dxa"/>
            </w:tcMar>
            <w:hideMark/>
          </w:tcPr>
          <w:p w14:paraId="39E5AD10"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50</w:t>
            </w:r>
          </w:p>
        </w:tc>
      </w:tr>
      <w:tr w:rsidR="00B55EED" w:rsidRPr="005E3B44" w14:paraId="40D68AAE" w14:textId="77777777" w:rsidTr="00B55EED">
        <w:trPr>
          <w:trHeight w:val="120"/>
        </w:trPr>
        <w:tc>
          <w:tcPr>
            <w:tcW w:w="1035" w:type="dxa"/>
            <w:shd w:val="clear" w:color="auto" w:fill="FFFFFF"/>
            <w:tcMar>
              <w:top w:w="0" w:type="dxa"/>
              <w:left w:w="0" w:type="dxa"/>
              <w:bottom w:w="0" w:type="dxa"/>
              <w:right w:w="0" w:type="dxa"/>
            </w:tcMar>
          </w:tcPr>
          <w:p w14:paraId="4DB57DB7" w14:textId="77777777" w:rsidR="00B55EED" w:rsidRPr="005E3B44" w:rsidRDefault="00B55EED">
            <w:pPr>
              <w:pStyle w:val="Normal3"/>
              <w:jc w:val="right"/>
              <w:rPr>
                <w:rFonts w:asciiTheme="minorHAnsi" w:eastAsia="Calibri" w:hAnsiTheme="minorHAnsi" w:cstheme="minorHAnsi"/>
                <w:color w:val="000000"/>
                <w:sz w:val="18"/>
              </w:rPr>
            </w:pPr>
          </w:p>
        </w:tc>
        <w:tc>
          <w:tcPr>
            <w:tcW w:w="2385" w:type="dxa"/>
            <w:shd w:val="clear" w:color="auto" w:fill="FFFFFF"/>
            <w:tcMar>
              <w:top w:w="0" w:type="dxa"/>
              <w:left w:w="0" w:type="dxa"/>
              <w:bottom w:w="0" w:type="dxa"/>
              <w:right w:w="0" w:type="dxa"/>
            </w:tcMar>
          </w:tcPr>
          <w:p w14:paraId="46A4C340"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39E34C10"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5FE9C52C" w14:textId="77777777" w:rsidR="00B55EED" w:rsidRPr="005E3B44" w:rsidRDefault="00B55EED">
            <w:pPr>
              <w:pStyle w:val="Normal3"/>
              <w:jc w:val="right"/>
              <w:rPr>
                <w:rFonts w:asciiTheme="minorHAnsi" w:eastAsia="Calibri" w:hAnsiTheme="minorHAnsi" w:cstheme="minorHAnsi"/>
                <w:color w:val="000000"/>
                <w:sz w:val="18"/>
              </w:rPr>
            </w:pPr>
          </w:p>
        </w:tc>
        <w:tc>
          <w:tcPr>
            <w:tcW w:w="600" w:type="dxa"/>
            <w:shd w:val="clear" w:color="auto" w:fill="FFFFFF"/>
            <w:tcMar>
              <w:top w:w="0" w:type="dxa"/>
              <w:left w:w="0" w:type="dxa"/>
              <w:bottom w:w="0" w:type="dxa"/>
              <w:right w:w="0" w:type="dxa"/>
            </w:tcMar>
          </w:tcPr>
          <w:p w14:paraId="263E0E24"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35B136CC"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6A900108"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31847057" w14:textId="77777777" w:rsidR="00B55EED" w:rsidRPr="005E3B44" w:rsidRDefault="00B55EED">
            <w:pPr>
              <w:pStyle w:val="Normal3"/>
              <w:jc w:val="right"/>
              <w:rPr>
                <w:rFonts w:asciiTheme="minorHAnsi" w:eastAsia="Calibri" w:hAnsiTheme="minorHAnsi" w:cstheme="minorHAnsi"/>
                <w:color w:val="000000"/>
                <w:sz w:val="18"/>
              </w:rPr>
            </w:pPr>
          </w:p>
        </w:tc>
      </w:tr>
      <w:tr w:rsidR="00B55EED" w:rsidRPr="005E3B44" w14:paraId="7E4C1236" w14:textId="77777777" w:rsidTr="00B55EED">
        <w:trPr>
          <w:trHeight w:val="240"/>
        </w:trPr>
        <w:tc>
          <w:tcPr>
            <w:tcW w:w="1035" w:type="dxa"/>
            <w:shd w:val="clear" w:color="auto" w:fill="FFFFFF"/>
            <w:tcMar>
              <w:top w:w="0" w:type="dxa"/>
              <w:left w:w="101" w:type="dxa"/>
              <w:bottom w:w="0" w:type="dxa"/>
              <w:right w:w="101" w:type="dxa"/>
            </w:tcMar>
            <w:hideMark/>
          </w:tcPr>
          <w:p w14:paraId="0192FD39"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-50</w:t>
            </w:r>
          </w:p>
        </w:tc>
        <w:tc>
          <w:tcPr>
            <w:tcW w:w="2385" w:type="dxa"/>
            <w:shd w:val="clear" w:color="auto" w:fill="FFFFFF"/>
            <w:noWrap/>
            <w:tcMar>
              <w:top w:w="0" w:type="dxa"/>
              <w:left w:w="101" w:type="dxa"/>
              <w:bottom w:w="0" w:type="dxa"/>
              <w:right w:w="101" w:type="dxa"/>
            </w:tcMar>
            <w:hideMark/>
          </w:tcPr>
          <w:p w14:paraId="7F09162C"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INVESTING ACTIVITIES</w:t>
            </w:r>
          </w:p>
        </w:tc>
        <w:tc>
          <w:tcPr>
            <w:tcW w:w="1035" w:type="dxa"/>
            <w:shd w:val="clear" w:color="auto" w:fill="FFFFFF"/>
            <w:tcMar>
              <w:top w:w="0" w:type="dxa"/>
              <w:left w:w="101" w:type="dxa"/>
              <w:bottom w:w="0" w:type="dxa"/>
              <w:right w:w="101" w:type="dxa"/>
            </w:tcMar>
            <w:hideMark/>
          </w:tcPr>
          <w:p w14:paraId="1AA4851B"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-99</w:t>
            </w:r>
          </w:p>
        </w:tc>
        <w:tc>
          <w:tcPr>
            <w:tcW w:w="1035" w:type="dxa"/>
            <w:shd w:val="clear" w:color="auto" w:fill="FFFFFF"/>
            <w:tcMar>
              <w:top w:w="0" w:type="dxa"/>
              <w:left w:w="101" w:type="dxa"/>
              <w:bottom w:w="0" w:type="dxa"/>
              <w:right w:w="101" w:type="dxa"/>
            </w:tcMar>
            <w:hideMark/>
          </w:tcPr>
          <w:p w14:paraId="34932A36"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-50</w:t>
            </w:r>
          </w:p>
        </w:tc>
        <w:tc>
          <w:tcPr>
            <w:tcW w:w="600" w:type="dxa"/>
            <w:shd w:val="clear" w:color="auto" w:fill="FFFFFF"/>
            <w:tcMar>
              <w:top w:w="0" w:type="dxa"/>
              <w:left w:w="101" w:type="dxa"/>
              <w:bottom w:w="0" w:type="dxa"/>
              <w:right w:w="101" w:type="dxa"/>
            </w:tcMar>
            <w:hideMark/>
          </w:tcPr>
          <w:p w14:paraId="0CC72573"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49 </w:t>
            </w:r>
          </w:p>
        </w:tc>
        <w:tc>
          <w:tcPr>
            <w:tcW w:w="1035" w:type="dxa"/>
            <w:shd w:val="clear" w:color="auto" w:fill="FFFFFF"/>
            <w:tcMar>
              <w:top w:w="0" w:type="dxa"/>
              <w:left w:w="101" w:type="dxa"/>
              <w:bottom w:w="0" w:type="dxa"/>
              <w:right w:w="101" w:type="dxa"/>
            </w:tcMar>
            <w:hideMark/>
          </w:tcPr>
          <w:p w14:paraId="4EF4595C"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-50</w:t>
            </w:r>
          </w:p>
        </w:tc>
        <w:tc>
          <w:tcPr>
            <w:tcW w:w="1035" w:type="dxa"/>
            <w:shd w:val="clear" w:color="auto" w:fill="FFFFFF"/>
            <w:tcMar>
              <w:top w:w="0" w:type="dxa"/>
              <w:left w:w="101" w:type="dxa"/>
              <w:bottom w:w="0" w:type="dxa"/>
              <w:right w:w="101" w:type="dxa"/>
            </w:tcMar>
            <w:hideMark/>
          </w:tcPr>
          <w:p w14:paraId="0F14FB30"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-50</w:t>
            </w:r>
          </w:p>
        </w:tc>
        <w:tc>
          <w:tcPr>
            <w:tcW w:w="1035" w:type="dxa"/>
            <w:shd w:val="clear" w:color="auto" w:fill="FFFFFF"/>
            <w:tcMar>
              <w:top w:w="0" w:type="dxa"/>
              <w:left w:w="101" w:type="dxa"/>
              <w:bottom w:w="0" w:type="dxa"/>
              <w:right w:w="101" w:type="dxa"/>
            </w:tcMar>
            <w:hideMark/>
          </w:tcPr>
          <w:p w14:paraId="32F50EF8"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-50</w:t>
            </w:r>
          </w:p>
        </w:tc>
      </w:tr>
      <w:tr w:rsidR="00B55EED" w:rsidRPr="005E3B44" w14:paraId="02381042" w14:textId="77777777" w:rsidTr="00B55EED">
        <w:trPr>
          <w:trHeight w:val="480"/>
        </w:trPr>
        <w:tc>
          <w:tcPr>
            <w:tcW w:w="1035" w:type="dxa"/>
            <w:shd w:val="clear" w:color="auto" w:fill="FFFFFF"/>
            <w:tcMar>
              <w:top w:w="0" w:type="dxa"/>
              <w:left w:w="0" w:type="dxa"/>
              <w:bottom w:w="0" w:type="dxa"/>
              <w:right w:w="0" w:type="dxa"/>
            </w:tcMar>
          </w:tcPr>
          <w:p w14:paraId="4763A4D1" w14:textId="77777777" w:rsidR="00B55EED" w:rsidRPr="005E3B44" w:rsidRDefault="00B55EED">
            <w:pPr>
              <w:pStyle w:val="Normal3"/>
              <w:jc w:val="right"/>
              <w:rPr>
                <w:rFonts w:asciiTheme="minorHAnsi" w:eastAsia="Calibri" w:hAnsiTheme="minorHAnsi" w:cstheme="minorHAnsi"/>
                <w:b/>
                <w:color w:val="000000"/>
                <w:sz w:val="18"/>
              </w:rPr>
            </w:pPr>
          </w:p>
        </w:tc>
        <w:tc>
          <w:tcPr>
            <w:tcW w:w="8160" w:type="dxa"/>
            <w:gridSpan w:val="7"/>
            <w:tcMar>
              <w:top w:w="0" w:type="dxa"/>
              <w:left w:w="101" w:type="dxa"/>
              <w:bottom w:w="0" w:type="dxa"/>
              <w:right w:w="101" w:type="dxa"/>
            </w:tcMar>
            <w:vAlign w:val="bottom"/>
            <w:hideMark/>
          </w:tcPr>
          <w:p w14:paraId="54B6C1DD"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FLOWS FROM FINANCING ACTIVITIES</w:t>
            </w:r>
          </w:p>
        </w:tc>
      </w:tr>
      <w:tr w:rsidR="00B55EED" w:rsidRPr="005E3B44" w14:paraId="5DC593DB" w14:textId="77777777" w:rsidTr="00B55EED">
        <w:trPr>
          <w:trHeight w:val="120"/>
        </w:trPr>
        <w:tc>
          <w:tcPr>
            <w:tcW w:w="1035" w:type="dxa"/>
            <w:shd w:val="clear" w:color="auto" w:fill="FFFFFF"/>
            <w:tcMar>
              <w:top w:w="0" w:type="dxa"/>
              <w:left w:w="0" w:type="dxa"/>
              <w:bottom w:w="0" w:type="dxa"/>
              <w:right w:w="0" w:type="dxa"/>
            </w:tcMar>
          </w:tcPr>
          <w:p w14:paraId="3BD466B4" w14:textId="77777777" w:rsidR="00B55EED" w:rsidRPr="005E3B44" w:rsidRDefault="00B55EED">
            <w:pPr>
              <w:pStyle w:val="Normal3"/>
              <w:jc w:val="right"/>
              <w:rPr>
                <w:rFonts w:asciiTheme="minorHAnsi" w:eastAsia="Calibri" w:hAnsiTheme="minorHAnsi" w:cstheme="minorHAnsi"/>
                <w:color w:val="000000"/>
                <w:sz w:val="18"/>
              </w:rPr>
            </w:pPr>
          </w:p>
        </w:tc>
        <w:tc>
          <w:tcPr>
            <w:tcW w:w="2385" w:type="dxa"/>
            <w:shd w:val="clear" w:color="auto" w:fill="FFFFFF"/>
            <w:tcMar>
              <w:top w:w="0" w:type="dxa"/>
              <w:left w:w="0" w:type="dxa"/>
              <w:bottom w:w="0" w:type="dxa"/>
              <w:right w:w="0" w:type="dxa"/>
            </w:tcMar>
          </w:tcPr>
          <w:p w14:paraId="5E74E01B"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44C65F0C"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09393724" w14:textId="77777777" w:rsidR="00B55EED" w:rsidRPr="005E3B44" w:rsidRDefault="00B55EED">
            <w:pPr>
              <w:pStyle w:val="Normal3"/>
              <w:rPr>
                <w:rFonts w:asciiTheme="minorHAnsi" w:eastAsia="Calibri" w:hAnsiTheme="minorHAnsi" w:cstheme="minorHAnsi"/>
                <w:color w:val="000000"/>
                <w:sz w:val="18"/>
              </w:rPr>
            </w:pPr>
          </w:p>
        </w:tc>
        <w:tc>
          <w:tcPr>
            <w:tcW w:w="600" w:type="dxa"/>
            <w:shd w:val="clear" w:color="auto" w:fill="FFFFFF"/>
            <w:tcMar>
              <w:top w:w="0" w:type="dxa"/>
              <w:left w:w="0" w:type="dxa"/>
              <w:bottom w:w="0" w:type="dxa"/>
              <w:right w:w="0" w:type="dxa"/>
            </w:tcMar>
          </w:tcPr>
          <w:p w14:paraId="73050324"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22567C95"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6AF62762"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0051D0D8" w14:textId="77777777" w:rsidR="00B55EED" w:rsidRPr="005E3B44" w:rsidRDefault="00B55EED">
            <w:pPr>
              <w:pStyle w:val="Normal3"/>
              <w:rPr>
                <w:rFonts w:asciiTheme="minorHAnsi" w:eastAsia="Calibri" w:hAnsiTheme="minorHAnsi" w:cstheme="minorHAnsi"/>
                <w:color w:val="000000"/>
                <w:sz w:val="18"/>
              </w:rPr>
            </w:pPr>
          </w:p>
        </w:tc>
      </w:tr>
      <w:tr w:rsidR="00B55EED" w:rsidRPr="005E3B44" w14:paraId="606BCA54" w14:textId="77777777" w:rsidTr="00B55EED">
        <w:trPr>
          <w:trHeight w:val="240"/>
        </w:trPr>
        <w:tc>
          <w:tcPr>
            <w:tcW w:w="1035" w:type="dxa"/>
            <w:shd w:val="clear" w:color="auto" w:fill="FFFFFF"/>
            <w:tcMar>
              <w:top w:w="0" w:type="dxa"/>
              <w:left w:w="0" w:type="dxa"/>
              <w:bottom w:w="0" w:type="dxa"/>
              <w:right w:w="0" w:type="dxa"/>
            </w:tcMar>
          </w:tcPr>
          <w:p w14:paraId="7FC62AE6" w14:textId="77777777" w:rsidR="00B55EED" w:rsidRPr="005E3B44" w:rsidRDefault="00B55EED">
            <w:pPr>
              <w:pStyle w:val="Normal3"/>
              <w:jc w:val="right"/>
              <w:rPr>
                <w:rFonts w:asciiTheme="minorHAnsi" w:eastAsia="Calibri" w:hAnsiTheme="minorHAnsi" w:cstheme="minorHAnsi"/>
                <w:b/>
                <w:color w:val="000000"/>
                <w:sz w:val="18"/>
              </w:rPr>
            </w:pPr>
          </w:p>
        </w:tc>
        <w:tc>
          <w:tcPr>
            <w:tcW w:w="2385" w:type="dxa"/>
            <w:shd w:val="clear" w:color="auto" w:fill="FFFFFF"/>
            <w:tcMar>
              <w:top w:w="0" w:type="dxa"/>
              <w:left w:w="101" w:type="dxa"/>
              <w:bottom w:w="0" w:type="dxa"/>
              <w:right w:w="101" w:type="dxa"/>
            </w:tcMar>
            <w:hideMark/>
          </w:tcPr>
          <w:p w14:paraId="7068A8D2"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Payments</w:t>
            </w:r>
          </w:p>
        </w:tc>
        <w:tc>
          <w:tcPr>
            <w:tcW w:w="1035" w:type="dxa"/>
            <w:shd w:val="clear" w:color="auto" w:fill="FFFFFF"/>
            <w:tcMar>
              <w:top w:w="0" w:type="dxa"/>
              <w:left w:w="0" w:type="dxa"/>
              <w:bottom w:w="0" w:type="dxa"/>
              <w:right w:w="0" w:type="dxa"/>
            </w:tcMar>
          </w:tcPr>
          <w:p w14:paraId="7A217673"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70CA04D9" w14:textId="77777777" w:rsidR="00B55EED" w:rsidRPr="005E3B44" w:rsidRDefault="00B55EED">
            <w:pPr>
              <w:pStyle w:val="Normal3"/>
              <w:rPr>
                <w:rFonts w:asciiTheme="minorHAnsi" w:eastAsia="Calibri" w:hAnsiTheme="minorHAnsi" w:cstheme="minorHAnsi"/>
                <w:b/>
                <w:color w:val="000000"/>
                <w:sz w:val="18"/>
              </w:rPr>
            </w:pPr>
          </w:p>
        </w:tc>
        <w:tc>
          <w:tcPr>
            <w:tcW w:w="600" w:type="dxa"/>
            <w:shd w:val="clear" w:color="auto" w:fill="FFFFFF"/>
            <w:tcMar>
              <w:top w:w="0" w:type="dxa"/>
              <w:left w:w="0" w:type="dxa"/>
              <w:bottom w:w="0" w:type="dxa"/>
              <w:right w:w="0" w:type="dxa"/>
            </w:tcMar>
          </w:tcPr>
          <w:p w14:paraId="1128E867"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69687CB9"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6885C615"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6F0CFDA6" w14:textId="77777777" w:rsidR="00B55EED" w:rsidRPr="005E3B44" w:rsidRDefault="00B55EED">
            <w:pPr>
              <w:pStyle w:val="Normal3"/>
              <w:rPr>
                <w:rFonts w:asciiTheme="minorHAnsi" w:eastAsia="Calibri" w:hAnsiTheme="minorHAnsi" w:cstheme="minorHAnsi"/>
                <w:b/>
                <w:color w:val="000000"/>
                <w:sz w:val="18"/>
              </w:rPr>
            </w:pPr>
          </w:p>
        </w:tc>
      </w:tr>
      <w:tr w:rsidR="00B55EED" w:rsidRPr="005E3B44" w14:paraId="163351C3" w14:textId="77777777" w:rsidTr="00B55EED">
        <w:trPr>
          <w:trHeight w:val="240"/>
        </w:trPr>
        <w:tc>
          <w:tcPr>
            <w:tcW w:w="1035" w:type="dxa"/>
            <w:shd w:val="clear" w:color="auto" w:fill="FFFFFF"/>
            <w:tcMar>
              <w:top w:w="0" w:type="dxa"/>
              <w:left w:w="101" w:type="dxa"/>
              <w:bottom w:w="0" w:type="dxa"/>
              <w:right w:w="101" w:type="dxa"/>
            </w:tcMar>
            <w:hideMark/>
          </w:tcPr>
          <w:p w14:paraId="223DF0A1" w14:textId="2ED7EF6D"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222</w:t>
            </w:r>
          </w:p>
        </w:tc>
        <w:tc>
          <w:tcPr>
            <w:tcW w:w="2385" w:type="dxa"/>
            <w:shd w:val="clear" w:color="auto" w:fill="FFFFFF"/>
            <w:noWrap/>
            <w:tcMar>
              <w:top w:w="0" w:type="dxa"/>
              <w:left w:w="101" w:type="dxa"/>
              <w:bottom w:w="0" w:type="dxa"/>
              <w:right w:w="101" w:type="dxa"/>
            </w:tcMar>
            <w:hideMark/>
          </w:tcPr>
          <w:p w14:paraId="3D450A7C"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Repayment of Lease Liabilities - Principal</w:t>
            </w:r>
          </w:p>
        </w:tc>
        <w:tc>
          <w:tcPr>
            <w:tcW w:w="1035" w:type="dxa"/>
            <w:shd w:val="clear" w:color="auto" w:fill="FFFFFF"/>
            <w:tcMar>
              <w:top w:w="0" w:type="dxa"/>
              <w:left w:w="101" w:type="dxa"/>
              <w:bottom w:w="0" w:type="dxa"/>
              <w:right w:w="101" w:type="dxa"/>
            </w:tcMar>
            <w:hideMark/>
          </w:tcPr>
          <w:p w14:paraId="1CB00127" w14:textId="2D090091"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235</w:t>
            </w:r>
          </w:p>
        </w:tc>
        <w:tc>
          <w:tcPr>
            <w:tcW w:w="1035" w:type="dxa"/>
            <w:shd w:val="clear" w:color="auto" w:fill="FFFFFF"/>
            <w:tcMar>
              <w:top w:w="0" w:type="dxa"/>
              <w:left w:w="101" w:type="dxa"/>
              <w:bottom w:w="0" w:type="dxa"/>
              <w:right w:w="101" w:type="dxa"/>
            </w:tcMar>
            <w:hideMark/>
          </w:tcPr>
          <w:p w14:paraId="2729014C" w14:textId="4D677798"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255</w:t>
            </w:r>
          </w:p>
        </w:tc>
        <w:tc>
          <w:tcPr>
            <w:tcW w:w="600" w:type="dxa"/>
            <w:shd w:val="clear" w:color="auto" w:fill="FFFFFF"/>
            <w:tcMar>
              <w:top w:w="0" w:type="dxa"/>
              <w:left w:w="101" w:type="dxa"/>
              <w:bottom w:w="0" w:type="dxa"/>
              <w:right w:w="101" w:type="dxa"/>
            </w:tcMar>
            <w:hideMark/>
          </w:tcPr>
          <w:p w14:paraId="6B238910" w14:textId="77777777"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 xml:space="preserve">2 </w:t>
            </w:r>
          </w:p>
        </w:tc>
        <w:tc>
          <w:tcPr>
            <w:tcW w:w="1035" w:type="dxa"/>
            <w:shd w:val="clear" w:color="auto" w:fill="FFFFFF"/>
            <w:tcMar>
              <w:top w:w="0" w:type="dxa"/>
              <w:left w:w="101" w:type="dxa"/>
              <w:bottom w:w="0" w:type="dxa"/>
              <w:right w:w="101" w:type="dxa"/>
            </w:tcMar>
            <w:hideMark/>
          </w:tcPr>
          <w:p w14:paraId="4D4E1D74" w14:textId="1563CF8C"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008</w:t>
            </w:r>
          </w:p>
        </w:tc>
        <w:tc>
          <w:tcPr>
            <w:tcW w:w="1035" w:type="dxa"/>
            <w:shd w:val="clear" w:color="auto" w:fill="FFFFFF"/>
            <w:tcMar>
              <w:top w:w="0" w:type="dxa"/>
              <w:left w:w="101" w:type="dxa"/>
              <w:bottom w:w="0" w:type="dxa"/>
              <w:right w:w="101" w:type="dxa"/>
            </w:tcMar>
            <w:hideMark/>
          </w:tcPr>
          <w:p w14:paraId="48CCC1AF" w14:textId="311DF2B8"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145</w:t>
            </w:r>
          </w:p>
        </w:tc>
        <w:tc>
          <w:tcPr>
            <w:tcW w:w="1035" w:type="dxa"/>
            <w:shd w:val="clear" w:color="auto" w:fill="FFFFFF"/>
            <w:tcMar>
              <w:top w:w="0" w:type="dxa"/>
              <w:left w:w="101" w:type="dxa"/>
              <w:bottom w:w="0" w:type="dxa"/>
              <w:right w:w="101" w:type="dxa"/>
            </w:tcMar>
            <w:hideMark/>
          </w:tcPr>
          <w:p w14:paraId="722F288B" w14:textId="64F553E9" w:rsidR="00B55EED" w:rsidRPr="005E3B44" w:rsidRDefault="00B55EED">
            <w:pPr>
              <w:pStyle w:val="Normal3"/>
              <w:jc w:val="right"/>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1</w:t>
            </w:r>
            <w:r w:rsidR="00B224AF">
              <w:rPr>
                <w:rFonts w:asciiTheme="minorHAnsi" w:eastAsia="Calibri" w:hAnsiTheme="minorHAnsi" w:cstheme="minorHAnsi"/>
                <w:color w:val="000000"/>
                <w:sz w:val="18"/>
              </w:rPr>
              <w:t>,</w:t>
            </w:r>
            <w:r w:rsidRPr="005E3B44">
              <w:rPr>
                <w:rFonts w:asciiTheme="minorHAnsi" w:eastAsia="Calibri" w:hAnsiTheme="minorHAnsi" w:cstheme="minorHAnsi"/>
                <w:color w:val="000000"/>
                <w:sz w:val="18"/>
              </w:rPr>
              <w:t>145</w:t>
            </w:r>
          </w:p>
        </w:tc>
      </w:tr>
      <w:tr w:rsidR="00B55EED" w:rsidRPr="005E3B44" w14:paraId="4E966B5F" w14:textId="77777777" w:rsidTr="00B55EED">
        <w:trPr>
          <w:trHeight w:val="240"/>
        </w:trPr>
        <w:tc>
          <w:tcPr>
            <w:tcW w:w="1035" w:type="dxa"/>
            <w:shd w:val="clear" w:color="auto" w:fill="FFFFFF"/>
            <w:tcMar>
              <w:top w:w="0" w:type="dxa"/>
              <w:left w:w="101" w:type="dxa"/>
              <w:bottom w:w="0" w:type="dxa"/>
              <w:right w:w="101" w:type="dxa"/>
            </w:tcMar>
            <w:hideMark/>
          </w:tcPr>
          <w:p w14:paraId="49D463A8" w14:textId="32A0EE08"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222</w:t>
            </w:r>
          </w:p>
        </w:tc>
        <w:tc>
          <w:tcPr>
            <w:tcW w:w="2385" w:type="dxa"/>
            <w:shd w:val="clear" w:color="auto" w:fill="FFFFFF"/>
            <w:tcMar>
              <w:top w:w="0" w:type="dxa"/>
              <w:left w:w="101" w:type="dxa"/>
              <w:bottom w:w="0" w:type="dxa"/>
              <w:right w:w="101" w:type="dxa"/>
            </w:tcMar>
            <w:hideMark/>
          </w:tcPr>
          <w:p w14:paraId="73FFF83F"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Financing Payments</w:t>
            </w:r>
          </w:p>
        </w:tc>
        <w:tc>
          <w:tcPr>
            <w:tcW w:w="1035" w:type="dxa"/>
            <w:shd w:val="clear" w:color="auto" w:fill="FFFFFF"/>
            <w:tcMar>
              <w:top w:w="0" w:type="dxa"/>
              <w:left w:w="101" w:type="dxa"/>
              <w:bottom w:w="0" w:type="dxa"/>
              <w:right w:w="101" w:type="dxa"/>
            </w:tcMar>
            <w:hideMark/>
          </w:tcPr>
          <w:p w14:paraId="3DE38F62" w14:textId="62D88152"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235</w:t>
            </w:r>
          </w:p>
        </w:tc>
        <w:tc>
          <w:tcPr>
            <w:tcW w:w="1035" w:type="dxa"/>
            <w:shd w:val="clear" w:color="auto" w:fill="FFFFFF"/>
            <w:tcMar>
              <w:top w:w="0" w:type="dxa"/>
              <w:left w:w="101" w:type="dxa"/>
              <w:bottom w:w="0" w:type="dxa"/>
              <w:right w:w="101" w:type="dxa"/>
            </w:tcMar>
            <w:hideMark/>
          </w:tcPr>
          <w:p w14:paraId="5E007E3D" w14:textId="26E60D85"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255</w:t>
            </w:r>
          </w:p>
        </w:tc>
        <w:tc>
          <w:tcPr>
            <w:tcW w:w="600" w:type="dxa"/>
            <w:shd w:val="clear" w:color="auto" w:fill="FFFFFF"/>
            <w:tcMar>
              <w:top w:w="0" w:type="dxa"/>
              <w:left w:w="101" w:type="dxa"/>
              <w:bottom w:w="0" w:type="dxa"/>
              <w:right w:w="101" w:type="dxa"/>
            </w:tcMar>
            <w:hideMark/>
          </w:tcPr>
          <w:p w14:paraId="53F7C99E"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 </w:t>
            </w:r>
          </w:p>
        </w:tc>
        <w:tc>
          <w:tcPr>
            <w:tcW w:w="1035" w:type="dxa"/>
            <w:shd w:val="clear" w:color="auto" w:fill="FFFFFF"/>
            <w:tcMar>
              <w:top w:w="0" w:type="dxa"/>
              <w:left w:w="101" w:type="dxa"/>
              <w:bottom w:w="0" w:type="dxa"/>
              <w:right w:w="101" w:type="dxa"/>
            </w:tcMar>
            <w:hideMark/>
          </w:tcPr>
          <w:p w14:paraId="63FE9BF8" w14:textId="62A15BEA"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008</w:t>
            </w:r>
          </w:p>
        </w:tc>
        <w:tc>
          <w:tcPr>
            <w:tcW w:w="1035" w:type="dxa"/>
            <w:shd w:val="clear" w:color="auto" w:fill="FFFFFF"/>
            <w:tcMar>
              <w:top w:w="0" w:type="dxa"/>
              <w:left w:w="101" w:type="dxa"/>
              <w:bottom w:w="0" w:type="dxa"/>
              <w:right w:w="101" w:type="dxa"/>
            </w:tcMar>
            <w:hideMark/>
          </w:tcPr>
          <w:p w14:paraId="39B276AD" w14:textId="63500D7A"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145</w:t>
            </w:r>
          </w:p>
        </w:tc>
        <w:tc>
          <w:tcPr>
            <w:tcW w:w="1035" w:type="dxa"/>
            <w:shd w:val="clear" w:color="auto" w:fill="FFFFFF"/>
            <w:tcMar>
              <w:top w:w="0" w:type="dxa"/>
              <w:left w:w="101" w:type="dxa"/>
              <w:bottom w:w="0" w:type="dxa"/>
              <w:right w:w="101" w:type="dxa"/>
            </w:tcMar>
            <w:hideMark/>
          </w:tcPr>
          <w:p w14:paraId="0E7F8ED0" w14:textId="1121E9A0"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145</w:t>
            </w:r>
          </w:p>
        </w:tc>
      </w:tr>
      <w:tr w:rsidR="00B55EED" w:rsidRPr="005E3B44" w14:paraId="5A3F613B" w14:textId="77777777" w:rsidTr="00B55EED">
        <w:trPr>
          <w:trHeight w:val="120"/>
        </w:trPr>
        <w:tc>
          <w:tcPr>
            <w:tcW w:w="1035" w:type="dxa"/>
            <w:shd w:val="clear" w:color="auto" w:fill="FFFFFF"/>
            <w:tcMar>
              <w:top w:w="0" w:type="dxa"/>
              <w:left w:w="0" w:type="dxa"/>
              <w:bottom w:w="0" w:type="dxa"/>
              <w:right w:w="0" w:type="dxa"/>
            </w:tcMar>
          </w:tcPr>
          <w:p w14:paraId="7BA202FC" w14:textId="77777777" w:rsidR="00B55EED" w:rsidRPr="005E3B44" w:rsidRDefault="00B55EED">
            <w:pPr>
              <w:pStyle w:val="Normal3"/>
              <w:jc w:val="right"/>
              <w:rPr>
                <w:rFonts w:asciiTheme="minorHAnsi" w:eastAsia="Calibri" w:hAnsiTheme="minorHAnsi" w:cstheme="minorHAnsi"/>
                <w:color w:val="000000"/>
                <w:sz w:val="18"/>
              </w:rPr>
            </w:pPr>
          </w:p>
        </w:tc>
        <w:tc>
          <w:tcPr>
            <w:tcW w:w="2385" w:type="dxa"/>
            <w:shd w:val="clear" w:color="auto" w:fill="FFFFFF"/>
            <w:tcMar>
              <w:top w:w="0" w:type="dxa"/>
              <w:left w:w="0" w:type="dxa"/>
              <w:bottom w:w="0" w:type="dxa"/>
              <w:right w:w="0" w:type="dxa"/>
            </w:tcMar>
          </w:tcPr>
          <w:p w14:paraId="115977D5"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3056EAA4"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11745B44" w14:textId="77777777" w:rsidR="00B55EED" w:rsidRPr="005E3B44" w:rsidRDefault="00B55EED">
            <w:pPr>
              <w:pStyle w:val="Normal3"/>
              <w:jc w:val="right"/>
              <w:rPr>
                <w:rFonts w:asciiTheme="minorHAnsi" w:eastAsia="Calibri" w:hAnsiTheme="minorHAnsi" w:cstheme="minorHAnsi"/>
                <w:color w:val="000000"/>
                <w:sz w:val="18"/>
              </w:rPr>
            </w:pPr>
          </w:p>
        </w:tc>
        <w:tc>
          <w:tcPr>
            <w:tcW w:w="600" w:type="dxa"/>
            <w:shd w:val="clear" w:color="auto" w:fill="FFFFFF"/>
            <w:tcMar>
              <w:top w:w="0" w:type="dxa"/>
              <w:left w:w="0" w:type="dxa"/>
              <w:bottom w:w="0" w:type="dxa"/>
              <w:right w:w="0" w:type="dxa"/>
            </w:tcMar>
          </w:tcPr>
          <w:p w14:paraId="37DDF055"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5859C24C"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067FBA26" w14:textId="77777777" w:rsidR="00B55EED" w:rsidRPr="005E3B44" w:rsidRDefault="00B55EED">
            <w:pPr>
              <w:pStyle w:val="Normal3"/>
              <w:jc w:val="right"/>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6D1503CB" w14:textId="77777777" w:rsidR="00B55EED" w:rsidRPr="005E3B44" w:rsidRDefault="00B55EED">
            <w:pPr>
              <w:pStyle w:val="Normal3"/>
              <w:jc w:val="right"/>
              <w:rPr>
                <w:rFonts w:asciiTheme="minorHAnsi" w:eastAsia="Calibri" w:hAnsiTheme="minorHAnsi" w:cstheme="minorHAnsi"/>
                <w:color w:val="000000"/>
                <w:sz w:val="18"/>
              </w:rPr>
            </w:pPr>
          </w:p>
        </w:tc>
      </w:tr>
      <w:tr w:rsidR="00B55EED" w:rsidRPr="005E3B44" w14:paraId="76920530" w14:textId="77777777" w:rsidTr="00B55EED">
        <w:trPr>
          <w:trHeight w:val="240"/>
        </w:trPr>
        <w:tc>
          <w:tcPr>
            <w:tcW w:w="1035" w:type="dxa"/>
            <w:shd w:val="clear" w:color="auto" w:fill="FFFFFF"/>
            <w:tcMar>
              <w:top w:w="0" w:type="dxa"/>
              <w:left w:w="101" w:type="dxa"/>
              <w:bottom w:w="0" w:type="dxa"/>
              <w:right w:w="101" w:type="dxa"/>
            </w:tcMar>
            <w:hideMark/>
          </w:tcPr>
          <w:p w14:paraId="4C81F038" w14:textId="5D0C4C9B"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222</w:t>
            </w:r>
          </w:p>
        </w:tc>
        <w:tc>
          <w:tcPr>
            <w:tcW w:w="2385" w:type="dxa"/>
            <w:shd w:val="clear" w:color="auto" w:fill="FFFFFF"/>
            <w:noWrap/>
            <w:tcMar>
              <w:top w:w="0" w:type="dxa"/>
              <w:left w:w="101" w:type="dxa"/>
              <w:bottom w:w="0" w:type="dxa"/>
              <w:right w:w="101" w:type="dxa"/>
            </w:tcMar>
            <w:hideMark/>
          </w:tcPr>
          <w:p w14:paraId="2FE981BE"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CASH INFLOW/(OUTFLOW) FROM FINANCING ACTIVITIES</w:t>
            </w:r>
          </w:p>
        </w:tc>
        <w:tc>
          <w:tcPr>
            <w:tcW w:w="1035" w:type="dxa"/>
            <w:shd w:val="clear" w:color="auto" w:fill="FFFFFF"/>
            <w:tcMar>
              <w:top w:w="0" w:type="dxa"/>
              <w:left w:w="101" w:type="dxa"/>
              <w:bottom w:w="0" w:type="dxa"/>
              <w:right w:w="101" w:type="dxa"/>
            </w:tcMar>
            <w:hideMark/>
          </w:tcPr>
          <w:p w14:paraId="2C2310FE" w14:textId="3BE3B9F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235</w:t>
            </w:r>
          </w:p>
        </w:tc>
        <w:tc>
          <w:tcPr>
            <w:tcW w:w="1035" w:type="dxa"/>
            <w:shd w:val="clear" w:color="auto" w:fill="FFFFFF"/>
            <w:tcMar>
              <w:top w:w="0" w:type="dxa"/>
              <w:left w:w="101" w:type="dxa"/>
              <w:bottom w:w="0" w:type="dxa"/>
              <w:right w:w="101" w:type="dxa"/>
            </w:tcMar>
            <w:hideMark/>
          </w:tcPr>
          <w:p w14:paraId="584FB83D" w14:textId="2A620289"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255</w:t>
            </w:r>
          </w:p>
        </w:tc>
        <w:tc>
          <w:tcPr>
            <w:tcW w:w="600" w:type="dxa"/>
            <w:shd w:val="clear" w:color="auto" w:fill="FFFFFF"/>
            <w:tcMar>
              <w:top w:w="0" w:type="dxa"/>
              <w:left w:w="101" w:type="dxa"/>
              <w:bottom w:w="0" w:type="dxa"/>
              <w:right w:w="101" w:type="dxa"/>
            </w:tcMar>
            <w:hideMark/>
          </w:tcPr>
          <w:p w14:paraId="055BDF72"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 </w:t>
            </w:r>
          </w:p>
        </w:tc>
        <w:tc>
          <w:tcPr>
            <w:tcW w:w="1035" w:type="dxa"/>
            <w:shd w:val="clear" w:color="auto" w:fill="FFFFFF"/>
            <w:tcMar>
              <w:top w:w="0" w:type="dxa"/>
              <w:left w:w="101" w:type="dxa"/>
              <w:bottom w:w="0" w:type="dxa"/>
              <w:right w:w="101" w:type="dxa"/>
            </w:tcMar>
            <w:hideMark/>
          </w:tcPr>
          <w:p w14:paraId="3097BF61" w14:textId="0D081864"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008</w:t>
            </w:r>
          </w:p>
        </w:tc>
        <w:tc>
          <w:tcPr>
            <w:tcW w:w="1035" w:type="dxa"/>
            <w:shd w:val="clear" w:color="auto" w:fill="FFFFFF"/>
            <w:tcMar>
              <w:top w:w="0" w:type="dxa"/>
              <w:left w:w="101" w:type="dxa"/>
              <w:bottom w:w="0" w:type="dxa"/>
              <w:right w:w="101" w:type="dxa"/>
            </w:tcMar>
            <w:hideMark/>
          </w:tcPr>
          <w:p w14:paraId="4895B119" w14:textId="0A9C66E9"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145</w:t>
            </w:r>
          </w:p>
        </w:tc>
        <w:tc>
          <w:tcPr>
            <w:tcW w:w="1035" w:type="dxa"/>
            <w:shd w:val="clear" w:color="auto" w:fill="FFFFFF"/>
            <w:tcMar>
              <w:top w:w="0" w:type="dxa"/>
              <w:left w:w="101" w:type="dxa"/>
              <w:bottom w:w="0" w:type="dxa"/>
              <w:right w:w="101" w:type="dxa"/>
            </w:tcMar>
            <w:hideMark/>
          </w:tcPr>
          <w:p w14:paraId="31B7E326" w14:textId="2D249D10"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145</w:t>
            </w:r>
          </w:p>
        </w:tc>
      </w:tr>
      <w:tr w:rsidR="00B55EED" w:rsidRPr="005E3B44" w14:paraId="5E03BF68" w14:textId="77777777" w:rsidTr="00B55EED">
        <w:trPr>
          <w:trHeight w:val="240"/>
        </w:trPr>
        <w:tc>
          <w:tcPr>
            <w:tcW w:w="1035" w:type="dxa"/>
            <w:shd w:val="clear" w:color="auto" w:fill="FFFFFF"/>
            <w:tcMar>
              <w:top w:w="0" w:type="dxa"/>
              <w:left w:w="0" w:type="dxa"/>
              <w:bottom w:w="0" w:type="dxa"/>
              <w:right w:w="0" w:type="dxa"/>
            </w:tcMar>
          </w:tcPr>
          <w:p w14:paraId="5ADE0137" w14:textId="77777777" w:rsidR="00B55EED" w:rsidRPr="005E3B44" w:rsidRDefault="00B55EED">
            <w:pPr>
              <w:pStyle w:val="Normal3"/>
              <w:rPr>
                <w:rFonts w:asciiTheme="minorHAnsi" w:eastAsia="Calibri" w:hAnsiTheme="minorHAnsi" w:cstheme="minorHAnsi"/>
                <w:color w:val="000000"/>
                <w:sz w:val="18"/>
              </w:rPr>
            </w:pPr>
          </w:p>
        </w:tc>
        <w:tc>
          <w:tcPr>
            <w:tcW w:w="2385" w:type="dxa"/>
            <w:shd w:val="clear" w:color="auto" w:fill="FFFFFF"/>
            <w:noWrap/>
            <w:tcMar>
              <w:top w:w="0" w:type="dxa"/>
              <w:left w:w="0" w:type="dxa"/>
              <w:bottom w:w="0" w:type="dxa"/>
              <w:right w:w="0" w:type="dxa"/>
            </w:tcMar>
          </w:tcPr>
          <w:p w14:paraId="11E181B6"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1339D7B8"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2D1574F4" w14:textId="77777777" w:rsidR="00B55EED" w:rsidRPr="005E3B44" w:rsidRDefault="00B55EED">
            <w:pPr>
              <w:pStyle w:val="Normal3"/>
              <w:rPr>
                <w:rFonts w:asciiTheme="minorHAnsi" w:eastAsia="Calibri" w:hAnsiTheme="minorHAnsi" w:cstheme="minorHAnsi"/>
                <w:color w:val="000000"/>
                <w:sz w:val="18"/>
              </w:rPr>
            </w:pPr>
          </w:p>
        </w:tc>
        <w:tc>
          <w:tcPr>
            <w:tcW w:w="600" w:type="dxa"/>
            <w:shd w:val="clear" w:color="auto" w:fill="FFFFFF"/>
            <w:tcMar>
              <w:top w:w="0" w:type="dxa"/>
              <w:left w:w="0" w:type="dxa"/>
              <w:bottom w:w="0" w:type="dxa"/>
              <w:right w:w="0" w:type="dxa"/>
            </w:tcMar>
          </w:tcPr>
          <w:p w14:paraId="2B347694"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16B5DF9D"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5A504753"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54CD2B52" w14:textId="77777777" w:rsidR="00B55EED" w:rsidRPr="005E3B44" w:rsidRDefault="00B55EED">
            <w:pPr>
              <w:pStyle w:val="Normal3"/>
              <w:rPr>
                <w:rFonts w:asciiTheme="minorHAnsi" w:eastAsia="Calibri" w:hAnsiTheme="minorHAnsi" w:cstheme="minorHAnsi"/>
                <w:color w:val="000000"/>
                <w:sz w:val="18"/>
              </w:rPr>
            </w:pPr>
          </w:p>
        </w:tc>
      </w:tr>
      <w:tr w:rsidR="00B55EED" w:rsidRPr="005E3B44" w14:paraId="7A439CD8" w14:textId="77777777" w:rsidTr="00B55EED">
        <w:trPr>
          <w:trHeight w:val="240"/>
        </w:trPr>
        <w:tc>
          <w:tcPr>
            <w:tcW w:w="1035" w:type="dxa"/>
            <w:shd w:val="clear" w:color="auto" w:fill="FFFFFF"/>
            <w:tcMar>
              <w:top w:w="0" w:type="dxa"/>
              <w:left w:w="0" w:type="dxa"/>
              <w:bottom w:w="0" w:type="dxa"/>
              <w:right w:w="0" w:type="dxa"/>
            </w:tcMar>
          </w:tcPr>
          <w:p w14:paraId="50D2D1B8" w14:textId="77777777" w:rsidR="00B55EED" w:rsidRPr="005E3B44" w:rsidRDefault="00B55EED">
            <w:pPr>
              <w:pStyle w:val="Normal3"/>
              <w:rPr>
                <w:rFonts w:asciiTheme="minorHAnsi" w:eastAsia="Calibri" w:hAnsiTheme="minorHAnsi" w:cstheme="minorHAnsi"/>
                <w:color w:val="000000"/>
                <w:sz w:val="18"/>
              </w:rPr>
            </w:pPr>
          </w:p>
        </w:tc>
        <w:tc>
          <w:tcPr>
            <w:tcW w:w="2385" w:type="dxa"/>
            <w:shd w:val="clear" w:color="auto" w:fill="FFFFFF"/>
            <w:noWrap/>
            <w:tcMar>
              <w:top w:w="0" w:type="dxa"/>
              <w:left w:w="0" w:type="dxa"/>
              <w:bottom w:w="0" w:type="dxa"/>
              <w:right w:w="0" w:type="dxa"/>
            </w:tcMar>
          </w:tcPr>
          <w:p w14:paraId="42C470FC"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052F5808"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0450CE47" w14:textId="77777777" w:rsidR="00B55EED" w:rsidRPr="005E3B44" w:rsidRDefault="00B55EED">
            <w:pPr>
              <w:pStyle w:val="Normal3"/>
              <w:rPr>
                <w:rFonts w:asciiTheme="minorHAnsi" w:eastAsia="Calibri" w:hAnsiTheme="minorHAnsi" w:cstheme="minorHAnsi"/>
                <w:color w:val="000000"/>
                <w:sz w:val="18"/>
              </w:rPr>
            </w:pPr>
          </w:p>
        </w:tc>
        <w:tc>
          <w:tcPr>
            <w:tcW w:w="600" w:type="dxa"/>
            <w:shd w:val="clear" w:color="auto" w:fill="FFFFFF"/>
            <w:tcMar>
              <w:top w:w="0" w:type="dxa"/>
              <w:left w:w="0" w:type="dxa"/>
              <w:bottom w:w="0" w:type="dxa"/>
              <w:right w:w="0" w:type="dxa"/>
            </w:tcMar>
          </w:tcPr>
          <w:p w14:paraId="2B062314"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257C9354"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372CC7EC"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0" w:type="dxa"/>
              <w:bottom w:w="0" w:type="dxa"/>
              <w:right w:w="0" w:type="dxa"/>
            </w:tcMar>
          </w:tcPr>
          <w:p w14:paraId="4BFE6A5F" w14:textId="77777777" w:rsidR="00B55EED" w:rsidRPr="005E3B44" w:rsidRDefault="00B55EED">
            <w:pPr>
              <w:pStyle w:val="Normal3"/>
              <w:rPr>
                <w:rFonts w:asciiTheme="minorHAnsi" w:eastAsia="Calibri" w:hAnsiTheme="minorHAnsi" w:cstheme="minorHAnsi"/>
                <w:color w:val="000000"/>
                <w:sz w:val="18"/>
              </w:rPr>
            </w:pPr>
          </w:p>
        </w:tc>
      </w:tr>
      <w:tr w:rsidR="00700C91" w:rsidRPr="005E3B44" w14:paraId="4D78B546" w14:textId="77777777" w:rsidTr="00D811FD">
        <w:trPr>
          <w:trHeight w:val="240"/>
        </w:trPr>
        <w:tc>
          <w:tcPr>
            <w:tcW w:w="9195" w:type="dxa"/>
            <w:gridSpan w:val="8"/>
            <w:shd w:val="clear" w:color="auto" w:fill="FFFFFF"/>
            <w:tcMar>
              <w:top w:w="0" w:type="dxa"/>
              <w:left w:w="0" w:type="dxa"/>
              <w:bottom w:w="0" w:type="dxa"/>
              <w:right w:w="0" w:type="dxa"/>
            </w:tcMar>
          </w:tcPr>
          <w:p w14:paraId="496BE2E9" w14:textId="46AA0588" w:rsidR="00700C91" w:rsidRPr="005E3B44" w:rsidRDefault="00700C91" w:rsidP="00700C91">
            <w:pPr>
              <w:pStyle w:val="Caption"/>
              <w:pageBreakBefore/>
              <w:outlineLvl w:val="0"/>
              <w:rPr>
                <w:rFonts w:asciiTheme="minorHAnsi" w:hAnsiTheme="minorHAnsi" w:cstheme="minorHAnsi"/>
                <w:color w:val="auto"/>
                <w:bdr w:val="none" w:sz="0" w:space="0" w:color="auto" w:frame="1"/>
              </w:rPr>
            </w:pPr>
            <w:r w:rsidRPr="005E3B44">
              <w:rPr>
                <w:rFonts w:asciiTheme="minorHAnsi" w:hAnsiTheme="minorHAnsi" w:cstheme="minorHAnsi"/>
                <w:color w:val="auto"/>
                <w:bdr w:val="none" w:sz="0" w:space="0" w:color="auto" w:frame="1"/>
              </w:rPr>
              <w:lastRenderedPageBreak/>
              <w:t xml:space="preserve">Table 9: Legal Aid Commission (ACT): Cash Flow Statement </w:t>
            </w:r>
            <w:r w:rsidR="00DC6C8A">
              <w:rPr>
                <w:rFonts w:asciiTheme="minorHAnsi" w:hAnsiTheme="minorHAnsi" w:cstheme="minorHAnsi"/>
                <w:color w:val="auto"/>
                <w:bdr w:val="none" w:sz="0" w:space="0" w:color="auto" w:frame="1"/>
              </w:rPr>
              <w:t>(Continued)</w:t>
            </w:r>
          </w:p>
          <w:p w14:paraId="58D70F74" w14:textId="77777777" w:rsidR="00700C91" w:rsidRPr="005E3B44" w:rsidRDefault="00700C91">
            <w:pPr>
              <w:pStyle w:val="Normal3"/>
              <w:rPr>
                <w:rFonts w:asciiTheme="minorHAnsi" w:eastAsia="Calibri" w:hAnsiTheme="minorHAnsi" w:cstheme="minorHAnsi"/>
                <w:color w:val="000000"/>
                <w:sz w:val="18"/>
              </w:rPr>
            </w:pPr>
          </w:p>
        </w:tc>
      </w:tr>
      <w:tr w:rsidR="00B55EED" w:rsidRPr="005E3B44" w14:paraId="18B18594" w14:textId="77777777" w:rsidTr="00B55EED">
        <w:trPr>
          <w:trHeight w:val="240"/>
        </w:trPr>
        <w:tc>
          <w:tcPr>
            <w:tcW w:w="1035" w:type="dxa"/>
            <w:tcBorders>
              <w:top w:val="single" w:sz="4" w:space="0" w:color="000000"/>
              <w:left w:val="nil"/>
              <w:bottom w:val="nil"/>
              <w:right w:val="nil"/>
            </w:tcBorders>
            <w:shd w:val="clear" w:color="auto" w:fill="FFFFFF"/>
            <w:tcMar>
              <w:top w:w="0" w:type="dxa"/>
              <w:left w:w="101" w:type="dxa"/>
              <w:bottom w:w="0" w:type="dxa"/>
              <w:right w:w="101" w:type="dxa"/>
            </w:tcMar>
            <w:hideMark/>
          </w:tcPr>
          <w:p w14:paraId="2ACF19FE"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2020-21</w:t>
            </w:r>
          </w:p>
        </w:tc>
        <w:tc>
          <w:tcPr>
            <w:tcW w:w="2385" w:type="dxa"/>
            <w:tcBorders>
              <w:top w:val="single" w:sz="4" w:space="0" w:color="000000"/>
              <w:left w:val="nil"/>
              <w:bottom w:val="nil"/>
              <w:right w:val="nil"/>
            </w:tcBorders>
            <w:shd w:val="clear" w:color="auto" w:fill="FFFFFF"/>
            <w:tcMar>
              <w:top w:w="0" w:type="dxa"/>
              <w:left w:w="0" w:type="dxa"/>
              <w:bottom w:w="0" w:type="dxa"/>
              <w:right w:w="0" w:type="dxa"/>
            </w:tcMar>
          </w:tcPr>
          <w:p w14:paraId="6624FDC3"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101" w:type="dxa"/>
              <w:bottom w:w="0" w:type="dxa"/>
              <w:right w:w="101" w:type="dxa"/>
            </w:tcMar>
            <w:hideMark/>
          </w:tcPr>
          <w:p w14:paraId="34280F89"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2020-21</w:t>
            </w:r>
          </w:p>
        </w:tc>
        <w:tc>
          <w:tcPr>
            <w:tcW w:w="1035" w:type="dxa"/>
            <w:tcBorders>
              <w:top w:val="single" w:sz="4" w:space="0" w:color="000000"/>
              <w:left w:val="nil"/>
              <w:bottom w:val="nil"/>
              <w:right w:val="nil"/>
            </w:tcBorders>
            <w:shd w:val="clear" w:color="auto" w:fill="FFFFFF"/>
            <w:tcMar>
              <w:top w:w="0" w:type="dxa"/>
              <w:left w:w="101" w:type="dxa"/>
              <w:bottom w:w="0" w:type="dxa"/>
              <w:right w:w="101" w:type="dxa"/>
            </w:tcMar>
            <w:hideMark/>
          </w:tcPr>
          <w:p w14:paraId="7FE8D19C"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2021-22</w:t>
            </w:r>
          </w:p>
        </w:tc>
        <w:tc>
          <w:tcPr>
            <w:tcW w:w="600" w:type="dxa"/>
            <w:tcBorders>
              <w:top w:val="single" w:sz="4" w:space="0" w:color="000000"/>
              <w:left w:val="nil"/>
              <w:bottom w:val="nil"/>
              <w:right w:val="nil"/>
            </w:tcBorders>
            <w:shd w:val="clear" w:color="auto" w:fill="FFFFFF"/>
            <w:tcMar>
              <w:top w:w="0" w:type="dxa"/>
              <w:left w:w="101" w:type="dxa"/>
              <w:bottom w:w="0" w:type="dxa"/>
              <w:right w:w="101" w:type="dxa"/>
            </w:tcMar>
            <w:hideMark/>
          </w:tcPr>
          <w:p w14:paraId="21BE3B85"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Var</w:t>
            </w:r>
          </w:p>
        </w:tc>
        <w:tc>
          <w:tcPr>
            <w:tcW w:w="1035" w:type="dxa"/>
            <w:tcBorders>
              <w:top w:val="single" w:sz="4" w:space="0" w:color="000000"/>
              <w:left w:val="nil"/>
              <w:bottom w:val="nil"/>
              <w:right w:val="nil"/>
            </w:tcBorders>
            <w:shd w:val="clear" w:color="auto" w:fill="FFFFFF"/>
            <w:tcMar>
              <w:top w:w="0" w:type="dxa"/>
              <w:left w:w="101" w:type="dxa"/>
              <w:bottom w:w="0" w:type="dxa"/>
              <w:right w:w="101" w:type="dxa"/>
            </w:tcMar>
            <w:hideMark/>
          </w:tcPr>
          <w:p w14:paraId="19FE1BE2"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2022-23</w:t>
            </w:r>
          </w:p>
        </w:tc>
        <w:tc>
          <w:tcPr>
            <w:tcW w:w="1035" w:type="dxa"/>
            <w:tcBorders>
              <w:top w:val="single" w:sz="4" w:space="0" w:color="000000"/>
              <w:left w:val="nil"/>
              <w:bottom w:val="nil"/>
              <w:right w:val="nil"/>
            </w:tcBorders>
            <w:shd w:val="clear" w:color="auto" w:fill="FFFFFF"/>
            <w:tcMar>
              <w:top w:w="0" w:type="dxa"/>
              <w:left w:w="101" w:type="dxa"/>
              <w:bottom w:w="0" w:type="dxa"/>
              <w:right w:w="101" w:type="dxa"/>
            </w:tcMar>
            <w:hideMark/>
          </w:tcPr>
          <w:p w14:paraId="44807A47"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2023-24</w:t>
            </w:r>
          </w:p>
        </w:tc>
        <w:tc>
          <w:tcPr>
            <w:tcW w:w="1035" w:type="dxa"/>
            <w:tcBorders>
              <w:top w:val="single" w:sz="4" w:space="0" w:color="000000"/>
              <w:left w:val="nil"/>
              <w:bottom w:val="nil"/>
              <w:right w:val="nil"/>
            </w:tcBorders>
            <w:shd w:val="clear" w:color="auto" w:fill="FFFFFF"/>
            <w:tcMar>
              <w:top w:w="0" w:type="dxa"/>
              <w:left w:w="101" w:type="dxa"/>
              <w:bottom w:w="0" w:type="dxa"/>
              <w:right w:w="101" w:type="dxa"/>
            </w:tcMar>
            <w:hideMark/>
          </w:tcPr>
          <w:p w14:paraId="0FDFD315"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2024-25</w:t>
            </w:r>
          </w:p>
        </w:tc>
      </w:tr>
      <w:tr w:rsidR="00B55EED" w:rsidRPr="005E3B44" w14:paraId="6C8C313E" w14:textId="77777777" w:rsidTr="00B55EED">
        <w:trPr>
          <w:trHeight w:val="480"/>
        </w:trPr>
        <w:tc>
          <w:tcPr>
            <w:tcW w:w="1035" w:type="dxa"/>
            <w:shd w:val="clear" w:color="auto" w:fill="FFFFFF"/>
            <w:tcMar>
              <w:top w:w="0" w:type="dxa"/>
              <w:left w:w="101" w:type="dxa"/>
              <w:bottom w:w="0" w:type="dxa"/>
              <w:right w:w="101" w:type="dxa"/>
            </w:tcMar>
            <w:hideMark/>
          </w:tcPr>
          <w:p w14:paraId="6D5E340A"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Budget</w:t>
            </w:r>
          </w:p>
        </w:tc>
        <w:tc>
          <w:tcPr>
            <w:tcW w:w="2385" w:type="dxa"/>
            <w:shd w:val="clear" w:color="auto" w:fill="FFFFFF"/>
            <w:tcMar>
              <w:top w:w="0" w:type="dxa"/>
              <w:left w:w="0" w:type="dxa"/>
              <w:bottom w:w="0" w:type="dxa"/>
              <w:right w:w="0" w:type="dxa"/>
            </w:tcMar>
          </w:tcPr>
          <w:p w14:paraId="51FF4317" w14:textId="77777777" w:rsidR="00B55EED" w:rsidRPr="005E3B44" w:rsidRDefault="00B55EED">
            <w:pPr>
              <w:pStyle w:val="Normal3"/>
              <w:rPr>
                <w:rFonts w:asciiTheme="minorHAnsi" w:eastAsia="Calibri" w:hAnsiTheme="minorHAnsi" w:cstheme="minorHAnsi"/>
                <w:color w:val="000000"/>
                <w:sz w:val="18"/>
              </w:rPr>
            </w:pPr>
          </w:p>
        </w:tc>
        <w:tc>
          <w:tcPr>
            <w:tcW w:w="1035" w:type="dxa"/>
            <w:shd w:val="clear" w:color="auto" w:fill="FFFFFF"/>
            <w:tcMar>
              <w:top w:w="0" w:type="dxa"/>
              <w:left w:w="101" w:type="dxa"/>
              <w:bottom w:w="0" w:type="dxa"/>
              <w:right w:w="101" w:type="dxa"/>
            </w:tcMar>
            <w:hideMark/>
          </w:tcPr>
          <w:p w14:paraId="48BDB314"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Interim Outcome</w:t>
            </w:r>
          </w:p>
        </w:tc>
        <w:tc>
          <w:tcPr>
            <w:tcW w:w="1035" w:type="dxa"/>
            <w:shd w:val="clear" w:color="auto" w:fill="FFFFFF"/>
            <w:tcMar>
              <w:top w:w="0" w:type="dxa"/>
              <w:left w:w="101" w:type="dxa"/>
              <w:bottom w:w="0" w:type="dxa"/>
              <w:right w:w="101" w:type="dxa"/>
            </w:tcMar>
            <w:hideMark/>
          </w:tcPr>
          <w:p w14:paraId="308BEB6C"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Budget</w:t>
            </w:r>
          </w:p>
        </w:tc>
        <w:tc>
          <w:tcPr>
            <w:tcW w:w="600" w:type="dxa"/>
            <w:shd w:val="clear" w:color="auto" w:fill="FFFFFF"/>
            <w:tcMar>
              <w:top w:w="0" w:type="dxa"/>
              <w:left w:w="101" w:type="dxa"/>
              <w:bottom w:w="0" w:type="dxa"/>
              <w:right w:w="101" w:type="dxa"/>
            </w:tcMar>
            <w:hideMark/>
          </w:tcPr>
          <w:p w14:paraId="02D349F5"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w:t>
            </w:r>
          </w:p>
        </w:tc>
        <w:tc>
          <w:tcPr>
            <w:tcW w:w="1035" w:type="dxa"/>
            <w:shd w:val="clear" w:color="auto" w:fill="FFFFFF"/>
            <w:tcMar>
              <w:top w:w="0" w:type="dxa"/>
              <w:left w:w="101" w:type="dxa"/>
              <w:bottom w:w="0" w:type="dxa"/>
              <w:right w:w="101" w:type="dxa"/>
            </w:tcMar>
            <w:hideMark/>
          </w:tcPr>
          <w:p w14:paraId="7EC8E68F"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Estimate</w:t>
            </w:r>
          </w:p>
        </w:tc>
        <w:tc>
          <w:tcPr>
            <w:tcW w:w="1035" w:type="dxa"/>
            <w:shd w:val="clear" w:color="auto" w:fill="FFFFFF"/>
            <w:tcMar>
              <w:top w:w="0" w:type="dxa"/>
              <w:left w:w="101" w:type="dxa"/>
              <w:bottom w:w="0" w:type="dxa"/>
              <w:right w:w="101" w:type="dxa"/>
            </w:tcMar>
            <w:hideMark/>
          </w:tcPr>
          <w:p w14:paraId="7C4202BF"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Estimate</w:t>
            </w:r>
          </w:p>
        </w:tc>
        <w:tc>
          <w:tcPr>
            <w:tcW w:w="1035" w:type="dxa"/>
            <w:shd w:val="clear" w:color="auto" w:fill="FFFFFF"/>
            <w:tcMar>
              <w:top w:w="0" w:type="dxa"/>
              <w:left w:w="101" w:type="dxa"/>
              <w:bottom w:w="0" w:type="dxa"/>
              <w:right w:w="101" w:type="dxa"/>
            </w:tcMar>
            <w:hideMark/>
          </w:tcPr>
          <w:p w14:paraId="0B704177"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Estimate</w:t>
            </w:r>
          </w:p>
        </w:tc>
      </w:tr>
      <w:tr w:rsidR="00B55EED" w:rsidRPr="005E3B44" w14:paraId="315125B7" w14:textId="77777777" w:rsidTr="00B55EED">
        <w:trPr>
          <w:trHeight w:val="240"/>
        </w:trPr>
        <w:tc>
          <w:tcPr>
            <w:tcW w:w="1035" w:type="dxa"/>
            <w:tcBorders>
              <w:top w:val="nil"/>
              <w:left w:val="nil"/>
              <w:bottom w:val="single" w:sz="4" w:space="0" w:color="000000"/>
              <w:right w:val="nil"/>
            </w:tcBorders>
            <w:shd w:val="clear" w:color="auto" w:fill="FFFFFF"/>
            <w:tcMar>
              <w:top w:w="0" w:type="dxa"/>
              <w:left w:w="101" w:type="dxa"/>
              <w:bottom w:w="0" w:type="dxa"/>
              <w:right w:w="101" w:type="dxa"/>
            </w:tcMar>
            <w:hideMark/>
          </w:tcPr>
          <w:p w14:paraId="594A0E82"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$'000</w:t>
            </w:r>
          </w:p>
        </w:tc>
        <w:tc>
          <w:tcPr>
            <w:tcW w:w="2385" w:type="dxa"/>
            <w:tcBorders>
              <w:top w:val="nil"/>
              <w:left w:val="nil"/>
              <w:bottom w:val="single" w:sz="4" w:space="0" w:color="000000"/>
              <w:right w:val="nil"/>
            </w:tcBorders>
            <w:shd w:val="clear" w:color="auto" w:fill="FFFFFF"/>
            <w:tcMar>
              <w:top w:w="0" w:type="dxa"/>
              <w:left w:w="0" w:type="dxa"/>
              <w:bottom w:w="0" w:type="dxa"/>
              <w:right w:w="0" w:type="dxa"/>
            </w:tcMar>
          </w:tcPr>
          <w:p w14:paraId="091B7C27"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nil"/>
              <w:left w:val="nil"/>
              <w:bottom w:val="single" w:sz="4" w:space="0" w:color="000000"/>
              <w:right w:val="nil"/>
            </w:tcBorders>
            <w:shd w:val="clear" w:color="auto" w:fill="FFFFFF"/>
            <w:tcMar>
              <w:top w:w="0" w:type="dxa"/>
              <w:left w:w="101" w:type="dxa"/>
              <w:bottom w:w="0" w:type="dxa"/>
              <w:right w:w="101" w:type="dxa"/>
            </w:tcMar>
            <w:hideMark/>
          </w:tcPr>
          <w:p w14:paraId="7E769F5C"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$'000</w:t>
            </w:r>
          </w:p>
        </w:tc>
        <w:tc>
          <w:tcPr>
            <w:tcW w:w="1035" w:type="dxa"/>
            <w:tcBorders>
              <w:top w:val="nil"/>
              <w:left w:val="nil"/>
              <w:bottom w:val="single" w:sz="4" w:space="0" w:color="000000"/>
              <w:right w:val="nil"/>
            </w:tcBorders>
            <w:shd w:val="clear" w:color="auto" w:fill="FFFFFF"/>
            <w:tcMar>
              <w:top w:w="0" w:type="dxa"/>
              <w:left w:w="101" w:type="dxa"/>
              <w:bottom w:w="0" w:type="dxa"/>
              <w:right w:w="101" w:type="dxa"/>
            </w:tcMar>
            <w:hideMark/>
          </w:tcPr>
          <w:p w14:paraId="27CC794B"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$'000</w:t>
            </w:r>
          </w:p>
        </w:tc>
        <w:tc>
          <w:tcPr>
            <w:tcW w:w="600" w:type="dxa"/>
            <w:tcBorders>
              <w:top w:val="nil"/>
              <w:left w:val="nil"/>
              <w:bottom w:val="single" w:sz="4" w:space="0" w:color="000000"/>
              <w:right w:val="nil"/>
            </w:tcBorders>
            <w:shd w:val="clear" w:color="auto" w:fill="FFFFFF"/>
            <w:tcMar>
              <w:top w:w="0" w:type="dxa"/>
              <w:left w:w="0" w:type="dxa"/>
              <w:bottom w:w="0" w:type="dxa"/>
              <w:right w:w="0" w:type="dxa"/>
            </w:tcMar>
          </w:tcPr>
          <w:p w14:paraId="6A56093C"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nil"/>
              <w:left w:val="nil"/>
              <w:bottom w:val="single" w:sz="4" w:space="0" w:color="000000"/>
              <w:right w:val="nil"/>
            </w:tcBorders>
            <w:shd w:val="clear" w:color="auto" w:fill="FFFFFF"/>
            <w:tcMar>
              <w:top w:w="0" w:type="dxa"/>
              <w:left w:w="101" w:type="dxa"/>
              <w:bottom w:w="0" w:type="dxa"/>
              <w:right w:w="101" w:type="dxa"/>
            </w:tcMar>
            <w:hideMark/>
          </w:tcPr>
          <w:p w14:paraId="01AD3E95"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$'000</w:t>
            </w:r>
          </w:p>
        </w:tc>
        <w:tc>
          <w:tcPr>
            <w:tcW w:w="1035" w:type="dxa"/>
            <w:tcBorders>
              <w:top w:val="nil"/>
              <w:left w:val="nil"/>
              <w:bottom w:val="single" w:sz="4" w:space="0" w:color="000000"/>
              <w:right w:val="nil"/>
            </w:tcBorders>
            <w:shd w:val="clear" w:color="auto" w:fill="FFFFFF"/>
            <w:tcMar>
              <w:top w:w="0" w:type="dxa"/>
              <w:left w:w="101" w:type="dxa"/>
              <w:bottom w:w="0" w:type="dxa"/>
              <w:right w:w="101" w:type="dxa"/>
            </w:tcMar>
            <w:hideMark/>
          </w:tcPr>
          <w:p w14:paraId="6E46904D"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$'000</w:t>
            </w:r>
          </w:p>
        </w:tc>
        <w:tc>
          <w:tcPr>
            <w:tcW w:w="1035" w:type="dxa"/>
            <w:tcBorders>
              <w:top w:val="nil"/>
              <w:left w:val="nil"/>
              <w:bottom w:val="single" w:sz="4" w:space="0" w:color="000000"/>
              <w:right w:val="nil"/>
            </w:tcBorders>
            <w:shd w:val="clear" w:color="auto" w:fill="FFFFFF"/>
            <w:tcMar>
              <w:top w:w="0" w:type="dxa"/>
              <w:left w:w="101" w:type="dxa"/>
              <w:bottom w:w="0" w:type="dxa"/>
              <w:right w:w="101" w:type="dxa"/>
            </w:tcMar>
            <w:hideMark/>
          </w:tcPr>
          <w:p w14:paraId="241AC054" w14:textId="77777777" w:rsidR="00B55EED" w:rsidRPr="005E3B44" w:rsidRDefault="00B55EED">
            <w:pPr>
              <w:pStyle w:val="Normal3"/>
              <w:rPr>
                <w:rFonts w:asciiTheme="minorHAnsi" w:eastAsia="Calibri" w:hAnsiTheme="minorHAnsi" w:cstheme="minorHAnsi"/>
                <w:color w:val="000000"/>
                <w:sz w:val="18"/>
              </w:rPr>
            </w:pPr>
            <w:r w:rsidRPr="005E3B44">
              <w:rPr>
                <w:rFonts w:asciiTheme="minorHAnsi" w:eastAsia="Calibri" w:hAnsiTheme="minorHAnsi" w:cstheme="minorHAnsi"/>
                <w:color w:val="000000"/>
                <w:sz w:val="18"/>
              </w:rPr>
              <w:t>$'000</w:t>
            </w:r>
          </w:p>
        </w:tc>
      </w:tr>
      <w:tr w:rsidR="00B55EED" w:rsidRPr="005E3B44" w14:paraId="1CFCF77F" w14:textId="77777777" w:rsidTr="00B55EED">
        <w:trPr>
          <w:trHeight w:val="240"/>
        </w:trPr>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1120B719" w14:textId="77777777" w:rsidR="00B55EED" w:rsidRPr="005E3B44" w:rsidRDefault="00B55EED">
            <w:pPr>
              <w:pStyle w:val="Normal3"/>
              <w:rPr>
                <w:rFonts w:asciiTheme="minorHAnsi" w:eastAsia="Calibri" w:hAnsiTheme="minorHAnsi" w:cstheme="minorHAnsi"/>
                <w:color w:val="000000"/>
                <w:sz w:val="18"/>
              </w:rPr>
            </w:pPr>
          </w:p>
        </w:tc>
        <w:tc>
          <w:tcPr>
            <w:tcW w:w="2385" w:type="dxa"/>
            <w:tcBorders>
              <w:top w:val="single" w:sz="4" w:space="0" w:color="000000"/>
              <w:left w:val="nil"/>
              <w:bottom w:val="nil"/>
              <w:right w:val="nil"/>
            </w:tcBorders>
            <w:shd w:val="clear" w:color="auto" w:fill="FFFFFF"/>
            <w:tcMar>
              <w:top w:w="0" w:type="dxa"/>
              <w:left w:w="0" w:type="dxa"/>
              <w:bottom w:w="0" w:type="dxa"/>
              <w:right w:w="0" w:type="dxa"/>
            </w:tcMar>
          </w:tcPr>
          <w:p w14:paraId="2F1CF6DA"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0536C897"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21B9EF98" w14:textId="77777777" w:rsidR="00B55EED" w:rsidRPr="005E3B44" w:rsidRDefault="00B55EED">
            <w:pPr>
              <w:pStyle w:val="Normal3"/>
              <w:rPr>
                <w:rFonts w:asciiTheme="minorHAnsi" w:eastAsia="Calibri" w:hAnsiTheme="minorHAnsi" w:cstheme="minorHAnsi"/>
                <w:color w:val="000000"/>
                <w:sz w:val="18"/>
              </w:rPr>
            </w:pPr>
          </w:p>
        </w:tc>
        <w:tc>
          <w:tcPr>
            <w:tcW w:w="600" w:type="dxa"/>
            <w:tcBorders>
              <w:top w:val="single" w:sz="4" w:space="0" w:color="000000"/>
              <w:left w:val="nil"/>
              <w:bottom w:val="nil"/>
              <w:right w:val="nil"/>
            </w:tcBorders>
            <w:shd w:val="clear" w:color="auto" w:fill="FFFFFF"/>
            <w:tcMar>
              <w:top w:w="0" w:type="dxa"/>
              <w:left w:w="0" w:type="dxa"/>
              <w:bottom w:w="0" w:type="dxa"/>
              <w:right w:w="0" w:type="dxa"/>
            </w:tcMar>
          </w:tcPr>
          <w:p w14:paraId="75297089"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51CF1B33"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11534EDE"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single" w:sz="4" w:space="0" w:color="000000"/>
              <w:left w:val="nil"/>
              <w:bottom w:val="nil"/>
              <w:right w:val="nil"/>
            </w:tcBorders>
            <w:shd w:val="clear" w:color="auto" w:fill="FFFFFF"/>
            <w:tcMar>
              <w:top w:w="0" w:type="dxa"/>
              <w:left w:w="0" w:type="dxa"/>
              <w:bottom w:w="0" w:type="dxa"/>
              <w:right w:w="0" w:type="dxa"/>
            </w:tcMar>
          </w:tcPr>
          <w:p w14:paraId="44055E3C" w14:textId="77777777" w:rsidR="00B55EED" w:rsidRPr="005E3B44" w:rsidRDefault="00B55EED">
            <w:pPr>
              <w:pStyle w:val="Normal3"/>
              <w:rPr>
                <w:rFonts w:asciiTheme="minorHAnsi" w:eastAsia="Calibri" w:hAnsiTheme="minorHAnsi" w:cstheme="minorHAnsi"/>
                <w:color w:val="000000"/>
                <w:sz w:val="18"/>
              </w:rPr>
            </w:pPr>
          </w:p>
        </w:tc>
      </w:tr>
      <w:tr w:rsidR="00B55EED" w:rsidRPr="005E3B44" w14:paraId="0BE4FC19" w14:textId="77777777" w:rsidTr="00B55EED">
        <w:trPr>
          <w:trHeight w:val="240"/>
        </w:trPr>
        <w:tc>
          <w:tcPr>
            <w:tcW w:w="1035" w:type="dxa"/>
            <w:shd w:val="clear" w:color="auto" w:fill="FFFFFF"/>
            <w:tcMar>
              <w:top w:w="0" w:type="dxa"/>
              <w:left w:w="101" w:type="dxa"/>
              <w:bottom w:w="0" w:type="dxa"/>
              <w:right w:w="101" w:type="dxa"/>
            </w:tcMar>
            <w:hideMark/>
          </w:tcPr>
          <w:p w14:paraId="2FAF727E" w14:textId="77777777"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-66</w:t>
            </w:r>
          </w:p>
        </w:tc>
        <w:tc>
          <w:tcPr>
            <w:tcW w:w="2385" w:type="dxa"/>
            <w:shd w:val="clear" w:color="auto" w:fill="FFFFFF"/>
            <w:noWrap/>
            <w:tcMar>
              <w:top w:w="0" w:type="dxa"/>
              <w:left w:w="101" w:type="dxa"/>
              <w:bottom w:w="0" w:type="dxa"/>
              <w:right w:w="101" w:type="dxa"/>
            </w:tcMar>
            <w:hideMark/>
          </w:tcPr>
          <w:p w14:paraId="78C81DD1"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NET INCREASE/(DECREASE) IN CASH AND CASH EQUIVALENTS</w:t>
            </w:r>
          </w:p>
        </w:tc>
        <w:tc>
          <w:tcPr>
            <w:tcW w:w="1035" w:type="dxa"/>
            <w:shd w:val="clear" w:color="auto" w:fill="FFFFFF"/>
            <w:tcMar>
              <w:top w:w="0" w:type="dxa"/>
              <w:left w:w="101" w:type="dxa"/>
              <w:bottom w:w="0" w:type="dxa"/>
              <w:right w:w="101" w:type="dxa"/>
            </w:tcMar>
            <w:hideMark/>
          </w:tcPr>
          <w:p w14:paraId="302CD728" w14:textId="03A30A4D"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662</w:t>
            </w:r>
          </w:p>
        </w:tc>
        <w:tc>
          <w:tcPr>
            <w:tcW w:w="1035" w:type="dxa"/>
            <w:shd w:val="clear" w:color="auto" w:fill="FFFFFF"/>
            <w:tcMar>
              <w:top w:w="0" w:type="dxa"/>
              <w:left w:w="101" w:type="dxa"/>
              <w:bottom w:w="0" w:type="dxa"/>
              <w:right w:w="101" w:type="dxa"/>
            </w:tcMar>
            <w:hideMark/>
          </w:tcPr>
          <w:p w14:paraId="4346F9AA"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-162</w:t>
            </w:r>
          </w:p>
        </w:tc>
        <w:tc>
          <w:tcPr>
            <w:tcW w:w="600" w:type="dxa"/>
            <w:shd w:val="clear" w:color="auto" w:fill="FFFFFF"/>
            <w:tcMar>
              <w:top w:w="0" w:type="dxa"/>
              <w:left w:w="101" w:type="dxa"/>
              <w:bottom w:w="0" w:type="dxa"/>
              <w:right w:w="101" w:type="dxa"/>
            </w:tcMar>
            <w:hideMark/>
          </w:tcPr>
          <w:p w14:paraId="14E4CA53"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-106 </w:t>
            </w:r>
          </w:p>
        </w:tc>
        <w:tc>
          <w:tcPr>
            <w:tcW w:w="1035" w:type="dxa"/>
            <w:shd w:val="clear" w:color="auto" w:fill="FFFFFF"/>
            <w:tcMar>
              <w:top w:w="0" w:type="dxa"/>
              <w:left w:w="101" w:type="dxa"/>
              <w:bottom w:w="0" w:type="dxa"/>
              <w:right w:w="101" w:type="dxa"/>
            </w:tcMar>
            <w:hideMark/>
          </w:tcPr>
          <w:p w14:paraId="28328448"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70</w:t>
            </w:r>
          </w:p>
        </w:tc>
        <w:tc>
          <w:tcPr>
            <w:tcW w:w="1035" w:type="dxa"/>
            <w:shd w:val="clear" w:color="auto" w:fill="FFFFFF"/>
            <w:tcMar>
              <w:top w:w="0" w:type="dxa"/>
              <w:left w:w="101" w:type="dxa"/>
              <w:bottom w:w="0" w:type="dxa"/>
              <w:right w:w="101" w:type="dxa"/>
            </w:tcMar>
            <w:hideMark/>
          </w:tcPr>
          <w:p w14:paraId="3509857D"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-225</w:t>
            </w:r>
          </w:p>
        </w:tc>
        <w:tc>
          <w:tcPr>
            <w:tcW w:w="1035" w:type="dxa"/>
            <w:shd w:val="clear" w:color="auto" w:fill="FFFFFF"/>
            <w:tcMar>
              <w:top w:w="0" w:type="dxa"/>
              <w:left w:w="101" w:type="dxa"/>
              <w:bottom w:w="0" w:type="dxa"/>
              <w:right w:w="101" w:type="dxa"/>
            </w:tcMar>
            <w:hideMark/>
          </w:tcPr>
          <w:p w14:paraId="4952E340"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-281</w:t>
            </w:r>
          </w:p>
        </w:tc>
      </w:tr>
      <w:tr w:rsidR="00B55EED" w:rsidRPr="005E3B44" w14:paraId="762C92FD" w14:textId="77777777" w:rsidTr="00B55EED">
        <w:trPr>
          <w:trHeight w:val="240"/>
        </w:trPr>
        <w:tc>
          <w:tcPr>
            <w:tcW w:w="1035" w:type="dxa"/>
            <w:shd w:val="clear" w:color="auto" w:fill="FFFFFF"/>
            <w:tcMar>
              <w:top w:w="0" w:type="dxa"/>
              <w:left w:w="0" w:type="dxa"/>
              <w:bottom w:w="0" w:type="dxa"/>
              <w:right w:w="0" w:type="dxa"/>
            </w:tcMar>
          </w:tcPr>
          <w:p w14:paraId="6AA8097F" w14:textId="77777777" w:rsidR="00B55EED" w:rsidRPr="005E3B44" w:rsidRDefault="00B55EED">
            <w:pPr>
              <w:pStyle w:val="Normal3"/>
              <w:jc w:val="right"/>
              <w:rPr>
                <w:rFonts w:asciiTheme="minorHAnsi" w:eastAsia="Calibri" w:hAnsiTheme="minorHAnsi" w:cstheme="minorHAnsi"/>
                <w:b/>
                <w:color w:val="000000"/>
                <w:sz w:val="18"/>
              </w:rPr>
            </w:pPr>
          </w:p>
        </w:tc>
        <w:tc>
          <w:tcPr>
            <w:tcW w:w="2385" w:type="dxa"/>
            <w:shd w:val="clear" w:color="auto" w:fill="FFFFFF"/>
            <w:tcMar>
              <w:top w:w="0" w:type="dxa"/>
              <w:left w:w="0" w:type="dxa"/>
              <w:bottom w:w="0" w:type="dxa"/>
              <w:right w:w="0" w:type="dxa"/>
            </w:tcMar>
          </w:tcPr>
          <w:p w14:paraId="4B8132BD"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36846230"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0FB7AA00" w14:textId="77777777" w:rsidR="00B55EED" w:rsidRPr="005E3B44" w:rsidRDefault="00B55EED">
            <w:pPr>
              <w:pStyle w:val="Normal3"/>
              <w:rPr>
                <w:rFonts w:asciiTheme="minorHAnsi" w:eastAsia="Calibri" w:hAnsiTheme="minorHAnsi" w:cstheme="minorHAnsi"/>
                <w:b/>
                <w:color w:val="000000"/>
                <w:sz w:val="18"/>
              </w:rPr>
            </w:pPr>
          </w:p>
        </w:tc>
        <w:tc>
          <w:tcPr>
            <w:tcW w:w="600" w:type="dxa"/>
            <w:shd w:val="clear" w:color="auto" w:fill="FFFFFF"/>
            <w:tcMar>
              <w:top w:w="0" w:type="dxa"/>
              <w:left w:w="0" w:type="dxa"/>
              <w:bottom w:w="0" w:type="dxa"/>
              <w:right w:w="0" w:type="dxa"/>
            </w:tcMar>
          </w:tcPr>
          <w:p w14:paraId="14017E52"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1857CBBC"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7B2FAAC2"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6EB6CEE8" w14:textId="77777777" w:rsidR="00B55EED" w:rsidRPr="005E3B44" w:rsidRDefault="00B55EED">
            <w:pPr>
              <w:pStyle w:val="Normal3"/>
              <w:rPr>
                <w:rFonts w:asciiTheme="minorHAnsi" w:eastAsia="Calibri" w:hAnsiTheme="minorHAnsi" w:cstheme="minorHAnsi"/>
                <w:b/>
                <w:color w:val="000000"/>
                <w:sz w:val="18"/>
              </w:rPr>
            </w:pPr>
          </w:p>
        </w:tc>
      </w:tr>
      <w:tr w:rsidR="00B55EED" w:rsidRPr="005E3B44" w14:paraId="5B841667" w14:textId="77777777" w:rsidTr="00B55EED">
        <w:trPr>
          <w:trHeight w:val="240"/>
        </w:trPr>
        <w:tc>
          <w:tcPr>
            <w:tcW w:w="1035" w:type="dxa"/>
            <w:shd w:val="clear" w:color="auto" w:fill="FFFFFF"/>
            <w:tcMar>
              <w:top w:w="0" w:type="dxa"/>
              <w:left w:w="101" w:type="dxa"/>
              <w:bottom w:w="0" w:type="dxa"/>
              <w:right w:w="101" w:type="dxa"/>
            </w:tcMar>
            <w:hideMark/>
          </w:tcPr>
          <w:p w14:paraId="270FE5BA" w14:textId="20CEE1EC"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908</w:t>
            </w:r>
          </w:p>
        </w:tc>
        <w:tc>
          <w:tcPr>
            <w:tcW w:w="2385" w:type="dxa"/>
            <w:noWrap/>
            <w:tcMar>
              <w:top w:w="0" w:type="dxa"/>
              <w:left w:w="101" w:type="dxa"/>
              <w:bottom w:w="0" w:type="dxa"/>
              <w:right w:w="101" w:type="dxa"/>
            </w:tcMar>
            <w:hideMark/>
          </w:tcPr>
          <w:p w14:paraId="27ECE71D"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AT THE BEGINNING OF REPORTING PERIOD</w:t>
            </w:r>
          </w:p>
        </w:tc>
        <w:tc>
          <w:tcPr>
            <w:tcW w:w="1035" w:type="dxa"/>
            <w:shd w:val="clear" w:color="auto" w:fill="FFFFFF"/>
            <w:tcMar>
              <w:top w:w="0" w:type="dxa"/>
              <w:left w:w="101" w:type="dxa"/>
              <w:bottom w:w="0" w:type="dxa"/>
              <w:right w:w="101" w:type="dxa"/>
            </w:tcMar>
            <w:hideMark/>
          </w:tcPr>
          <w:p w14:paraId="466B1582" w14:textId="3BBDEC2F"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908</w:t>
            </w:r>
          </w:p>
        </w:tc>
        <w:tc>
          <w:tcPr>
            <w:tcW w:w="1035" w:type="dxa"/>
            <w:shd w:val="clear" w:color="auto" w:fill="FFFFFF"/>
            <w:tcMar>
              <w:top w:w="0" w:type="dxa"/>
              <w:left w:w="101" w:type="dxa"/>
              <w:bottom w:w="0" w:type="dxa"/>
              <w:right w:w="101" w:type="dxa"/>
            </w:tcMar>
            <w:hideMark/>
          </w:tcPr>
          <w:p w14:paraId="1524EB21" w14:textId="001A8B90"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570</w:t>
            </w:r>
          </w:p>
        </w:tc>
        <w:tc>
          <w:tcPr>
            <w:tcW w:w="600" w:type="dxa"/>
            <w:shd w:val="clear" w:color="auto" w:fill="FFFFFF"/>
            <w:tcMar>
              <w:top w:w="0" w:type="dxa"/>
              <w:left w:w="101" w:type="dxa"/>
              <w:bottom w:w="0" w:type="dxa"/>
              <w:right w:w="101" w:type="dxa"/>
            </w:tcMar>
            <w:hideMark/>
          </w:tcPr>
          <w:p w14:paraId="445D0EBB"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39 </w:t>
            </w:r>
          </w:p>
        </w:tc>
        <w:tc>
          <w:tcPr>
            <w:tcW w:w="1035" w:type="dxa"/>
            <w:shd w:val="clear" w:color="auto" w:fill="FFFFFF"/>
            <w:tcMar>
              <w:top w:w="0" w:type="dxa"/>
              <w:left w:w="101" w:type="dxa"/>
              <w:bottom w:w="0" w:type="dxa"/>
              <w:right w:w="101" w:type="dxa"/>
            </w:tcMar>
            <w:hideMark/>
          </w:tcPr>
          <w:p w14:paraId="410AE92F" w14:textId="1568C78A"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408</w:t>
            </w:r>
          </w:p>
        </w:tc>
        <w:tc>
          <w:tcPr>
            <w:tcW w:w="1035" w:type="dxa"/>
            <w:shd w:val="clear" w:color="auto" w:fill="FFFFFF"/>
            <w:tcMar>
              <w:top w:w="0" w:type="dxa"/>
              <w:left w:w="101" w:type="dxa"/>
              <w:bottom w:w="0" w:type="dxa"/>
              <w:right w:w="101" w:type="dxa"/>
            </w:tcMar>
            <w:hideMark/>
          </w:tcPr>
          <w:p w14:paraId="5AA09454" w14:textId="6FBBC3C3"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478</w:t>
            </w:r>
          </w:p>
        </w:tc>
        <w:tc>
          <w:tcPr>
            <w:tcW w:w="1035" w:type="dxa"/>
            <w:shd w:val="clear" w:color="auto" w:fill="FFFFFF"/>
            <w:tcMar>
              <w:top w:w="0" w:type="dxa"/>
              <w:left w:w="101" w:type="dxa"/>
              <w:bottom w:w="0" w:type="dxa"/>
              <w:right w:w="101" w:type="dxa"/>
            </w:tcMar>
            <w:hideMark/>
          </w:tcPr>
          <w:p w14:paraId="5D6735B4" w14:textId="1151F4C1"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253</w:t>
            </w:r>
          </w:p>
        </w:tc>
      </w:tr>
      <w:tr w:rsidR="00B55EED" w:rsidRPr="005E3B44" w14:paraId="45DE2A7D" w14:textId="77777777" w:rsidTr="00B55EED">
        <w:trPr>
          <w:trHeight w:val="240"/>
        </w:trPr>
        <w:tc>
          <w:tcPr>
            <w:tcW w:w="1035" w:type="dxa"/>
            <w:shd w:val="clear" w:color="auto" w:fill="FFFFFF"/>
            <w:tcMar>
              <w:top w:w="0" w:type="dxa"/>
              <w:left w:w="0" w:type="dxa"/>
              <w:bottom w:w="0" w:type="dxa"/>
              <w:right w:w="0" w:type="dxa"/>
            </w:tcMar>
          </w:tcPr>
          <w:p w14:paraId="755C495A" w14:textId="77777777" w:rsidR="00B55EED" w:rsidRPr="005E3B44" w:rsidRDefault="00B55EED">
            <w:pPr>
              <w:pStyle w:val="Normal3"/>
              <w:jc w:val="right"/>
              <w:rPr>
                <w:rFonts w:asciiTheme="minorHAnsi" w:eastAsia="Calibri" w:hAnsiTheme="minorHAnsi" w:cstheme="minorHAnsi"/>
                <w:b/>
                <w:color w:val="000000"/>
                <w:sz w:val="18"/>
              </w:rPr>
            </w:pPr>
          </w:p>
        </w:tc>
        <w:tc>
          <w:tcPr>
            <w:tcW w:w="2385" w:type="dxa"/>
            <w:noWrap/>
            <w:tcMar>
              <w:top w:w="0" w:type="dxa"/>
              <w:left w:w="0" w:type="dxa"/>
              <w:bottom w:w="0" w:type="dxa"/>
              <w:right w:w="0" w:type="dxa"/>
            </w:tcMar>
            <w:vAlign w:val="bottom"/>
          </w:tcPr>
          <w:p w14:paraId="7076FD06"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1FD5CEC9"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686AB561" w14:textId="77777777" w:rsidR="00B55EED" w:rsidRPr="005E3B44" w:rsidRDefault="00B55EED">
            <w:pPr>
              <w:pStyle w:val="Normal3"/>
              <w:rPr>
                <w:rFonts w:asciiTheme="minorHAnsi" w:eastAsia="Calibri" w:hAnsiTheme="minorHAnsi" w:cstheme="minorHAnsi"/>
                <w:b/>
                <w:color w:val="000000"/>
                <w:sz w:val="18"/>
              </w:rPr>
            </w:pPr>
          </w:p>
        </w:tc>
        <w:tc>
          <w:tcPr>
            <w:tcW w:w="600" w:type="dxa"/>
            <w:shd w:val="clear" w:color="auto" w:fill="FFFFFF"/>
            <w:tcMar>
              <w:top w:w="0" w:type="dxa"/>
              <w:left w:w="0" w:type="dxa"/>
              <w:bottom w:w="0" w:type="dxa"/>
              <w:right w:w="0" w:type="dxa"/>
            </w:tcMar>
          </w:tcPr>
          <w:p w14:paraId="60BD4B90"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5908C0C8"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3FD8A0F5" w14:textId="77777777" w:rsidR="00B55EED" w:rsidRPr="005E3B44" w:rsidRDefault="00B55EED">
            <w:pPr>
              <w:pStyle w:val="Normal3"/>
              <w:rPr>
                <w:rFonts w:asciiTheme="minorHAnsi" w:eastAsia="Calibri" w:hAnsiTheme="minorHAnsi" w:cstheme="minorHAnsi"/>
                <w:b/>
                <w:color w:val="000000"/>
                <w:sz w:val="18"/>
              </w:rPr>
            </w:pPr>
          </w:p>
        </w:tc>
        <w:tc>
          <w:tcPr>
            <w:tcW w:w="1035" w:type="dxa"/>
            <w:shd w:val="clear" w:color="auto" w:fill="FFFFFF"/>
            <w:tcMar>
              <w:top w:w="0" w:type="dxa"/>
              <w:left w:w="0" w:type="dxa"/>
              <w:bottom w:w="0" w:type="dxa"/>
              <w:right w:w="0" w:type="dxa"/>
            </w:tcMar>
          </w:tcPr>
          <w:p w14:paraId="74A3AAD9" w14:textId="77777777" w:rsidR="00B55EED" w:rsidRPr="005E3B44" w:rsidRDefault="00B55EED">
            <w:pPr>
              <w:pStyle w:val="Normal3"/>
              <w:rPr>
                <w:rFonts w:asciiTheme="minorHAnsi" w:eastAsia="Calibri" w:hAnsiTheme="minorHAnsi" w:cstheme="minorHAnsi"/>
                <w:b/>
                <w:color w:val="000000"/>
                <w:sz w:val="18"/>
              </w:rPr>
            </w:pPr>
          </w:p>
        </w:tc>
      </w:tr>
      <w:tr w:rsidR="00B55EED" w:rsidRPr="005E3B44" w14:paraId="074FD858" w14:textId="77777777" w:rsidTr="00B55EED">
        <w:trPr>
          <w:trHeight w:val="240"/>
        </w:trPr>
        <w:tc>
          <w:tcPr>
            <w:tcW w:w="1035" w:type="dxa"/>
            <w:shd w:val="clear" w:color="auto" w:fill="FFFFFF"/>
            <w:tcMar>
              <w:top w:w="0" w:type="dxa"/>
              <w:left w:w="101" w:type="dxa"/>
              <w:bottom w:w="0" w:type="dxa"/>
              <w:right w:w="101" w:type="dxa"/>
            </w:tcMar>
            <w:hideMark/>
          </w:tcPr>
          <w:p w14:paraId="7710C75D" w14:textId="10273ECC" w:rsidR="00B55EED" w:rsidRPr="005E3B44" w:rsidRDefault="00B55EED">
            <w:pPr>
              <w:pStyle w:val="Normal3"/>
              <w:jc w:val="right"/>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6</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842</w:t>
            </w:r>
          </w:p>
        </w:tc>
        <w:tc>
          <w:tcPr>
            <w:tcW w:w="2385" w:type="dxa"/>
            <w:noWrap/>
            <w:tcMar>
              <w:top w:w="0" w:type="dxa"/>
              <w:left w:w="101" w:type="dxa"/>
              <w:bottom w:w="0" w:type="dxa"/>
              <w:right w:w="101" w:type="dxa"/>
            </w:tcMar>
            <w:hideMark/>
          </w:tcPr>
          <w:p w14:paraId="59BD1F56"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CASH AT THE END OF REPORTING PERIOD</w:t>
            </w:r>
          </w:p>
        </w:tc>
        <w:tc>
          <w:tcPr>
            <w:tcW w:w="1035" w:type="dxa"/>
            <w:shd w:val="clear" w:color="auto" w:fill="FFFFFF"/>
            <w:tcMar>
              <w:top w:w="0" w:type="dxa"/>
              <w:left w:w="101" w:type="dxa"/>
              <w:bottom w:w="0" w:type="dxa"/>
              <w:right w:w="101" w:type="dxa"/>
            </w:tcMar>
            <w:hideMark/>
          </w:tcPr>
          <w:p w14:paraId="47681D74" w14:textId="4CA0D1CE"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570</w:t>
            </w:r>
          </w:p>
        </w:tc>
        <w:tc>
          <w:tcPr>
            <w:tcW w:w="1035" w:type="dxa"/>
            <w:shd w:val="clear" w:color="auto" w:fill="FFFFFF"/>
            <w:tcMar>
              <w:top w:w="0" w:type="dxa"/>
              <w:left w:w="101" w:type="dxa"/>
              <w:bottom w:w="0" w:type="dxa"/>
              <w:right w:w="101" w:type="dxa"/>
            </w:tcMar>
            <w:hideMark/>
          </w:tcPr>
          <w:p w14:paraId="003EC49C" w14:textId="509DA06E"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408</w:t>
            </w:r>
          </w:p>
        </w:tc>
        <w:tc>
          <w:tcPr>
            <w:tcW w:w="600" w:type="dxa"/>
            <w:shd w:val="clear" w:color="auto" w:fill="FFFFFF"/>
            <w:tcMar>
              <w:top w:w="0" w:type="dxa"/>
              <w:left w:w="101" w:type="dxa"/>
              <w:bottom w:w="0" w:type="dxa"/>
              <w:right w:w="101" w:type="dxa"/>
            </w:tcMar>
            <w:hideMark/>
          </w:tcPr>
          <w:p w14:paraId="03094382" w14:textId="77777777"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 xml:space="preserve">-2 </w:t>
            </w:r>
          </w:p>
        </w:tc>
        <w:tc>
          <w:tcPr>
            <w:tcW w:w="1035" w:type="dxa"/>
            <w:shd w:val="clear" w:color="auto" w:fill="FFFFFF"/>
            <w:tcMar>
              <w:top w:w="0" w:type="dxa"/>
              <w:left w:w="101" w:type="dxa"/>
              <w:bottom w:w="0" w:type="dxa"/>
              <w:right w:w="101" w:type="dxa"/>
            </w:tcMar>
            <w:hideMark/>
          </w:tcPr>
          <w:p w14:paraId="156F7380" w14:textId="4A207892"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478</w:t>
            </w:r>
          </w:p>
        </w:tc>
        <w:tc>
          <w:tcPr>
            <w:tcW w:w="1035" w:type="dxa"/>
            <w:shd w:val="clear" w:color="auto" w:fill="FFFFFF"/>
            <w:tcMar>
              <w:top w:w="0" w:type="dxa"/>
              <w:left w:w="101" w:type="dxa"/>
              <w:bottom w:w="0" w:type="dxa"/>
              <w:right w:w="101" w:type="dxa"/>
            </w:tcMar>
            <w:hideMark/>
          </w:tcPr>
          <w:p w14:paraId="6FAEA9DC" w14:textId="5ABE665C"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9</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253</w:t>
            </w:r>
          </w:p>
        </w:tc>
        <w:tc>
          <w:tcPr>
            <w:tcW w:w="1035" w:type="dxa"/>
            <w:shd w:val="clear" w:color="auto" w:fill="FFFFFF"/>
            <w:tcMar>
              <w:top w:w="0" w:type="dxa"/>
              <w:left w:w="101" w:type="dxa"/>
              <w:bottom w:w="0" w:type="dxa"/>
              <w:right w:w="101" w:type="dxa"/>
            </w:tcMar>
            <w:hideMark/>
          </w:tcPr>
          <w:p w14:paraId="1AB75BF7" w14:textId="5569B1C9" w:rsidR="00B55EED" w:rsidRPr="005E3B44" w:rsidRDefault="00B55EED">
            <w:pPr>
              <w:pStyle w:val="Normal3"/>
              <w:rPr>
                <w:rFonts w:asciiTheme="minorHAnsi" w:eastAsia="Calibri" w:hAnsiTheme="minorHAnsi" w:cstheme="minorHAnsi"/>
                <w:b/>
                <w:color w:val="000000"/>
                <w:sz w:val="18"/>
              </w:rPr>
            </w:pPr>
            <w:r w:rsidRPr="005E3B44">
              <w:rPr>
                <w:rFonts w:asciiTheme="minorHAnsi" w:eastAsia="Calibri" w:hAnsiTheme="minorHAnsi" w:cstheme="minorHAnsi"/>
                <w:b/>
                <w:color w:val="000000"/>
                <w:sz w:val="18"/>
              </w:rPr>
              <w:t>8</w:t>
            </w:r>
            <w:r w:rsidR="00B224AF">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972</w:t>
            </w:r>
          </w:p>
        </w:tc>
      </w:tr>
      <w:tr w:rsidR="00B55EED" w:rsidRPr="005E3B44" w14:paraId="7C8FDF9A" w14:textId="77777777" w:rsidTr="00B55EED">
        <w:trPr>
          <w:trHeight w:val="102"/>
        </w:trPr>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1D2B51A2" w14:textId="77777777" w:rsidR="00B55EED" w:rsidRPr="005E3B44" w:rsidRDefault="00B55EED">
            <w:pPr>
              <w:pStyle w:val="Normal3"/>
              <w:rPr>
                <w:rFonts w:asciiTheme="minorHAnsi" w:eastAsia="Calibri" w:hAnsiTheme="minorHAnsi" w:cstheme="minorHAnsi"/>
                <w:color w:val="000000"/>
                <w:sz w:val="18"/>
              </w:rPr>
            </w:pPr>
          </w:p>
        </w:tc>
        <w:tc>
          <w:tcPr>
            <w:tcW w:w="2385" w:type="dxa"/>
            <w:tcBorders>
              <w:top w:val="nil"/>
              <w:left w:val="nil"/>
              <w:bottom w:val="single" w:sz="4" w:space="0" w:color="000000"/>
              <w:right w:val="nil"/>
            </w:tcBorders>
            <w:shd w:val="clear" w:color="auto" w:fill="FFFFFF"/>
            <w:tcMar>
              <w:top w:w="0" w:type="dxa"/>
              <w:left w:w="0" w:type="dxa"/>
              <w:bottom w:w="0" w:type="dxa"/>
              <w:right w:w="0" w:type="dxa"/>
            </w:tcMar>
          </w:tcPr>
          <w:p w14:paraId="21E76708"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456853B4"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4E600A44" w14:textId="77777777" w:rsidR="00B55EED" w:rsidRPr="005E3B44" w:rsidRDefault="00B55EED">
            <w:pPr>
              <w:pStyle w:val="Normal3"/>
              <w:rPr>
                <w:rFonts w:asciiTheme="minorHAnsi" w:eastAsia="Calibri" w:hAnsiTheme="minorHAnsi" w:cstheme="minorHAnsi"/>
                <w:color w:val="000000"/>
                <w:sz w:val="18"/>
              </w:rPr>
            </w:pPr>
          </w:p>
        </w:tc>
        <w:tc>
          <w:tcPr>
            <w:tcW w:w="600" w:type="dxa"/>
            <w:tcBorders>
              <w:top w:val="nil"/>
              <w:left w:val="nil"/>
              <w:bottom w:val="single" w:sz="4" w:space="0" w:color="000000"/>
              <w:right w:val="nil"/>
            </w:tcBorders>
            <w:shd w:val="clear" w:color="auto" w:fill="FFFFFF"/>
            <w:tcMar>
              <w:top w:w="0" w:type="dxa"/>
              <w:left w:w="0" w:type="dxa"/>
              <w:bottom w:w="0" w:type="dxa"/>
              <w:right w:w="0" w:type="dxa"/>
            </w:tcMar>
          </w:tcPr>
          <w:p w14:paraId="55769F6E"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42CF18CD"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1DF74226" w14:textId="77777777" w:rsidR="00B55EED" w:rsidRPr="005E3B44" w:rsidRDefault="00B55EED">
            <w:pPr>
              <w:pStyle w:val="Normal3"/>
              <w:rPr>
                <w:rFonts w:asciiTheme="minorHAnsi" w:eastAsia="Calibri" w:hAnsiTheme="minorHAnsi" w:cstheme="minorHAnsi"/>
                <w:color w:val="000000"/>
                <w:sz w:val="18"/>
              </w:rPr>
            </w:pPr>
          </w:p>
        </w:tc>
        <w:tc>
          <w:tcPr>
            <w:tcW w:w="1035" w:type="dxa"/>
            <w:tcBorders>
              <w:top w:val="nil"/>
              <w:left w:val="nil"/>
              <w:bottom w:val="single" w:sz="4" w:space="0" w:color="000000"/>
              <w:right w:val="nil"/>
            </w:tcBorders>
            <w:shd w:val="clear" w:color="auto" w:fill="FFFFFF"/>
            <w:tcMar>
              <w:top w:w="0" w:type="dxa"/>
              <w:left w:w="0" w:type="dxa"/>
              <w:bottom w:w="0" w:type="dxa"/>
              <w:right w:w="0" w:type="dxa"/>
            </w:tcMar>
          </w:tcPr>
          <w:p w14:paraId="31B15ED5" w14:textId="77777777" w:rsidR="00B55EED" w:rsidRPr="005E3B44" w:rsidRDefault="00B55EED">
            <w:pPr>
              <w:pStyle w:val="Normal3"/>
              <w:rPr>
                <w:rFonts w:asciiTheme="minorHAnsi" w:eastAsia="Calibri" w:hAnsiTheme="minorHAnsi" w:cstheme="minorHAnsi"/>
                <w:color w:val="000000"/>
                <w:sz w:val="18"/>
              </w:rPr>
            </w:pPr>
          </w:p>
        </w:tc>
      </w:tr>
    </w:tbl>
    <w:p w14:paraId="36820910" w14:textId="77777777" w:rsidR="00B55EED" w:rsidRPr="005E3B44" w:rsidRDefault="00B55EED" w:rsidP="00B55EED">
      <w:pPr>
        <w:rPr>
          <w:rFonts w:asciiTheme="minorHAnsi" w:hAnsiTheme="minorHAnsi" w:cstheme="minorHAnsi"/>
          <w:color w:val="FF0000"/>
        </w:rPr>
      </w:pPr>
    </w:p>
    <w:p w14:paraId="35A276DE" w14:textId="2910211B" w:rsidR="00B55EED" w:rsidRPr="005E3B44" w:rsidRDefault="00B55EED" w:rsidP="00B55EED">
      <w:pPr>
        <w:pStyle w:val="BSbullet10"/>
        <w:numPr>
          <w:ilvl w:val="0"/>
          <w:numId w:val="0"/>
        </w:numPr>
        <w:ind w:left="357" w:hanging="357"/>
        <w:jc w:val="left"/>
        <w:rPr>
          <w:rFonts w:asciiTheme="minorHAnsi" w:eastAsia="TimesNewRomanPS-ItalicMT" w:hAnsiTheme="minorHAnsi" w:cstheme="minorHAnsi"/>
        </w:rPr>
      </w:pPr>
      <w:r w:rsidRPr="005E3B44">
        <w:rPr>
          <w:rFonts w:asciiTheme="minorHAnsi" w:hAnsiTheme="minorHAnsi" w:cstheme="minorHAnsi"/>
        </w:rPr>
        <w:t>Variations in the Cash Flow Statement are explained in the Operating Statement and</w:t>
      </w:r>
      <w:r w:rsidR="008C695C">
        <w:rPr>
          <w:rFonts w:asciiTheme="minorHAnsi" w:hAnsiTheme="minorHAnsi" w:cstheme="minorHAnsi"/>
        </w:rPr>
        <w:t xml:space="preserve"> </w:t>
      </w:r>
      <w:r w:rsidRPr="005E3B44">
        <w:rPr>
          <w:rFonts w:asciiTheme="minorHAnsi" w:hAnsiTheme="minorHAnsi" w:cstheme="minorHAnsi"/>
        </w:rPr>
        <w:t>Balance Sheet notes above.</w:t>
      </w:r>
    </w:p>
    <w:p w14:paraId="3E6FB133" w14:textId="77777777" w:rsidR="00FB0F16" w:rsidRDefault="00B55EED" w:rsidP="00B55EED">
      <w:pPr>
        <w:spacing w:before="0" w:after="0"/>
        <w:rPr>
          <w:rFonts w:asciiTheme="minorHAnsi" w:hAnsiTheme="minorHAnsi" w:cstheme="minorHAnsi"/>
        </w:rPr>
        <w:sectPr w:rsidR="00FB0F16">
          <w:pgSz w:w="11906" w:h="16838"/>
          <w:pgMar w:top="1151" w:right="1440" w:bottom="1729" w:left="1440" w:header="720" w:footer="720" w:gutter="0"/>
          <w:cols w:space="720"/>
        </w:sectPr>
      </w:pPr>
      <w:r w:rsidRPr="005E3B44">
        <w:rPr>
          <w:rFonts w:asciiTheme="minorHAnsi" w:hAnsiTheme="minorHAnsi" w:cstheme="minorHAnsi"/>
        </w:rPr>
        <w:br w:type="page"/>
      </w:r>
    </w:p>
    <w:p w14:paraId="34B6E423" w14:textId="1D757755" w:rsidR="00B55EED" w:rsidRPr="005E3B44" w:rsidRDefault="00B55EED" w:rsidP="00B55EED">
      <w:pPr>
        <w:spacing w:before="0" w:after="0"/>
        <w:rPr>
          <w:rFonts w:asciiTheme="minorHAnsi" w:hAnsiTheme="minorHAnsi" w:cstheme="minorHAnsi"/>
        </w:rPr>
      </w:pPr>
    </w:p>
    <w:p w14:paraId="675AE31C" w14:textId="77777777" w:rsidR="00B55EED" w:rsidRPr="005E3B44" w:rsidRDefault="00B55EED" w:rsidP="00B55EED">
      <w:pPr>
        <w:rPr>
          <w:rFonts w:asciiTheme="minorHAnsi" w:hAnsiTheme="minorHAnsi" w:cstheme="minorHAnsi"/>
          <w:bdr w:val="none" w:sz="0" w:space="0" w:color="auto" w:frame="1"/>
        </w:rPr>
      </w:pPr>
    </w:p>
    <w:p w14:paraId="17763F35" w14:textId="62BDB9E0" w:rsidR="00B55EED" w:rsidRPr="005E3B44" w:rsidRDefault="00B55EED" w:rsidP="00944FE9">
      <w:pPr>
        <w:jc w:val="center"/>
        <w:rPr>
          <w:rFonts w:asciiTheme="minorHAnsi" w:eastAsia="TimesNewRomanPS-ItalicMT" w:hAnsiTheme="minorHAnsi" w:cstheme="minorHAnsi"/>
          <w:bdr w:val="none" w:sz="0" w:space="0" w:color="auto" w:frame="1"/>
        </w:rPr>
        <w:sectPr w:rsidR="00B55EED" w:rsidRPr="005E3B44">
          <w:footerReference w:type="default" r:id="rId64"/>
          <w:pgSz w:w="11906" w:h="16838"/>
          <w:pgMar w:top="1151" w:right="1440" w:bottom="1729" w:left="1440" w:header="720" w:footer="720" w:gutter="0"/>
          <w:cols w:space="720"/>
        </w:sectPr>
      </w:pPr>
      <w:r w:rsidRPr="005E3B44">
        <w:rPr>
          <w:rFonts w:asciiTheme="minorHAnsi" w:hAnsiTheme="minorHAnsi" w:cstheme="minorHAnsi"/>
          <w:i/>
          <w:bdr w:val="none" w:sz="0" w:space="0" w:color="auto" w:frame="1"/>
        </w:rPr>
        <w:t>This page deliberately left blank</w:t>
      </w:r>
    </w:p>
    <w:p w14:paraId="256AA866" w14:textId="77777777" w:rsidR="007F5788" w:rsidRDefault="007F5788" w:rsidP="007F5788">
      <w:pPr>
        <w:pStyle w:val="Heading1"/>
        <w:pageBreakBefore/>
        <w:pBdr>
          <w:top w:val="nil"/>
          <w:left w:val="nil"/>
          <w:right w:val="nil"/>
          <w:between w:val="nil"/>
          <w:bar w:val="nil"/>
        </w:pBdr>
        <w:rPr>
          <w:szCs w:val="48"/>
          <w:bdr w:val="nil"/>
        </w:rPr>
      </w:pPr>
      <w:r>
        <w:rPr>
          <w:szCs w:val="48"/>
          <w:bdr w:val="nil"/>
        </w:rPr>
        <w:lastRenderedPageBreak/>
        <w:t xml:space="preserve">PUBLIC TRUSTEE AND GUARDIAN </w:t>
      </w:r>
      <w:r w:rsidRPr="00E85369">
        <w:rPr>
          <w:szCs w:val="48"/>
          <w:bdr w:val="nil"/>
        </w:rPr>
        <w:t>– STATEMENT OF INTENT</w:t>
      </w:r>
    </w:p>
    <w:p w14:paraId="702D1B93" w14:textId="3C3E8223" w:rsidR="00F9791F" w:rsidRDefault="00F9791F" w:rsidP="00F9791F">
      <w:pPr>
        <w:pStyle w:val="Normal0"/>
        <w:pBdr>
          <w:top w:val="nil"/>
          <w:left w:val="nil"/>
          <w:bottom w:val="nil"/>
          <w:right w:val="nil"/>
          <w:between w:val="nil"/>
          <w:bar w:val="nil"/>
        </w:pBdr>
        <w:rPr>
          <w:rFonts w:cs="Calibri"/>
          <w:bdr w:val="nil"/>
          <w:lang w:val="en-US"/>
        </w:rPr>
      </w:pPr>
      <w:r>
        <w:rPr>
          <w:noProof/>
        </w:rPr>
        <w:drawing>
          <wp:inline distT="0" distB="0" distL="0" distR="0" wp14:anchorId="45135194" wp14:editId="112D84F1">
            <wp:extent cx="5600700" cy="682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600700" cy="6829425"/>
                    </a:xfrm>
                    <a:prstGeom prst="rect">
                      <a:avLst/>
                    </a:prstGeom>
                  </pic:spPr>
                </pic:pic>
              </a:graphicData>
            </a:graphic>
          </wp:inline>
        </w:drawing>
      </w:r>
    </w:p>
    <w:p w14:paraId="2995E392" w14:textId="77777777" w:rsidR="007F5788" w:rsidRDefault="007F5788" w:rsidP="007F5788">
      <w:pPr>
        <w:pBdr>
          <w:top w:val="nil"/>
          <w:left w:val="nil"/>
          <w:bottom w:val="nil"/>
          <w:right w:val="nil"/>
          <w:between w:val="nil"/>
          <w:bar w:val="nil"/>
        </w:pBdr>
        <w:rPr>
          <w:rFonts w:cs="Calibri"/>
          <w:bdr w:val="nil"/>
          <w:lang w:val="en-US"/>
        </w:rPr>
      </w:pPr>
    </w:p>
    <w:p w14:paraId="4E990413" w14:textId="77777777" w:rsidR="007F5788" w:rsidRPr="00865F68" w:rsidRDefault="007F5788" w:rsidP="007F5788">
      <w:pPr>
        <w:pStyle w:val="Heading1"/>
        <w:pageBreakBefore/>
        <w:pBdr>
          <w:top w:val="nil"/>
          <w:left w:val="nil"/>
          <w:right w:val="nil"/>
          <w:between w:val="nil"/>
          <w:bar w:val="nil"/>
        </w:pBdr>
        <w:rPr>
          <w:rFonts w:asciiTheme="minorHAnsi" w:hAnsiTheme="minorHAnsi" w:cstheme="minorHAnsi"/>
          <w:bdr w:val="nil"/>
        </w:rPr>
      </w:pPr>
      <w:r w:rsidRPr="00865F68">
        <w:rPr>
          <w:rFonts w:asciiTheme="minorHAnsi" w:hAnsiTheme="minorHAnsi" w:cstheme="minorHAnsi"/>
          <w:sz w:val="36"/>
          <w:szCs w:val="36"/>
          <w:bdr w:val="nil"/>
        </w:rPr>
        <w:lastRenderedPageBreak/>
        <w:t xml:space="preserve">Public Trustee and Guardian for the ACT </w:t>
      </w:r>
    </w:p>
    <w:p w14:paraId="5F3E270A" w14:textId="77777777" w:rsidR="007F5788" w:rsidRPr="00865F68" w:rsidRDefault="007F5788" w:rsidP="007F5788">
      <w:pPr>
        <w:pStyle w:val="Normal1"/>
        <w:pBdr>
          <w:top w:val="nil"/>
          <w:left w:val="nil"/>
          <w:bottom w:val="nil"/>
          <w:right w:val="nil"/>
          <w:between w:val="nil"/>
          <w:bar w:val="nil"/>
        </w:pBdr>
        <w:rPr>
          <w:rFonts w:asciiTheme="minorHAnsi" w:hAnsiTheme="minorHAnsi" w:cstheme="minorHAnsi"/>
          <w:bdr w:val="nil"/>
        </w:rPr>
      </w:pPr>
      <w:r w:rsidRPr="00865F68">
        <w:rPr>
          <w:rFonts w:asciiTheme="minorHAnsi" w:hAnsiTheme="minorHAnsi" w:cstheme="minorHAnsi"/>
          <w:bdr w:val="nil"/>
        </w:rPr>
        <w:t>The Budget Statement for PTG is its Statement of Intent.</w:t>
      </w:r>
    </w:p>
    <w:p w14:paraId="6E6C982D" w14:textId="77777777" w:rsidR="007F5788" w:rsidRPr="00865F68" w:rsidRDefault="007F5788" w:rsidP="007F5788">
      <w:pPr>
        <w:pStyle w:val="Heading2"/>
        <w:pBdr>
          <w:top w:val="nil"/>
          <w:left w:val="nil"/>
          <w:bottom w:val="nil"/>
          <w:right w:val="nil"/>
          <w:between w:val="nil"/>
          <w:bar w:val="nil"/>
        </w:pBdr>
        <w:rPr>
          <w:rFonts w:asciiTheme="minorHAnsi" w:hAnsiTheme="minorHAnsi" w:cstheme="minorHAnsi"/>
          <w:bdr w:val="nil"/>
        </w:rPr>
      </w:pPr>
      <w:r w:rsidRPr="00865F68">
        <w:rPr>
          <w:rFonts w:asciiTheme="minorHAnsi" w:hAnsiTheme="minorHAnsi" w:cstheme="minorHAnsi"/>
          <w:bdr w:val="nil"/>
        </w:rPr>
        <w:t>Purpose</w:t>
      </w:r>
    </w:p>
    <w:p w14:paraId="5716E59D" w14:textId="77777777" w:rsidR="007F5788" w:rsidRPr="00865F68" w:rsidRDefault="007F5788" w:rsidP="007F5788">
      <w:pPr>
        <w:pStyle w:val="Normal1"/>
        <w:pBdr>
          <w:top w:val="nil"/>
          <w:left w:val="nil"/>
          <w:bottom w:val="nil"/>
          <w:right w:val="nil"/>
          <w:between w:val="nil"/>
          <w:bar w:val="nil"/>
        </w:pBdr>
        <w:rPr>
          <w:rFonts w:asciiTheme="minorHAnsi" w:hAnsiTheme="minorHAnsi" w:cstheme="minorHAnsi"/>
          <w:bdr w:val="nil"/>
        </w:rPr>
      </w:pPr>
      <w:r w:rsidRPr="00865F68">
        <w:rPr>
          <w:rFonts w:asciiTheme="minorHAnsi" w:hAnsiTheme="minorHAnsi" w:cstheme="minorHAnsi"/>
          <w:bdr w:val="nil"/>
        </w:rPr>
        <w:t xml:space="preserve">PTG is established to provide rights, choices, </w:t>
      </w:r>
      <w:proofErr w:type="gramStart"/>
      <w:r w:rsidRPr="00865F68">
        <w:rPr>
          <w:rFonts w:asciiTheme="minorHAnsi" w:hAnsiTheme="minorHAnsi" w:cstheme="minorHAnsi"/>
          <w:bdr w:val="nil"/>
        </w:rPr>
        <w:t>security</w:t>
      </w:r>
      <w:proofErr w:type="gramEnd"/>
      <w:r w:rsidRPr="00865F68">
        <w:rPr>
          <w:rFonts w:asciiTheme="minorHAnsi" w:hAnsiTheme="minorHAnsi" w:cstheme="minorHAnsi"/>
          <w:bdr w:val="nil"/>
        </w:rPr>
        <w:t xml:space="preserve"> and justice for all people in the ACT community.</w:t>
      </w:r>
    </w:p>
    <w:p w14:paraId="2473AE33" w14:textId="77777777" w:rsidR="007F5788" w:rsidRPr="00865F68" w:rsidRDefault="007F5788" w:rsidP="007F5788">
      <w:pPr>
        <w:pStyle w:val="Normal1"/>
        <w:pBdr>
          <w:top w:val="nil"/>
          <w:left w:val="nil"/>
          <w:bottom w:val="nil"/>
          <w:right w:val="nil"/>
          <w:between w:val="nil"/>
          <w:bar w:val="nil"/>
        </w:pBdr>
        <w:rPr>
          <w:rFonts w:asciiTheme="minorHAnsi" w:hAnsiTheme="minorHAnsi" w:cstheme="minorHAnsi"/>
          <w:bdr w:val="nil"/>
        </w:rPr>
      </w:pPr>
      <w:r w:rsidRPr="00865F68">
        <w:rPr>
          <w:rFonts w:asciiTheme="minorHAnsi" w:hAnsiTheme="minorHAnsi" w:cstheme="minorHAnsi"/>
          <w:bdr w:val="nil"/>
        </w:rPr>
        <w:t>PTG will achieve this through the following services:</w:t>
      </w:r>
    </w:p>
    <w:p w14:paraId="04EE9F2A"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acting as Manager/Guardian under appointment by the ACT Civil and Administrative Tribunal (ACAT</w:t>
      </w:r>
      <w:proofErr w:type="gramStart"/>
      <w:r w:rsidRPr="00220403">
        <w:rPr>
          <w:rFonts w:asciiTheme="minorHAnsi" w:hAnsiTheme="minorHAnsi" w:cstheme="minorHAnsi"/>
          <w:bdr w:val="nil"/>
          <w:lang w:val="en-GB"/>
        </w:rPr>
        <w:t>);</w:t>
      </w:r>
      <w:proofErr w:type="gramEnd"/>
    </w:p>
    <w:p w14:paraId="515CD06B"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making Wills (where appointed as an executor</w:t>
      </w:r>
      <w:proofErr w:type="gramStart"/>
      <w:r w:rsidRPr="00220403">
        <w:rPr>
          <w:rFonts w:asciiTheme="minorHAnsi" w:hAnsiTheme="minorHAnsi" w:cstheme="minorHAnsi"/>
          <w:bdr w:val="nil"/>
          <w:lang w:val="en-GB"/>
        </w:rPr>
        <w:t>);</w:t>
      </w:r>
      <w:proofErr w:type="gramEnd"/>
    </w:p>
    <w:p w14:paraId="70B4819E"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 xml:space="preserve">administering deceased estates under Will or </w:t>
      </w:r>
      <w:proofErr w:type="gramStart"/>
      <w:r w:rsidRPr="00220403">
        <w:rPr>
          <w:rFonts w:asciiTheme="minorHAnsi" w:hAnsiTheme="minorHAnsi" w:cstheme="minorHAnsi"/>
          <w:bdr w:val="nil"/>
          <w:lang w:val="en-GB"/>
        </w:rPr>
        <w:t>intestacy;</w:t>
      </w:r>
      <w:proofErr w:type="gramEnd"/>
    </w:p>
    <w:p w14:paraId="57DD880D"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acting as attorney under Enduring Power of Attorney (EPA</w:t>
      </w:r>
      <w:proofErr w:type="gramStart"/>
      <w:r w:rsidRPr="00220403">
        <w:rPr>
          <w:rFonts w:asciiTheme="minorHAnsi" w:hAnsiTheme="minorHAnsi" w:cstheme="minorHAnsi"/>
          <w:bdr w:val="nil"/>
          <w:lang w:val="en-GB"/>
        </w:rPr>
        <w:t>);</w:t>
      </w:r>
      <w:proofErr w:type="gramEnd"/>
    </w:p>
    <w:p w14:paraId="68B94C16"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 xml:space="preserve">acting as trustee for trusts created in Wills, Deeds and Court Orders for families, infants and people with </w:t>
      </w:r>
      <w:proofErr w:type="gramStart"/>
      <w:r w:rsidRPr="00220403">
        <w:rPr>
          <w:rFonts w:asciiTheme="minorHAnsi" w:hAnsiTheme="minorHAnsi" w:cstheme="minorHAnsi"/>
          <w:bdr w:val="nil"/>
          <w:lang w:val="en-GB"/>
        </w:rPr>
        <w:t>disabilities;</w:t>
      </w:r>
      <w:proofErr w:type="gramEnd"/>
    </w:p>
    <w:p w14:paraId="27A8E161"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 xml:space="preserve">providing an annual examination of accounts maintained by external managers appointed by ACAT on behalf of people with impaired decision-making </w:t>
      </w:r>
      <w:proofErr w:type="gramStart"/>
      <w:r w:rsidRPr="00220403">
        <w:rPr>
          <w:rFonts w:asciiTheme="minorHAnsi" w:hAnsiTheme="minorHAnsi" w:cstheme="minorHAnsi"/>
          <w:bdr w:val="nil"/>
          <w:lang w:val="en-GB"/>
        </w:rPr>
        <w:t>ability;</w:t>
      </w:r>
      <w:proofErr w:type="gramEnd"/>
    </w:p>
    <w:p w14:paraId="14DB039C"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administering arrangements for the disposal of Unclaimed Bodies; and</w:t>
      </w:r>
    </w:p>
    <w:p w14:paraId="31262215" w14:textId="3C7863FE"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acting as Member, Official Visitor Board.</w:t>
      </w:r>
    </w:p>
    <w:p w14:paraId="71A0E335" w14:textId="77777777" w:rsidR="00C616D2" w:rsidRPr="001312C5" w:rsidRDefault="00C616D2" w:rsidP="001312C5">
      <w:pPr>
        <w:pStyle w:val="Normal1"/>
        <w:pBdr>
          <w:top w:val="nil"/>
          <w:left w:val="nil"/>
          <w:bottom w:val="nil"/>
          <w:right w:val="nil"/>
          <w:between w:val="nil"/>
          <w:bar w:val="nil"/>
        </w:pBdr>
        <w:spacing w:before="60" w:after="60"/>
        <w:ind w:left="720"/>
        <w:rPr>
          <w:rFonts w:asciiTheme="minorHAnsi" w:hAnsiTheme="minorHAnsi" w:cstheme="minorHAnsi"/>
          <w:color w:val="383C3C"/>
          <w:bdr w:val="nil"/>
          <w:lang w:val="en-GB"/>
        </w:rPr>
      </w:pPr>
    </w:p>
    <w:p w14:paraId="1EF65221" w14:textId="77777777" w:rsidR="007F5788" w:rsidRPr="001312C5" w:rsidRDefault="007F5788" w:rsidP="007F5788">
      <w:pPr>
        <w:pStyle w:val="Normal1"/>
        <w:pBdr>
          <w:top w:val="nil"/>
          <w:left w:val="nil"/>
          <w:bottom w:val="nil"/>
          <w:right w:val="nil"/>
          <w:between w:val="nil"/>
          <w:bar w:val="nil"/>
        </w:pBdr>
        <w:rPr>
          <w:rFonts w:asciiTheme="minorHAnsi" w:hAnsiTheme="minorHAnsi" w:cstheme="minorHAnsi"/>
          <w:bdr w:val="nil"/>
        </w:rPr>
      </w:pPr>
      <w:r w:rsidRPr="001312C5">
        <w:rPr>
          <w:rFonts w:asciiTheme="minorHAnsi" w:hAnsiTheme="minorHAnsi" w:cstheme="minorHAnsi"/>
          <w:bdr w:val="nil"/>
        </w:rPr>
        <w:t>PTG also acts as agent for the Territory in the following services:</w:t>
      </w:r>
    </w:p>
    <w:p w14:paraId="6AB96EF0"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 xml:space="preserve">receiving, managing and disposing of assets forfeited under the </w:t>
      </w:r>
      <w:r w:rsidRPr="00220403">
        <w:rPr>
          <w:rFonts w:asciiTheme="minorHAnsi" w:hAnsiTheme="minorHAnsi" w:cstheme="minorHAnsi"/>
          <w:i/>
          <w:iCs/>
          <w:bdr w:val="nil"/>
          <w:lang w:val="en-GB"/>
        </w:rPr>
        <w:t xml:space="preserve">Confiscation of Criminal Assets Act </w:t>
      </w:r>
      <w:proofErr w:type="gramStart"/>
      <w:r w:rsidRPr="00220403">
        <w:rPr>
          <w:rFonts w:asciiTheme="minorHAnsi" w:hAnsiTheme="minorHAnsi" w:cstheme="minorHAnsi"/>
          <w:i/>
          <w:iCs/>
          <w:bdr w:val="nil"/>
          <w:lang w:val="en-GB"/>
        </w:rPr>
        <w:t>2003</w:t>
      </w:r>
      <w:r w:rsidRPr="00220403">
        <w:rPr>
          <w:rFonts w:asciiTheme="minorHAnsi" w:hAnsiTheme="minorHAnsi" w:cstheme="minorHAnsi"/>
          <w:bdr w:val="nil"/>
          <w:lang w:val="en-GB"/>
        </w:rPr>
        <w:t>;</w:t>
      </w:r>
      <w:proofErr w:type="gramEnd"/>
    </w:p>
    <w:p w14:paraId="66E1DACE"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 xml:space="preserve">administering moneys declared unclaimed under the </w:t>
      </w:r>
      <w:r w:rsidRPr="00220403">
        <w:rPr>
          <w:rFonts w:asciiTheme="minorHAnsi" w:hAnsiTheme="minorHAnsi" w:cstheme="minorHAnsi"/>
          <w:i/>
          <w:iCs/>
          <w:bdr w:val="nil"/>
          <w:lang w:val="en-GB"/>
        </w:rPr>
        <w:t>Unclaimed Money Act 1950</w:t>
      </w:r>
      <w:r w:rsidRPr="00220403">
        <w:rPr>
          <w:rFonts w:asciiTheme="minorHAnsi" w:hAnsiTheme="minorHAnsi" w:cstheme="minorHAnsi"/>
          <w:bdr w:val="nil"/>
          <w:lang w:val="en-GB"/>
        </w:rPr>
        <w:t xml:space="preserve">, </w:t>
      </w:r>
      <w:r w:rsidRPr="00220403">
        <w:rPr>
          <w:rFonts w:asciiTheme="minorHAnsi" w:hAnsiTheme="minorHAnsi" w:cstheme="minorHAnsi"/>
          <w:i/>
          <w:iCs/>
          <w:bdr w:val="nil"/>
          <w:lang w:val="en-GB"/>
        </w:rPr>
        <w:t>Legal Practitioners Act 2006</w:t>
      </w:r>
      <w:r w:rsidRPr="00220403">
        <w:rPr>
          <w:rFonts w:asciiTheme="minorHAnsi" w:hAnsiTheme="minorHAnsi" w:cstheme="minorHAnsi"/>
          <w:bdr w:val="nil"/>
          <w:lang w:val="en-GB"/>
        </w:rPr>
        <w:t xml:space="preserve"> and </w:t>
      </w:r>
      <w:r w:rsidRPr="00220403">
        <w:rPr>
          <w:rFonts w:asciiTheme="minorHAnsi" w:hAnsiTheme="minorHAnsi" w:cstheme="minorHAnsi"/>
          <w:i/>
          <w:iCs/>
          <w:bdr w:val="nil"/>
          <w:lang w:val="en-GB"/>
        </w:rPr>
        <w:t>Agents Act 2003</w:t>
      </w:r>
      <w:r w:rsidRPr="00220403">
        <w:rPr>
          <w:rFonts w:asciiTheme="minorHAnsi" w:hAnsiTheme="minorHAnsi" w:cstheme="minorHAnsi"/>
          <w:bdr w:val="nil"/>
          <w:lang w:val="en-GB"/>
        </w:rPr>
        <w:t xml:space="preserve">, including receiving money, processing </w:t>
      </w:r>
      <w:proofErr w:type="gramStart"/>
      <w:r w:rsidRPr="00220403">
        <w:rPr>
          <w:rFonts w:asciiTheme="minorHAnsi" w:hAnsiTheme="minorHAnsi" w:cstheme="minorHAnsi"/>
          <w:bdr w:val="nil"/>
          <w:lang w:val="en-GB"/>
        </w:rPr>
        <w:t>claims</w:t>
      </w:r>
      <w:proofErr w:type="gramEnd"/>
      <w:r w:rsidRPr="00220403">
        <w:rPr>
          <w:rFonts w:asciiTheme="minorHAnsi" w:hAnsiTheme="minorHAnsi" w:cstheme="minorHAnsi"/>
          <w:bdr w:val="nil"/>
          <w:lang w:val="en-GB"/>
        </w:rPr>
        <w:t xml:space="preserve"> and investing funds; and</w:t>
      </w:r>
    </w:p>
    <w:p w14:paraId="01940714" w14:textId="77777777" w:rsidR="007F5788" w:rsidRPr="00220403" w:rsidRDefault="007F5788" w:rsidP="007F5788">
      <w:pPr>
        <w:pStyle w:val="Normal1"/>
        <w:numPr>
          <w:ilvl w:val="0"/>
          <w:numId w:val="89"/>
        </w:numPr>
        <w:pBdr>
          <w:top w:val="nil"/>
          <w:left w:val="nil"/>
          <w:bottom w:val="nil"/>
          <w:right w:val="nil"/>
          <w:between w:val="nil"/>
          <w:bar w:val="nil"/>
        </w:pBdr>
        <w:tabs>
          <w:tab w:val="clear" w:pos="360"/>
        </w:tabs>
        <w:spacing w:before="60" w:after="60"/>
        <w:ind w:left="720" w:hanging="360"/>
        <w:rPr>
          <w:rFonts w:asciiTheme="minorHAnsi" w:hAnsiTheme="minorHAnsi" w:cstheme="minorHAnsi"/>
          <w:bdr w:val="nil"/>
          <w:lang w:val="en-GB"/>
        </w:rPr>
      </w:pPr>
      <w:r w:rsidRPr="00220403">
        <w:rPr>
          <w:rFonts w:asciiTheme="minorHAnsi" w:hAnsiTheme="minorHAnsi" w:cstheme="minorHAnsi"/>
          <w:bdr w:val="nil"/>
          <w:lang w:val="en-GB"/>
        </w:rPr>
        <w:t>investing moneys held in specified government trust funds.</w:t>
      </w:r>
    </w:p>
    <w:p w14:paraId="26E02F82" w14:textId="77777777" w:rsidR="007F5788" w:rsidRPr="001312C5" w:rsidRDefault="007F5788" w:rsidP="007F5788">
      <w:pPr>
        <w:pBdr>
          <w:top w:val="nil"/>
          <w:left w:val="nil"/>
          <w:bottom w:val="nil"/>
          <w:right w:val="nil"/>
          <w:between w:val="nil"/>
          <w:bar w:val="nil"/>
        </w:pBdr>
        <w:rPr>
          <w:rFonts w:asciiTheme="minorHAnsi" w:hAnsiTheme="minorHAnsi" w:cstheme="minorHAnsi"/>
          <w:bdr w:val="nil"/>
        </w:rPr>
      </w:pPr>
      <w:r w:rsidRPr="001312C5">
        <w:rPr>
          <w:rFonts w:asciiTheme="minorHAnsi" w:hAnsiTheme="minorHAnsi" w:cstheme="minorHAnsi"/>
        </w:rPr>
        <w:t xml:space="preserve"> </w:t>
      </w:r>
    </w:p>
    <w:p w14:paraId="018B4C46" w14:textId="77777777" w:rsidR="007F5788" w:rsidRDefault="007F5788" w:rsidP="007F5788">
      <w:pPr>
        <w:pStyle w:val="Heading2"/>
        <w:pBdr>
          <w:top w:val="nil"/>
          <w:left w:val="nil"/>
          <w:bottom w:val="nil"/>
          <w:right w:val="nil"/>
          <w:between w:val="nil"/>
          <w:bar w:val="nil"/>
        </w:pBdr>
        <w:rPr>
          <w:bdr w:val="nil"/>
        </w:rPr>
      </w:pPr>
      <w:r>
        <w:rPr>
          <w:bdr w:val="nil"/>
        </w:rPr>
        <w:lastRenderedPageBreak/>
        <w:t>Nature &amp; scope of activities</w:t>
      </w:r>
    </w:p>
    <w:p w14:paraId="57F9C154" w14:textId="77777777" w:rsidR="007F5788" w:rsidRDefault="007F5788" w:rsidP="007F5788">
      <w:pPr>
        <w:pStyle w:val="Heading3"/>
        <w:pBdr>
          <w:top w:val="nil"/>
          <w:left w:val="nil"/>
          <w:bottom w:val="nil"/>
          <w:right w:val="nil"/>
          <w:between w:val="nil"/>
          <w:bar w:val="nil"/>
        </w:pBdr>
        <w:rPr>
          <w:highlight w:val="yellow"/>
          <w:bdr w:val="nil"/>
        </w:rPr>
      </w:pPr>
      <w:r>
        <w:rPr>
          <w:bdr w:val="nil"/>
        </w:rPr>
        <w:t>General Activities</w:t>
      </w:r>
    </w:p>
    <w:p w14:paraId="237A95F0" w14:textId="77777777" w:rsidR="007F5788" w:rsidRPr="00F413C0" w:rsidRDefault="007F5788" w:rsidP="001312C5">
      <w:pPr>
        <w:keepNext/>
        <w:keepLines/>
        <w:pBdr>
          <w:top w:val="nil"/>
          <w:left w:val="nil"/>
          <w:bottom w:val="nil"/>
          <w:right w:val="nil"/>
          <w:between w:val="nil"/>
          <w:bar w:val="nil"/>
        </w:pBdr>
        <w:spacing w:before="120" w:after="120"/>
        <w:rPr>
          <w:bdr w:val="nil"/>
        </w:rPr>
      </w:pPr>
      <w:r w:rsidRPr="00F413C0">
        <w:rPr>
          <w:bdr w:val="nil"/>
        </w:rPr>
        <w:t xml:space="preserve">PTG provides the ACT Government and the community with professional guardianship/management, executor, </w:t>
      </w:r>
      <w:proofErr w:type="gramStart"/>
      <w:r w:rsidRPr="00F413C0">
        <w:rPr>
          <w:bdr w:val="nil"/>
        </w:rPr>
        <w:t>trustee</w:t>
      </w:r>
      <w:proofErr w:type="gramEnd"/>
      <w:r w:rsidRPr="00F413C0">
        <w:rPr>
          <w:bdr w:val="nil"/>
        </w:rPr>
        <w:t xml:space="preserve"> and financial services. </w:t>
      </w:r>
    </w:p>
    <w:p w14:paraId="30D6DA6D" w14:textId="77777777" w:rsidR="007F5788" w:rsidRPr="00F413C0" w:rsidRDefault="007F5788" w:rsidP="001312C5">
      <w:pPr>
        <w:keepNext/>
        <w:keepLines/>
        <w:pBdr>
          <w:top w:val="nil"/>
          <w:left w:val="nil"/>
          <w:bottom w:val="nil"/>
          <w:right w:val="nil"/>
          <w:between w:val="nil"/>
          <w:bar w:val="nil"/>
        </w:pBdr>
        <w:spacing w:before="120" w:after="120"/>
        <w:rPr>
          <w:bdr w:val="nil"/>
        </w:rPr>
      </w:pPr>
      <w:r w:rsidRPr="00F413C0">
        <w:rPr>
          <w:bdr w:val="nil"/>
        </w:rPr>
        <w:t>PTG has some responsibilities in respect to protecting the interests of people with disabilities.  This includes undertaking appointment by the ACT Civil and Administrative Tribunal (ACAT) as Guardian and Financial Manager, acting as attorney under an EPA and acting as trustee in trust deeds.</w:t>
      </w:r>
    </w:p>
    <w:p w14:paraId="3D8650F4" w14:textId="77777777" w:rsidR="007F5788" w:rsidRPr="00F413C0" w:rsidRDefault="007F5788" w:rsidP="001312C5">
      <w:pPr>
        <w:keepNext/>
        <w:keepLines/>
        <w:pBdr>
          <w:top w:val="nil"/>
          <w:left w:val="nil"/>
          <w:bottom w:val="nil"/>
          <w:right w:val="nil"/>
          <w:between w:val="nil"/>
          <w:bar w:val="nil"/>
        </w:pBdr>
        <w:spacing w:before="120" w:after="120"/>
        <w:rPr>
          <w:bdr w:val="nil"/>
        </w:rPr>
      </w:pPr>
      <w:r w:rsidRPr="00F413C0">
        <w:rPr>
          <w:bdr w:val="nil"/>
        </w:rPr>
        <w:t xml:space="preserve">PTG provides asset services under the </w:t>
      </w:r>
      <w:r w:rsidRPr="00F413C0">
        <w:rPr>
          <w:i/>
          <w:iCs/>
          <w:bdr w:val="nil"/>
        </w:rPr>
        <w:t>Confiscation of Criminal Assets Act 2003</w:t>
      </w:r>
      <w:r w:rsidRPr="00F413C0">
        <w:rPr>
          <w:iCs/>
          <w:bdr w:val="nil"/>
        </w:rPr>
        <w:t>,</w:t>
      </w:r>
      <w:r w:rsidRPr="00F413C0">
        <w:rPr>
          <w:i/>
          <w:iCs/>
          <w:bdr w:val="nil"/>
        </w:rPr>
        <w:t xml:space="preserve"> </w:t>
      </w:r>
      <w:r w:rsidRPr="00F413C0">
        <w:rPr>
          <w:bdr w:val="nil"/>
        </w:rPr>
        <w:t xml:space="preserve">as delegate for unclaimed monies and holds investment responsibility for government and non-government trust funds including the Perpetual Care Trust under the </w:t>
      </w:r>
      <w:r w:rsidRPr="00F413C0">
        <w:rPr>
          <w:i/>
          <w:iCs/>
          <w:bdr w:val="nil"/>
        </w:rPr>
        <w:t xml:space="preserve">Cemeteries and Crematoria Act 2020.  </w:t>
      </w:r>
      <w:r w:rsidRPr="00F413C0">
        <w:rPr>
          <w:iCs/>
          <w:bdr w:val="nil"/>
        </w:rPr>
        <w:t xml:space="preserve">PTG is the trustee for </w:t>
      </w:r>
      <w:proofErr w:type="spellStart"/>
      <w:r w:rsidRPr="00F413C0">
        <w:rPr>
          <w:iCs/>
          <w:bdr w:val="nil"/>
        </w:rPr>
        <w:t>GreaterGood</w:t>
      </w:r>
      <w:proofErr w:type="spellEnd"/>
      <w:r w:rsidRPr="00F413C0">
        <w:rPr>
          <w:iCs/>
          <w:bdr w:val="nil"/>
        </w:rPr>
        <w:t xml:space="preserve"> - </w:t>
      </w:r>
      <w:r w:rsidRPr="00F413C0">
        <w:rPr>
          <w:bdr w:val="nil"/>
        </w:rPr>
        <w:t>The Capital Region Community Foundation</w:t>
      </w:r>
      <w:r>
        <w:rPr>
          <w:bdr w:val="nil"/>
        </w:rPr>
        <w:t xml:space="preserve">. The Public Trustee and Guardian is a Member </w:t>
      </w:r>
      <w:r w:rsidRPr="00F413C0">
        <w:rPr>
          <w:bdr w:val="nil"/>
        </w:rPr>
        <w:t xml:space="preserve">of the Official Visitors Board under the </w:t>
      </w:r>
      <w:r w:rsidRPr="00F413C0">
        <w:rPr>
          <w:i/>
          <w:bdr w:val="nil"/>
        </w:rPr>
        <w:t>Official Visitor Act 2012</w:t>
      </w:r>
      <w:r w:rsidRPr="00F413C0">
        <w:rPr>
          <w:bdr w:val="nil"/>
        </w:rPr>
        <w:t>.</w:t>
      </w:r>
    </w:p>
    <w:p w14:paraId="64DC73CF" w14:textId="77777777" w:rsidR="007F5788" w:rsidRPr="00F413C0" w:rsidRDefault="007F5788" w:rsidP="001312C5">
      <w:pPr>
        <w:keepNext/>
        <w:keepLines/>
        <w:pBdr>
          <w:top w:val="nil"/>
          <w:left w:val="nil"/>
          <w:bottom w:val="nil"/>
          <w:right w:val="nil"/>
          <w:between w:val="nil"/>
          <w:bar w:val="nil"/>
        </w:pBdr>
        <w:spacing w:before="120" w:after="120"/>
        <w:rPr>
          <w:bdr w:val="nil"/>
        </w:rPr>
      </w:pPr>
      <w:r w:rsidRPr="00F413C0">
        <w:rPr>
          <w:bdr w:val="nil"/>
        </w:rPr>
        <w:t xml:space="preserve">PTG, along with all Australian Public Trustees, Public Advocates, Public </w:t>
      </w:r>
      <w:proofErr w:type="gramStart"/>
      <w:r w:rsidRPr="00F413C0">
        <w:rPr>
          <w:bdr w:val="nil"/>
        </w:rPr>
        <w:t>Guardians</w:t>
      </w:r>
      <w:proofErr w:type="gramEnd"/>
      <w:r w:rsidRPr="00F413C0">
        <w:rPr>
          <w:bdr w:val="nil"/>
        </w:rPr>
        <w:t xml:space="preserve"> and heads of Guardianship/Management Tribunals, is a member of the Australian Guardianship and Administration Council (AGAC)</w:t>
      </w:r>
      <w:r>
        <w:rPr>
          <w:bdr w:val="nil"/>
        </w:rPr>
        <w:t xml:space="preserve"> a registered charity and incorporated</w:t>
      </w:r>
      <w:r w:rsidRPr="00F413C0">
        <w:rPr>
          <w:bdr w:val="nil"/>
        </w:rPr>
        <w:t xml:space="preserve"> as a Company Limited by Guarantee in 2017</w:t>
      </w:r>
      <w:r>
        <w:rPr>
          <w:bdr w:val="nil"/>
        </w:rPr>
        <w:t>.</w:t>
      </w:r>
      <w:r w:rsidRPr="00F413C0">
        <w:rPr>
          <w:bdr w:val="nil"/>
        </w:rPr>
        <w:t xml:space="preserve"> </w:t>
      </w:r>
      <w:r>
        <w:rPr>
          <w:bdr w:val="nil"/>
        </w:rPr>
        <w:t>T</w:t>
      </w:r>
      <w:r w:rsidRPr="00F413C0">
        <w:rPr>
          <w:bdr w:val="nil"/>
        </w:rPr>
        <w:t>he Public Trustee and Guardian is a Di</w:t>
      </w:r>
      <w:r>
        <w:rPr>
          <w:bdr w:val="nil"/>
        </w:rPr>
        <w:t>rector, Treasurer and Trustee for</w:t>
      </w:r>
      <w:r w:rsidRPr="00F413C0">
        <w:rPr>
          <w:bdr w:val="nil"/>
        </w:rPr>
        <w:t xml:space="preserve"> AGAC.</w:t>
      </w:r>
    </w:p>
    <w:p w14:paraId="7853BDDD" w14:textId="77777777" w:rsidR="007F5788" w:rsidRPr="00F413C0" w:rsidRDefault="007F5788" w:rsidP="001312C5">
      <w:pPr>
        <w:keepNext/>
        <w:keepLines/>
        <w:pBdr>
          <w:top w:val="nil"/>
          <w:left w:val="nil"/>
          <w:bottom w:val="nil"/>
          <w:right w:val="nil"/>
          <w:between w:val="nil"/>
          <w:bar w:val="nil"/>
        </w:pBdr>
        <w:spacing w:before="120" w:after="120"/>
        <w:rPr>
          <w:bdr w:val="nil"/>
        </w:rPr>
      </w:pPr>
      <w:r w:rsidRPr="00F413C0">
        <w:rPr>
          <w:bdr w:val="nil"/>
        </w:rPr>
        <w:t>In undertaking its functions PTG will:</w:t>
      </w:r>
    </w:p>
    <w:p w14:paraId="3FA7B62E" w14:textId="77777777" w:rsidR="007F5788" w:rsidRPr="00F413C0" w:rsidRDefault="007F5788" w:rsidP="001312C5">
      <w:pPr>
        <w:keepNext/>
        <w:keepLines/>
        <w:numPr>
          <w:ilvl w:val="0"/>
          <w:numId w:val="90"/>
        </w:numPr>
        <w:pBdr>
          <w:top w:val="nil"/>
          <w:left w:val="nil"/>
          <w:bottom w:val="nil"/>
          <w:right w:val="nil"/>
          <w:between w:val="nil"/>
          <w:bar w:val="nil"/>
        </w:pBdr>
        <w:tabs>
          <w:tab w:val="clear" w:pos="360"/>
        </w:tabs>
        <w:spacing w:before="0" w:after="0"/>
        <w:ind w:left="284" w:hanging="284"/>
        <w:rPr>
          <w:bdr w:val="nil"/>
        </w:rPr>
      </w:pPr>
      <w:r w:rsidRPr="00F413C0">
        <w:rPr>
          <w:bdr w:val="nil"/>
        </w:rPr>
        <w:t xml:space="preserve">Operate as a customer </w:t>
      </w:r>
      <w:proofErr w:type="gramStart"/>
      <w:r w:rsidRPr="00F413C0">
        <w:rPr>
          <w:bdr w:val="nil"/>
        </w:rPr>
        <w:t>service oriented</w:t>
      </w:r>
      <w:proofErr w:type="gramEnd"/>
      <w:r w:rsidRPr="00F413C0">
        <w:rPr>
          <w:bdr w:val="nil"/>
        </w:rPr>
        <w:t xml:space="preserve"> entity</w:t>
      </w:r>
    </w:p>
    <w:p w14:paraId="2004D5F5" w14:textId="77777777" w:rsidR="007F5788" w:rsidRPr="00F413C0" w:rsidRDefault="007F5788" w:rsidP="001312C5">
      <w:pPr>
        <w:keepNext/>
        <w:keepLines/>
        <w:pBdr>
          <w:top w:val="nil"/>
          <w:left w:val="nil"/>
          <w:bottom w:val="nil"/>
          <w:right w:val="nil"/>
          <w:between w:val="nil"/>
          <w:bar w:val="nil"/>
        </w:pBdr>
        <w:spacing w:before="0" w:after="0"/>
        <w:ind w:left="284"/>
        <w:rPr>
          <w:bdr w:val="nil"/>
        </w:rPr>
      </w:pPr>
      <w:r w:rsidRPr="00F413C0">
        <w:rPr>
          <w:bdr w:val="nil"/>
        </w:rPr>
        <w:t>PTG conducts a continuous customer survey and investigates and responds to any complaint ensuring that the client receives an appropriate response.  Products and services are continuously reviewed to ensure value and positive outcomes for clients.  This is achieved by reviewing fees and charges in individual cases to ensure that the fee is appropriate to the work/responsibility undertaken. The risk profile and investments for all clients with invested funds are individually reviewed on an annual basis to ensure they reflect clients’ needs.</w:t>
      </w:r>
    </w:p>
    <w:p w14:paraId="7490EA46" w14:textId="77777777" w:rsidR="007F5788" w:rsidRPr="00F413C0" w:rsidRDefault="007F5788" w:rsidP="001312C5">
      <w:pPr>
        <w:keepNext/>
        <w:keepLines/>
        <w:pBdr>
          <w:top w:val="nil"/>
          <w:left w:val="nil"/>
          <w:bottom w:val="nil"/>
          <w:right w:val="nil"/>
          <w:between w:val="nil"/>
          <w:bar w:val="nil"/>
        </w:pBdr>
        <w:spacing w:before="0" w:after="0"/>
        <w:ind w:left="284"/>
        <w:rPr>
          <w:bdr w:val="nil"/>
        </w:rPr>
      </w:pPr>
    </w:p>
    <w:p w14:paraId="76786A33" w14:textId="77777777" w:rsidR="007F5788" w:rsidRPr="00F413C0" w:rsidRDefault="007F5788" w:rsidP="001312C5">
      <w:pPr>
        <w:keepNext/>
        <w:keepLines/>
        <w:numPr>
          <w:ilvl w:val="0"/>
          <w:numId w:val="90"/>
        </w:numPr>
        <w:pBdr>
          <w:top w:val="nil"/>
          <w:left w:val="nil"/>
          <w:bottom w:val="nil"/>
          <w:right w:val="nil"/>
          <w:between w:val="nil"/>
          <w:bar w:val="nil"/>
        </w:pBdr>
        <w:tabs>
          <w:tab w:val="clear" w:pos="360"/>
        </w:tabs>
        <w:spacing w:before="0" w:after="0"/>
        <w:ind w:left="284" w:hanging="284"/>
        <w:rPr>
          <w:bdr w:val="nil"/>
        </w:rPr>
      </w:pPr>
      <w:r w:rsidRPr="00F413C0">
        <w:rPr>
          <w:bdr w:val="nil"/>
        </w:rPr>
        <w:t>Use benchmarking to ensure best practice and operate efficiently</w:t>
      </w:r>
    </w:p>
    <w:p w14:paraId="048F2097" w14:textId="77777777" w:rsidR="007F5788" w:rsidRPr="00F413C0" w:rsidRDefault="007F5788" w:rsidP="001312C5">
      <w:pPr>
        <w:keepNext/>
        <w:keepLines/>
        <w:pBdr>
          <w:top w:val="nil"/>
          <w:left w:val="nil"/>
          <w:bottom w:val="nil"/>
          <w:right w:val="nil"/>
          <w:between w:val="nil"/>
          <w:bar w:val="nil"/>
        </w:pBdr>
        <w:spacing w:before="0" w:after="0"/>
        <w:ind w:left="284"/>
        <w:rPr>
          <w:bdr w:val="nil"/>
        </w:rPr>
      </w:pPr>
      <w:r w:rsidRPr="00F413C0">
        <w:rPr>
          <w:bdr w:val="nil"/>
        </w:rPr>
        <w:t xml:space="preserve">PTG meets with other peer state/territory agencies bi-annually to develop, </w:t>
      </w:r>
      <w:proofErr w:type="gramStart"/>
      <w:r w:rsidRPr="00F413C0">
        <w:rPr>
          <w:bdr w:val="nil"/>
        </w:rPr>
        <w:t>identify</w:t>
      </w:r>
      <w:proofErr w:type="gramEnd"/>
      <w:r w:rsidRPr="00F413C0">
        <w:rPr>
          <w:bdr w:val="nil"/>
        </w:rPr>
        <w:t xml:space="preserve"> and implement best practice.  Issues of current and continuing interest to Public Trustees/Guardians include arrangements for the National Disability Insurance Scheme (NDIS), consultation in respect to Aged Care issues, implementation of Supported Decision-Making and appropriate fraud, </w:t>
      </w:r>
      <w:proofErr w:type="gramStart"/>
      <w:r w:rsidRPr="00F413C0">
        <w:rPr>
          <w:bdr w:val="nil"/>
        </w:rPr>
        <w:t>risk</w:t>
      </w:r>
      <w:proofErr w:type="gramEnd"/>
      <w:r w:rsidRPr="00F413C0">
        <w:rPr>
          <w:bdr w:val="nil"/>
        </w:rPr>
        <w:t xml:space="preserve"> and corruption mitigation strategies. The Guardianship/Financial Management functions have a continuing interest in the development of National Standards for Guardians/Financial Managers, </w:t>
      </w:r>
      <w:proofErr w:type="gramStart"/>
      <w:r w:rsidRPr="00F413C0">
        <w:rPr>
          <w:bdr w:val="nil"/>
        </w:rPr>
        <w:t>protocols</w:t>
      </w:r>
      <w:proofErr w:type="gramEnd"/>
      <w:r w:rsidRPr="00F413C0">
        <w:rPr>
          <w:bdr w:val="nil"/>
        </w:rPr>
        <w:t xml:space="preserve"> and development/implementation of Supported Decision-Making frameworks.</w:t>
      </w:r>
    </w:p>
    <w:p w14:paraId="01E1F04A" w14:textId="77777777" w:rsidR="007F5788" w:rsidRPr="00F413C0" w:rsidRDefault="007F5788" w:rsidP="00944FE9">
      <w:pPr>
        <w:keepNext/>
        <w:keepLines/>
        <w:pBdr>
          <w:top w:val="nil"/>
          <w:left w:val="nil"/>
          <w:bottom w:val="nil"/>
          <w:right w:val="nil"/>
          <w:between w:val="nil"/>
          <w:bar w:val="nil"/>
        </w:pBdr>
        <w:spacing w:before="0" w:after="0"/>
        <w:rPr>
          <w:bdr w:val="nil"/>
        </w:rPr>
      </w:pPr>
      <w:r w:rsidRPr="00F413C0">
        <w:rPr>
          <w:bdr w:val="nil"/>
        </w:rPr>
        <w:br w:type="page"/>
      </w:r>
    </w:p>
    <w:p w14:paraId="53CBF989" w14:textId="77777777" w:rsidR="007F5788" w:rsidRPr="00F413C0" w:rsidRDefault="007F5788" w:rsidP="001312C5">
      <w:pPr>
        <w:keepNext/>
        <w:keepLines/>
        <w:numPr>
          <w:ilvl w:val="0"/>
          <w:numId w:val="90"/>
        </w:numPr>
        <w:pBdr>
          <w:top w:val="nil"/>
          <w:left w:val="nil"/>
          <w:bottom w:val="nil"/>
          <w:right w:val="nil"/>
          <w:between w:val="nil"/>
          <w:bar w:val="nil"/>
        </w:pBdr>
        <w:tabs>
          <w:tab w:val="clear" w:pos="360"/>
        </w:tabs>
        <w:spacing w:before="0" w:after="0"/>
        <w:ind w:left="284" w:hanging="284"/>
        <w:rPr>
          <w:bdr w:val="nil"/>
        </w:rPr>
      </w:pPr>
      <w:r w:rsidRPr="00F413C0">
        <w:rPr>
          <w:bdr w:val="nil"/>
        </w:rPr>
        <w:lastRenderedPageBreak/>
        <w:t>Work collaboratively</w:t>
      </w:r>
    </w:p>
    <w:p w14:paraId="5330CE85" w14:textId="77777777" w:rsidR="007F5788" w:rsidRPr="00F413C0" w:rsidRDefault="007F5788" w:rsidP="001312C5">
      <w:pPr>
        <w:keepNext/>
        <w:keepLines/>
        <w:pBdr>
          <w:top w:val="nil"/>
          <w:left w:val="nil"/>
          <w:bottom w:val="nil"/>
          <w:right w:val="nil"/>
          <w:between w:val="nil"/>
          <w:bar w:val="nil"/>
        </w:pBdr>
        <w:spacing w:before="0" w:after="0"/>
        <w:ind w:left="284"/>
        <w:rPr>
          <w:bdr w:val="nil"/>
        </w:rPr>
      </w:pPr>
      <w:r w:rsidRPr="00F413C0">
        <w:rPr>
          <w:bdr w:val="nil"/>
        </w:rPr>
        <w:t xml:space="preserve">PTG works collaboratively with other Public Trustees/Public Guardians to share expertise, </w:t>
      </w:r>
      <w:proofErr w:type="gramStart"/>
      <w:r w:rsidRPr="00F413C0">
        <w:rPr>
          <w:bdr w:val="nil"/>
        </w:rPr>
        <w:t>information</w:t>
      </w:r>
      <w:proofErr w:type="gramEnd"/>
      <w:r w:rsidRPr="00F413C0">
        <w:rPr>
          <w:bdr w:val="nil"/>
        </w:rPr>
        <w:t xml:space="preserve"> and training.  PTG continues to play a lead role in working with other Public Trustees and Public Guardians/Advocates and the federal Government to develop an Australian Enduring Power of Attorney and associated Register to address elder abuse. PTG continues to contribute to a review of the </w:t>
      </w:r>
      <w:r w:rsidRPr="00F413C0">
        <w:rPr>
          <w:i/>
          <w:bdr w:val="nil"/>
        </w:rPr>
        <w:t>Guardianship and Management of Property Act 1991</w:t>
      </w:r>
      <w:r w:rsidRPr="00F413C0">
        <w:rPr>
          <w:bdr w:val="nil"/>
        </w:rPr>
        <w:t xml:space="preserve"> in respect to Supported Decision-Making. PTG regularly works with other Public Trustees/Public Guardians/Public Advocates in developing submissions to federal government agencies. PTG </w:t>
      </w:r>
      <w:r>
        <w:rPr>
          <w:bdr w:val="nil"/>
        </w:rPr>
        <w:t xml:space="preserve">has now completed work, in collaboration with the Human Rights Commission and the </w:t>
      </w:r>
      <w:r>
        <w:rPr>
          <w:bdr w:val="nil"/>
          <w:lang w:eastAsia="en-AU"/>
        </w:rPr>
        <w:t xml:space="preserve">Justice and Community Safety Directorate (JACS) </w:t>
      </w:r>
      <w:r w:rsidRPr="00F413C0">
        <w:rPr>
          <w:bdr w:val="nil"/>
        </w:rPr>
        <w:t xml:space="preserve">in implementing </w:t>
      </w:r>
      <w:r>
        <w:rPr>
          <w:bdr w:val="nil"/>
        </w:rPr>
        <w:t xml:space="preserve">the recommendations </w:t>
      </w:r>
      <w:r w:rsidRPr="00F413C0">
        <w:rPr>
          <w:bdr w:val="nil"/>
        </w:rPr>
        <w:t>resulting from a review of the ACT Official Visitor Scheme</w:t>
      </w:r>
      <w:r w:rsidRPr="00F413C0">
        <w:rPr>
          <w:i/>
          <w:bdr w:val="nil"/>
        </w:rPr>
        <w:t xml:space="preserve">. </w:t>
      </w:r>
    </w:p>
    <w:p w14:paraId="126F9551" w14:textId="77777777" w:rsidR="007F5788" w:rsidRPr="00F413C0" w:rsidRDefault="007F5788" w:rsidP="001312C5">
      <w:pPr>
        <w:keepNext/>
        <w:keepLines/>
        <w:pBdr>
          <w:top w:val="nil"/>
          <w:left w:val="nil"/>
          <w:bottom w:val="nil"/>
          <w:right w:val="nil"/>
          <w:between w:val="nil"/>
          <w:bar w:val="nil"/>
        </w:pBdr>
        <w:spacing w:before="0" w:after="0"/>
        <w:rPr>
          <w:bdr w:val="nil"/>
        </w:rPr>
      </w:pPr>
    </w:p>
    <w:p w14:paraId="5DC00576" w14:textId="77777777" w:rsidR="007F5788" w:rsidRPr="00F413C0" w:rsidRDefault="007F5788" w:rsidP="001312C5">
      <w:pPr>
        <w:keepNext/>
        <w:keepLines/>
        <w:numPr>
          <w:ilvl w:val="0"/>
          <w:numId w:val="90"/>
        </w:numPr>
        <w:pBdr>
          <w:top w:val="nil"/>
          <w:left w:val="nil"/>
          <w:bottom w:val="nil"/>
          <w:right w:val="nil"/>
          <w:between w:val="nil"/>
          <w:bar w:val="nil"/>
        </w:pBdr>
        <w:tabs>
          <w:tab w:val="clear" w:pos="360"/>
        </w:tabs>
        <w:spacing w:before="0" w:after="0"/>
        <w:ind w:left="284" w:hanging="284"/>
        <w:rPr>
          <w:bdr w:val="nil"/>
        </w:rPr>
      </w:pPr>
      <w:r w:rsidRPr="00F413C0">
        <w:rPr>
          <w:bdr w:val="nil"/>
        </w:rPr>
        <w:t xml:space="preserve">Satisfy the requirements of the </w:t>
      </w:r>
      <w:r w:rsidRPr="00F413C0">
        <w:rPr>
          <w:i/>
          <w:bdr w:val="nil"/>
        </w:rPr>
        <w:t>Financial Management Act 1996</w:t>
      </w:r>
    </w:p>
    <w:p w14:paraId="2A9E732F" w14:textId="77777777" w:rsidR="007F5788" w:rsidRPr="00F413C0" w:rsidRDefault="007F5788" w:rsidP="001312C5">
      <w:pPr>
        <w:keepNext/>
        <w:keepLines/>
        <w:pBdr>
          <w:top w:val="nil"/>
          <w:left w:val="nil"/>
          <w:bottom w:val="nil"/>
          <w:right w:val="nil"/>
          <w:between w:val="nil"/>
          <w:bar w:val="nil"/>
        </w:pBdr>
        <w:spacing w:before="0" w:after="0"/>
        <w:ind w:left="284"/>
        <w:rPr>
          <w:bdr w:val="nil"/>
        </w:rPr>
      </w:pPr>
      <w:r w:rsidRPr="00F413C0">
        <w:rPr>
          <w:bdr w:val="nil"/>
        </w:rPr>
        <w:t xml:space="preserve">PTG will use financial practices and maintain accounts and records which satisfy the requirements of the </w:t>
      </w:r>
      <w:r w:rsidRPr="00F413C0">
        <w:rPr>
          <w:i/>
          <w:bdr w:val="nil"/>
        </w:rPr>
        <w:t>Financial Management Act 1996</w:t>
      </w:r>
      <w:r w:rsidRPr="00F413C0">
        <w:rPr>
          <w:bdr w:val="nil"/>
        </w:rPr>
        <w:t xml:space="preserve">.  This includes the associated ACT Accounting Policy Manual, modelled on the requirements of Australian Accounting Standards, which </w:t>
      </w:r>
      <w:proofErr w:type="gramStart"/>
      <w:r w:rsidRPr="00F413C0">
        <w:rPr>
          <w:bdr w:val="nil"/>
        </w:rPr>
        <w:t>fairly present</w:t>
      </w:r>
      <w:proofErr w:type="gramEnd"/>
      <w:r w:rsidRPr="00F413C0">
        <w:rPr>
          <w:bdr w:val="nil"/>
        </w:rPr>
        <w:t xml:space="preserve"> PTG’s financial position, operational and cash flow results for planning and reporting purposes.  PTG continues to work with the ACT Auditor-General in responding to management issues arising from end-of-year audits. PTG engages an external accounting firm to assist in improving its preparation of its financial statements. PTG has a </w:t>
      </w:r>
      <w:proofErr w:type="gramStart"/>
      <w:r w:rsidRPr="00F413C0">
        <w:rPr>
          <w:bdr w:val="nil"/>
        </w:rPr>
        <w:t>longer term</w:t>
      </w:r>
      <w:proofErr w:type="gramEnd"/>
      <w:r w:rsidRPr="00F413C0">
        <w:rPr>
          <w:bdr w:val="nil"/>
        </w:rPr>
        <w:t xml:space="preserve"> aim of replacing its ageing legacy trust accounting system with modern and sustainable technology, better able to support our delivery of professional fiduciary services into the future.</w:t>
      </w:r>
    </w:p>
    <w:p w14:paraId="1BB59A75" w14:textId="77777777" w:rsidR="007F5788" w:rsidRPr="00F413C0" w:rsidRDefault="007F5788" w:rsidP="001312C5">
      <w:pPr>
        <w:keepNext/>
        <w:keepLines/>
        <w:pBdr>
          <w:top w:val="nil"/>
          <w:left w:val="nil"/>
          <w:bottom w:val="nil"/>
          <w:right w:val="nil"/>
          <w:between w:val="nil"/>
          <w:bar w:val="nil"/>
        </w:pBdr>
        <w:spacing w:before="0" w:after="0"/>
        <w:ind w:left="284"/>
        <w:rPr>
          <w:bdr w:val="nil"/>
        </w:rPr>
      </w:pPr>
    </w:p>
    <w:p w14:paraId="20F33FD1" w14:textId="77777777" w:rsidR="007F5788" w:rsidRPr="00F413C0" w:rsidRDefault="007F5788" w:rsidP="007C7B01">
      <w:pPr>
        <w:keepNext/>
        <w:keepLines/>
        <w:numPr>
          <w:ilvl w:val="0"/>
          <w:numId w:val="91"/>
        </w:numPr>
        <w:pBdr>
          <w:top w:val="nil"/>
          <w:left w:val="nil"/>
          <w:bottom w:val="nil"/>
          <w:right w:val="nil"/>
          <w:between w:val="nil"/>
          <w:bar w:val="nil"/>
        </w:pBdr>
        <w:spacing w:before="0" w:after="0"/>
        <w:ind w:left="284" w:hanging="284"/>
        <w:rPr>
          <w:bdr w:val="nil"/>
        </w:rPr>
      </w:pPr>
      <w:r w:rsidRPr="00F413C0">
        <w:rPr>
          <w:bdr w:val="nil"/>
        </w:rPr>
        <w:t>Establish and maintain a high standard of Workplace Health and Safety</w:t>
      </w:r>
    </w:p>
    <w:p w14:paraId="2EE3E914" w14:textId="77777777" w:rsidR="007F5788" w:rsidRPr="00F413C0" w:rsidRDefault="007F5788" w:rsidP="007C7B01">
      <w:pPr>
        <w:keepNext/>
        <w:keepLines/>
        <w:pBdr>
          <w:top w:val="nil"/>
          <w:left w:val="nil"/>
          <w:bottom w:val="nil"/>
          <w:right w:val="nil"/>
          <w:between w:val="nil"/>
          <w:bar w:val="nil"/>
        </w:pBdr>
        <w:spacing w:before="0" w:after="0"/>
        <w:ind w:left="284"/>
        <w:rPr>
          <w:bdr w:val="nil"/>
        </w:rPr>
      </w:pPr>
      <w:r w:rsidRPr="00F413C0">
        <w:rPr>
          <w:bdr w:val="nil"/>
        </w:rPr>
        <w:t>PTG has a high standard of Workplace Health and Safety evidenced by its comparatively low workers’ compensation premium.  All staff will be provided with</w:t>
      </w:r>
      <w:r>
        <w:rPr>
          <w:bdr w:val="nil"/>
        </w:rPr>
        <w:t xml:space="preserve"> access to</w:t>
      </w:r>
      <w:r w:rsidRPr="00F413C0">
        <w:rPr>
          <w:bdr w:val="nil"/>
        </w:rPr>
        <w:t xml:space="preserve"> flu vaccine shots and will attend Respect Equity and Diversity (RED) supplementary training as well as anti-bullying and harassment training. </w:t>
      </w:r>
      <w:r>
        <w:rPr>
          <w:bdr w:val="nil"/>
        </w:rPr>
        <w:t xml:space="preserve">PTG has identified many of its staff as essential </w:t>
      </w:r>
      <w:proofErr w:type="gramStart"/>
      <w:r>
        <w:rPr>
          <w:bdr w:val="nil"/>
        </w:rPr>
        <w:t>front line</w:t>
      </w:r>
      <w:proofErr w:type="gramEnd"/>
      <w:r>
        <w:rPr>
          <w:bdr w:val="nil"/>
        </w:rPr>
        <w:t xml:space="preserve"> workers and has facilitated their receipt of the COVID-19 vaccination. </w:t>
      </w:r>
      <w:r w:rsidRPr="00F413C0">
        <w:rPr>
          <w:bdr w:val="nil"/>
        </w:rPr>
        <w:t>PTG staff will also receive training in dealing with Mental Health issues from Lifeline from a client service perspective.  PTG staff will be provided with appropriate training in dealing with difficult clients as well as debriefing following critical incidents from the Directorate’s Employee Assistance Provider (EAP) and Capital Works Infrastructure Unit.  PTG has in place policies dealing with working alone and handling difficult client episodes. PTG has advised of an appropriate priority rollout of the COVID-19 vaccine to front-line staff.</w:t>
      </w:r>
      <w:r>
        <w:rPr>
          <w:bdr w:val="nil"/>
        </w:rPr>
        <w:t xml:space="preserve"> PTG has also now implemented a revised Risk Register.</w:t>
      </w:r>
    </w:p>
    <w:p w14:paraId="787167EC" w14:textId="77777777" w:rsidR="007F5788" w:rsidRPr="00F413C0" w:rsidRDefault="007F5788" w:rsidP="007C7B01">
      <w:pPr>
        <w:keepNext/>
        <w:keepLines/>
        <w:pBdr>
          <w:top w:val="nil"/>
          <w:left w:val="nil"/>
          <w:bottom w:val="nil"/>
          <w:right w:val="nil"/>
          <w:between w:val="nil"/>
          <w:bar w:val="nil"/>
        </w:pBdr>
        <w:spacing w:before="0" w:after="0"/>
        <w:ind w:left="284"/>
        <w:rPr>
          <w:bdr w:val="nil"/>
        </w:rPr>
      </w:pPr>
    </w:p>
    <w:p w14:paraId="31ACC9C3" w14:textId="77777777" w:rsidR="007F5788" w:rsidRPr="00F413C0" w:rsidRDefault="007F5788" w:rsidP="007C7B01">
      <w:pPr>
        <w:numPr>
          <w:ilvl w:val="0"/>
          <w:numId w:val="90"/>
        </w:numPr>
        <w:pBdr>
          <w:top w:val="nil"/>
          <w:left w:val="nil"/>
          <w:bottom w:val="nil"/>
          <w:right w:val="nil"/>
          <w:between w:val="nil"/>
          <w:bar w:val="nil"/>
        </w:pBdr>
        <w:tabs>
          <w:tab w:val="clear" w:pos="360"/>
        </w:tabs>
        <w:spacing w:before="0" w:after="0"/>
        <w:ind w:left="284" w:hanging="284"/>
        <w:rPr>
          <w:bdr w:val="nil"/>
        </w:rPr>
      </w:pPr>
      <w:r w:rsidRPr="00F413C0">
        <w:rPr>
          <w:bdr w:val="nil"/>
        </w:rPr>
        <w:t>Provide a productive and satisfying work environment</w:t>
      </w:r>
    </w:p>
    <w:p w14:paraId="4CC50F96" w14:textId="77777777" w:rsidR="007F5788" w:rsidRPr="00F413C0" w:rsidRDefault="007F5788" w:rsidP="007C7B01">
      <w:pPr>
        <w:pBdr>
          <w:top w:val="nil"/>
          <w:left w:val="nil"/>
          <w:bottom w:val="nil"/>
          <w:right w:val="nil"/>
          <w:between w:val="nil"/>
          <w:bar w:val="nil"/>
        </w:pBdr>
        <w:spacing w:before="0" w:after="0"/>
        <w:ind w:left="284"/>
        <w:rPr>
          <w:bdr w:val="nil"/>
        </w:rPr>
      </w:pPr>
      <w:r w:rsidRPr="00F413C0">
        <w:rPr>
          <w:bdr w:val="nil"/>
        </w:rPr>
        <w:t xml:space="preserve">PTG will provide a productive and satisfying working environment for staff and a commitment to high standards of human resource management based on the principles of diversity and equal employment opportunity.  PTG maintains the appointment of a </w:t>
      </w:r>
      <w:r w:rsidRPr="00F413C0">
        <w:rPr>
          <w:bdr w:val="nil"/>
        </w:rPr>
        <w:lastRenderedPageBreak/>
        <w:t>RED Contact Officer.  The office will continue to develop manuals and policies for all business units.</w:t>
      </w:r>
    </w:p>
    <w:p w14:paraId="3EF3CDDA" w14:textId="77777777" w:rsidR="007F5788" w:rsidRPr="00F413C0" w:rsidRDefault="007F5788" w:rsidP="007C7B01">
      <w:pPr>
        <w:pBdr>
          <w:top w:val="nil"/>
          <w:left w:val="nil"/>
          <w:bottom w:val="nil"/>
          <w:right w:val="nil"/>
          <w:between w:val="nil"/>
          <w:bar w:val="nil"/>
        </w:pBdr>
        <w:spacing w:before="0" w:after="0"/>
        <w:ind w:left="284"/>
        <w:rPr>
          <w:bdr w:val="nil"/>
        </w:rPr>
      </w:pPr>
    </w:p>
    <w:p w14:paraId="2A2CEE4D" w14:textId="77777777" w:rsidR="007F5788" w:rsidRPr="00F413C0" w:rsidRDefault="007F5788" w:rsidP="007C7B01">
      <w:pPr>
        <w:keepNext/>
        <w:numPr>
          <w:ilvl w:val="0"/>
          <w:numId w:val="90"/>
        </w:numPr>
        <w:pBdr>
          <w:top w:val="nil"/>
          <w:left w:val="nil"/>
          <w:bottom w:val="nil"/>
          <w:right w:val="nil"/>
          <w:between w:val="nil"/>
          <w:bar w:val="nil"/>
        </w:pBdr>
        <w:tabs>
          <w:tab w:val="clear" w:pos="360"/>
        </w:tabs>
        <w:spacing w:before="0" w:after="0"/>
        <w:ind w:left="284" w:hanging="284"/>
        <w:rPr>
          <w:bdr w:val="nil"/>
        </w:rPr>
      </w:pPr>
      <w:r w:rsidRPr="00F413C0">
        <w:rPr>
          <w:bdr w:val="nil"/>
        </w:rPr>
        <w:t>Deliver on Community Service Obligations (CSOs)</w:t>
      </w:r>
    </w:p>
    <w:p w14:paraId="18BECC1A" w14:textId="77777777" w:rsidR="007F5788" w:rsidRDefault="007F5788" w:rsidP="007C7B01">
      <w:pPr>
        <w:keepNext/>
        <w:pBdr>
          <w:top w:val="nil"/>
          <w:left w:val="nil"/>
          <w:bottom w:val="nil"/>
          <w:right w:val="nil"/>
          <w:between w:val="nil"/>
          <w:bar w:val="nil"/>
        </w:pBdr>
        <w:spacing w:before="0" w:after="0"/>
        <w:ind w:left="284"/>
        <w:rPr>
          <w:bdr w:val="nil"/>
        </w:rPr>
      </w:pPr>
      <w:r w:rsidRPr="00F413C0">
        <w:rPr>
          <w:bdr w:val="nil"/>
        </w:rPr>
        <w:t xml:space="preserve">PTG will undertake CSOs in respect to the provision of financial management services for persons with a </w:t>
      </w:r>
      <w:proofErr w:type="gramStart"/>
      <w:r w:rsidRPr="00F413C0">
        <w:rPr>
          <w:bdr w:val="nil"/>
        </w:rPr>
        <w:t>decision making</w:t>
      </w:r>
      <w:proofErr w:type="gramEnd"/>
      <w:r w:rsidRPr="00F413C0">
        <w:rPr>
          <w:bdr w:val="nil"/>
        </w:rPr>
        <w:t xml:space="preserve"> disability, preparing and acting as attorney under EPAs, administering trusts under $100,000 in value, examination of accounts prepared by external financial managers, drafting Wills in cases of financial hardship and vulnerability, responding to police call outs, arranging welfare funerals and administering low-value or non-viable deceased estates.  PTG will also engage with the community to promote awareness of its services and products through sponsorship of the ACT Inclusion Awards.  PTG aims to maintain a presence at the ACT Seniors Expos every year.  Seniors of 60 years and over will continue to be provided with a free will where they appoint PTG as their executor.</w:t>
      </w:r>
      <w:r>
        <w:rPr>
          <w:bdr w:val="nil"/>
        </w:rPr>
        <w:t xml:space="preserve"> </w:t>
      </w:r>
      <w:r w:rsidRPr="00F413C0">
        <w:rPr>
          <w:bdr w:val="nil"/>
        </w:rPr>
        <w:t>PTG conducts home visits for those that are unable to attend to make a Will/EPA. PTG maintains an online facility through which community groups will be able to book a presentation by PTG.</w:t>
      </w:r>
    </w:p>
    <w:p w14:paraId="6AA8C9E6" w14:textId="77777777" w:rsidR="007F5788" w:rsidRPr="00F413C0" w:rsidRDefault="007F5788" w:rsidP="007C7B01">
      <w:pPr>
        <w:keepNext/>
        <w:pBdr>
          <w:top w:val="nil"/>
          <w:left w:val="nil"/>
          <w:bottom w:val="nil"/>
          <w:right w:val="nil"/>
          <w:between w:val="nil"/>
          <w:bar w:val="nil"/>
        </w:pBdr>
        <w:spacing w:before="0" w:after="0"/>
        <w:ind w:left="284"/>
        <w:rPr>
          <w:bdr w:val="nil"/>
        </w:rPr>
      </w:pPr>
      <w:r>
        <w:rPr>
          <w:bdr w:val="nil"/>
        </w:rPr>
        <w:t xml:space="preserve">During the COVID-19 Emergency Period, many of PTG’s community engagement activities have by necessity been curtailed, however PTG is providing Will and EPOA’s to </w:t>
      </w:r>
      <w:proofErr w:type="gramStart"/>
      <w:r>
        <w:rPr>
          <w:bdr w:val="nil"/>
        </w:rPr>
        <w:t>persons’</w:t>
      </w:r>
      <w:proofErr w:type="gramEnd"/>
      <w:r>
        <w:rPr>
          <w:bdr w:val="nil"/>
        </w:rPr>
        <w:t xml:space="preserve"> in emergency situations.</w:t>
      </w:r>
    </w:p>
    <w:p w14:paraId="02C94FCC" w14:textId="77777777" w:rsidR="00DB52E2" w:rsidRDefault="00DB52E2">
      <w:pPr>
        <w:pStyle w:val="BSnote"/>
        <w:pBdr>
          <w:top w:val="nil"/>
          <w:left w:val="nil"/>
          <w:bottom w:val="nil"/>
          <w:right w:val="nil"/>
          <w:between w:val="nil"/>
          <w:bar w:val="nil"/>
        </w:pBdr>
        <w:rPr>
          <w:snapToGrid w:val="0"/>
          <w:sz w:val="28"/>
          <w:szCs w:val="28"/>
          <w:bdr w:val="nil"/>
          <w:lang w:eastAsia="en-AU"/>
        </w:rPr>
      </w:pPr>
    </w:p>
    <w:p w14:paraId="56F4A78E" w14:textId="2A89C7F8" w:rsidR="007F5788" w:rsidRDefault="007F5788">
      <w:pPr>
        <w:pStyle w:val="BSnote"/>
        <w:pBdr>
          <w:top w:val="nil"/>
          <w:left w:val="nil"/>
          <w:bottom w:val="nil"/>
          <w:right w:val="nil"/>
          <w:between w:val="nil"/>
          <w:bar w:val="nil"/>
        </w:pBdr>
        <w:rPr>
          <w:snapToGrid w:val="0"/>
          <w:sz w:val="28"/>
          <w:szCs w:val="28"/>
          <w:bdr w:val="nil"/>
          <w:lang w:eastAsia="en-AU"/>
        </w:rPr>
      </w:pPr>
      <w:r>
        <w:rPr>
          <w:snapToGrid w:val="0"/>
          <w:sz w:val="28"/>
          <w:szCs w:val="28"/>
          <w:bdr w:val="nil"/>
          <w:lang w:eastAsia="en-AU"/>
        </w:rPr>
        <w:t>Risks</w:t>
      </w:r>
    </w:p>
    <w:p w14:paraId="02CCDCFD" w14:textId="77777777" w:rsidR="007F5788" w:rsidRDefault="007F5788" w:rsidP="007C7B01">
      <w:pPr>
        <w:pStyle w:val="BodyText"/>
        <w:pBdr>
          <w:top w:val="nil"/>
          <w:left w:val="nil"/>
          <w:bottom w:val="nil"/>
          <w:right w:val="nil"/>
          <w:between w:val="nil"/>
          <w:bar w:val="nil"/>
        </w:pBdr>
        <w:jc w:val="left"/>
        <w:rPr>
          <w:bdr w:val="nil"/>
          <w:lang w:eastAsia="en-AU"/>
        </w:rPr>
      </w:pPr>
      <w:r>
        <w:rPr>
          <w:bdr w:val="nil"/>
          <w:lang w:eastAsia="en-AU"/>
        </w:rPr>
        <w:t>PTG continues to identify prevailing and emerging risks in its Fraud, Corruption and Risk Management Plan.  The Plan has been prepared in consultation with PTG’s Internal Audit Committee, PTG’s Investment Board, JACS and is continually reviewed.</w:t>
      </w:r>
    </w:p>
    <w:p w14:paraId="084686B1" w14:textId="77777777" w:rsidR="007F5788" w:rsidRDefault="007F5788" w:rsidP="007C7B01">
      <w:pPr>
        <w:pStyle w:val="BodyText"/>
        <w:pBdr>
          <w:top w:val="nil"/>
          <w:left w:val="nil"/>
          <w:bottom w:val="nil"/>
          <w:right w:val="nil"/>
          <w:between w:val="nil"/>
          <w:bar w:val="nil"/>
        </w:pBdr>
        <w:jc w:val="left"/>
        <w:rPr>
          <w:bdr w:val="nil"/>
          <w:lang w:eastAsia="en-AU"/>
        </w:rPr>
      </w:pPr>
      <w:r>
        <w:rPr>
          <w:bdr w:val="nil"/>
          <w:lang w:eastAsia="en-AU"/>
        </w:rPr>
        <w:t xml:space="preserve">PTG’s Audit Committee is independently chaired and will meet at least four times over the next year.  </w:t>
      </w:r>
    </w:p>
    <w:p w14:paraId="14A9F14C" w14:textId="77777777" w:rsidR="007F5788" w:rsidRDefault="007F5788" w:rsidP="007C7B01">
      <w:pPr>
        <w:pStyle w:val="BodyText"/>
        <w:pBdr>
          <w:top w:val="nil"/>
          <w:left w:val="nil"/>
          <w:bottom w:val="nil"/>
          <w:right w:val="nil"/>
          <w:between w:val="nil"/>
          <w:bar w:val="nil"/>
        </w:pBdr>
        <w:jc w:val="left"/>
        <w:rPr>
          <w:bdr w:val="nil"/>
          <w:lang w:eastAsia="en-AU"/>
        </w:rPr>
      </w:pPr>
      <w:r>
        <w:rPr>
          <w:bdr w:val="nil"/>
          <w:lang w:eastAsia="en-AU"/>
        </w:rPr>
        <w:t>PTG’s risks, identified in the PTG Fraud, Corruption and Risk Management Plan include:</w:t>
      </w:r>
    </w:p>
    <w:p w14:paraId="569AB588" w14:textId="77777777" w:rsidR="007F5788" w:rsidRDefault="007F5788">
      <w:pPr>
        <w:pStyle w:val="ListParagraph"/>
        <w:numPr>
          <w:ilvl w:val="0"/>
          <w:numId w:val="92"/>
        </w:numPr>
        <w:pBdr>
          <w:top w:val="nil"/>
          <w:left w:val="nil"/>
          <w:bottom w:val="nil"/>
          <w:right w:val="nil"/>
          <w:between w:val="nil"/>
          <w:bar w:val="nil"/>
        </w:pBdr>
        <w:spacing w:before="120"/>
        <w:ind w:left="426" w:hanging="426"/>
        <w:rPr>
          <w:sz w:val="24"/>
          <w:bdr w:val="nil"/>
        </w:rPr>
      </w:pPr>
      <w:r>
        <w:rPr>
          <w:sz w:val="24"/>
          <w:bdr w:val="nil"/>
        </w:rPr>
        <w:t xml:space="preserve">poor or inappropriate investment </w:t>
      </w:r>
      <w:proofErr w:type="gramStart"/>
      <w:r>
        <w:rPr>
          <w:sz w:val="24"/>
          <w:bdr w:val="nil"/>
        </w:rPr>
        <w:t>strategy;</w:t>
      </w:r>
      <w:proofErr w:type="gramEnd"/>
    </w:p>
    <w:p w14:paraId="0833178F"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 xml:space="preserve">inadequate business systems, back-up and </w:t>
      </w:r>
      <w:proofErr w:type="gramStart"/>
      <w:r>
        <w:rPr>
          <w:sz w:val="24"/>
          <w:bdr w:val="nil"/>
        </w:rPr>
        <w:t>redundancy;</w:t>
      </w:r>
      <w:proofErr w:type="gramEnd"/>
    </w:p>
    <w:p w14:paraId="2B1B8F62"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 xml:space="preserve">poor business performance resulting in annual </w:t>
      </w:r>
      <w:proofErr w:type="gramStart"/>
      <w:r>
        <w:rPr>
          <w:sz w:val="24"/>
          <w:bdr w:val="nil"/>
        </w:rPr>
        <w:t>deficit;</w:t>
      </w:r>
      <w:proofErr w:type="gramEnd"/>
    </w:p>
    <w:p w14:paraId="5B58728C"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 xml:space="preserve">fraud or the potential for </w:t>
      </w:r>
      <w:proofErr w:type="gramStart"/>
      <w:r>
        <w:rPr>
          <w:sz w:val="24"/>
          <w:bdr w:val="nil"/>
        </w:rPr>
        <w:t>fraud;</w:t>
      </w:r>
      <w:proofErr w:type="gramEnd"/>
    </w:p>
    <w:p w14:paraId="6B2F5DCB"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 xml:space="preserve">abuse of official </w:t>
      </w:r>
      <w:proofErr w:type="gramStart"/>
      <w:r>
        <w:rPr>
          <w:sz w:val="24"/>
          <w:bdr w:val="nil"/>
        </w:rPr>
        <w:t>position;</w:t>
      </w:r>
      <w:proofErr w:type="gramEnd"/>
    </w:p>
    <w:p w14:paraId="132E1508"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 xml:space="preserve">employee </w:t>
      </w:r>
      <w:proofErr w:type="gramStart"/>
      <w:r>
        <w:rPr>
          <w:sz w:val="24"/>
          <w:bdr w:val="nil"/>
        </w:rPr>
        <w:t>mistake;</w:t>
      </w:r>
      <w:proofErr w:type="gramEnd"/>
    </w:p>
    <w:p w14:paraId="69E9971D"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 xml:space="preserve">inconsistent policy, practice and </w:t>
      </w:r>
      <w:proofErr w:type="gramStart"/>
      <w:r>
        <w:rPr>
          <w:sz w:val="24"/>
          <w:bdr w:val="nil"/>
        </w:rPr>
        <w:t>procedure;</w:t>
      </w:r>
      <w:proofErr w:type="gramEnd"/>
    </w:p>
    <w:p w14:paraId="4157311D"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 xml:space="preserve">failure to insure client </w:t>
      </w:r>
      <w:proofErr w:type="gramStart"/>
      <w:r>
        <w:rPr>
          <w:sz w:val="24"/>
          <w:bdr w:val="nil"/>
        </w:rPr>
        <w:t>property;</w:t>
      </w:r>
      <w:proofErr w:type="gramEnd"/>
    </w:p>
    <w:p w14:paraId="49040FDC" w14:textId="77777777"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lack of or ineffective strategic forward business planning; and</w:t>
      </w:r>
    </w:p>
    <w:p w14:paraId="3BE13B19" w14:textId="5C30C02B" w:rsidR="007F5788" w:rsidRDefault="007F5788">
      <w:pPr>
        <w:pStyle w:val="ListParagraph"/>
        <w:numPr>
          <w:ilvl w:val="0"/>
          <w:numId w:val="92"/>
        </w:numPr>
        <w:pBdr>
          <w:top w:val="nil"/>
          <w:left w:val="nil"/>
          <w:bottom w:val="nil"/>
          <w:right w:val="nil"/>
          <w:between w:val="nil"/>
          <w:bar w:val="nil"/>
        </w:pBdr>
        <w:spacing w:before="0"/>
        <w:ind w:left="426" w:hanging="426"/>
        <w:rPr>
          <w:sz w:val="24"/>
          <w:bdr w:val="nil"/>
        </w:rPr>
      </w:pPr>
      <w:r>
        <w:rPr>
          <w:sz w:val="24"/>
          <w:bdr w:val="nil"/>
        </w:rPr>
        <w:t>ineffective governance.</w:t>
      </w:r>
    </w:p>
    <w:p w14:paraId="554906E3" w14:textId="01A13D5A" w:rsidR="00DB52E2" w:rsidRDefault="00DB52E2" w:rsidP="00DB52E2">
      <w:pPr>
        <w:pBdr>
          <w:top w:val="nil"/>
          <w:left w:val="nil"/>
          <w:bottom w:val="nil"/>
          <w:right w:val="nil"/>
          <w:between w:val="nil"/>
          <w:bar w:val="nil"/>
        </w:pBdr>
        <w:spacing w:before="0"/>
        <w:rPr>
          <w:bdr w:val="nil"/>
        </w:rPr>
      </w:pPr>
    </w:p>
    <w:p w14:paraId="4AA4EF32" w14:textId="77777777" w:rsidR="007F5788" w:rsidRDefault="007F5788" w:rsidP="007C7B01">
      <w:pPr>
        <w:pStyle w:val="BodyText"/>
        <w:pBdr>
          <w:top w:val="nil"/>
          <w:left w:val="nil"/>
          <w:bottom w:val="nil"/>
          <w:right w:val="nil"/>
          <w:between w:val="nil"/>
          <w:bar w:val="nil"/>
        </w:pBdr>
        <w:jc w:val="left"/>
        <w:rPr>
          <w:b/>
          <w:bdr w:val="nil"/>
        </w:rPr>
      </w:pPr>
      <w:r>
        <w:rPr>
          <w:bdr w:val="nil"/>
          <w:lang w:eastAsia="en-AU"/>
        </w:rPr>
        <w:lastRenderedPageBreak/>
        <w:t>PTG will also review the risk profile of each of its investment clients to ensure that their assets are invested appropriate to their needs.</w:t>
      </w:r>
    </w:p>
    <w:p w14:paraId="10BB604D" w14:textId="52B12F99" w:rsidR="007F5788" w:rsidRDefault="007F5788" w:rsidP="00DB52E2">
      <w:pPr>
        <w:pStyle w:val="Heading3"/>
        <w:pBdr>
          <w:top w:val="nil"/>
          <w:left w:val="nil"/>
          <w:bottom w:val="nil"/>
          <w:right w:val="nil"/>
          <w:between w:val="nil"/>
          <w:bar w:val="nil"/>
        </w:pBdr>
        <w:rPr>
          <w:bdr w:val="nil"/>
        </w:rPr>
      </w:pPr>
      <w:r>
        <w:t xml:space="preserve"> </w:t>
      </w:r>
      <w:r>
        <w:rPr>
          <w:bdr w:val="nil"/>
        </w:rPr>
        <w:t>2021</w:t>
      </w:r>
      <w:r>
        <w:rPr>
          <w:bdr w:val="nil"/>
        </w:rPr>
        <w:noBreakHyphen/>
        <w:t>22 Priorities and Next Three Financial Years</w:t>
      </w:r>
    </w:p>
    <w:p w14:paraId="7F6A1A99" w14:textId="77777777" w:rsidR="007F5788" w:rsidRPr="009E3979" w:rsidRDefault="007F5788" w:rsidP="007F5788">
      <w:pPr>
        <w:numPr>
          <w:ilvl w:val="0"/>
          <w:numId w:val="5"/>
        </w:numPr>
        <w:pBdr>
          <w:top w:val="nil"/>
          <w:left w:val="nil"/>
          <w:bottom w:val="nil"/>
          <w:right w:val="nil"/>
          <w:between w:val="nil"/>
          <w:bar w:val="nil"/>
        </w:pBdr>
        <w:tabs>
          <w:tab w:val="num" w:pos="360"/>
        </w:tabs>
        <w:spacing w:after="120"/>
        <w:ind w:left="357" w:hanging="357"/>
        <w:jc w:val="both"/>
        <w:rPr>
          <w:szCs w:val="24"/>
          <w:bdr w:val="nil"/>
        </w:rPr>
      </w:pPr>
      <w:r w:rsidRPr="009E3979">
        <w:rPr>
          <w:szCs w:val="24"/>
          <w:bdr w:val="nil"/>
        </w:rPr>
        <w:t>Continue the implementation of PTG’s Business</w:t>
      </w:r>
      <w:r>
        <w:rPr>
          <w:szCs w:val="24"/>
          <w:bdr w:val="nil"/>
        </w:rPr>
        <w:t xml:space="preserve"> Transformation Project. In 2021</w:t>
      </w:r>
      <w:r w:rsidRPr="009E3979">
        <w:rPr>
          <w:szCs w:val="24"/>
          <w:bdr w:val="nil"/>
        </w:rPr>
        <w:t>-2</w:t>
      </w:r>
      <w:r>
        <w:rPr>
          <w:szCs w:val="24"/>
          <w:bdr w:val="nil"/>
        </w:rPr>
        <w:t>2</w:t>
      </w:r>
      <w:r w:rsidRPr="009E3979">
        <w:rPr>
          <w:szCs w:val="24"/>
          <w:bdr w:val="nil"/>
        </w:rPr>
        <w:t>, PTG will</w:t>
      </w:r>
      <w:r>
        <w:rPr>
          <w:szCs w:val="24"/>
          <w:bdr w:val="nil"/>
        </w:rPr>
        <w:t xml:space="preserve"> engage a contractor to complete the implementation of its Customer Relation Management System (CRM). By the end of the next financial year PTG aims to have completed the rollout of its CRM and Electronic Documents Records Management System to all business units. PTG is also implementing </w:t>
      </w:r>
      <w:proofErr w:type="spellStart"/>
      <w:r>
        <w:rPr>
          <w:szCs w:val="24"/>
          <w:bdr w:val="nil"/>
        </w:rPr>
        <w:t>EzeScan</w:t>
      </w:r>
      <w:proofErr w:type="spellEnd"/>
      <w:r>
        <w:rPr>
          <w:szCs w:val="24"/>
          <w:bdr w:val="nil"/>
        </w:rPr>
        <w:t xml:space="preserve"> software enabling the take-up of all incoming mail including invoices for distribution to all business units and processing in electronic form.</w:t>
      </w:r>
      <w:r w:rsidRPr="009E3979">
        <w:rPr>
          <w:szCs w:val="24"/>
          <w:bdr w:val="nil"/>
        </w:rPr>
        <w:t xml:space="preserve"> </w:t>
      </w:r>
    </w:p>
    <w:p w14:paraId="248B5B5E" w14:textId="77777777" w:rsidR="007F5788" w:rsidRPr="009E3979" w:rsidRDefault="007F5788" w:rsidP="007F5788">
      <w:pPr>
        <w:numPr>
          <w:ilvl w:val="0"/>
          <w:numId w:val="5"/>
        </w:numPr>
        <w:pBdr>
          <w:top w:val="nil"/>
          <w:left w:val="nil"/>
          <w:bottom w:val="nil"/>
          <w:right w:val="nil"/>
          <w:between w:val="nil"/>
          <w:bar w:val="nil"/>
        </w:pBdr>
        <w:tabs>
          <w:tab w:val="num" w:pos="360"/>
        </w:tabs>
        <w:spacing w:after="120"/>
        <w:ind w:left="357" w:hanging="357"/>
        <w:jc w:val="both"/>
        <w:rPr>
          <w:szCs w:val="24"/>
          <w:bdr w:val="nil"/>
        </w:rPr>
      </w:pPr>
      <w:r w:rsidRPr="009E3979">
        <w:rPr>
          <w:rFonts w:cs="Calibri"/>
          <w:szCs w:val="24"/>
          <w:bdr w:val="nil"/>
          <w:lang w:eastAsia="en-AU"/>
        </w:rPr>
        <w:t xml:space="preserve">Raise awareness in the community of the role of the Public Trustee and Guardian including developing and undertaking a range of presentations and information seminars which highlight the importance of estate planning including a well-drafted Will and EPA as well as what happens in the event of incapacity. This will be achieved through continual development of PTG’s website, fact sheets, seminars, forums, newsletters, </w:t>
      </w:r>
      <w:proofErr w:type="gramStart"/>
      <w:r w:rsidRPr="009E3979">
        <w:rPr>
          <w:rFonts w:cs="Calibri"/>
          <w:szCs w:val="24"/>
          <w:bdr w:val="nil"/>
          <w:lang w:eastAsia="en-AU"/>
        </w:rPr>
        <w:t>expos</w:t>
      </w:r>
      <w:proofErr w:type="gramEnd"/>
      <w:r w:rsidRPr="009E3979">
        <w:rPr>
          <w:rFonts w:cs="Calibri"/>
          <w:szCs w:val="24"/>
          <w:bdr w:val="nil"/>
          <w:lang w:eastAsia="en-AU"/>
        </w:rPr>
        <w:t xml:space="preserve"> and an online facility to “Book a Presentation by the Public Trustee and Guardian”.</w:t>
      </w:r>
    </w:p>
    <w:p w14:paraId="113CDB53" w14:textId="77777777" w:rsidR="007F5788" w:rsidRPr="009E3979" w:rsidRDefault="007F5788" w:rsidP="007F5788">
      <w:pPr>
        <w:numPr>
          <w:ilvl w:val="0"/>
          <w:numId w:val="5"/>
        </w:numPr>
        <w:pBdr>
          <w:top w:val="nil"/>
          <w:left w:val="nil"/>
          <w:bottom w:val="nil"/>
          <w:right w:val="nil"/>
          <w:between w:val="nil"/>
          <w:bar w:val="nil"/>
        </w:pBdr>
        <w:tabs>
          <w:tab w:val="num" w:pos="360"/>
        </w:tabs>
        <w:spacing w:after="120"/>
        <w:ind w:left="357" w:hanging="357"/>
        <w:jc w:val="both"/>
        <w:rPr>
          <w:szCs w:val="24"/>
          <w:bdr w:val="nil"/>
        </w:rPr>
      </w:pPr>
      <w:r w:rsidRPr="009E3979">
        <w:rPr>
          <w:rFonts w:cs="Calibri"/>
          <w:szCs w:val="24"/>
          <w:bdr w:val="nil"/>
          <w:lang w:eastAsia="en-AU"/>
        </w:rPr>
        <w:t>Promoting efficiencies through new technologies.  PTG is in the process of re-building its ICT infrastructure. PTG will continue to engage</w:t>
      </w:r>
      <w:r>
        <w:rPr>
          <w:rFonts w:cs="Calibri"/>
          <w:szCs w:val="24"/>
          <w:bdr w:val="nil"/>
          <w:lang w:eastAsia="en-AU"/>
        </w:rPr>
        <w:t xml:space="preserve"> appropriate ICT professionals to complete</w:t>
      </w:r>
      <w:r w:rsidRPr="009E3979">
        <w:rPr>
          <w:rFonts w:cs="Calibri"/>
          <w:szCs w:val="24"/>
          <w:bdr w:val="nil"/>
          <w:lang w:eastAsia="en-AU"/>
        </w:rPr>
        <w:t xml:space="preserve"> </w:t>
      </w:r>
      <w:r>
        <w:rPr>
          <w:rFonts w:cs="Calibri"/>
          <w:szCs w:val="24"/>
          <w:bdr w:val="nil"/>
          <w:lang w:eastAsia="en-AU"/>
        </w:rPr>
        <w:t xml:space="preserve">the </w:t>
      </w:r>
      <w:r w:rsidRPr="009E3979">
        <w:rPr>
          <w:rFonts w:cs="Calibri"/>
          <w:szCs w:val="24"/>
          <w:bdr w:val="nil"/>
          <w:lang w:eastAsia="en-AU"/>
        </w:rPr>
        <w:t xml:space="preserve">various ICT projects towards a fully functional CRM. PTG will </w:t>
      </w:r>
      <w:r>
        <w:rPr>
          <w:rFonts w:cs="Calibri"/>
          <w:szCs w:val="24"/>
          <w:bdr w:val="nil"/>
          <w:lang w:eastAsia="en-AU"/>
        </w:rPr>
        <w:t>progress</w:t>
      </w:r>
      <w:r w:rsidRPr="009E3979">
        <w:rPr>
          <w:rFonts w:cs="Calibri"/>
          <w:szCs w:val="24"/>
          <w:bdr w:val="nil"/>
          <w:lang w:eastAsia="en-AU"/>
        </w:rPr>
        <w:t xml:space="preserve"> the establishment of an ACT Wills </w:t>
      </w:r>
      <w:r>
        <w:rPr>
          <w:rFonts w:cs="Calibri"/>
          <w:szCs w:val="24"/>
          <w:bdr w:val="nil"/>
          <w:lang w:eastAsia="en-AU"/>
        </w:rPr>
        <w:t>Register.</w:t>
      </w:r>
    </w:p>
    <w:p w14:paraId="66B6BF24" w14:textId="77777777" w:rsidR="007F5788" w:rsidRPr="009E3979" w:rsidRDefault="007F5788" w:rsidP="007F5788">
      <w:pPr>
        <w:numPr>
          <w:ilvl w:val="0"/>
          <w:numId w:val="5"/>
        </w:numPr>
        <w:pBdr>
          <w:top w:val="nil"/>
          <w:left w:val="nil"/>
          <w:bottom w:val="nil"/>
          <w:right w:val="nil"/>
          <w:between w:val="nil"/>
          <w:bar w:val="nil"/>
        </w:pBdr>
        <w:tabs>
          <w:tab w:val="num" w:pos="360"/>
        </w:tabs>
        <w:spacing w:after="120"/>
        <w:ind w:left="357" w:hanging="357"/>
        <w:jc w:val="both"/>
        <w:rPr>
          <w:szCs w:val="24"/>
          <w:bdr w:val="nil"/>
        </w:rPr>
      </w:pPr>
      <w:r w:rsidRPr="009E3979">
        <w:rPr>
          <w:rFonts w:cs="Calibri"/>
          <w:szCs w:val="24"/>
          <w:bdr w:val="nil"/>
          <w:lang w:eastAsia="en-AU"/>
        </w:rPr>
        <w:t xml:space="preserve">Participating in industry forums to identify and implement best practice.  This will be achieved through close cooperation with state/territory trustee and guardian/advocate agencies as well as through membership of industry representative organisations such as AGAC. PTG will also continue to work closely with ACAT in establishing practice that achieves efficient processes under the </w:t>
      </w:r>
      <w:r w:rsidRPr="009E3979">
        <w:rPr>
          <w:rFonts w:cs="Calibri"/>
          <w:i/>
          <w:szCs w:val="24"/>
          <w:bdr w:val="nil"/>
          <w:lang w:eastAsia="en-AU"/>
        </w:rPr>
        <w:t>Guardianship and Management of Property Act 1991</w:t>
      </w:r>
      <w:r>
        <w:rPr>
          <w:rFonts w:cs="Calibri"/>
          <w:szCs w:val="24"/>
          <w:bdr w:val="nil"/>
          <w:lang w:eastAsia="en-AU"/>
        </w:rPr>
        <w:t>.</w:t>
      </w:r>
    </w:p>
    <w:p w14:paraId="0BCFA691" w14:textId="77777777" w:rsidR="007F5788" w:rsidRDefault="007F5788" w:rsidP="007F5788">
      <w:pPr>
        <w:spacing w:before="0" w:after="0"/>
        <w:rPr>
          <w:b/>
          <w:snapToGrid w:val="0"/>
          <w:sz w:val="32"/>
          <w:bdr w:val="nil"/>
        </w:rPr>
      </w:pPr>
      <w:r>
        <w:rPr>
          <w:bdr w:val="nil"/>
        </w:rPr>
        <w:br w:type="page"/>
      </w:r>
    </w:p>
    <w:p w14:paraId="3835BE07" w14:textId="77777777" w:rsidR="007F5788" w:rsidRDefault="007F5788" w:rsidP="007F5788">
      <w:pPr>
        <w:pStyle w:val="Heading2"/>
        <w:pBdr>
          <w:top w:val="nil"/>
          <w:left w:val="nil"/>
          <w:bottom w:val="nil"/>
          <w:right w:val="nil"/>
          <w:between w:val="nil"/>
          <w:bar w:val="nil"/>
        </w:pBdr>
        <w:rPr>
          <w:bdr w:val="nil"/>
        </w:rPr>
      </w:pPr>
      <w:r>
        <w:rPr>
          <w:bdr w:val="nil"/>
        </w:rPr>
        <w:lastRenderedPageBreak/>
        <w:t>Estimated employment level</w:t>
      </w:r>
    </w:p>
    <w:p w14:paraId="00C7D29C" w14:textId="028C9D95" w:rsidR="007F5788" w:rsidRDefault="007F5788" w:rsidP="007F5788">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6E5D30">
        <w:rPr>
          <w:noProof/>
          <w:bdr w:val="nil"/>
        </w:rPr>
        <w:t>4</w:t>
      </w:r>
      <w:r>
        <w:rPr>
          <w:noProof/>
          <w:bdr w:val="nil"/>
        </w:rPr>
        <w:fldChar w:fldCharType="end"/>
      </w:r>
      <w:r>
        <w:rPr>
          <w:bdr w:val="nil"/>
        </w:rPr>
        <w:t>: Estimated Employment Level</w:t>
      </w:r>
    </w:p>
    <w:tbl>
      <w:tblPr>
        <w:tblW w:w="0" w:type="dxa"/>
        <w:tblBorders>
          <w:top w:val="single" w:sz="12" w:space="0" w:color="000000"/>
        </w:tblBorders>
        <w:tblLayout w:type="fixed"/>
        <w:tblLook w:val="04A0" w:firstRow="1" w:lastRow="0" w:firstColumn="1" w:lastColumn="0" w:noHBand="0" w:noVBand="1"/>
      </w:tblPr>
      <w:tblGrid>
        <w:gridCol w:w="2699"/>
        <w:gridCol w:w="1600"/>
        <w:gridCol w:w="1600"/>
        <w:gridCol w:w="1600"/>
        <w:gridCol w:w="1601"/>
      </w:tblGrid>
      <w:tr w:rsidR="007F5788" w14:paraId="5C10D8D2" w14:textId="77777777" w:rsidTr="00B23E3B">
        <w:trPr>
          <w:trHeight w:val="392"/>
          <w:tblHeader/>
        </w:trPr>
        <w:tc>
          <w:tcPr>
            <w:tcW w:w="2699" w:type="dxa"/>
            <w:tcBorders>
              <w:top w:val="single" w:sz="12" w:space="0" w:color="000000"/>
              <w:left w:val="nil"/>
              <w:bottom w:val="nil"/>
              <w:right w:val="nil"/>
            </w:tcBorders>
            <w:vAlign w:val="bottom"/>
          </w:tcPr>
          <w:p w14:paraId="0CE769C4" w14:textId="77777777" w:rsidR="007F5788" w:rsidRDefault="007F5788" w:rsidP="00B23E3B">
            <w:pPr>
              <w:pStyle w:val="BStabletext"/>
              <w:pBdr>
                <w:top w:val="nil"/>
                <w:left w:val="nil"/>
                <w:bottom w:val="nil"/>
                <w:right w:val="nil"/>
                <w:between w:val="nil"/>
                <w:bar w:val="nil"/>
              </w:pBdr>
              <w:rPr>
                <w:bdr w:val="nil"/>
              </w:rPr>
            </w:pPr>
          </w:p>
        </w:tc>
        <w:tc>
          <w:tcPr>
            <w:tcW w:w="1600" w:type="dxa"/>
            <w:tcBorders>
              <w:top w:val="single" w:sz="12" w:space="0" w:color="000000"/>
              <w:left w:val="nil"/>
              <w:bottom w:val="nil"/>
              <w:right w:val="nil"/>
            </w:tcBorders>
            <w:hideMark/>
          </w:tcPr>
          <w:p w14:paraId="24D1356F"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2019-20</w:t>
            </w:r>
          </w:p>
          <w:p w14:paraId="08FBAF45"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Actual Outcome</w:t>
            </w:r>
          </w:p>
        </w:tc>
        <w:tc>
          <w:tcPr>
            <w:tcW w:w="1600" w:type="dxa"/>
            <w:tcBorders>
              <w:top w:val="single" w:sz="12" w:space="0" w:color="000000"/>
              <w:left w:val="nil"/>
              <w:bottom w:val="nil"/>
              <w:right w:val="nil"/>
            </w:tcBorders>
            <w:hideMark/>
          </w:tcPr>
          <w:p w14:paraId="3A7F8DEC"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2020-21</w:t>
            </w:r>
          </w:p>
          <w:p w14:paraId="4A745A22"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12" w:space="0" w:color="000000"/>
              <w:left w:val="nil"/>
              <w:bottom w:val="nil"/>
              <w:right w:val="nil"/>
            </w:tcBorders>
            <w:hideMark/>
          </w:tcPr>
          <w:p w14:paraId="6CB29FC4"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2020-21</w:t>
            </w:r>
          </w:p>
          <w:p w14:paraId="1BA8251B"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Interim Outcome</w:t>
            </w:r>
          </w:p>
        </w:tc>
        <w:tc>
          <w:tcPr>
            <w:tcW w:w="1601" w:type="dxa"/>
            <w:tcBorders>
              <w:top w:val="single" w:sz="12" w:space="0" w:color="000000"/>
              <w:left w:val="nil"/>
              <w:bottom w:val="nil"/>
              <w:right w:val="nil"/>
            </w:tcBorders>
            <w:noWrap/>
            <w:hideMark/>
          </w:tcPr>
          <w:p w14:paraId="1CA43CE0"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2021-22</w:t>
            </w:r>
          </w:p>
          <w:p w14:paraId="63C01C76" w14:textId="77777777" w:rsidR="007F5788" w:rsidRDefault="007F5788" w:rsidP="00B23E3B">
            <w:pPr>
              <w:pStyle w:val="BStableheading1"/>
              <w:framePr w:wrap="around"/>
              <w:pBdr>
                <w:top w:val="nil"/>
                <w:left w:val="nil"/>
                <w:bottom w:val="nil"/>
                <w:right w:val="nil"/>
                <w:between w:val="nil"/>
                <w:bar w:val="nil"/>
              </w:pBdr>
              <w:rPr>
                <w:bdr w:val="nil"/>
              </w:rPr>
            </w:pPr>
            <w:r>
              <w:rPr>
                <w:bdr w:val="nil"/>
              </w:rPr>
              <w:t>Budget</w:t>
            </w:r>
          </w:p>
        </w:tc>
      </w:tr>
      <w:tr w:rsidR="007F5788" w14:paraId="73EF5C26" w14:textId="77777777" w:rsidTr="00B23E3B">
        <w:trPr>
          <w:trHeight w:val="319"/>
          <w:tblHeader/>
        </w:trPr>
        <w:tc>
          <w:tcPr>
            <w:tcW w:w="2699" w:type="dxa"/>
            <w:tcBorders>
              <w:top w:val="single" w:sz="6" w:space="0" w:color="000000"/>
              <w:left w:val="nil"/>
              <w:bottom w:val="single" w:sz="12" w:space="0" w:color="000000"/>
              <w:right w:val="nil"/>
            </w:tcBorders>
            <w:vAlign w:val="bottom"/>
            <w:hideMark/>
          </w:tcPr>
          <w:p w14:paraId="0D5AD718" w14:textId="77777777" w:rsidR="007F5788" w:rsidRDefault="007F5788" w:rsidP="00B23E3B">
            <w:pPr>
              <w:pStyle w:val="BStabletext"/>
              <w:pBdr>
                <w:top w:val="nil"/>
                <w:left w:val="nil"/>
                <w:bottom w:val="nil"/>
                <w:right w:val="nil"/>
                <w:between w:val="nil"/>
                <w:bar w:val="nil"/>
              </w:pBdr>
              <w:rPr>
                <w:rStyle w:val="Strong0"/>
                <w:bCs/>
                <w:bdr w:val="nil"/>
              </w:rPr>
            </w:pPr>
            <w:r>
              <w:rPr>
                <w:rStyle w:val="Strong0"/>
                <w:bdr w:val="nil"/>
              </w:rPr>
              <w:t>Staffing (FTE)</w:t>
            </w:r>
          </w:p>
        </w:tc>
        <w:tc>
          <w:tcPr>
            <w:tcW w:w="1600" w:type="dxa"/>
            <w:tcBorders>
              <w:top w:val="single" w:sz="6" w:space="0" w:color="000000"/>
              <w:left w:val="nil"/>
              <w:bottom w:val="single" w:sz="12" w:space="0" w:color="000000"/>
              <w:right w:val="nil"/>
            </w:tcBorders>
            <w:vAlign w:val="bottom"/>
            <w:hideMark/>
          </w:tcPr>
          <w:p w14:paraId="70FA6F49" w14:textId="77777777" w:rsidR="007F5788" w:rsidRDefault="007F5788" w:rsidP="00B23E3B">
            <w:pPr>
              <w:pStyle w:val="BStablefigures"/>
              <w:pBdr>
                <w:top w:val="nil"/>
                <w:left w:val="nil"/>
                <w:bottom w:val="nil"/>
                <w:right w:val="nil"/>
                <w:between w:val="nil"/>
                <w:bar w:val="nil"/>
              </w:pBdr>
              <w:rPr>
                <w:bdr w:val="nil"/>
              </w:rPr>
            </w:pPr>
            <w:r>
              <w:rPr>
                <w:bdr w:val="nil"/>
              </w:rPr>
              <w:t>61.45</w:t>
            </w:r>
          </w:p>
        </w:tc>
        <w:tc>
          <w:tcPr>
            <w:tcW w:w="1600" w:type="dxa"/>
            <w:tcBorders>
              <w:top w:val="single" w:sz="6" w:space="0" w:color="000000"/>
              <w:left w:val="nil"/>
              <w:bottom w:val="single" w:sz="12" w:space="0" w:color="000000"/>
              <w:right w:val="nil"/>
            </w:tcBorders>
            <w:vAlign w:val="bottom"/>
            <w:hideMark/>
          </w:tcPr>
          <w:p w14:paraId="528C2CDE" w14:textId="77777777" w:rsidR="007F5788" w:rsidRDefault="007F5788" w:rsidP="00B23E3B">
            <w:pPr>
              <w:pStyle w:val="BStablefigures"/>
              <w:pBdr>
                <w:top w:val="nil"/>
                <w:left w:val="nil"/>
                <w:bottom w:val="nil"/>
                <w:right w:val="nil"/>
                <w:between w:val="nil"/>
                <w:bar w:val="nil"/>
              </w:pBdr>
              <w:rPr>
                <w:bdr w:val="nil"/>
              </w:rPr>
            </w:pPr>
            <w:r>
              <w:rPr>
                <w:bdr w:val="nil"/>
              </w:rPr>
              <w:t>64.12</w:t>
            </w:r>
          </w:p>
        </w:tc>
        <w:tc>
          <w:tcPr>
            <w:tcW w:w="1600" w:type="dxa"/>
            <w:tcBorders>
              <w:top w:val="single" w:sz="6" w:space="0" w:color="000000"/>
              <w:left w:val="nil"/>
              <w:bottom w:val="single" w:sz="12" w:space="0" w:color="000000"/>
              <w:right w:val="nil"/>
            </w:tcBorders>
            <w:vAlign w:val="bottom"/>
            <w:hideMark/>
          </w:tcPr>
          <w:p w14:paraId="66A22979" w14:textId="77777777" w:rsidR="007F5788" w:rsidRDefault="007F5788" w:rsidP="00B23E3B">
            <w:pPr>
              <w:pStyle w:val="BStablefigures"/>
              <w:pBdr>
                <w:top w:val="nil"/>
                <w:left w:val="nil"/>
                <w:bottom w:val="nil"/>
                <w:right w:val="nil"/>
                <w:between w:val="nil"/>
                <w:bar w:val="nil"/>
              </w:pBdr>
              <w:rPr>
                <w:bdr w:val="nil"/>
              </w:rPr>
            </w:pPr>
            <w:r>
              <w:rPr>
                <w:bdr w:val="nil"/>
              </w:rPr>
              <w:t>65.57</w:t>
            </w:r>
          </w:p>
        </w:tc>
        <w:tc>
          <w:tcPr>
            <w:tcW w:w="1601" w:type="dxa"/>
            <w:tcBorders>
              <w:top w:val="single" w:sz="6" w:space="0" w:color="000000"/>
              <w:left w:val="nil"/>
              <w:bottom w:val="single" w:sz="12" w:space="0" w:color="000000"/>
              <w:right w:val="nil"/>
            </w:tcBorders>
            <w:noWrap/>
            <w:vAlign w:val="bottom"/>
            <w:hideMark/>
          </w:tcPr>
          <w:p w14:paraId="761DE537" w14:textId="77777777" w:rsidR="007F5788" w:rsidRDefault="007F5788" w:rsidP="00B23E3B">
            <w:pPr>
              <w:pStyle w:val="BStablefigures"/>
              <w:pBdr>
                <w:top w:val="nil"/>
                <w:left w:val="nil"/>
                <w:bottom w:val="nil"/>
                <w:right w:val="nil"/>
                <w:between w:val="nil"/>
                <w:bar w:val="nil"/>
              </w:pBdr>
              <w:rPr>
                <w:bdr w:val="nil"/>
              </w:rPr>
            </w:pPr>
            <w:r>
              <w:rPr>
                <w:bdr w:val="nil"/>
              </w:rPr>
              <w:t>61.03</w:t>
            </w:r>
          </w:p>
        </w:tc>
      </w:tr>
    </w:tbl>
    <w:p w14:paraId="40AF10AC" w14:textId="77777777" w:rsidR="007F5788" w:rsidRDefault="007F5788" w:rsidP="007F5788">
      <w:pPr>
        <w:pStyle w:val="Caption0"/>
        <w:pBdr>
          <w:top w:val="nil"/>
          <w:left w:val="nil"/>
          <w:bottom w:val="nil"/>
          <w:right w:val="nil"/>
          <w:between w:val="nil"/>
          <w:bar w:val="nil"/>
        </w:pBdr>
        <w:rPr>
          <w:bdr w:val="nil"/>
        </w:rPr>
      </w:pPr>
    </w:p>
    <w:p w14:paraId="171F5B7F" w14:textId="77777777" w:rsidR="007F5788" w:rsidRPr="000B4536" w:rsidRDefault="007F5788" w:rsidP="007F5788">
      <w:pPr>
        <w:pStyle w:val="Normal5"/>
        <w:pBdr>
          <w:top w:val="nil"/>
          <w:left w:val="nil"/>
          <w:bottom w:val="nil"/>
          <w:right w:val="nil"/>
          <w:between w:val="nil"/>
          <w:bar w:val="nil"/>
        </w:pBdr>
        <w:rPr>
          <w:rFonts w:eastAsia="Calibri"/>
          <w:b/>
          <w:snapToGrid w:val="0"/>
          <w:sz w:val="32"/>
          <w:szCs w:val="22"/>
          <w:bdr w:val="nil"/>
        </w:rPr>
      </w:pPr>
      <w:r>
        <w:t xml:space="preserve"> </w:t>
      </w:r>
    </w:p>
    <w:p w14:paraId="2905D5C7" w14:textId="77777777" w:rsidR="007F5788" w:rsidRPr="007C7B01" w:rsidRDefault="007F5788" w:rsidP="007F5788">
      <w:pPr>
        <w:pStyle w:val="Caption0"/>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 xml:space="preserve">Table </w:t>
      </w:r>
      <w:proofErr w:type="gramStart"/>
      <w:r w:rsidRPr="007C7B01">
        <w:rPr>
          <w:rFonts w:asciiTheme="minorHAnsi" w:hAnsiTheme="minorHAnsi" w:cstheme="minorHAnsi"/>
          <w:bdr w:val="nil"/>
        </w:rPr>
        <w:t>2 :</w:t>
      </w:r>
      <w:proofErr w:type="gramEnd"/>
      <w:r w:rsidRPr="007C7B01">
        <w:rPr>
          <w:rFonts w:asciiTheme="minorHAnsi" w:hAnsiTheme="minorHAnsi" w:cstheme="minorHAnsi"/>
          <w:bdr w:val="nil"/>
        </w:rPr>
        <w:t xml:space="preserve"> 2021</w:t>
      </w:r>
      <w:r w:rsidRPr="007C7B01">
        <w:rPr>
          <w:rFonts w:asciiTheme="minorHAnsi" w:hAnsiTheme="minorHAnsi" w:cstheme="minorHAnsi"/>
          <w:bdr w:val="nil"/>
        </w:rPr>
        <w:noBreakHyphen/>
        <w:t>22 Employment Profile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79"/>
        <w:gridCol w:w="2246"/>
        <w:gridCol w:w="2255"/>
        <w:gridCol w:w="1867"/>
      </w:tblGrid>
      <w:tr w:rsidR="007F5788" w:rsidRPr="00724BA0" w14:paraId="4FBEC569" w14:textId="77777777" w:rsidTr="00B23E3B">
        <w:trPr>
          <w:cantSplit/>
          <w:tblHeader/>
        </w:trPr>
        <w:tc>
          <w:tcPr>
            <w:tcW w:w="2279" w:type="dxa"/>
            <w:tcBorders>
              <w:top w:val="single" w:sz="4" w:space="0" w:color="auto"/>
              <w:left w:val="nil"/>
              <w:bottom w:val="single" w:sz="4" w:space="0" w:color="auto"/>
              <w:right w:val="nil"/>
            </w:tcBorders>
            <w:hideMark/>
          </w:tcPr>
          <w:p w14:paraId="5FE70770"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
                <w:bdr w:val="nil"/>
              </w:rPr>
            </w:pPr>
            <w:r w:rsidRPr="007C7B01">
              <w:rPr>
                <w:rFonts w:asciiTheme="minorHAnsi" w:hAnsiTheme="minorHAnsi" w:cstheme="minorHAnsi"/>
                <w:b/>
                <w:bdr w:val="nil"/>
              </w:rPr>
              <w:t>Classification</w:t>
            </w:r>
          </w:p>
        </w:tc>
        <w:tc>
          <w:tcPr>
            <w:tcW w:w="2246" w:type="dxa"/>
            <w:tcBorders>
              <w:top w:val="single" w:sz="4" w:space="0" w:color="auto"/>
              <w:left w:val="nil"/>
              <w:bottom w:val="single" w:sz="4" w:space="0" w:color="auto"/>
              <w:right w:val="nil"/>
            </w:tcBorders>
            <w:hideMark/>
          </w:tcPr>
          <w:p w14:paraId="3D152CDA"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Male</w:t>
            </w:r>
          </w:p>
        </w:tc>
        <w:tc>
          <w:tcPr>
            <w:tcW w:w="2255" w:type="dxa"/>
            <w:tcBorders>
              <w:top w:val="single" w:sz="4" w:space="0" w:color="auto"/>
              <w:left w:val="nil"/>
              <w:bottom w:val="single" w:sz="4" w:space="0" w:color="auto"/>
              <w:right w:val="nil"/>
            </w:tcBorders>
            <w:hideMark/>
          </w:tcPr>
          <w:p w14:paraId="706686E0"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Female</w:t>
            </w:r>
          </w:p>
        </w:tc>
        <w:tc>
          <w:tcPr>
            <w:tcW w:w="1867" w:type="dxa"/>
            <w:tcBorders>
              <w:top w:val="single" w:sz="4" w:space="0" w:color="auto"/>
              <w:left w:val="nil"/>
              <w:bottom w:val="single" w:sz="4" w:space="0" w:color="auto"/>
              <w:right w:val="nil"/>
            </w:tcBorders>
            <w:hideMark/>
          </w:tcPr>
          <w:p w14:paraId="28513DDB"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Total</w:t>
            </w:r>
          </w:p>
        </w:tc>
      </w:tr>
      <w:tr w:rsidR="007F5788" w:rsidRPr="00724BA0" w14:paraId="08713A26" w14:textId="77777777" w:rsidTr="00B23E3B">
        <w:trPr>
          <w:cantSplit/>
        </w:trPr>
        <w:tc>
          <w:tcPr>
            <w:tcW w:w="2279" w:type="dxa"/>
            <w:tcBorders>
              <w:top w:val="nil"/>
              <w:left w:val="nil"/>
              <w:bottom w:val="nil"/>
              <w:right w:val="nil"/>
            </w:tcBorders>
            <w:hideMark/>
          </w:tcPr>
          <w:p w14:paraId="64A83897"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ASO3</w:t>
            </w:r>
          </w:p>
        </w:tc>
        <w:tc>
          <w:tcPr>
            <w:tcW w:w="2246" w:type="dxa"/>
            <w:tcBorders>
              <w:top w:val="nil"/>
              <w:left w:val="nil"/>
              <w:bottom w:val="nil"/>
              <w:right w:val="nil"/>
            </w:tcBorders>
            <w:hideMark/>
          </w:tcPr>
          <w:p w14:paraId="248FE4D4"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2</w:t>
            </w:r>
          </w:p>
        </w:tc>
        <w:tc>
          <w:tcPr>
            <w:tcW w:w="2255" w:type="dxa"/>
            <w:tcBorders>
              <w:top w:val="nil"/>
              <w:left w:val="nil"/>
              <w:bottom w:val="nil"/>
              <w:right w:val="nil"/>
            </w:tcBorders>
            <w:hideMark/>
          </w:tcPr>
          <w:p w14:paraId="3F4A690A"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3.64</w:t>
            </w:r>
          </w:p>
        </w:tc>
        <w:tc>
          <w:tcPr>
            <w:tcW w:w="1867" w:type="dxa"/>
            <w:tcBorders>
              <w:top w:val="nil"/>
              <w:left w:val="nil"/>
              <w:bottom w:val="nil"/>
              <w:right w:val="nil"/>
            </w:tcBorders>
            <w:hideMark/>
          </w:tcPr>
          <w:p w14:paraId="24AC7E2D"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5.64</w:t>
            </w:r>
          </w:p>
        </w:tc>
      </w:tr>
      <w:tr w:rsidR="007F5788" w:rsidRPr="00724BA0" w14:paraId="1BF7B172" w14:textId="77777777" w:rsidTr="00B23E3B">
        <w:trPr>
          <w:cantSplit/>
        </w:trPr>
        <w:tc>
          <w:tcPr>
            <w:tcW w:w="2279" w:type="dxa"/>
            <w:tcBorders>
              <w:top w:val="nil"/>
              <w:left w:val="nil"/>
              <w:bottom w:val="nil"/>
              <w:right w:val="nil"/>
            </w:tcBorders>
            <w:hideMark/>
          </w:tcPr>
          <w:p w14:paraId="7AD08750"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ASO4</w:t>
            </w:r>
          </w:p>
        </w:tc>
        <w:tc>
          <w:tcPr>
            <w:tcW w:w="2246" w:type="dxa"/>
            <w:tcBorders>
              <w:top w:val="nil"/>
              <w:left w:val="nil"/>
              <w:bottom w:val="nil"/>
              <w:right w:val="nil"/>
            </w:tcBorders>
            <w:hideMark/>
          </w:tcPr>
          <w:p w14:paraId="2CE3FB27"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4</w:t>
            </w:r>
          </w:p>
        </w:tc>
        <w:tc>
          <w:tcPr>
            <w:tcW w:w="2255" w:type="dxa"/>
            <w:tcBorders>
              <w:top w:val="nil"/>
              <w:left w:val="nil"/>
              <w:bottom w:val="nil"/>
              <w:right w:val="nil"/>
            </w:tcBorders>
            <w:hideMark/>
          </w:tcPr>
          <w:p w14:paraId="4126E102"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14</w:t>
            </w:r>
          </w:p>
        </w:tc>
        <w:tc>
          <w:tcPr>
            <w:tcW w:w="1867" w:type="dxa"/>
            <w:tcBorders>
              <w:top w:val="nil"/>
              <w:left w:val="nil"/>
              <w:bottom w:val="nil"/>
              <w:right w:val="nil"/>
            </w:tcBorders>
            <w:hideMark/>
          </w:tcPr>
          <w:p w14:paraId="0B92DB67"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18</w:t>
            </w:r>
          </w:p>
        </w:tc>
      </w:tr>
      <w:tr w:rsidR="007F5788" w:rsidRPr="00724BA0" w14:paraId="04904093" w14:textId="77777777" w:rsidTr="00B23E3B">
        <w:trPr>
          <w:cantSplit/>
        </w:trPr>
        <w:tc>
          <w:tcPr>
            <w:tcW w:w="2279" w:type="dxa"/>
            <w:tcBorders>
              <w:top w:val="nil"/>
              <w:left w:val="nil"/>
              <w:bottom w:val="nil"/>
              <w:right w:val="nil"/>
            </w:tcBorders>
            <w:hideMark/>
          </w:tcPr>
          <w:p w14:paraId="085F30A5"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ASO5</w:t>
            </w:r>
          </w:p>
        </w:tc>
        <w:tc>
          <w:tcPr>
            <w:tcW w:w="2246" w:type="dxa"/>
            <w:tcBorders>
              <w:top w:val="nil"/>
              <w:left w:val="nil"/>
              <w:bottom w:val="nil"/>
              <w:right w:val="nil"/>
            </w:tcBorders>
            <w:hideMark/>
          </w:tcPr>
          <w:p w14:paraId="46D9CF55"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1</w:t>
            </w:r>
          </w:p>
        </w:tc>
        <w:tc>
          <w:tcPr>
            <w:tcW w:w="2255" w:type="dxa"/>
            <w:tcBorders>
              <w:top w:val="nil"/>
              <w:left w:val="nil"/>
              <w:bottom w:val="nil"/>
              <w:right w:val="nil"/>
            </w:tcBorders>
            <w:hideMark/>
          </w:tcPr>
          <w:p w14:paraId="2CF3BBDC"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7</w:t>
            </w:r>
          </w:p>
        </w:tc>
        <w:tc>
          <w:tcPr>
            <w:tcW w:w="1867" w:type="dxa"/>
            <w:tcBorders>
              <w:top w:val="nil"/>
              <w:left w:val="nil"/>
              <w:bottom w:val="nil"/>
              <w:right w:val="nil"/>
            </w:tcBorders>
            <w:hideMark/>
          </w:tcPr>
          <w:p w14:paraId="1D7AA171"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8</w:t>
            </w:r>
          </w:p>
        </w:tc>
      </w:tr>
      <w:tr w:rsidR="007F5788" w:rsidRPr="00724BA0" w14:paraId="5ADE6A98" w14:textId="77777777" w:rsidTr="00B23E3B">
        <w:trPr>
          <w:cantSplit/>
        </w:trPr>
        <w:tc>
          <w:tcPr>
            <w:tcW w:w="2279" w:type="dxa"/>
            <w:tcBorders>
              <w:top w:val="nil"/>
              <w:left w:val="nil"/>
              <w:bottom w:val="nil"/>
              <w:right w:val="nil"/>
            </w:tcBorders>
            <w:hideMark/>
          </w:tcPr>
          <w:p w14:paraId="2D09F6AF"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ASO6</w:t>
            </w:r>
          </w:p>
        </w:tc>
        <w:tc>
          <w:tcPr>
            <w:tcW w:w="2246" w:type="dxa"/>
            <w:tcBorders>
              <w:top w:val="nil"/>
              <w:left w:val="nil"/>
              <w:bottom w:val="nil"/>
              <w:right w:val="nil"/>
            </w:tcBorders>
            <w:hideMark/>
          </w:tcPr>
          <w:p w14:paraId="724962A6"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2</w:t>
            </w:r>
          </w:p>
        </w:tc>
        <w:tc>
          <w:tcPr>
            <w:tcW w:w="2255" w:type="dxa"/>
            <w:tcBorders>
              <w:top w:val="nil"/>
              <w:left w:val="nil"/>
              <w:bottom w:val="nil"/>
              <w:right w:val="nil"/>
            </w:tcBorders>
            <w:hideMark/>
          </w:tcPr>
          <w:p w14:paraId="045A7AA9"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13.67</w:t>
            </w:r>
          </w:p>
        </w:tc>
        <w:tc>
          <w:tcPr>
            <w:tcW w:w="1867" w:type="dxa"/>
            <w:tcBorders>
              <w:top w:val="nil"/>
              <w:left w:val="nil"/>
              <w:bottom w:val="nil"/>
              <w:right w:val="nil"/>
            </w:tcBorders>
            <w:hideMark/>
          </w:tcPr>
          <w:p w14:paraId="1E205EB8"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15.67</w:t>
            </w:r>
          </w:p>
        </w:tc>
      </w:tr>
      <w:tr w:rsidR="007F5788" w:rsidRPr="00724BA0" w14:paraId="455E7212" w14:textId="77777777" w:rsidTr="00B23E3B">
        <w:trPr>
          <w:cantSplit/>
          <w:trHeight w:val="79"/>
        </w:trPr>
        <w:tc>
          <w:tcPr>
            <w:tcW w:w="2279" w:type="dxa"/>
            <w:tcBorders>
              <w:top w:val="nil"/>
              <w:left w:val="nil"/>
              <w:bottom w:val="nil"/>
              <w:right w:val="nil"/>
            </w:tcBorders>
            <w:hideMark/>
          </w:tcPr>
          <w:p w14:paraId="21AC3A70"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SOG C</w:t>
            </w:r>
          </w:p>
        </w:tc>
        <w:tc>
          <w:tcPr>
            <w:tcW w:w="2246" w:type="dxa"/>
            <w:tcBorders>
              <w:top w:val="nil"/>
              <w:left w:val="nil"/>
              <w:bottom w:val="nil"/>
              <w:right w:val="nil"/>
            </w:tcBorders>
            <w:hideMark/>
          </w:tcPr>
          <w:p w14:paraId="674A9FC5"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2.40</w:t>
            </w:r>
          </w:p>
        </w:tc>
        <w:tc>
          <w:tcPr>
            <w:tcW w:w="2255" w:type="dxa"/>
            <w:tcBorders>
              <w:top w:val="nil"/>
              <w:left w:val="nil"/>
              <w:bottom w:val="nil"/>
              <w:right w:val="nil"/>
            </w:tcBorders>
            <w:hideMark/>
          </w:tcPr>
          <w:p w14:paraId="34E0348A"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5.40</w:t>
            </w:r>
          </w:p>
        </w:tc>
        <w:tc>
          <w:tcPr>
            <w:tcW w:w="1867" w:type="dxa"/>
            <w:tcBorders>
              <w:top w:val="nil"/>
              <w:left w:val="nil"/>
              <w:bottom w:val="nil"/>
              <w:right w:val="nil"/>
            </w:tcBorders>
            <w:hideMark/>
          </w:tcPr>
          <w:p w14:paraId="184C6229"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7.80</w:t>
            </w:r>
          </w:p>
        </w:tc>
      </w:tr>
      <w:tr w:rsidR="007F5788" w:rsidRPr="00724BA0" w14:paraId="2BC28F54" w14:textId="77777777" w:rsidTr="00B23E3B">
        <w:trPr>
          <w:cantSplit/>
        </w:trPr>
        <w:tc>
          <w:tcPr>
            <w:tcW w:w="2279" w:type="dxa"/>
            <w:tcBorders>
              <w:top w:val="nil"/>
              <w:left w:val="nil"/>
              <w:bottom w:val="nil"/>
              <w:right w:val="nil"/>
            </w:tcBorders>
            <w:hideMark/>
          </w:tcPr>
          <w:p w14:paraId="534AF8B3"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LEGAL 1</w:t>
            </w:r>
          </w:p>
        </w:tc>
        <w:tc>
          <w:tcPr>
            <w:tcW w:w="2246" w:type="dxa"/>
            <w:tcBorders>
              <w:top w:val="nil"/>
              <w:left w:val="nil"/>
              <w:bottom w:val="nil"/>
              <w:right w:val="nil"/>
            </w:tcBorders>
            <w:hideMark/>
          </w:tcPr>
          <w:p w14:paraId="7E33D4E6"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0.92</w:t>
            </w:r>
          </w:p>
        </w:tc>
        <w:tc>
          <w:tcPr>
            <w:tcW w:w="2255" w:type="dxa"/>
            <w:tcBorders>
              <w:top w:val="nil"/>
              <w:left w:val="nil"/>
              <w:bottom w:val="nil"/>
              <w:right w:val="nil"/>
            </w:tcBorders>
            <w:hideMark/>
          </w:tcPr>
          <w:p w14:paraId="257B6EA6"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0</w:t>
            </w:r>
          </w:p>
        </w:tc>
        <w:tc>
          <w:tcPr>
            <w:tcW w:w="1867" w:type="dxa"/>
            <w:tcBorders>
              <w:top w:val="nil"/>
              <w:left w:val="nil"/>
              <w:bottom w:val="nil"/>
              <w:right w:val="nil"/>
            </w:tcBorders>
            <w:hideMark/>
          </w:tcPr>
          <w:p w14:paraId="0B5089C9"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0.92</w:t>
            </w:r>
          </w:p>
        </w:tc>
      </w:tr>
      <w:tr w:rsidR="007F5788" w:rsidRPr="00724BA0" w14:paraId="2B8AFCC7" w14:textId="77777777" w:rsidTr="00B23E3B">
        <w:trPr>
          <w:cantSplit/>
        </w:trPr>
        <w:tc>
          <w:tcPr>
            <w:tcW w:w="2279" w:type="dxa"/>
            <w:tcBorders>
              <w:top w:val="nil"/>
              <w:left w:val="nil"/>
              <w:bottom w:val="nil"/>
              <w:right w:val="nil"/>
            </w:tcBorders>
            <w:hideMark/>
          </w:tcPr>
          <w:p w14:paraId="620162E7"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SOG A</w:t>
            </w:r>
          </w:p>
        </w:tc>
        <w:tc>
          <w:tcPr>
            <w:tcW w:w="2246" w:type="dxa"/>
            <w:tcBorders>
              <w:top w:val="nil"/>
              <w:left w:val="nil"/>
              <w:bottom w:val="nil"/>
              <w:right w:val="nil"/>
            </w:tcBorders>
            <w:hideMark/>
          </w:tcPr>
          <w:p w14:paraId="6A3C2C81"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1</w:t>
            </w:r>
          </w:p>
        </w:tc>
        <w:tc>
          <w:tcPr>
            <w:tcW w:w="2255" w:type="dxa"/>
            <w:tcBorders>
              <w:top w:val="nil"/>
              <w:left w:val="nil"/>
              <w:bottom w:val="nil"/>
              <w:right w:val="nil"/>
            </w:tcBorders>
            <w:hideMark/>
          </w:tcPr>
          <w:p w14:paraId="218442FB"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2</w:t>
            </w:r>
          </w:p>
        </w:tc>
        <w:tc>
          <w:tcPr>
            <w:tcW w:w="1867" w:type="dxa"/>
            <w:tcBorders>
              <w:top w:val="nil"/>
              <w:left w:val="nil"/>
              <w:bottom w:val="nil"/>
              <w:right w:val="nil"/>
            </w:tcBorders>
            <w:hideMark/>
          </w:tcPr>
          <w:p w14:paraId="6A0A6329"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3</w:t>
            </w:r>
          </w:p>
        </w:tc>
      </w:tr>
      <w:tr w:rsidR="007F5788" w:rsidRPr="00724BA0" w14:paraId="10CC1543" w14:textId="77777777" w:rsidTr="00B23E3B">
        <w:trPr>
          <w:cantSplit/>
        </w:trPr>
        <w:tc>
          <w:tcPr>
            <w:tcW w:w="2279" w:type="dxa"/>
            <w:tcBorders>
              <w:top w:val="nil"/>
              <w:left w:val="nil"/>
              <w:bottom w:val="nil"/>
              <w:right w:val="nil"/>
            </w:tcBorders>
            <w:hideMark/>
          </w:tcPr>
          <w:p w14:paraId="0E1032D1"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LEGAL 2</w:t>
            </w:r>
          </w:p>
        </w:tc>
        <w:tc>
          <w:tcPr>
            <w:tcW w:w="2246" w:type="dxa"/>
            <w:tcBorders>
              <w:top w:val="nil"/>
              <w:left w:val="nil"/>
              <w:bottom w:val="nil"/>
              <w:right w:val="nil"/>
            </w:tcBorders>
            <w:hideMark/>
          </w:tcPr>
          <w:p w14:paraId="1E7A2B35"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1</w:t>
            </w:r>
          </w:p>
        </w:tc>
        <w:tc>
          <w:tcPr>
            <w:tcW w:w="2255" w:type="dxa"/>
            <w:tcBorders>
              <w:top w:val="nil"/>
              <w:left w:val="nil"/>
              <w:bottom w:val="nil"/>
              <w:right w:val="nil"/>
            </w:tcBorders>
            <w:hideMark/>
          </w:tcPr>
          <w:p w14:paraId="4FD85B55"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0</w:t>
            </w:r>
          </w:p>
        </w:tc>
        <w:tc>
          <w:tcPr>
            <w:tcW w:w="1867" w:type="dxa"/>
            <w:tcBorders>
              <w:top w:val="nil"/>
              <w:left w:val="nil"/>
              <w:bottom w:val="nil"/>
              <w:right w:val="nil"/>
            </w:tcBorders>
            <w:hideMark/>
          </w:tcPr>
          <w:p w14:paraId="3A34A5DE"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1</w:t>
            </w:r>
          </w:p>
        </w:tc>
      </w:tr>
      <w:tr w:rsidR="007F5788" w:rsidRPr="00724BA0" w14:paraId="52861EB1" w14:textId="77777777" w:rsidTr="00B23E3B">
        <w:trPr>
          <w:cantSplit/>
        </w:trPr>
        <w:tc>
          <w:tcPr>
            <w:tcW w:w="2279" w:type="dxa"/>
            <w:tcBorders>
              <w:top w:val="nil"/>
              <w:left w:val="nil"/>
              <w:bottom w:val="nil"/>
              <w:right w:val="nil"/>
            </w:tcBorders>
            <w:hideMark/>
          </w:tcPr>
          <w:p w14:paraId="00585621"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dr w:val="nil"/>
              </w:rPr>
              <w:t>EXECUTIVE 2.4</w:t>
            </w:r>
          </w:p>
        </w:tc>
        <w:tc>
          <w:tcPr>
            <w:tcW w:w="2246" w:type="dxa"/>
            <w:tcBorders>
              <w:top w:val="nil"/>
              <w:left w:val="nil"/>
              <w:bottom w:val="nil"/>
              <w:right w:val="nil"/>
            </w:tcBorders>
            <w:hideMark/>
          </w:tcPr>
          <w:p w14:paraId="57ECD899"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1</w:t>
            </w:r>
          </w:p>
        </w:tc>
        <w:tc>
          <w:tcPr>
            <w:tcW w:w="2255" w:type="dxa"/>
            <w:tcBorders>
              <w:top w:val="nil"/>
              <w:left w:val="nil"/>
              <w:bottom w:val="nil"/>
              <w:right w:val="nil"/>
            </w:tcBorders>
            <w:hideMark/>
          </w:tcPr>
          <w:p w14:paraId="343E50A8"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dr w:val="nil"/>
              </w:rPr>
              <w:t>0</w:t>
            </w:r>
          </w:p>
        </w:tc>
        <w:tc>
          <w:tcPr>
            <w:tcW w:w="1867" w:type="dxa"/>
            <w:tcBorders>
              <w:top w:val="nil"/>
              <w:left w:val="nil"/>
              <w:bottom w:val="nil"/>
              <w:right w:val="nil"/>
            </w:tcBorders>
            <w:hideMark/>
          </w:tcPr>
          <w:p w14:paraId="55A9148C"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1</w:t>
            </w:r>
          </w:p>
        </w:tc>
      </w:tr>
      <w:tr w:rsidR="007F5788" w:rsidRPr="00724BA0" w14:paraId="08899921" w14:textId="77777777" w:rsidTr="00B23E3B">
        <w:trPr>
          <w:cantSplit/>
        </w:trPr>
        <w:tc>
          <w:tcPr>
            <w:tcW w:w="2279" w:type="dxa"/>
            <w:tcBorders>
              <w:top w:val="single" w:sz="4" w:space="0" w:color="auto"/>
              <w:left w:val="nil"/>
              <w:bottom w:val="single" w:sz="4" w:space="0" w:color="auto"/>
              <w:right w:val="nil"/>
            </w:tcBorders>
            <w:hideMark/>
          </w:tcPr>
          <w:p w14:paraId="7E54525A" w14:textId="77777777" w:rsidR="007F5788" w:rsidRPr="007C7B01" w:rsidRDefault="007F5788" w:rsidP="00B23E3B">
            <w:pPr>
              <w:pStyle w:val="Normal5"/>
              <w:pBdr>
                <w:top w:val="nil"/>
                <w:left w:val="nil"/>
                <w:bottom w:val="nil"/>
                <w:right w:val="nil"/>
                <w:between w:val="nil"/>
                <w:bar w:val="nil"/>
              </w:pBdr>
              <w:rPr>
                <w:rFonts w:asciiTheme="minorHAnsi" w:hAnsiTheme="minorHAnsi" w:cstheme="minorHAnsi"/>
                <w:bdr w:val="nil"/>
              </w:rPr>
            </w:pPr>
            <w:r w:rsidRPr="007C7B01">
              <w:rPr>
                <w:rFonts w:asciiTheme="minorHAnsi" w:hAnsiTheme="minorHAnsi" w:cstheme="minorHAnsi"/>
                <w:b/>
                <w:bdr w:val="nil"/>
              </w:rPr>
              <w:t>Total</w:t>
            </w:r>
          </w:p>
        </w:tc>
        <w:tc>
          <w:tcPr>
            <w:tcW w:w="2246" w:type="dxa"/>
            <w:tcBorders>
              <w:top w:val="single" w:sz="4" w:space="0" w:color="auto"/>
              <w:left w:val="nil"/>
              <w:bottom w:val="single" w:sz="4" w:space="0" w:color="auto"/>
              <w:right w:val="nil"/>
            </w:tcBorders>
            <w:hideMark/>
          </w:tcPr>
          <w:p w14:paraId="03E82FAD"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
                <w:bdr w:val="nil"/>
              </w:rPr>
              <w:t>15.32</w:t>
            </w:r>
          </w:p>
        </w:tc>
        <w:tc>
          <w:tcPr>
            <w:tcW w:w="2255" w:type="dxa"/>
            <w:tcBorders>
              <w:top w:val="single" w:sz="4" w:space="0" w:color="auto"/>
              <w:left w:val="nil"/>
              <w:bottom w:val="single" w:sz="4" w:space="0" w:color="auto"/>
              <w:right w:val="nil"/>
            </w:tcBorders>
            <w:hideMark/>
          </w:tcPr>
          <w:p w14:paraId="7D799F64"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dr w:val="nil"/>
              </w:rPr>
            </w:pPr>
            <w:r w:rsidRPr="007C7B01">
              <w:rPr>
                <w:rFonts w:asciiTheme="minorHAnsi" w:hAnsiTheme="minorHAnsi" w:cstheme="minorHAnsi"/>
                <w:b/>
                <w:bdr w:val="nil"/>
              </w:rPr>
              <w:t>45.71</w:t>
            </w:r>
          </w:p>
        </w:tc>
        <w:tc>
          <w:tcPr>
            <w:tcW w:w="1867" w:type="dxa"/>
            <w:tcBorders>
              <w:top w:val="single" w:sz="4" w:space="0" w:color="auto"/>
              <w:left w:val="nil"/>
              <w:bottom w:val="single" w:sz="4" w:space="0" w:color="auto"/>
              <w:right w:val="nil"/>
            </w:tcBorders>
            <w:hideMark/>
          </w:tcPr>
          <w:p w14:paraId="3DE4AB3A" w14:textId="77777777" w:rsidR="007F5788" w:rsidRPr="007C7B01" w:rsidRDefault="007F5788" w:rsidP="00B23E3B">
            <w:pPr>
              <w:pStyle w:val="Normal5"/>
              <w:pBdr>
                <w:top w:val="nil"/>
                <w:left w:val="nil"/>
                <w:bottom w:val="nil"/>
                <w:right w:val="nil"/>
                <w:between w:val="nil"/>
                <w:bar w:val="nil"/>
              </w:pBdr>
              <w:jc w:val="right"/>
              <w:rPr>
                <w:rFonts w:asciiTheme="minorHAnsi" w:hAnsiTheme="minorHAnsi" w:cstheme="minorHAnsi"/>
                <w:b/>
                <w:bdr w:val="nil"/>
              </w:rPr>
            </w:pPr>
            <w:r w:rsidRPr="007C7B01">
              <w:rPr>
                <w:rFonts w:asciiTheme="minorHAnsi" w:hAnsiTheme="minorHAnsi" w:cstheme="minorHAnsi"/>
                <w:b/>
                <w:bdr w:val="nil"/>
              </w:rPr>
              <w:t>61.03</w:t>
            </w:r>
          </w:p>
        </w:tc>
      </w:tr>
    </w:tbl>
    <w:p w14:paraId="21C43E4A" w14:textId="77777777" w:rsidR="007F5788" w:rsidRDefault="007F5788" w:rsidP="007F5788">
      <w:pPr>
        <w:pStyle w:val="Normal6"/>
        <w:pageBreakBefore/>
        <w:pBdr>
          <w:top w:val="nil"/>
          <w:left w:val="nil"/>
          <w:bottom w:val="nil"/>
          <w:right w:val="nil"/>
          <w:between w:val="nil"/>
          <w:bar w:val="nil"/>
        </w:pBdr>
        <w:spacing w:before="0" w:after="160" w:line="254" w:lineRule="auto"/>
        <w:rPr>
          <w:rFonts w:eastAsia="Calibri"/>
          <w:b/>
          <w:snapToGrid w:val="0"/>
          <w:sz w:val="32"/>
          <w:szCs w:val="22"/>
          <w:bdr w:val="nil"/>
        </w:rPr>
      </w:pPr>
      <w:r>
        <w:rPr>
          <w:rFonts w:eastAsia="Calibri"/>
          <w:b/>
          <w:snapToGrid w:val="0"/>
          <w:sz w:val="32"/>
          <w:szCs w:val="22"/>
          <w:bdr w:val="nil"/>
        </w:rPr>
        <w:lastRenderedPageBreak/>
        <w:t>Key Performance Indicators for 2021-22 to 2024-25</w:t>
      </w:r>
    </w:p>
    <w:p w14:paraId="00965250" w14:textId="77777777" w:rsidR="007F5788" w:rsidRDefault="007F5788" w:rsidP="007F5788">
      <w:pPr>
        <w:pStyle w:val="Normal6"/>
        <w:pBdr>
          <w:top w:val="nil"/>
          <w:left w:val="nil"/>
          <w:bottom w:val="nil"/>
          <w:right w:val="nil"/>
          <w:between w:val="nil"/>
          <w:bar w:val="nil"/>
        </w:pBdr>
        <w:spacing w:before="0" w:after="160" w:line="254" w:lineRule="auto"/>
        <w:rPr>
          <w:b/>
          <w:bdr w:val="nil"/>
        </w:rPr>
      </w:pPr>
      <w:r>
        <w:rPr>
          <w:b/>
          <w:bdr w:val="nil"/>
        </w:rPr>
        <w:t>Table 3:</w:t>
      </w: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680"/>
        <w:gridCol w:w="1071"/>
        <w:gridCol w:w="919"/>
        <w:gridCol w:w="918"/>
        <w:gridCol w:w="919"/>
        <w:gridCol w:w="918"/>
        <w:gridCol w:w="817"/>
      </w:tblGrid>
      <w:tr w:rsidR="007F5788" w14:paraId="22EBFF2C" w14:textId="77777777" w:rsidTr="00B23E3B">
        <w:trPr>
          <w:trHeight w:val="691"/>
        </w:trPr>
        <w:tc>
          <w:tcPr>
            <w:tcW w:w="3509" w:type="dxa"/>
            <w:tcBorders>
              <w:top w:val="single" w:sz="6" w:space="0" w:color="auto"/>
              <w:left w:val="nil"/>
              <w:bottom w:val="single" w:sz="6" w:space="0" w:color="auto"/>
              <w:right w:val="nil"/>
            </w:tcBorders>
            <w:hideMark/>
          </w:tcPr>
          <w:p w14:paraId="21E067BC"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INDICATOR</w:t>
            </w:r>
          </w:p>
        </w:tc>
        <w:tc>
          <w:tcPr>
            <w:tcW w:w="1021" w:type="dxa"/>
            <w:tcBorders>
              <w:top w:val="single" w:sz="6" w:space="0" w:color="auto"/>
              <w:left w:val="nil"/>
              <w:bottom w:val="single" w:sz="6" w:space="0" w:color="auto"/>
              <w:right w:val="nil"/>
            </w:tcBorders>
            <w:hideMark/>
          </w:tcPr>
          <w:p w14:paraId="38F85244"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Interim</w:t>
            </w:r>
          </w:p>
          <w:p w14:paraId="2978DE2C"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Outcome</w:t>
            </w:r>
          </w:p>
          <w:p w14:paraId="1CF00984"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2020-21</w:t>
            </w:r>
          </w:p>
        </w:tc>
        <w:tc>
          <w:tcPr>
            <w:tcW w:w="877" w:type="dxa"/>
            <w:tcBorders>
              <w:top w:val="single" w:sz="6" w:space="0" w:color="auto"/>
              <w:left w:val="nil"/>
              <w:bottom w:val="single" w:sz="6" w:space="0" w:color="auto"/>
              <w:right w:val="nil"/>
            </w:tcBorders>
            <w:hideMark/>
          </w:tcPr>
          <w:p w14:paraId="3FA9C407"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Planned</w:t>
            </w:r>
          </w:p>
          <w:p w14:paraId="6ED2076C"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2020-21</w:t>
            </w:r>
          </w:p>
        </w:tc>
        <w:tc>
          <w:tcPr>
            <w:tcW w:w="876" w:type="dxa"/>
            <w:tcBorders>
              <w:top w:val="single" w:sz="6" w:space="0" w:color="auto"/>
              <w:left w:val="nil"/>
              <w:bottom w:val="single" w:sz="6" w:space="0" w:color="auto"/>
              <w:right w:val="nil"/>
            </w:tcBorders>
            <w:hideMark/>
          </w:tcPr>
          <w:p w14:paraId="0A73B3FF"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Planned</w:t>
            </w:r>
          </w:p>
          <w:p w14:paraId="13CCF78F"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ind w:left="1026" w:hanging="1026"/>
              <w:jc w:val="center"/>
              <w:rPr>
                <w:rFonts w:eastAsia="Calibri" w:cs="Calibri"/>
                <w:b/>
                <w:sz w:val="16"/>
                <w:szCs w:val="24"/>
                <w:bdr w:val="nil"/>
              </w:rPr>
            </w:pPr>
            <w:r>
              <w:rPr>
                <w:rFonts w:eastAsia="Calibri" w:cs="Calibri"/>
                <w:b/>
                <w:sz w:val="16"/>
                <w:szCs w:val="24"/>
                <w:bdr w:val="nil"/>
              </w:rPr>
              <w:t>2021-22</w:t>
            </w:r>
          </w:p>
        </w:tc>
        <w:tc>
          <w:tcPr>
            <w:tcW w:w="877" w:type="dxa"/>
            <w:tcBorders>
              <w:top w:val="single" w:sz="6" w:space="0" w:color="auto"/>
              <w:left w:val="nil"/>
              <w:bottom w:val="single" w:sz="6" w:space="0" w:color="auto"/>
              <w:right w:val="nil"/>
            </w:tcBorders>
            <w:hideMark/>
          </w:tcPr>
          <w:p w14:paraId="3941EC16"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Planned</w:t>
            </w:r>
          </w:p>
          <w:p w14:paraId="310AD83E"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2022-23</w:t>
            </w:r>
          </w:p>
        </w:tc>
        <w:tc>
          <w:tcPr>
            <w:tcW w:w="876" w:type="dxa"/>
            <w:tcBorders>
              <w:top w:val="single" w:sz="6" w:space="0" w:color="auto"/>
              <w:left w:val="nil"/>
              <w:bottom w:val="single" w:sz="6" w:space="0" w:color="auto"/>
              <w:right w:val="nil"/>
            </w:tcBorders>
            <w:hideMark/>
          </w:tcPr>
          <w:p w14:paraId="08168A9C"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Planned</w:t>
            </w:r>
          </w:p>
          <w:p w14:paraId="63D02C1B"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2023-24</w:t>
            </w:r>
          </w:p>
        </w:tc>
        <w:tc>
          <w:tcPr>
            <w:tcW w:w="779" w:type="dxa"/>
            <w:tcBorders>
              <w:top w:val="single" w:sz="6" w:space="0" w:color="auto"/>
              <w:left w:val="nil"/>
              <w:bottom w:val="single" w:sz="6" w:space="0" w:color="auto"/>
              <w:right w:val="nil"/>
            </w:tcBorders>
            <w:hideMark/>
          </w:tcPr>
          <w:p w14:paraId="4438F2CE"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Planned</w:t>
            </w:r>
          </w:p>
          <w:p w14:paraId="57C7B15C" w14:textId="77777777" w:rsidR="007F5788" w:rsidRDefault="007F5788" w:rsidP="00B23E3B">
            <w:pPr>
              <w:pStyle w:val="Normal6"/>
              <w:numPr>
                <w:ilvl w:val="12"/>
                <w:numId w:val="0"/>
              </w:numPr>
              <w:pBdr>
                <w:top w:val="nil"/>
                <w:left w:val="nil"/>
                <w:bottom w:val="nil"/>
                <w:right w:val="nil"/>
                <w:between w:val="nil"/>
                <w:bar w:val="nil"/>
              </w:pBdr>
              <w:spacing w:before="0" w:after="0" w:line="276" w:lineRule="auto"/>
              <w:jc w:val="center"/>
              <w:rPr>
                <w:rFonts w:eastAsia="Calibri" w:cs="Calibri"/>
                <w:b/>
                <w:sz w:val="16"/>
                <w:szCs w:val="24"/>
                <w:bdr w:val="nil"/>
              </w:rPr>
            </w:pPr>
            <w:r>
              <w:rPr>
                <w:rFonts w:eastAsia="Calibri" w:cs="Calibri"/>
                <w:b/>
                <w:sz w:val="16"/>
                <w:szCs w:val="24"/>
                <w:bdr w:val="nil"/>
              </w:rPr>
              <w:t>2024-25</w:t>
            </w:r>
          </w:p>
        </w:tc>
      </w:tr>
      <w:tr w:rsidR="007F5788" w14:paraId="2A2A9F8A" w14:textId="77777777" w:rsidTr="00B23E3B">
        <w:trPr>
          <w:trHeight w:val="691"/>
        </w:trPr>
        <w:tc>
          <w:tcPr>
            <w:tcW w:w="3509" w:type="dxa"/>
            <w:tcBorders>
              <w:top w:val="single" w:sz="6" w:space="0" w:color="auto"/>
              <w:left w:val="nil"/>
              <w:bottom w:val="single" w:sz="4" w:space="0" w:color="auto"/>
              <w:right w:val="nil"/>
            </w:tcBorders>
            <w:hideMark/>
          </w:tcPr>
          <w:p w14:paraId="52A91246" w14:textId="77777777" w:rsidR="007F5788" w:rsidRDefault="007F5788" w:rsidP="00B23E3B">
            <w:pPr>
              <w:pStyle w:val="Normal6"/>
              <w:numPr>
                <w:ilvl w:val="12"/>
                <w:numId w:val="0"/>
              </w:numPr>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eastAsia="Calibri" w:cs="Roboto-Light"/>
                <w:bCs/>
                <w:spacing w:val="-2"/>
                <w:sz w:val="18"/>
                <w:szCs w:val="18"/>
                <w:bdr w:val="nil"/>
                <w:lang w:val="en-GB"/>
              </w:rPr>
              <w:t xml:space="preserve">Guardianship Orders - no. of people for whom PTG acted as Guardian appointed by the ACT Civil and Administrative Tribunal (ACAT) under the </w:t>
            </w:r>
            <w:r>
              <w:rPr>
                <w:rFonts w:eastAsia="Calibri" w:cs="Roboto-LightItalic"/>
                <w:i/>
                <w:iCs/>
                <w:spacing w:val="-2"/>
                <w:sz w:val="18"/>
                <w:szCs w:val="18"/>
                <w:bdr w:val="nil"/>
                <w:lang w:val="en-GB"/>
              </w:rPr>
              <w:t>Guardianship and Management of Property Act 1991</w:t>
            </w:r>
            <w:r>
              <w:rPr>
                <w:rFonts w:eastAsia="Calibri" w:cs="Roboto-Light"/>
                <w:bCs/>
                <w:spacing w:val="-2"/>
                <w:sz w:val="18"/>
                <w:szCs w:val="18"/>
                <w:bdr w:val="nil"/>
                <w:lang w:val="en-GB"/>
              </w:rPr>
              <w:t xml:space="preserve"> (GMPA) during the reported period</w:t>
            </w:r>
          </w:p>
        </w:tc>
        <w:tc>
          <w:tcPr>
            <w:tcW w:w="1021" w:type="dxa"/>
            <w:tcBorders>
              <w:top w:val="single" w:sz="6" w:space="0" w:color="auto"/>
              <w:left w:val="nil"/>
              <w:bottom w:val="single" w:sz="4" w:space="0" w:color="auto"/>
              <w:right w:val="nil"/>
            </w:tcBorders>
            <w:hideMark/>
          </w:tcPr>
          <w:p w14:paraId="3B2EF8B9" w14:textId="77777777" w:rsidR="007F5788" w:rsidRDefault="007F5788" w:rsidP="00B23E3B">
            <w:pPr>
              <w:pStyle w:val="Normal6"/>
              <w:pBdr>
                <w:top w:val="nil"/>
                <w:left w:val="nil"/>
                <w:bottom w:val="nil"/>
                <w:right w:val="nil"/>
                <w:between w:val="nil"/>
                <w:bar w:val="nil"/>
              </w:pBdr>
              <w:spacing w:before="0" w:after="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235</w:t>
            </w:r>
          </w:p>
        </w:tc>
        <w:tc>
          <w:tcPr>
            <w:tcW w:w="877" w:type="dxa"/>
            <w:tcBorders>
              <w:top w:val="single" w:sz="6" w:space="0" w:color="auto"/>
              <w:left w:val="nil"/>
              <w:bottom w:val="single" w:sz="4" w:space="0" w:color="auto"/>
              <w:right w:val="nil"/>
            </w:tcBorders>
            <w:hideMark/>
          </w:tcPr>
          <w:p w14:paraId="14089D43" w14:textId="77777777" w:rsidR="007F5788" w:rsidRDefault="007F5788" w:rsidP="00B23E3B">
            <w:pPr>
              <w:pStyle w:val="Normal6"/>
              <w:pBdr>
                <w:top w:val="nil"/>
                <w:left w:val="nil"/>
                <w:bottom w:val="nil"/>
                <w:right w:val="nil"/>
                <w:between w:val="nil"/>
                <w:bar w:val="nil"/>
              </w:pBdr>
              <w:spacing w:before="0" w:after="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225</w:t>
            </w:r>
          </w:p>
        </w:tc>
        <w:tc>
          <w:tcPr>
            <w:tcW w:w="876" w:type="dxa"/>
            <w:tcBorders>
              <w:top w:val="single" w:sz="6" w:space="0" w:color="auto"/>
              <w:left w:val="nil"/>
              <w:bottom w:val="single" w:sz="4" w:space="0" w:color="auto"/>
              <w:right w:val="nil"/>
            </w:tcBorders>
            <w:hideMark/>
          </w:tcPr>
          <w:p w14:paraId="2985D4D4" w14:textId="77777777" w:rsidR="007F5788" w:rsidRDefault="007F5788" w:rsidP="00B23E3B">
            <w:pPr>
              <w:pStyle w:val="Normal6"/>
              <w:numPr>
                <w:ilvl w:val="12"/>
                <w:numId w:val="0"/>
              </w:numPr>
              <w:pBdr>
                <w:top w:val="nil"/>
                <w:left w:val="nil"/>
                <w:bottom w:val="nil"/>
                <w:right w:val="nil"/>
                <w:between w:val="nil"/>
                <w:bar w:val="nil"/>
              </w:pBdr>
              <w:spacing w:before="0" w:after="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230</w:t>
            </w:r>
          </w:p>
        </w:tc>
        <w:tc>
          <w:tcPr>
            <w:tcW w:w="877" w:type="dxa"/>
            <w:tcBorders>
              <w:top w:val="single" w:sz="6" w:space="0" w:color="auto"/>
              <w:left w:val="nil"/>
              <w:bottom w:val="single" w:sz="4" w:space="0" w:color="auto"/>
              <w:right w:val="nil"/>
            </w:tcBorders>
            <w:hideMark/>
          </w:tcPr>
          <w:p w14:paraId="0E42996B" w14:textId="77777777" w:rsidR="007F5788" w:rsidRDefault="007F5788" w:rsidP="00B23E3B">
            <w:pPr>
              <w:pStyle w:val="Normal6"/>
              <w:numPr>
                <w:ilvl w:val="12"/>
                <w:numId w:val="0"/>
              </w:numPr>
              <w:pBdr>
                <w:top w:val="nil"/>
                <w:left w:val="nil"/>
                <w:bottom w:val="nil"/>
                <w:right w:val="nil"/>
                <w:between w:val="nil"/>
                <w:bar w:val="nil"/>
              </w:pBdr>
              <w:spacing w:before="0" w:after="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230</w:t>
            </w:r>
          </w:p>
        </w:tc>
        <w:tc>
          <w:tcPr>
            <w:tcW w:w="876" w:type="dxa"/>
            <w:tcBorders>
              <w:top w:val="single" w:sz="6" w:space="0" w:color="auto"/>
              <w:left w:val="nil"/>
              <w:bottom w:val="single" w:sz="4" w:space="0" w:color="auto"/>
              <w:right w:val="nil"/>
            </w:tcBorders>
            <w:hideMark/>
          </w:tcPr>
          <w:p w14:paraId="2C044D87" w14:textId="77777777" w:rsidR="007F5788" w:rsidRDefault="007F5788" w:rsidP="00B23E3B">
            <w:pPr>
              <w:pStyle w:val="Normal6"/>
              <w:numPr>
                <w:ilvl w:val="12"/>
                <w:numId w:val="0"/>
              </w:numPr>
              <w:pBdr>
                <w:top w:val="nil"/>
                <w:left w:val="nil"/>
                <w:bottom w:val="nil"/>
                <w:right w:val="nil"/>
                <w:between w:val="nil"/>
                <w:bar w:val="nil"/>
              </w:pBdr>
              <w:spacing w:before="0" w:after="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230</w:t>
            </w:r>
          </w:p>
        </w:tc>
        <w:tc>
          <w:tcPr>
            <w:tcW w:w="779" w:type="dxa"/>
            <w:tcBorders>
              <w:top w:val="single" w:sz="6" w:space="0" w:color="auto"/>
              <w:left w:val="nil"/>
              <w:bottom w:val="single" w:sz="4" w:space="0" w:color="auto"/>
              <w:right w:val="nil"/>
            </w:tcBorders>
          </w:tcPr>
          <w:p w14:paraId="3C1EFB9A" w14:textId="77777777" w:rsidR="007F5788" w:rsidRDefault="007F5788" w:rsidP="00B23E3B">
            <w:pPr>
              <w:pStyle w:val="Normal6"/>
              <w:numPr>
                <w:ilvl w:val="12"/>
                <w:numId w:val="0"/>
              </w:numPr>
              <w:pBdr>
                <w:top w:val="nil"/>
                <w:left w:val="nil"/>
                <w:bottom w:val="nil"/>
                <w:right w:val="nil"/>
                <w:between w:val="nil"/>
                <w:bar w:val="nil"/>
              </w:pBdr>
              <w:spacing w:before="0" w:after="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230</w:t>
            </w:r>
          </w:p>
          <w:p w14:paraId="0BA70855" w14:textId="77777777" w:rsidR="007F5788" w:rsidRDefault="007F5788" w:rsidP="00B23E3B">
            <w:pPr>
              <w:pStyle w:val="Normal6"/>
              <w:numPr>
                <w:ilvl w:val="12"/>
                <w:numId w:val="0"/>
              </w:numPr>
              <w:pBdr>
                <w:top w:val="nil"/>
                <w:left w:val="nil"/>
                <w:bottom w:val="nil"/>
                <w:right w:val="nil"/>
                <w:between w:val="nil"/>
                <w:bar w:val="nil"/>
              </w:pBdr>
              <w:spacing w:before="0" w:after="0" w:line="254" w:lineRule="auto"/>
              <w:rPr>
                <w:rFonts w:eastAsia="Calibri" w:cs="Roboto-Light"/>
                <w:bCs/>
                <w:spacing w:val="-2"/>
                <w:sz w:val="18"/>
                <w:szCs w:val="18"/>
                <w:bdr w:val="nil"/>
                <w:lang w:val="en-GB"/>
              </w:rPr>
            </w:pPr>
          </w:p>
          <w:p w14:paraId="21F76000" w14:textId="77777777" w:rsidR="007F5788" w:rsidRDefault="007F5788" w:rsidP="00B23E3B">
            <w:pPr>
              <w:pStyle w:val="Normal6"/>
              <w:numPr>
                <w:ilvl w:val="12"/>
                <w:numId w:val="0"/>
              </w:numPr>
              <w:pBdr>
                <w:top w:val="nil"/>
                <w:left w:val="nil"/>
                <w:bottom w:val="nil"/>
                <w:right w:val="nil"/>
                <w:between w:val="nil"/>
                <w:bar w:val="nil"/>
              </w:pBdr>
              <w:spacing w:before="0" w:after="0" w:line="254" w:lineRule="auto"/>
              <w:jc w:val="center"/>
              <w:rPr>
                <w:rFonts w:eastAsia="Calibri" w:cs="Roboto-Light"/>
                <w:bCs/>
                <w:spacing w:val="-2"/>
                <w:sz w:val="18"/>
                <w:szCs w:val="18"/>
                <w:bdr w:val="nil"/>
                <w:lang w:val="en-GB"/>
              </w:rPr>
            </w:pPr>
          </w:p>
        </w:tc>
      </w:tr>
      <w:tr w:rsidR="007F5788" w14:paraId="2B5D637E" w14:textId="77777777" w:rsidTr="00B23E3B">
        <w:trPr>
          <w:trHeight w:val="691"/>
        </w:trPr>
        <w:tc>
          <w:tcPr>
            <w:tcW w:w="3509" w:type="dxa"/>
            <w:tcBorders>
              <w:top w:val="single" w:sz="4" w:space="0" w:color="auto"/>
              <w:left w:val="nil"/>
              <w:bottom w:val="single" w:sz="6" w:space="0" w:color="auto"/>
              <w:right w:val="nil"/>
            </w:tcBorders>
            <w:hideMark/>
          </w:tcPr>
          <w:p w14:paraId="40374C2C" w14:textId="77777777" w:rsidR="007F5788" w:rsidRDefault="007F5788" w:rsidP="00B23E3B">
            <w:pPr>
              <w:pStyle w:val="Normal6"/>
              <w:pBdr>
                <w:top w:val="nil"/>
                <w:left w:val="nil"/>
                <w:bottom w:val="nil"/>
                <w:right w:val="nil"/>
                <w:between w:val="nil"/>
                <w:bar w:val="nil"/>
              </w:pBdr>
              <w:spacing w:before="0" w:after="0" w:line="254" w:lineRule="auto"/>
              <w:rPr>
                <w:rFonts w:eastAsia="Calibri"/>
                <w:i/>
                <w:sz w:val="16"/>
                <w:szCs w:val="16"/>
                <w:bdr w:val="nil"/>
              </w:rPr>
            </w:pPr>
            <w:r>
              <w:rPr>
                <w:rFonts w:eastAsia="Calibri" w:cs="Roboto-Light"/>
                <w:bCs/>
                <w:spacing w:val="-2"/>
                <w:sz w:val="18"/>
                <w:szCs w:val="18"/>
                <w:bdr w:val="nil"/>
                <w:lang w:val="en-GB"/>
              </w:rPr>
              <w:t>Management Orders - no. of orders in which PTG was appointed as Manager by ACAT under the GMPA current at the end of the reported period by ACAT</w:t>
            </w:r>
          </w:p>
        </w:tc>
        <w:tc>
          <w:tcPr>
            <w:tcW w:w="1021" w:type="dxa"/>
            <w:tcBorders>
              <w:top w:val="single" w:sz="4" w:space="0" w:color="auto"/>
              <w:left w:val="nil"/>
              <w:bottom w:val="single" w:sz="6" w:space="0" w:color="auto"/>
              <w:right w:val="nil"/>
            </w:tcBorders>
            <w:hideMark/>
          </w:tcPr>
          <w:p w14:paraId="24720210"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507</w:t>
            </w:r>
          </w:p>
        </w:tc>
        <w:tc>
          <w:tcPr>
            <w:tcW w:w="877" w:type="dxa"/>
            <w:tcBorders>
              <w:top w:val="single" w:sz="4" w:space="0" w:color="auto"/>
              <w:left w:val="nil"/>
              <w:bottom w:val="single" w:sz="6" w:space="0" w:color="auto"/>
              <w:right w:val="nil"/>
            </w:tcBorders>
            <w:hideMark/>
          </w:tcPr>
          <w:p w14:paraId="44C5DDA1"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510</w:t>
            </w:r>
          </w:p>
        </w:tc>
        <w:tc>
          <w:tcPr>
            <w:tcW w:w="876" w:type="dxa"/>
            <w:tcBorders>
              <w:top w:val="single" w:sz="4" w:space="0" w:color="auto"/>
              <w:left w:val="nil"/>
              <w:bottom w:val="single" w:sz="6" w:space="0" w:color="auto"/>
              <w:right w:val="nil"/>
            </w:tcBorders>
            <w:hideMark/>
          </w:tcPr>
          <w:p w14:paraId="75D43DB4"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510</w:t>
            </w:r>
          </w:p>
        </w:tc>
        <w:tc>
          <w:tcPr>
            <w:tcW w:w="877" w:type="dxa"/>
            <w:tcBorders>
              <w:top w:val="single" w:sz="4" w:space="0" w:color="auto"/>
              <w:left w:val="nil"/>
              <w:bottom w:val="single" w:sz="6" w:space="0" w:color="auto"/>
              <w:right w:val="nil"/>
            </w:tcBorders>
            <w:hideMark/>
          </w:tcPr>
          <w:p w14:paraId="6A5028E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510</w:t>
            </w:r>
          </w:p>
        </w:tc>
        <w:tc>
          <w:tcPr>
            <w:tcW w:w="876" w:type="dxa"/>
            <w:tcBorders>
              <w:top w:val="single" w:sz="4" w:space="0" w:color="auto"/>
              <w:left w:val="nil"/>
              <w:bottom w:val="single" w:sz="6" w:space="0" w:color="auto"/>
              <w:right w:val="nil"/>
            </w:tcBorders>
            <w:hideMark/>
          </w:tcPr>
          <w:p w14:paraId="203D681B"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510</w:t>
            </w:r>
          </w:p>
        </w:tc>
        <w:tc>
          <w:tcPr>
            <w:tcW w:w="779" w:type="dxa"/>
            <w:tcBorders>
              <w:top w:val="single" w:sz="4" w:space="0" w:color="auto"/>
              <w:left w:val="nil"/>
              <w:bottom w:val="single" w:sz="6" w:space="0" w:color="auto"/>
              <w:right w:val="nil"/>
            </w:tcBorders>
            <w:hideMark/>
          </w:tcPr>
          <w:p w14:paraId="6ECF8CE7"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510</w:t>
            </w:r>
          </w:p>
        </w:tc>
      </w:tr>
      <w:tr w:rsidR="007F5788" w14:paraId="561E4FE6" w14:textId="77777777" w:rsidTr="00B23E3B">
        <w:trPr>
          <w:trHeight w:val="691"/>
        </w:trPr>
        <w:tc>
          <w:tcPr>
            <w:tcW w:w="3509" w:type="dxa"/>
            <w:tcBorders>
              <w:top w:val="single" w:sz="6" w:space="0" w:color="auto"/>
              <w:left w:val="nil"/>
              <w:bottom w:val="single" w:sz="6" w:space="0" w:color="auto"/>
              <w:right w:val="nil"/>
            </w:tcBorders>
            <w:hideMark/>
          </w:tcPr>
          <w:p w14:paraId="38BEB011"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6"/>
                <w:szCs w:val="16"/>
                <w:bdr w:val="nil"/>
                <w:lang w:val="en-GB"/>
              </w:rPr>
            </w:pPr>
            <w:r>
              <w:rPr>
                <w:rFonts w:eastAsia="Calibri" w:cs="Roboto-Light"/>
                <w:bCs/>
                <w:spacing w:val="-2"/>
                <w:sz w:val="18"/>
                <w:szCs w:val="18"/>
                <w:bdr w:val="nil"/>
                <w:lang w:val="en-GB"/>
              </w:rPr>
              <w:t>Enduring Power of Attorney (EPA) - no. of EPA's appointing PTG for all matters made during the reported period</w:t>
            </w:r>
            <w:r>
              <w:rPr>
                <w:rFonts w:ascii="Verdana" w:eastAsia="Calibri" w:hAnsi="Verdana" w:cs="Roboto-Light"/>
                <w:bCs/>
                <w:spacing w:val="-2"/>
                <w:sz w:val="16"/>
                <w:szCs w:val="18"/>
                <w:bdr w:val="nil"/>
                <w:vertAlign w:val="superscript"/>
                <w:lang w:val="en-GB"/>
              </w:rPr>
              <w:t>1</w:t>
            </w:r>
          </w:p>
        </w:tc>
        <w:tc>
          <w:tcPr>
            <w:tcW w:w="1021" w:type="dxa"/>
            <w:tcBorders>
              <w:top w:val="single" w:sz="6" w:space="0" w:color="auto"/>
              <w:left w:val="nil"/>
              <w:bottom w:val="single" w:sz="6" w:space="0" w:color="auto"/>
              <w:right w:val="nil"/>
            </w:tcBorders>
            <w:hideMark/>
          </w:tcPr>
          <w:p w14:paraId="0675471C"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67</w:t>
            </w:r>
          </w:p>
        </w:tc>
        <w:tc>
          <w:tcPr>
            <w:tcW w:w="877" w:type="dxa"/>
            <w:tcBorders>
              <w:top w:val="single" w:sz="6" w:space="0" w:color="auto"/>
              <w:left w:val="nil"/>
              <w:bottom w:val="single" w:sz="6" w:space="0" w:color="auto"/>
              <w:right w:val="nil"/>
            </w:tcBorders>
            <w:hideMark/>
          </w:tcPr>
          <w:p w14:paraId="5C35A2DC"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130</w:t>
            </w:r>
          </w:p>
        </w:tc>
        <w:tc>
          <w:tcPr>
            <w:tcW w:w="876" w:type="dxa"/>
            <w:tcBorders>
              <w:top w:val="single" w:sz="6" w:space="0" w:color="auto"/>
              <w:left w:val="nil"/>
              <w:bottom w:val="single" w:sz="6" w:space="0" w:color="auto"/>
              <w:right w:val="nil"/>
            </w:tcBorders>
            <w:hideMark/>
          </w:tcPr>
          <w:p w14:paraId="10B5B9C7"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70</w:t>
            </w:r>
          </w:p>
        </w:tc>
        <w:tc>
          <w:tcPr>
            <w:tcW w:w="877" w:type="dxa"/>
            <w:tcBorders>
              <w:top w:val="single" w:sz="6" w:space="0" w:color="auto"/>
              <w:left w:val="nil"/>
              <w:bottom w:val="single" w:sz="6" w:space="0" w:color="auto"/>
              <w:right w:val="nil"/>
            </w:tcBorders>
            <w:hideMark/>
          </w:tcPr>
          <w:p w14:paraId="26A4B154"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100</w:t>
            </w:r>
          </w:p>
        </w:tc>
        <w:tc>
          <w:tcPr>
            <w:tcW w:w="876" w:type="dxa"/>
            <w:tcBorders>
              <w:top w:val="single" w:sz="6" w:space="0" w:color="auto"/>
              <w:left w:val="nil"/>
              <w:bottom w:val="single" w:sz="6" w:space="0" w:color="auto"/>
              <w:right w:val="nil"/>
            </w:tcBorders>
            <w:hideMark/>
          </w:tcPr>
          <w:p w14:paraId="1733B989"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100</w:t>
            </w:r>
          </w:p>
        </w:tc>
        <w:tc>
          <w:tcPr>
            <w:tcW w:w="779" w:type="dxa"/>
            <w:tcBorders>
              <w:top w:val="single" w:sz="6" w:space="0" w:color="auto"/>
              <w:left w:val="nil"/>
              <w:bottom w:val="single" w:sz="6" w:space="0" w:color="auto"/>
              <w:right w:val="nil"/>
            </w:tcBorders>
            <w:hideMark/>
          </w:tcPr>
          <w:p w14:paraId="36618454"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100</w:t>
            </w:r>
          </w:p>
        </w:tc>
      </w:tr>
      <w:tr w:rsidR="007F5788" w14:paraId="28B5923B" w14:textId="77777777" w:rsidTr="00B23E3B">
        <w:trPr>
          <w:trHeight w:val="691"/>
        </w:trPr>
        <w:tc>
          <w:tcPr>
            <w:tcW w:w="3509" w:type="dxa"/>
            <w:tcBorders>
              <w:top w:val="single" w:sz="6" w:space="0" w:color="auto"/>
              <w:left w:val="nil"/>
              <w:bottom w:val="single" w:sz="6" w:space="0" w:color="auto"/>
              <w:right w:val="nil"/>
            </w:tcBorders>
            <w:hideMark/>
          </w:tcPr>
          <w:p w14:paraId="63EC0C09"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6"/>
                <w:szCs w:val="16"/>
                <w:bdr w:val="nil"/>
                <w:lang w:val="en-GB"/>
              </w:rPr>
            </w:pPr>
            <w:r>
              <w:rPr>
                <w:rFonts w:eastAsia="Calibri" w:cs="Roboto-Light"/>
                <w:bCs/>
                <w:spacing w:val="-2"/>
                <w:sz w:val="18"/>
                <w:szCs w:val="18"/>
                <w:bdr w:val="nil"/>
                <w:lang w:val="en-GB"/>
              </w:rPr>
              <w:t>Enduring Power of Attorney (EPA) - no. of EPA's appointing PTG for financial and property matters under active management at the end of the reported period</w:t>
            </w:r>
          </w:p>
        </w:tc>
        <w:tc>
          <w:tcPr>
            <w:tcW w:w="1021" w:type="dxa"/>
            <w:tcBorders>
              <w:top w:val="single" w:sz="6" w:space="0" w:color="auto"/>
              <w:left w:val="nil"/>
              <w:bottom w:val="single" w:sz="6" w:space="0" w:color="auto"/>
              <w:right w:val="nil"/>
            </w:tcBorders>
            <w:hideMark/>
          </w:tcPr>
          <w:p w14:paraId="71969B2B"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38</w:t>
            </w:r>
          </w:p>
        </w:tc>
        <w:tc>
          <w:tcPr>
            <w:tcW w:w="877" w:type="dxa"/>
            <w:tcBorders>
              <w:top w:val="single" w:sz="6" w:space="0" w:color="auto"/>
              <w:left w:val="nil"/>
              <w:bottom w:val="single" w:sz="6" w:space="0" w:color="auto"/>
              <w:right w:val="nil"/>
            </w:tcBorders>
            <w:hideMark/>
          </w:tcPr>
          <w:p w14:paraId="39CBC206"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39</w:t>
            </w:r>
          </w:p>
        </w:tc>
        <w:tc>
          <w:tcPr>
            <w:tcW w:w="876" w:type="dxa"/>
            <w:tcBorders>
              <w:top w:val="single" w:sz="6" w:space="0" w:color="auto"/>
              <w:left w:val="nil"/>
              <w:bottom w:val="single" w:sz="6" w:space="0" w:color="auto"/>
              <w:right w:val="nil"/>
            </w:tcBorders>
            <w:hideMark/>
          </w:tcPr>
          <w:p w14:paraId="58DF2E54"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39</w:t>
            </w:r>
          </w:p>
        </w:tc>
        <w:tc>
          <w:tcPr>
            <w:tcW w:w="877" w:type="dxa"/>
            <w:tcBorders>
              <w:top w:val="single" w:sz="6" w:space="0" w:color="auto"/>
              <w:left w:val="nil"/>
              <w:bottom w:val="single" w:sz="6" w:space="0" w:color="auto"/>
              <w:right w:val="nil"/>
            </w:tcBorders>
            <w:hideMark/>
          </w:tcPr>
          <w:p w14:paraId="050137AB"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39</w:t>
            </w:r>
          </w:p>
        </w:tc>
        <w:tc>
          <w:tcPr>
            <w:tcW w:w="876" w:type="dxa"/>
            <w:tcBorders>
              <w:top w:val="single" w:sz="6" w:space="0" w:color="auto"/>
              <w:left w:val="nil"/>
              <w:bottom w:val="single" w:sz="6" w:space="0" w:color="auto"/>
              <w:right w:val="nil"/>
            </w:tcBorders>
            <w:hideMark/>
          </w:tcPr>
          <w:p w14:paraId="1AC144DC"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40</w:t>
            </w:r>
          </w:p>
        </w:tc>
        <w:tc>
          <w:tcPr>
            <w:tcW w:w="779" w:type="dxa"/>
            <w:tcBorders>
              <w:top w:val="single" w:sz="6" w:space="0" w:color="auto"/>
              <w:left w:val="nil"/>
              <w:bottom w:val="single" w:sz="6" w:space="0" w:color="auto"/>
              <w:right w:val="nil"/>
            </w:tcBorders>
          </w:tcPr>
          <w:p w14:paraId="037B661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40</w:t>
            </w:r>
          </w:p>
          <w:p w14:paraId="30077238"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p>
        </w:tc>
      </w:tr>
      <w:tr w:rsidR="007F5788" w14:paraId="15352F39" w14:textId="77777777" w:rsidTr="00B23E3B">
        <w:trPr>
          <w:trHeight w:val="691"/>
        </w:trPr>
        <w:tc>
          <w:tcPr>
            <w:tcW w:w="3509" w:type="dxa"/>
            <w:tcBorders>
              <w:top w:val="single" w:sz="6" w:space="0" w:color="auto"/>
              <w:left w:val="nil"/>
              <w:bottom w:val="single" w:sz="6" w:space="0" w:color="auto"/>
              <w:right w:val="nil"/>
            </w:tcBorders>
            <w:hideMark/>
          </w:tcPr>
          <w:p w14:paraId="58B7AAA3"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eastAsia="Calibri" w:cs="Roboto-Light"/>
                <w:bCs/>
                <w:spacing w:val="-2"/>
                <w:sz w:val="18"/>
                <w:szCs w:val="18"/>
                <w:bdr w:val="nil"/>
                <w:lang w:val="en-GB"/>
              </w:rPr>
              <w:t>Enduring Power of Attorney (EPA) - no. of EPA's appointing PTG for personal and health care matters active at the end of the reported period</w:t>
            </w:r>
            <w:r>
              <w:rPr>
                <w:rFonts w:eastAsia="Calibri" w:cs="Roboto-Light"/>
                <w:bCs/>
                <w:spacing w:val="-2"/>
                <w:sz w:val="18"/>
                <w:szCs w:val="18"/>
                <w:bdr w:val="nil"/>
                <w:vertAlign w:val="superscript"/>
                <w:lang w:val="en-GB"/>
              </w:rPr>
              <w:t>2</w:t>
            </w:r>
          </w:p>
        </w:tc>
        <w:tc>
          <w:tcPr>
            <w:tcW w:w="1021" w:type="dxa"/>
            <w:tcBorders>
              <w:top w:val="single" w:sz="6" w:space="0" w:color="auto"/>
              <w:left w:val="nil"/>
              <w:bottom w:val="single" w:sz="6" w:space="0" w:color="auto"/>
              <w:right w:val="nil"/>
            </w:tcBorders>
            <w:hideMark/>
          </w:tcPr>
          <w:p w14:paraId="191A1AD1"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9</w:t>
            </w:r>
          </w:p>
        </w:tc>
        <w:tc>
          <w:tcPr>
            <w:tcW w:w="877" w:type="dxa"/>
            <w:tcBorders>
              <w:top w:val="single" w:sz="6" w:space="0" w:color="auto"/>
              <w:left w:val="nil"/>
              <w:bottom w:val="single" w:sz="6" w:space="0" w:color="auto"/>
              <w:right w:val="nil"/>
            </w:tcBorders>
            <w:hideMark/>
          </w:tcPr>
          <w:p w14:paraId="1983711C"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w:t>
            </w:r>
          </w:p>
        </w:tc>
        <w:tc>
          <w:tcPr>
            <w:tcW w:w="876" w:type="dxa"/>
            <w:tcBorders>
              <w:top w:val="single" w:sz="6" w:space="0" w:color="auto"/>
              <w:left w:val="nil"/>
              <w:bottom w:val="single" w:sz="6" w:space="0" w:color="auto"/>
              <w:right w:val="nil"/>
            </w:tcBorders>
            <w:hideMark/>
          </w:tcPr>
          <w:p w14:paraId="629706F4"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w:t>
            </w:r>
          </w:p>
        </w:tc>
        <w:tc>
          <w:tcPr>
            <w:tcW w:w="877" w:type="dxa"/>
            <w:tcBorders>
              <w:top w:val="single" w:sz="6" w:space="0" w:color="auto"/>
              <w:left w:val="nil"/>
              <w:bottom w:val="single" w:sz="6" w:space="0" w:color="auto"/>
              <w:right w:val="nil"/>
            </w:tcBorders>
            <w:hideMark/>
          </w:tcPr>
          <w:p w14:paraId="56F298EE"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w:t>
            </w:r>
          </w:p>
        </w:tc>
        <w:tc>
          <w:tcPr>
            <w:tcW w:w="876" w:type="dxa"/>
            <w:tcBorders>
              <w:top w:val="single" w:sz="6" w:space="0" w:color="auto"/>
              <w:left w:val="nil"/>
              <w:bottom w:val="single" w:sz="6" w:space="0" w:color="auto"/>
              <w:right w:val="nil"/>
            </w:tcBorders>
            <w:hideMark/>
          </w:tcPr>
          <w:p w14:paraId="33E1B795"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w:t>
            </w:r>
          </w:p>
        </w:tc>
        <w:tc>
          <w:tcPr>
            <w:tcW w:w="779" w:type="dxa"/>
            <w:tcBorders>
              <w:top w:val="single" w:sz="6" w:space="0" w:color="auto"/>
              <w:left w:val="nil"/>
              <w:bottom w:val="single" w:sz="6" w:space="0" w:color="auto"/>
              <w:right w:val="nil"/>
            </w:tcBorders>
            <w:hideMark/>
          </w:tcPr>
          <w:p w14:paraId="754C8FCA"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w:t>
            </w:r>
          </w:p>
        </w:tc>
      </w:tr>
      <w:tr w:rsidR="007F5788" w14:paraId="332B0FE1" w14:textId="77777777" w:rsidTr="00B23E3B">
        <w:trPr>
          <w:trHeight w:val="691"/>
        </w:trPr>
        <w:tc>
          <w:tcPr>
            <w:tcW w:w="3509" w:type="dxa"/>
            <w:tcBorders>
              <w:top w:val="single" w:sz="6" w:space="0" w:color="auto"/>
              <w:left w:val="nil"/>
              <w:bottom w:val="single" w:sz="6" w:space="0" w:color="auto"/>
              <w:right w:val="nil"/>
            </w:tcBorders>
            <w:hideMark/>
          </w:tcPr>
          <w:p w14:paraId="3461547B"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eastAsia="Calibri" w:cs="Roboto-Light"/>
                <w:bCs/>
                <w:spacing w:val="-2"/>
                <w:sz w:val="18"/>
                <w:szCs w:val="18"/>
                <w:bdr w:val="nil"/>
                <w:lang w:val="en-GB"/>
              </w:rPr>
              <w:t>Police Call-outs - no. of responses to call outs by police and community following death during the reported period</w:t>
            </w:r>
            <w:r>
              <w:rPr>
                <w:rFonts w:eastAsia="Calibri" w:cs="Roboto-Light"/>
                <w:bCs/>
                <w:spacing w:val="-2"/>
                <w:sz w:val="18"/>
                <w:szCs w:val="18"/>
                <w:bdr w:val="nil"/>
                <w:vertAlign w:val="superscript"/>
                <w:lang w:val="en-GB"/>
              </w:rPr>
              <w:t>3</w:t>
            </w:r>
          </w:p>
        </w:tc>
        <w:tc>
          <w:tcPr>
            <w:tcW w:w="1021" w:type="dxa"/>
            <w:tcBorders>
              <w:top w:val="single" w:sz="6" w:space="0" w:color="auto"/>
              <w:left w:val="nil"/>
              <w:bottom w:val="single" w:sz="6" w:space="0" w:color="auto"/>
              <w:right w:val="nil"/>
            </w:tcBorders>
            <w:hideMark/>
          </w:tcPr>
          <w:p w14:paraId="14F2C40F"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c>
          <w:tcPr>
            <w:tcW w:w="877" w:type="dxa"/>
            <w:tcBorders>
              <w:top w:val="single" w:sz="6" w:space="0" w:color="auto"/>
              <w:left w:val="nil"/>
              <w:bottom w:val="single" w:sz="6" w:space="0" w:color="auto"/>
              <w:right w:val="nil"/>
            </w:tcBorders>
            <w:hideMark/>
          </w:tcPr>
          <w:p w14:paraId="405830F7"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1</w:t>
            </w:r>
          </w:p>
        </w:tc>
        <w:tc>
          <w:tcPr>
            <w:tcW w:w="876" w:type="dxa"/>
            <w:tcBorders>
              <w:top w:val="single" w:sz="6" w:space="0" w:color="auto"/>
              <w:left w:val="nil"/>
              <w:bottom w:val="single" w:sz="6" w:space="0" w:color="auto"/>
              <w:right w:val="nil"/>
            </w:tcBorders>
            <w:hideMark/>
          </w:tcPr>
          <w:p w14:paraId="125B5271"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c>
          <w:tcPr>
            <w:tcW w:w="877" w:type="dxa"/>
            <w:tcBorders>
              <w:top w:val="single" w:sz="6" w:space="0" w:color="auto"/>
              <w:left w:val="nil"/>
              <w:bottom w:val="single" w:sz="6" w:space="0" w:color="auto"/>
              <w:right w:val="nil"/>
            </w:tcBorders>
            <w:hideMark/>
          </w:tcPr>
          <w:p w14:paraId="5476834E"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c>
          <w:tcPr>
            <w:tcW w:w="876" w:type="dxa"/>
            <w:tcBorders>
              <w:top w:val="single" w:sz="6" w:space="0" w:color="auto"/>
              <w:left w:val="nil"/>
              <w:bottom w:val="single" w:sz="6" w:space="0" w:color="auto"/>
              <w:right w:val="nil"/>
            </w:tcBorders>
            <w:hideMark/>
          </w:tcPr>
          <w:p w14:paraId="61982166"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c>
          <w:tcPr>
            <w:tcW w:w="779" w:type="dxa"/>
            <w:tcBorders>
              <w:top w:val="single" w:sz="6" w:space="0" w:color="auto"/>
              <w:left w:val="nil"/>
              <w:bottom w:val="single" w:sz="6" w:space="0" w:color="auto"/>
              <w:right w:val="nil"/>
            </w:tcBorders>
            <w:hideMark/>
          </w:tcPr>
          <w:p w14:paraId="24462CA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r>
      <w:tr w:rsidR="007F5788" w14:paraId="1EDE6821" w14:textId="77777777" w:rsidTr="00B23E3B">
        <w:trPr>
          <w:trHeight w:val="691"/>
        </w:trPr>
        <w:tc>
          <w:tcPr>
            <w:tcW w:w="3509" w:type="dxa"/>
            <w:tcBorders>
              <w:top w:val="single" w:sz="6" w:space="0" w:color="auto"/>
              <w:left w:val="nil"/>
              <w:bottom w:val="single" w:sz="6" w:space="0" w:color="auto"/>
              <w:right w:val="nil"/>
            </w:tcBorders>
            <w:hideMark/>
          </w:tcPr>
          <w:p w14:paraId="160CFA17"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eastAsia="Calibri" w:cs="Roboto-Light"/>
                <w:bCs/>
                <w:spacing w:val="-2"/>
                <w:sz w:val="18"/>
                <w:szCs w:val="18"/>
                <w:bdr w:val="nil"/>
                <w:lang w:val="en-GB"/>
              </w:rPr>
              <w:t>Welfare funerals - no. arranged by PTG during the reported period</w:t>
            </w:r>
            <w:r>
              <w:rPr>
                <w:rFonts w:eastAsia="Calibri" w:cs="Roboto-Light"/>
                <w:bCs/>
                <w:spacing w:val="-2"/>
                <w:sz w:val="18"/>
                <w:szCs w:val="18"/>
                <w:bdr w:val="nil"/>
                <w:vertAlign w:val="superscript"/>
                <w:lang w:val="en-GB"/>
              </w:rPr>
              <w:t>4</w:t>
            </w:r>
          </w:p>
        </w:tc>
        <w:tc>
          <w:tcPr>
            <w:tcW w:w="1021" w:type="dxa"/>
            <w:tcBorders>
              <w:top w:val="single" w:sz="6" w:space="0" w:color="auto"/>
              <w:left w:val="nil"/>
              <w:bottom w:val="single" w:sz="6" w:space="0" w:color="auto"/>
              <w:right w:val="nil"/>
            </w:tcBorders>
            <w:hideMark/>
          </w:tcPr>
          <w:p w14:paraId="0AE3058C"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1</w:t>
            </w:r>
          </w:p>
        </w:tc>
        <w:tc>
          <w:tcPr>
            <w:tcW w:w="877" w:type="dxa"/>
            <w:tcBorders>
              <w:top w:val="single" w:sz="6" w:space="0" w:color="auto"/>
              <w:left w:val="nil"/>
              <w:bottom w:val="single" w:sz="6" w:space="0" w:color="auto"/>
              <w:right w:val="nil"/>
            </w:tcBorders>
            <w:hideMark/>
          </w:tcPr>
          <w:p w14:paraId="4258806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w:t>
            </w:r>
          </w:p>
        </w:tc>
        <w:tc>
          <w:tcPr>
            <w:tcW w:w="876" w:type="dxa"/>
            <w:tcBorders>
              <w:top w:val="single" w:sz="6" w:space="0" w:color="auto"/>
              <w:left w:val="nil"/>
              <w:bottom w:val="single" w:sz="6" w:space="0" w:color="auto"/>
              <w:right w:val="nil"/>
            </w:tcBorders>
            <w:hideMark/>
          </w:tcPr>
          <w:p w14:paraId="5842161A"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c>
          <w:tcPr>
            <w:tcW w:w="877" w:type="dxa"/>
            <w:tcBorders>
              <w:top w:val="single" w:sz="6" w:space="0" w:color="auto"/>
              <w:left w:val="nil"/>
              <w:bottom w:val="single" w:sz="6" w:space="0" w:color="auto"/>
              <w:right w:val="nil"/>
            </w:tcBorders>
            <w:hideMark/>
          </w:tcPr>
          <w:p w14:paraId="7A56CFDD"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c>
          <w:tcPr>
            <w:tcW w:w="876" w:type="dxa"/>
            <w:tcBorders>
              <w:top w:val="single" w:sz="6" w:space="0" w:color="auto"/>
              <w:left w:val="nil"/>
              <w:bottom w:val="single" w:sz="6" w:space="0" w:color="auto"/>
              <w:right w:val="nil"/>
            </w:tcBorders>
            <w:hideMark/>
          </w:tcPr>
          <w:p w14:paraId="6F714B1E"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c>
          <w:tcPr>
            <w:tcW w:w="779" w:type="dxa"/>
            <w:tcBorders>
              <w:top w:val="single" w:sz="6" w:space="0" w:color="auto"/>
              <w:left w:val="nil"/>
              <w:bottom w:val="single" w:sz="6" w:space="0" w:color="auto"/>
              <w:right w:val="nil"/>
            </w:tcBorders>
            <w:hideMark/>
          </w:tcPr>
          <w:p w14:paraId="685BA539"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0</w:t>
            </w:r>
          </w:p>
        </w:tc>
      </w:tr>
      <w:tr w:rsidR="007F5788" w14:paraId="3BB74F55" w14:textId="77777777" w:rsidTr="00B23E3B">
        <w:trPr>
          <w:trHeight w:val="691"/>
        </w:trPr>
        <w:tc>
          <w:tcPr>
            <w:tcW w:w="3509" w:type="dxa"/>
            <w:tcBorders>
              <w:top w:val="single" w:sz="6" w:space="0" w:color="auto"/>
              <w:left w:val="nil"/>
              <w:bottom w:val="single" w:sz="6" w:space="0" w:color="auto"/>
              <w:right w:val="nil"/>
            </w:tcBorders>
            <w:hideMark/>
          </w:tcPr>
          <w:p w14:paraId="554D8D75"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eastAsia="Calibri" w:cs="Roboto-Light"/>
                <w:bCs/>
                <w:spacing w:val="-2"/>
                <w:sz w:val="18"/>
                <w:szCs w:val="18"/>
                <w:bdr w:val="nil"/>
                <w:lang w:val="en-GB"/>
              </w:rPr>
              <w:t>Examination of Accounts - no. examined by PTG during the reported period upon filing by External Managers appointed by ACAT for Protected Persons</w:t>
            </w:r>
            <w:r>
              <w:rPr>
                <w:rFonts w:eastAsia="Calibri" w:cs="Roboto-Light"/>
                <w:bCs/>
                <w:spacing w:val="-2"/>
                <w:sz w:val="18"/>
                <w:szCs w:val="18"/>
                <w:bdr w:val="nil"/>
                <w:vertAlign w:val="superscript"/>
                <w:lang w:val="en-GB"/>
              </w:rPr>
              <w:t>5</w:t>
            </w:r>
          </w:p>
        </w:tc>
        <w:tc>
          <w:tcPr>
            <w:tcW w:w="1021" w:type="dxa"/>
            <w:tcBorders>
              <w:top w:val="single" w:sz="6" w:space="0" w:color="auto"/>
              <w:left w:val="nil"/>
              <w:bottom w:val="single" w:sz="6" w:space="0" w:color="auto"/>
              <w:right w:val="nil"/>
            </w:tcBorders>
            <w:hideMark/>
          </w:tcPr>
          <w:p w14:paraId="1B38A8AF"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688</w:t>
            </w:r>
          </w:p>
        </w:tc>
        <w:tc>
          <w:tcPr>
            <w:tcW w:w="877" w:type="dxa"/>
            <w:tcBorders>
              <w:top w:val="single" w:sz="6" w:space="0" w:color="auto"/>
              <w:left w:val="nil"/>
              <w:bottom w:val="single" w:sz="6" w:space="0" w:color="auto"/>
              <w:right w:val="nil"/>
            </w:tcBorders>
            <w:hideMark/>
          </w:tcPr>
          <w:p w14:paraId="67ABF99E"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570</w:t>
            </w:r>
          </w:p>
        </w:tc>
        <w:tc>
          <w:tcPr>
            <w:tcW w:w="876" w:type="dxa"/>
            <w:tcBorders>
              <w:top w:val="single" w:sz="6" w:space="0" w:color="auto"/>
              <w:left w:val="nil"/>
              <w:bottom w:val="single" w:sz="6" w:space="0" w:color="auto"/>
              <w:right w:val="nil"/>
            </w:tcBorders>
            <w:hideMark/>
          </w:tcPr>
          <w:p w14:paraId="4B941D81"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600</w:t>
            </w:r>
          </w:p>
        </w:tc>
        <w:tc>
          <w:tcPr>
            <w:tcW w:w="877" w:type="dxa"/>
            <w:tcBorders>
              <w:top w:val="single" w:sz="6" w:space="0" w:color="auto"/>
              <w:left w:val="nil"/>
              <w:bottom w:val="single" w:sz="6" w:space="0" w:color="auto"/>
              <w:right w:val="nil"/>
            </w:tcBorders>
            <w:hideMark/>
          </w:tcPr>
          <w:p w14:paraId="0C3CC86A"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605</w:t>
            </w:r>
          </w:p>
        </w:tc>
        <w:tc>
          <w:tcPr>
            <w:tcW w:w="876" w:type="dxa"/>
            <w:tcBorders>
              <w:top w:val="single" w:sz="6" w:space="0" w:color="auto"/>
              <w:left w:val="nil"/>
              <w:bottom w:val="single" w:sz="6" w:space="0" w:color="auto"/>
              <w:right w:val="nil"/>
            </w:tcBorders>
            <w:hideMark/>
          </w:tcPr>
          <w:p w14:paraId="12E1493A"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610</w:t>
            </w:r>
          </w:p>
        </w:tc>
        <w:tc>
          <w:tcPr>
            <w:tcW w:w="779" w:type="dxa"/>
            <w:tcBorders>
              <w:top w:val="single" w:sz="6" w:space="0" w:color="auto"/>
              <w:left w:val="nil"/>
              <w:bottom w:val="single" w:sz="6" w:space="0" w:color="auto"/>
              <w:right w:val="nil"/>
            </w:tcBorders>
            <w:hideMark/>
          </w:tcPr>
          <w:p w14:paraId="67C2EAD1"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615</w:t>
            </w:r>
          </w:p>
        </w:tc>
      </w:tr>
      <w:tr w:rsidR="007F5788" w14:paraId="45745879" w14:textId="77777777" w:rsidTr="00B23E3B">
        <w:trPr>
          <w:trHeight w:val="691"/>
        </w:trPr>
        <w:tc>
          <w:tcPr>
            <w:tcW w:w="3509" w:type="dxa"/>
            <w:tcBorders>
              <w:top w:val="single" w:sz="6" w:space="0" w:color="auto"/>
              <w:left w:val="nil"/>
              <w:bottom w:val="single" w:sz="6" w:space="0" w:color="auto"/>
              <w:right w:val="nil"/>
            </w:tcBorders>
            <w:hideMark/>
          </w:tcPr>
          <w:p w14:paraId="026B4FF1"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eastAsia="Calibri" w:cs="Roboto-Light"/>
                <w:bCs/>
                <w:spacing w:val="-2"/>
                <w:sz w:val="18"/>
                <w:szCs w:val="18"/>
                <w:bdr w:val="nil"/>
                <w:lang w:val="en-GB"/>
              </w:rPr>
              <w:t xml:space="preserve">Deceased Estate Administrations </w:t>
            </w:r>
            <w:proofErr w:type="gramStart"/>
            <w:r>
              <w:rPr>
                <w:rFonts w:eastAsia="Calibri" w:cs="Roboto-Light"/>
                <w:bCs/>
                <w:spacing w:val="-2"/>
                <w:sz w:val="18"/>
                <w:szCs w:val="18"/>
                <w:bdr w:val="nil"/>
                <w:lang w:val="en-GB"/>
              </w:rPr>
              <w:t>-  no.</w:t>
            </w:r>
            <w:proofErr w:type="gramEnd"/>
            <w:r>
              <w:rPr>
                <w:rFonts w:eastAsia="Calibri" w:cs="Roboto-Light"/>
                <w:bCs/>
                <w:spacing w:val="-2"/>
                <w:sz w:val="18"/>
                <w:szCs w:val="18"/>
                <w:bdr w:val="nil"/>
                <w:lang w:val="en-GB"/>
              </w:rPr>
              <w:t xml:space="preserve"> of deceased estate administrations completed during the reported period</w:t>
            </w:r>
            <w:r>
              <w:rPr>
                <w:rFonts w:eastAsia="Calibri" w:cs="Roboto-Light"/>
                <w:bCs/>
                <w:spacing w:val="-2"/>
                <w:sz w:val="18"/>
                <w:szCs w:val="18"/>
                <w:bdr w:val="nil"/>
                <w:vertAlign w:val="superscript"/>
                <w:lang w:val="en-GB"/>
              </w:rPr>
              <w:t>6</w:t>
            </w:r>
          </w:p>
        </w:tc>
        <w:tc>
          <w:tcPr>
            <w:tcW w:w="1021" w:type="dxa"/>
            <w:tcBorders>
              <w:top w:val="single" w:sz="6" w:space="0" w:color="auto"/>
              <w:left w:val="nil"/>
              <w:bottom w:val="single" w:sz="6" w:space="0" w:color="auto"/>
              <w:right w:val="nil"/>
            </w:tcBorders>
            <w:hideMark/>
          </w:tcPr>
          <w:p w14:paraId="69E67EC8"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74</w:t>
            </w:r>
          </w:p>
        </w:tc>
        <w:tc>
          <w:tcPr>
            <w:tcW w:w="877" w:type="dxa"/>
            <w:tcBorders>
              <w:top w:val="single" w:sz="6" w:space="0" w:color="auto"/>
              <w:left w:val="nil"/>
              <w:bottom w:val="single" w:sz="6" w:space="0" w:color="auto"/>
              <w:right w:val="nil"/>
            </w:tcBorders>
            <w:hideMark/>
          </w:tcPr>
          <w:p w14:paraId="4A9A9B45"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85</w:t>
            </w:r>
          </w:p>
        </w:tc>
        <w:tc>
          <w:tcPr>
            <w:tcW w:w="876" w:type="dxa"/>
            <w:tcBorders>
              <w:top w:val="single" w:sz="6" w:space="0" w:color="auto"/>
              <w:left w:val="nil"/>
              <w:bottom w:val="single" w:sz="6" w:space="0" w:color="auto"/>
              <w:right w:val="nil"/>
            </w:tcBorders>
            <w:hideMark/>
          </w:tcPr>
          <w:p w14:paraId="28438407"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75</w:t>
            </w:r>
          </w:p>
        </w:tc>
        <w:tc>
          <w:tcPr>
            <w:tcW w:w="877" w:type="dxa"/>
            <w:tcBorders>
              <w:top w:val="single" w:sz="6" w:space="0" w:color="auto"/>
              <w:left w:val="nil"/>
              <w:bottom w:val="single" w:sz="6" w:space="0" w:color="auto"/>
              <w:right w:val="nil"/>
            </w:tcBorders>
            <w:hideMark/>
          </w:tcPr>
          <w:p w14:paraId="412CD1D7"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75</w:t>
            </w:r>
          </w:p>
        </w:tc>
        <w:tc>
          <w:tcPr>
            <w:tcW w:w="876" w:type="dxa"/>
            <w:tcBorders>
              <w:top w:val="single" w:sz="6" w:space="0" w:color="auto"/>
              <w:left w:val="nil"/>
              <w:bottom w:val="single" w:sz="6" w:space="0" w:color="auto"/>
              <w:right w:val="nil"/>
            </w:tcBorders>
            <w:hideMark/>
          </w:tcPr>
          <w:p w14:paraId="6F7B0204"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75</w:t>
            </w:r>
          </w:p>
        </w:tc>
        <w:tc>
          <w:tcPr>
            <w:tcW w:w="779" w:type="dxa"/>
            <w:tcBorders>
              <w:top w:val="single" w:sz="6" w:space="0" w:color="auto"/>
              <w:left w:val="nil"/>
              <w:bottom w:val="single" w:sz="6" w:space="0" w:color="auto"/>
              <w:right w:val="nil"/>
            </w:tcBorders>
            <w:hideMark/>
          </w:tcPr>
          <w:p w14:paraId="5D093648"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75</w:t>
            </w:r>
          </w:p>
        </w:tc>
      </w:tr>
      <w:tr w:rsidR="007F5788" w14:paraId="135E9905" w14:textId="77777777" w:rsidTr="00B23E3B">
        <w:trPr>
          <w:trHeight w:val="691"/>
        </w:trPr>
        <w:tc>
          <w:tcPr>
            <w:tcW w:w="3509" w:type="dxa"/>
            <w:tcBorders>
              <w:top w:val="single" w:sz="6" w:space="0" w:color="auto"/>
              <w:left w:val="nil"/>
              <w:bottom w:val="single" w:sz="6" w:space="0" w:color="auto"/>
              <w:right w:val="nil"/>
            </w:tcBorders>
            <w:hideMark/>
          </w:tcPr>
          <w:p w14:paraId="1B72FE83"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eastAsia="Calibri" w:cs="Roboto-Light"/>
                <w:bCs/>
                <w:spacing w:val="-2"/>
                <w:sz w:val="18"/>
                <w:szCs w:val="18"/>
                <w:bdr w:val="nil"/>
                <w:lang w:val="en-GB"/>
              </w:rPr>
              <w:t>Trusts (for all purposes) – no. held at end of reported period</w:t>
            </w:r>
            <w:r>
              <w:rPr>
                <w:rFonts w:eastAsia="Calibri" w:cs="Roboto-Light"/>
                <w:bCs/>
                <w:spacing w:val="-2"/>
                <w:sz w:val="18"/>
                <w:szCs w:val="18"/>
                <w:bdr w:val="nil"/>
                <w:vertAlign w:val="superscript"/>
                <w:lang w:val="en-GB"/>
              </w:rPr>
              <w:t>7</w:t>
            </w:r>
          </w:p>
        </w:tc>
        <w:tc>
          <w:tcPr>
            <w:tcW w:w="1021" w:type="dxa"/>
            <w:tcBorders>
              <w:top w:val="single" w:sz="6" w:space="0" w:color="auto"/>
              <w:left w:val="nil"/>
              <w:bottom w:val="single" w:sz="6" w:space="0" w:color="auto"/>
              <w:right w:val="nil"/>
            </w:tcBorders>
            <w:hideMark/>
          </w:tcPr>
          <w:p w14:paraId="259AB84A"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740</w:t>
            </w:r>
          </w:p>
        </w:tc>
        <w:tc>
          <w:tcPr>
            <w:tcW w:w="877" w:type="dxa"/>
            <w:tcBorders>
              <w:top w:val="single" w:sz="6" w:space="0" w:color="auto"/>
              <w:left w:val="nil"/>
              <w:bottom w:val="single" w:sz="6" w:space="0" w:color="auto"/>
              <w:right w:val="nil"/>
            </w:tcBorders>
            <w:hideMark/>
          </w:tcPr>
          <w:p w14:paraId="3B9CBA69"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660</w:t>
            </w:r>
          </w:p>
        </w:tc>
        <w:tc>
          <w:tcPr>
            <w:tcW w:w="876" w:type="dxa"/>
            <w:tcBorders>
              <w:top w:val="single" w:sz="6" w:space="0" w:color="auto"/>
              <w:left w:val="nil"/>
              <w:bottom w:val="single" w:sz="6" w:space="0" w:color="auto"/>
              <w:right w:val="nil"/>
            </w:tcBorders>
            <w:hideMark/>
          </w:tcPr>
          <w:p w14:paraId="06A82B95"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730</w:t>
            </w:r>
          </w:p>
        </w:tc>
        <w:tc>
          <w:tcPr>
            <w:tcW w:w="877" w:type="dxa"/>
            <w:tcBorders>
              <w:top w:val="single" w:sz="6" w:space="0" w:color="auto"/>
              <w:left w:val="nil"/>
              <w:bottom w:val="single" w:sz="6" w:space="0" w:color="auto"/>
              <w:right w:val="nil"/>
            </w:tcBorders>
            <w:hideMark/>
          </w:tcPr>
          <w:p w14:paraId="7C9CBA0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730</w:t>
            </w:r>
          </w:p>
        </w:tc>
        <w:tc>
          <w:tcPr>
            <w:tcW w:w="876" w:type="dxa"/>
            <w:tcBorders>
              <w:top w:val="single" w:sz="6" w:space="0" w:color="auto"/>
              <w:left w:val="nil"/>
              <w:bottom w:val="single" w:sz="6" w:space="0" w:color="auto"/>
              <w:right w:val="nil"/>
            </w:tcBorders>
            <w:hideMark/>
          </w:tcPr>
          <w:p w14:paraId="2398D87D"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730</w:t>
            </w:r>
          </w:p>
        </w:tc>
        <w:tc>
          <w:tcPr>
            <w:tcW w:w="779" w:type="dxa"/>
            <w:tcBorders>
              <w:top w:val="single" w:sz="6" w:space="0" w:color="auto"/>
              <w:left w:val="nil"/>
              <w:bottom w:val="single" w:sz="6" w:space="0" w:color="auto"/>
              <w:right w:val="nil"/>
            </w:tcBorders>
            <w:hideMark/>
          </w:tcPr>
          <w:p w14:paraId="39B5ED55"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730</w:t>
            </w:r>
          </w:p>
        </w:tc>
      </w:tr>
      <w:tr w:rsidR="007F5788" w14:paraId="09DE8A68" w14:textId="77777777" w:rsidTr="00B23E3B">
        <w:trPr>
          <w:trHeight w:val="691"/>
        </w:trPr>
        <w:tc>
          <w:tcPr>
            <w:tcW w:w="3509" w:type="dxa"/>
            <w:tcBorders>
              <w:top w:val="single" w:sz="6" w:space="0" w:color="auto"/>
              <w:left w:val="nil"/>
              <w:bottom w:val="single" w:sz="6" w:space="0" w:color="auto"/>
              <w:right w:val="nil"/>
            </w:tcBorders>
          </w:tcPr>
          <w:p w14:paraId="2F20FEB4"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cs="Roboto-Light"/>
                <w:bCs/>
                <w:spacing w:val="-2"/>
                <w:sz w:val="18"/>
                <w:szCs w:val="18"/>
                <w:bdr w:val="nil"/>
                <w:lang w:val="en-GB"/>
              </w:rPr>
              <w:t>Wills - no. of wills prepared by PTG during the reported period</w:t>
            </w:r>
            <w:r>
              <w:rPr>
                <w:rFonts w:eastAsia="Calibri" w:cs="Roboto-Light"/>
                <w:bCs/>
                <w:spacing w:val="-2"/>
                <w:sz w:val="18"/>
                <w:szCs w:val="18"/>
                <w:bdr w:val="nil"/>
                <w:vertAlign w:val="superscript"/>
                <w:lang w:val="en-GB"/>
              </w:rPr>
              <w:t>8</w:t>
            </w:r>
          </w:p>
        </w:tc>
        <w:tc>
          <w:tcPr>
            <w:tcW w:w="1021" w:type="dxa"/>
            <w:tcBorders>
              <w:top w:val="single" w:sz="6" w:space="0" w:color="auto"/>
              <w:left w:val="nil"/>
              <w:bottom w:val="single" w:sz="6" w:space="0" w:color="auto"/>
              <w:right w:val="nil"/>
            </w:tcBorders>
          </w:tcPr>
          <w:p w14:paraId="1FD80779"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281</w:t>
            </w:r>
          </w:p>
        </w:tc>
        <w:tc>
          <w:tcPr>
            <w:tcW w:w="877" w:type="dxa"/>
            <w:tcBorders>
              <w:top w:val="single" w:sz="6" w:space="0" w:color="auto"/>
              <w:left w:val="nil"/>
              <w:bottom w:val="single" w:sz="6" w:space="0" w:color="auto"/>
              <w:right w:val="nil"/>
            </w:tcBorders>
          </w:tcPr>
          <w:p w14:paraId="3DA37CC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400</w:t>
            </w:r>
          </w:p>
        </w:tc>
        <w:tc>
          <w:tcPr>
            <w:tcW w:w="876" w:type="dxa"/>
            <w:tcBorders>
              <w:top w:val="single" w:sz="6" w:space="0" w:color="auto"/>
              <w:left w:val="nil"/>
              <w:bottom w:val="single" w:sz="6" w:space="0" w:color="auto"/>
              <w:right w:val="nil"/>
            </w:tcBorders>
          </w:tcPr>
          <w:p w14:paraId="43F5E31C"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300</w:t>
            </w:r>
          </w:p>
        </w:tc>
        <w:tc>
          <w:tcPr>
            <w:tcW w:w="877" w:type="dxa"/>
            <w:tcBorders>
              <w:top w:val="single" w:sz="6" w:space="0" w:color="auto"/>
              <w:left w:val="nil"/>
              <w:bottom w:val="single" w:sz="6" w:space="0" w:color="auto"/>
              <w:right w:val="nil"/>
            </w:tcBorders>
          </w:tcPr>
          <w:p w14:paraId="4B1691B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350</w:t>
            </w:r>
          </w:p>
        </w:tc>
        <w:tc>
          <w:tcPr>
            <w:tcW w:w="876" w:type="dxa"/>
            <w:tcBorders>
              <w:top w:val="single" w:sz="6" w:space="0" w:color="auto"/>
              <w:left w:val="nil"/>
              <w:bottom w:val="single" w:sz="6" w:space="0" w:color="auto"/>
              <w:right w:val="nil"/>
            </w:tcBorders>
          </w:tcPr>
          <w:p w14:paraId="3BE0426A"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400</w:t>
            </w:r>
          </w:p>
        </w:tc>
        <w:tc>
          <w:tcPr>
            <w:tcW w:w="779" w:type="dxa"/>
            <w:tcBorders>
              <w:top w:val="single" w:sz="6" w:space="0" w:color="auto"/>
              <w:left w:val="nil"/>
              <w:bottom w:val="single" w:sz="6" w:space="0" w:color="auto"/>
              <w:right w:val="nil"/>
            </w:tcBorders>
          </w:tcPr>
          <w:p w14:paraId="2560B3CD"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400</w:t>
            </w:r>
          </w:p>
        </w:tc>
      </w:tr>
      <w:tr w:rsidR="007F5788" w14:paraId="00FE0DF9" w14:textId="77777777" w:rsidTr="00B23E3B">
        <w:trPr>
          <w:trHeight w:val="691"/>
        </w:trPr>
        <w:tc>
          <w:tcPr>
            <w:tcW w:w="3509" w:type="dxa"/>
            <w:tcBorders>
              <w:top w:val="single" w:sz="6" w:space="0" w:color="auto"/>
              <w:left w:val="nil"/>
              <w:bottom w:val="single" w:sz="6" w:space="0" w:color="auto"/>
              <w:right w:val="nil"/>
            </w:tcBorders>
          </w:tcPr>
          <w:p w14:paraId="39705D79" w14:textId="77777777" w:rsidR="007F5788" w:rsidRDefault="007F5788" w:rsidP="00B23E3B">
            <w:pPr>
              <w:pStyle w:val="Normal6"/>
              <w:pBdr>
                <w:top w:val="nil"/>
                <w:left w:val="nil"/>
                <w:bottom w:val="nil"/>
                <w:right w:val="nil"/>
                <w:between w:val="nil"/>
                <w:bar w:val="nil"/>
              </w:pBdr>
              <w:spacing w:before="0" w:after="0" w:line="254" w:lineRule="auto"/>
              <w:rPr>
                <w:rFonts w:eastAsia="Calibri" w:cs="Roboto-Light"/>
                <w:bCs/>
                <w:spacing w:val="-2"/>
                <w:sz w:val="18"/>
                <w:szCs w:val="18"/>
                <w:bdr w:val="nil"/>
                <w:lang w:val="en-GB"/>
              </w:rPr>
            </w:pPr>
            <w:r>
              <w:rPr>
                <w:rFonts w:cs="Roboto-Light"/>
                <w:bCs/>
                <w:spacing w:val="-2"/>
                <w:sz w:val="18"/>
                <w:szCs w:val="18"/>
                <w:bdr w:val="nil"/>
                <w:lang w:val="en-GB"/>
              </w:rPr>
              <w:t>Customer Survey - % of clients responding to PTG's survey during the reported year that reported PTG met or exceeded their expectations</w:t>
            </w:r>
            <w:r>
              <w:rPr>
                <w:rFonts w:eastAsia="Calibri" w:cs="Roboto-Light"/>
                <w:bCs/>
                <w:spacing w:val="-2"/>
                <w:sz w:val="18"/>
                <w:szCs w:val="18"/>
                <w:bdr w:val="nil"/>
                <w:vertAlign w:val="superscript"/>
                <w:lang w:val="en-GB"/>
              </w:rPr>
              <w:t>9</w:t>
            </w:r>
          </w:p>
        </w:tc>
        <w:tc>
          <w:tcPr>
            <w:tcW w:w="1021" w:type="dxa"/>
            <w:tcBorders>
              <w:top w:val="single" w:sz="6" w:space="0" w:color="auto"/>
              <w:left w:val="nil"/>
              <w:bottom w:val="single" w:sz="6" w:space="0" w:color="auto"/>
              <w:right w:val="nil"/>
            </w:tcBorders>
          </w:tcPr>
          <w:p w14:paraId="26BEAC7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96</w:t>
            </w:r>
          </w:p>
        </w:tc>
        <w:tc>
          <w:tcPr>
            <w:tcW w:w="877" w:type="dxa"/>
            <w:tcBorders>
              <w:top w:val="single" w:sz="6" w:space="0" w:color="auto"/>
              <w:left w:val="nil"/>
              <w:bottom w:val="single" w:sz="6" w:space="0" w:color="auto"/>
              <w:right w:val="nil"/>
            </w:tcBorders>
          </w:tcPr>
          <w:p w14:paraId="7BEA61CF"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90</w:t>
            </w:r>
          </w:p>
        </w:tc>
        <w:tc>
          <w:tcPr>
            <w:tcW w:w="876" w:type="dxa"/>
            <w:tcBorders>
              <w:top w:val="single" w:sz="6" w:space="0" w:color="auto"/>
              <w:left w:val="nil"/>
              <w:bottom w:val="single" w:sz="6" w:space="0" w:color="auto"/>
              <w:right w:val="nil"/>
            </w:tcBorders>
          </w:tcPr>
          <w:p w14:paraId="69B73E94"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90</w:t>
            </w:r>
          </w:p>
        </w:tc>
        <w:tc>
          <w:tcPr>
            <w:tcW w:w="877" w:type="dxa"/>
            <w:tcBorders>
              <w:top w:val="single" w:sz="6" w:space="0" w:color="auto"/>
              <w:left w:val="nil"/>
              <w:bottom w:val="single" w:sz="6" w:space="0" w:color="auto"/>
              <w:right w:val="nil"/>
            </w:tcBorders>
          </w:tcPr>
          <w:p w14:paraId="35E8A1B0"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90</w:t>
            </w:r>
          </w:p>
        </w:tc>
        <w:tc>
          <w:tcPr>
            <w:tcW w:w="876" w:type="dxa"/>
            <w:tcBorders>
              <w:top w:val="single" w:sz="6" w:space="0" w:color="auto"/>
              <w:left w:val="nil"/>
              <w:bottom w:val="single" w:sz="6" w:space="0" w:color="auto"/>
              <w:right w:val="nil"/>
            </w:tcBorders>
          </w:tcPr>
          <w:p w14:paraId="388FA252"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90</w:t>
            </w:r>
          </w:p>
        </w:tc>
        <w:tc>
          <w:tcPr>
            <w:tcW w:w="779" w:type="dxa"/>
            <w:tcBorders>
              <w:top w:val="single" w:sz="6" w:space="0" w:color="auto"/>
              <w:left w:val="nil"/>
              <w:bottom w:val="single" w:sz="6" w:space="0" w:color="auto"/>
              <w:right w:val="nil"/>
            </w:tcBorders>
          </w:tcPr>
          <w:p w14:paraId="79530545" w14:textId="77777777" w:rsidR="007F5788" w:rsidRDefault="007F5788" w:rsidP="00B23E3B">
            <w:pPr>
              <w:pStyle w:val="Normal6"/>
              <w:pBdr>
                <w:top w:val="nil"/>
                <w:left w:val="nil"/>
                <w:bottom w:val="nil"/>
                <w:right w:val="nil"/>
                <w:between w:val="nil"/>
                <w:bar w:val="nil"/>
              </w:pBdr>
              <w:spacing w:before="0" w:after="160" w:line="254" w:lineRule="auto"/>
              <w:jc w:val="center"/>
              <w:rPr>
                <w:rFonts w:eastAsia="Calibri" w:cs="Roboto-Light"/>
                <w:bCs/>
                <w:spacing w:val="-2"/>
                <w:sz w:val="18"/>
                <w:szCs w:val="18"/>
                <w:bdr w:val="nil"/>
                <w:lang w:val="en-GB"/>
              </w:rPr>
            </w:pPr>
            <w:r>
              <w:rPr>
                <w:rFonts w:eastAsia="Calibri" w:cs="Roboto-Light"/>
                <w:bCs/>
                <w:spacing w:val="-2"/>
                <w:sz w:val="18"/>
                <w:szCs w:val="18"/>
                <w:bdr w:val="nil"/>
                <w:lang w:val="en-GB"/>
              </w:rPr>
              <w:t>90</w:t>
            </w:r>
          </w:p>
        </w:tc>
      </w:tr>
    </w:tbl>
    <w:p w14:paraId="2D6ABE22" w14:textId="77777777" w:rsidR="007F5788" w:rsidRDefault="007F5788" w:rsidP="007F5788">
      <w:pPr>
        <w:pBdr>
          <w:top w:val="nil"/>
          <w:left w:val="nil"/>
          <w:bottom w:val="nil"/>
          <w:right w:val="nil"/>
          <w:between w:val="nil"/>
          <w:bar w:val="nil"/>
        </w:pBdr>
        <w:spacing w:before="0" w:after="0"/>
        <w:rPr>
          <w:rFonts w:eastAsia="Calibri"/>
          <w:b/>
          <w:snapToGrid w:val="0"/>
          <w:sz w:val="32"/>
          <w:szCs w:val="22"/>
          <w:bdr w:val="nil"/>
        </w:rPr>
      </w:pPr>
      <w:r>
        <w:rPr>
          <w:rFonts w:eastAsia="Calibri"/>
          <w:b/>
          <w:snapToGrid w:val="0"/>
          <w:sz w:val="32"/>
          <w:szCs w:val="22"/>
          <w:bdr w:val="nil"/>
        </w:rPr>
        <w:br w:type="page"/>
      </w:r>
    </w:p>
    <w:p w14:paraId="730CEC6D" w14:textId="77777777" w:rsidR="007F5788" w:rsidRDefault="007F5788" w:rsidP="007F5788">
      <w:pPr>
        <w:pStyle w:val="Normal6"/>
        <w:pBdr>
          <w:top w:val="nil"/>
          <w:left w:val="nil"/>
          <w:bottom w:val="nil"/>
          <w:right w:val="nil"/>
          <w:between w:val="nil"/>
          <w:bar w:val="nil"/>
        </w:pBdr>
        <w:spacing w:before="120" w:after="60"/>
        <w:rPr>
          <w:b/>
          <w:sz w:val="16"/>
          <w:bdr w:val="nil"/>
        </w:rPr>
      </w:pPr>
      <w:r>
        <w:rPr>
          <w:b/>
          <w:sz w:val="16"/>
          <w:bdr w:val="nil"/>
        </w:rPr>
        <w:lastRenderedPageBreak/>
        <w:t>Notes:</w:t>
      </w:r>
    </w:p>
    <w:p w14:paraId="51D70147" w14:textId="77777777" w:rsidR="007F5788" w:rsidRPr="00642731" w:rsidRDefault="007F5788" w:rsidP="007F5788">
      <w:pPr>
        <w:pStyle w:val="AINotes"/>
        <w:numPr>
          <w:ilvl w:val="0"/>
          <w:numId w:val="93"/>
        </w:numPr>
        <w:pBdr>
          <w:top w:val="nil"/>
          <w:left w:val="nil"/>
          <w:bottom w:val="nil"/>
          <w:right w:val="nil"/>
          <w:between w:val="nil"/>
          <w:bar w:val="nil"/>
        </w:pBdr>
        <w:spacing w:before="0" w:after="0"/>
        <w:ind w:left="284" w:hanging="284"/>
        <w:rPr>
          <w:bdr w:val="nil"/>
          <w:lang w:val="en-US"/>
        </w:rPr>
      </w:pPr>
      <w:r>
        <w:rPr>
          <w:bdr w:val="nil"/>
        </w:rPr>
        <w:t>The lower than anticipated number of EPA’s prepared is attributed to the COVID-19 pandemic with EPA drafting appointments significantly curtailed in the first half of the reported year to accord with protocols established to protect PTG’s staff and members of the community.</w:t>
      </w:r>
    </w:p>
    <w:p w14:paraId="4058E3C6" w14:textId="77777777" w:rsidR="007F5788" w:rsidRPr="00020294" w:rsidRDefault="007F5788" w:rsidP="007F5788">
      <w:pPr>
        <w:pStyle w:val="AINotes"/>
        <w:numPr>
          <w:ilvl w:val="0"/>
          <w:numId w:val="93"/>
        </w:numPr>
        <w:pBdr>
          <w:top w:val="nil"/>
          <w:left w:val="nil"/>
          <w:bottom w:val="nil"/>
          <w:right w:val="nil"/>
          <w:between w:val="nil"/>
          <w:bar w:val="nil"/>
        </w:pBdr>
        <w:spacing w:before="0" w:after="0"/>
        <w:ind w:left="284" w:hanging="284"/>
        <w:rPr>
          <w:bdr w:val="nil"/>
          <w:lang w:val="en-US"/>
        </w:rPr>
      </w:pPr>
      <w:r>
        <w:rPr>
          <w:bdr w:val="nil"/>
        </w:rPr>
        <w:t xml:space="preserve">The number of EPA’s </w:t>
      </w:r>
      <w:r w:rsidRPr="0055067A">
        <w:rPr>
          <w:bdr w:val="nil"/>
        </w:rPr>
        <w:t>appo</w:t>
      </w:r>
      <w:r>
        <w:rPr>
          <w:bdr w:val="nil"/>
        </w:rPr>
        <w:t xml:space="preserve">inting PTG for personal and health care matters was marginally higher than expected. It is normal for people to appoint family first for these kinds of </w:t>
      </w:r>
      <w:proofErr w:type="gramStart"/>
      <w:r>
        <w:rPr>
          <w:bdr w:val="nil"/>
        </w:rPr>
        <w:t>decisions, if</w:t>
      </w:r>
      <w:proofErr w:type="gramEnd"/>
      <w:r>
        <w:rPr>
          <w:bdr w:val="nil"/>
        </w:rPr>
        <w:t xml:space="preserve"> there are no family members available the PTG may be used.</w:t>
      </w:r>
    </w:p>
    <w:p w14:paraId="2D26FABF" w14:textId="77777777" w:rsidR="007F5788" w:rsidRDefault="007F5788" w:rsidP="007F5788">
      <w:pPr>
        <w:pStyle w:val="AINotes"/>
        <w:numPr>
          <w:ilvl w:val="0"/>
          <w:numId w:val="93"/>
        </w:numPr>
        <w:pBdr>
          <w:top w:val="nil"/>
          <w:left w:val="nil"/>
          <w:bottom w:val="nil"/>
          <w:right w:val="nil"/>
          <w:between w:val="nil"/>
          <w:bar w:val="nil"/>
        </w:pBdr>
        <w:spacing w:before="0" w:after="0"/>
        <w:ind w:left="284" w:hanging="284"/>
        <w:rPr>
          <w:bdr w:val="nil"/>
          <w:lang w:val="en-US"/>
        </w:rPr>
      </w:pPr>
      <w:r>
        <w:rPr>
          <w:bdr w:val="nil"/>
        </w:rPr>
        <w:t xml:space="preserve">We did not receive any police </w:t>
      </w:r>
      <w:proofErr w:type="gramStart"/>
      <w:r>
        <w:rPr>
          <w:bdr w:val="nil"/>
        </w:rPr>
        <w:t>call-outs</w:t>
      </w:r>
      <w:proofErr w:type="gramEnd"/>
      <w:r>
        <w:rPr>
          <w:bdr w:val="nil"/>
        </w:rPr>
        <w:t xml:space="preserve"> during the period. PTG’s performance in this regard is purely reactive following callout by ACT Policing.</w:t>
      </w:r>
    </w:p>
    <w:p w14:paraId="4B6E46BB" w14:textId="77777777" w:rsidR="007F5788" w:rsidRDefault="007F5788" w:rsidP="007F5788">
      <w:pPr>
        <w:pStyle w:val="Normal6"/>
        <w:numPr>
          <w:ilvl w:val="0"/>
          <w:numId w:val="93"/>
        </w:numPr>
        <w:pBdr>
          <w:top w:val="nil"/>
          <w:left w:val="nil"/>
          <w:bottom w:val="nil"/>
          <w:right w:val="nil"/>
          <w:between w:val="nil"/>
          <w:bar w:val="nil"/>
        </w:pBdr>
        <w:spacing w:before="0" w:after="0" w:line="254" w:lineRule="auto"/>
        <w:ind w:left="284" w:hanging="284"/>
        <w:jc w:val="both"/>
        <w:rPr>
          <w:sz w:val="16"/>
          <w:bdr w:val="nil"/>
          <w:lang w:val="en-US" w:eastAsia="en-AU"/>
        </w:rPr>
      </w:pPr>
      <w:r>
        <w:rPr>
          <w:sz w:val="16"/>
          <w:bdr w:val="nil"/>
          <w:lang w:val="en-US" w:eastAsia="en-AU"/>
        </w:rPr>
        <w:t>We did not attend to any Welfare funerals during the period. PTG’s performance in this regard is purely reactive following callout by ACT Policing. However, in July 2020 we finalized the arrangements for the disposal of unclaimed bodies that had been held at Forensic Medicine Centre as part of the JACS COVID response.</w:t>
      </w:r>
    </w:p>
    <w:p w14:paraId="609C4980" w14:textId="77777777" w:rsidR="007F5788" w:rsidRDefault="007F5788" w:rsidP="007F5788">
      <w:pPr>
        <w:pStyle w:val="Normal6"/>
        <w:numPr>
          <w:ilvl w:val="0"/>
          <w:numId w:val="93"/>
        </w:numPr>
        <w:pBdr>
          <w:top w:val="nil"/>
          <w:left w:val="nil"/>
          <w:bottom w:val="nil"/>
          <w:right w:val="nil"/>
          <w:between w:val="nil"/>
          <w:bar w:val="nil"/>
        </w:pBdr>
        <w:spacing w:before="0" w:after="0" w:line="254" w:lineRule="auto"/>
        <w:ind w:left="284" w:hanging="284"/>
        <w:jc w:val="both"/>
        <w:rPr>
          <w:sz w:val="16"/>
          <w:bdr w:val="nil"/>
          <w:lang w:val="en-US" w:eastAsia="en-AU"/>
        </w:rPr>
      </w:pPr>
      <w:r>
        <w:rPr>
          <w:sz w:val="16"/>
          <w:bdr w:val="nil"/>
          <w:lang w:val="en-US" w:eastAsia="en-AU"/>
        </w:rPr>
        <w:t xml:space="preserve">In 2020-21 PTG changed the process undertaken for the Examinations of Private Managers’ Accounts </w:t>
      </w:r>
      <w:proofErr w:type="gramStart"/>
      <w:r>
        <w:rPr>
          <w:sz w:val="16"/>
          <w:bdr w:val="nil"/>
          <w:lang w:val="en-US" w:eastAsia="en-AU"/>
        </w:rPr>
        <w:t>as a result of</w:t>
      </w:r>
      <w:proofErr w:type="gramEnd"/>
      <w:r>
        <w:rPr>
          <w:sz w:val="16"/>
          <w:bdr w:val="nil"/>
          <w:lang w:val="en-US" w:eastAsia="en-AU"/>
        </w:rPr>
        <w:t xml:space="preserve"> a risk assessment. PTG considered that any movements considered immaterial in the assessment of movement in represented persons’ financial assets are acceptable. Otherwise, a full examination would be completed. This resulted in the number of examinations by PTG being higher than expected.</w:t>
      </w:r>
    </w:p>
    <w:p w14:paraId="66BC9DF9" w14:textId="77777777" w:rsidR="007F5788" w:rsidRDefault="007F5788" w:rsidP="007F5788">
      <w:pPr>
        <w:pStyle w:val="Normal6"/>
        <w:numPr>
          <w:ilvl w:val="0"/>
          <w:numId w:val="93"/>
        </w:numPr>
        <w:pBdr>
          <w:top w:val="nil"/>
          <w:left w:val="nil"/>
          <w:bottom w:val="nil"/>
          <w:right w:val="nil"/>
          <w:between w:val="nil"/>
          <w:bar w:val="nil"/>
        </w:pBdr>
        <w:spacing w:before="0" w:after="0" w:line="254" w:lineRule="auto"/>
        <w:ind w:left="284" w:hanging="284"/>
        <w:jc w:val="both"/>
        <w:rPr>
          <w:sz w:val="16"/>
          <w:bdr w:val="nil"/>
          <w:lang w:val="en-US" w:eastAsia="en-AU"/>
        </w:rPr>
      </w:pPr>
      <w:r>
        <w:rPr>
          <w:sz w:val="16"/>
          <w:bdr w:val="nil"/>
          <w:lang w:val="en-US" w:eastAsia="en-AU"/>
        </w:rPr>
        <w:t xml:space="preserve">The number of estate administrations completed was the same as the previous year, however lower than expected. This was due to a high number of complex estates that were unable to </w:t>
      </w:r>
      <w:proofErr w:type="spellStart"/>
      <w:r>
        <w:rPr>
          <w:sz w:val="16"/>
          <w:bdr w:val="nil"/>
          <w:lang w:val="en-US" w:eastAsia="en-AU"/>
        </w:rPr>
        <w:t>finalised</w:t>
      </w:r>
      <w:proofErr w:type="spellEnd"/>
      <w:r>
        <w:rPr>
          <w:sz w:val="16"/>
          <w:bdr w:val="nil"/>
          <w:lang w:val="en-US" w:eastAsia="en-AU"/>
        </w:rPr>
        <w:t xml:space="preserve"> due to ongoing taxation issues, family provisions </w:t>
      </w:r>
      <w:proofErr w:type="gramStart"/>
      <w:r>
        <w:rPr>
          <w:sz w:val="16"/>
          <w:bdr w:val="nil"/>
          <w:lang w:val="en-US" w:eastAsia="en-AU"/>
        </w:rPr>
        <w:t>claims</w:t>
      </w:r>
      <w:proofErr w:type="gramEnd"/>
      <w:r>
        <w:rPr>
          <w:sz w:val="16"/>
          <w:bdr w:val="nil"/>
          <w:lang w:val="en-US" w:eastAsia="en-AU"/>
        </w:rPr>
        <w:t>, a greater number of beneficiaries residing overseas and the resourcing constraints during the COVID-19 pandemic.</w:t>
      </w:r>
    </w:p>
    <w:p w14:paraId="6D053791" w14:textId="77777777" w:rsidR="007F5788" w:rsidRDefault="007F5788" w:rsidP="007F5788">
      <w:pPr>
        <w:pStyle w:val="Normal6"/>
        <w:numPr>
          <w:ilvl w:val="0"/>
          <w:numId w:val="93"/>
        </w:numPr>
        <w:pBdr>
          <w:top w:val="nil"/>
          <w:left w:val="nil"/>
          <w:bottom w:val="nil"/>
          <w:right w:val="nil"/>
          <w:between w:val="nil"/>
          <w:bar w:val="nil"/>
        </w:pBdr>
        <w:spacing w:before="0" w:after="0" w:line="254" w:lineRule="auto"/>
        <w:ind w:left="284" w:hanging="284"/>
        <w:jc w:val="both"/>
        <w:rPr>
          <w:sz w:val="16"/>
          <w:bdr w:val="nil"/>
          <w:lang w:val="en-US" w:eastAsia="en-AU"/>
        </w:rPr>
      </w:pPr>
      <w:r>
        <w:rPr>
          <w:sz w:val="16"/>
          <w:bdr w:val="nil"/>
          <w:lang w:val="en-US" w:eastAsia="en-AU"/>
        </w:rPr>
        <w:t>The higher than anticipated number of trusts reflects a change adopted by PTG in the types of matters to be reported as trusts. Previously PTG had not reported some accounts as they had not been formally regarded as trusts.</w:t>
      </w:r>
    </w:p>
    <w:p w14:paraId="7C3194E8" w14:textId="77777777" w:rsidR="007F5788" w:rsidRPr="00D94C30" w:rsidRDefault="007F5788" w:rsidP="007F5788">
      <w:pPr>
        <w:pStyle w:val="Normal6"/>
        <w:numPr>
          <w:ilvl w:val="0"/>
          <w:numId w:val="93"/>
        </w:numPr>
        <w:pBdr>
          <w:top w:val="nil"/>
          <w:left w:val="nil"/>
          <w:bottom w:val="nil"/>
          <w:right w:val="nil"/>
          <w:between w:val="nil"/>
          <w:bar w:val="nil"/>
        </w:pBdr>
        <w:spacing w:before="0" w:after="0" w:line="254" w:lineRule="auto"/>
        <w:ind w:left="284" w:hanging="284"/>
        <w:jc w:val="both"/>
        <w:rPr>
          <w:sz w:val="16"/>
          <w:bdr w:val="nil"/>
          <w:lang w:val="en-US" w:eastAsia="en-AU"/>
        </w:rPr>
      </w:pPr>
      <w:r>
        <w:rPr>
          <w:sz w:val="16"/>
          <w:bdr w:val="nil"/>
          <w:lang w:eastAsia="en-AU"/>
        </w:rPr>
        <w:t xml:space="preserve">The lower than anticipated number of Wills prepared is attributed to the COVID-19 pandemic with will drafting appointments significantly curtailed during the first half of the year to accord with protocols established to protect </w:t>
      </w:r>
      <w:proofErr w:type="gramStart"/>
      <w:r>
        <w:rPr>
          <w:sz w:val="16"/>
          <w:bdr w:val="nil"/>
          <w:lang w:eastAsia="en-AU"/>
        </w:rPr>
        <w:t>PTG”s</w:t>
      </w:r>
      <w:proofErr w:type="gramEnd"/>
      <w:r>
        <w:rPr>
          <w:sz w:val="16"/>
          <w:bdr w:val="nil"/>
          <w:lang w:eastAsia="en-AU"/>
        </w:rPr>
        <w:t xml:space="preserve"> staff and members of the community.</w:t>
      </w:r>
    </w:p>
    <w:p w14:paraId="152A8364" w14:textId="77777777" w:rsidR="007F5788" w:rsidRDefault="007F5788" w:rsidP="007F5788">
      <w:pPr>
        <w:pStyle w:val="Normal6"/>
        <w:numPr>
          <w:ilvl w:val="0"/>
          <w:numId w:val="93"/>
        </w:numPr>
        <w:pBdr>
          <w:top w:val="nil"/>
          <w:left w:val="nil"/>
          <w:bottom w:val="nil"/>
          <w:right w:val="nil"/>
          <w:between w:val="nil"/>
          <w:bar w:val="nil"/>
        </w:pBdr>
        <w:spacing w:before="0" w:after="0" w:line="254" w:lineRule="auto"/>
        <w:ind w:left="284" w:hanging="284"/>
        <w:jc w:val="both"/>
        <w:rPr>
          <w:sz w:val="16"/>
          <w:bdr w:val="nil"/>
          <w:lang w:val="en-US" w:eastAsia="en-AU"/>
        </w:rPr>
      </w:pPr>
      <w:r>
        <w:rPr>
          <w:sz w:val="16"/>
          <w:bdr w:val="nil"/>
          <w:lang w:eastAsia="en-AU"/>
        </w:rPr>
        <w:t xml:space="preserve">The higher than anticipated percentage of clients responding to </w:t>
      </w:r>
      <w:proofErr w:type="gramStart"/>
      <w:r>
        <w:rPr>
          <w:sz w:val="16"/>
          <w:bdr w:val="nil"/>
          <w:lang w:eastAsia="en-AU"/>
        </w:rPr>
        <w:t>PTG”s</w:t>
      </w:r>
      <w:proofErr w:type="gramEnd"/>
      <w:r>
        <w:rPr>
          <w:sz w:val="16"/>
          <w:bdr w:val="nil"/>
          <w:lang w:eastAsia="en-AU"/>
        </w:rPr>
        <w:t xml:space="preserve"> survey during the reported year that stated that PTG met or exceeded their expectations reflects PTG’s continual efforts to provide a professional level of service to our clients.</w:t>
      </w:r>
    </w:p>
    <w:p w14:paraId="1AFF5797" w14:textId="77777777" w:rsidR="007F5788" w:rsidRDefault="007F5788" w:rsidP="007F5788">
      <w:pPr>
        <w:pStyle w:val="Normal6"/>
        <w:pBdr>
          <w:top w:val="nil"/>
          <w:left w:val="nil"/>
          <w:bottom w:val="nil"/>
          <w:right w:val="nil"/>
          <w:between w:val="nil"/>
          <w:bar w:val="nil"/>
        </w:pBdr>
        <w:spacing w:before="0" w:after="0" w:line="254" w:lineRule="auto"/>
        <w:ind w:left="284"/>
        <w:jc w:val="both"/>
        <w:rPr>
          <w:b/>
          <w:snapToGrid w:val="0"/>
          <w:sz w:val="32"/>
          <w:bdr w:val="nil"/>
        </w:rPr>
      </w:pPr>
      <w:r>
        <w:rPr>
          <w:bdr w:val="nil"/>
        </w:rPr>
        <w:br w:type="page"/>
      </w:r>
    </w:p>
    <w:p w14:paraId="50D0018A" w14:textId="77777777" w:rsidR="007F5788" w:rsidRDefault="007F5788" w:rsidP="007F5788">
      <w:pPr>
        <w:pStyle w:val="Heading23"/>
        <w:pBdr>
          <w:top w:val="nil"/>
          <w:left w:val="nil"/>
          <w:bottom w:val="nil"/>
          <w:right w:val="nil"/>
          <w:between w:val="nil"/>
          <w:bar w:val="nil"/>
        </w:pBdr>
        <w:rPr>
          <w:bdr w:val="nil"/>
          <w:lang w:val="en-US"/>
        </w:rPr>
      </w:pPr>
      <w:r>
        <w:rPr>
          <w:bdr w:val="nil"/>
        </w:rPr>
        <w:lastRenderedPageBreak/>
        <w:t xml:space="preserve">Assessment of </w:t>
      </w:r>
      <w:r>
        <w:rPr>
          <w:bdr w:val="nil"/>
          <w:lang w:val="en-US"/>
        </w:rPr>
        <w:t>performance against 2020-21 objectives</w:t>
      </w:r>
    </w:p>
    <w:p w14:paraId="56D7E220" w14:textId="77777777" w:rsidR="007F5788" w:rsidRDefault="007F5788" w:rsidP="007F5788">
      <w:pPr>
        <w:pStyle w:val="Normal6"/>
        <w:pBdr>
          <w:top w:val="nil"/>
          <w:left w:val="nil"/>
          <w:bottom w:val="nil"/>
          <w:right w:val="nil"/>
          <w:between w:val="nil"/>
          <w:bar w:val="nil"/>
        </w:pBdr>
        <w:jc w:val="both"/>
        <w:rPr>
          <w:bdr w:val="nil"/>
        </w:rPr>
      </w:pPr>
      <w:r>
        <w:rPr>
          <w:bdr w:val="nil"/>
        </w:rPr>
        <w:t xml:space="preserve">PTG pools client funds for investment through its common funds operated under the </w:t>
      </w:r>
      <w:r>
        <w:rPr>
          <w:i/>
          <w:bdr w:val="nil"/>
        </w:rPr>
        <w:t>Public Trustee and Guardian Act 1985</w:t>
      </w:r>
      <w:r>
        <w:rPr>
          <w:bdr w:val="nil"/>
        </w:rPr>
        <w:t xml:space="preserve"> and currently administers the Cash Common Fund, Balanced Common Fund, Conservative Common Fund and Growth Common Fund following a </w:t>
      </w:r>
      <w:r>
        <w:rPr>
          <w:bdr w:val="nil"/>
        </w:rPr>
        <w:br/>
        <w:t xml:space="preserve">re-structure of PTG’s Investment Strategy undertaken in 2017-18. </w:t>
      </w:r>
    </w:p>
    <w:p w14:paraId="330ABB0B" w14:textId="77777777" w:rsidR="007F5788" w:rsidRDefault="007F5788" w:rsidP="007F5788">
      <w:pPr>
        <w:pStyle w:val="Normal6"/>
        <w:pBdr>
          <w:top w:val="nil"/>
          <w:left w:val="nil"/>
          <w:bottom w:val="nil"/>
          <w:right w:val="nil"/>
          <w:between w:val="nil"/>
          <w:bar w:val="nil"/>
        </w:pBdr>
        <w:jc w:val="both"/>
        <w:rPr>
          <w:bdr w:val="nil"/>
        </w:rPr>
      </w:pPr>
      <w:r>
        <w:rPr>
          <w:bdr w:val="nil"/>
        </w:rPr>
        <w:t>Fund sizes and performances for the period 1 July 2020 to 30 June 2021 are as follows:</w:t>
      </w:r>
    </w:p>
    <w:p w14:paraId="3DB67188" w14:textId="77777777" w:rsidR="007F5788" w:rsidRDefault="007F5788" w:rsidP="007F5788">
      <w:pPr>
        <w:pStyle w:val="Normal6"/>
        <w:pBdr>
          <w:top w:val="nil"/>
          <w:left w:val="nil"/>
          <w:bottom w:val="nil"/>
          <w:right w:val="nil"/>
          <w:between w:val="nil"/>
          <w:bar w:val="nil"/>
        </w:pBdr>
        <w:rPr>
          <w:bdr w:val="nil"/>
        </w:rPr>
      </w:pPr>
      <w:r>
        <w:rPr>
          <w:b/>
          <w:i/>
          <w:bdr w:val="nil"/>
        </w:rPr>
        <w:t>PTG Common Funds</w:t>
      </w:r>
    </w:p>
    <w:p w14:paraId="1B2E54C3"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 xml:space="preserve">Cash Common Fund </w:t>
      </w:r>
    </w:p>
    <w:p w14:paraId="5B7674F6" w14:textId="1559C901" w:rsidR="007F5788" w:rsidRDefault="007F5788" w:rsidP="007F5788">
      <w:pPr>
        <w:pStyle w:val="Normal6"/>
        <w:pBdr>
          <w:top w:val="nil"/>
          <w:left w:val="nil"/>
          <w:bottom w:val="nil"/>
          <w:right w:val="nil"/>
          <w:between w:val="nil"/>
          <w:bar w:val="nil"/>
        </w:pBdr>
        <w:jc w:val="both"/>
        <w:rPr>
          <w:bdr w:val="nil"/>
        </w:rPr>
      </w:pPr>
      <w:r>
        <w:rPr>
          <w:bdr w:val="nil"/>
        </w:rPr>
        <w:t xml:space="preserve">Managed internally and invested in a range of bank and non-bank financial institution deposits, </w:t>
      </w:r>
      <w:proofErr w:type="gramStart"/>
      <w:r>
        <w:rPr>
          <w:bdr w:val="nil"/>
        </w:rPr>
        <w:t>notes</w:t>
      </w:r>
      <w:proofErr w:type="gramEnd"/>
      <w:r>
        <w:rPr>
          <w:bdr w:val="nil"/>
        </w:rPr>
        <w:t xml:space="preserve"> and bills of exchange. Interest returns vary with the market cash rate and, </w:t>
      </w:r>
      <w:proofErr w:type="gramStart"/>
      <w:r>
        <w:rPr>
          <w:bdr w:val="nil"/>
        </w:rPr>
        <w:t>at</w:t>
      </w:r>
      <w:proofErr w:type="gramEnd"/>
      <w:r>
        <w:rPr>
          <w:bdr w:val="nil"/>
        </w:rPr>
        <w:t xml:space="preserve"> 30 June 2021, the interest rate was 0.05</w:t>
      </w:r>
      <w:r w:rsidR="00724BA0">
        <w:rPr>
          <w:bdr w:val="nil"/>
        </w:rPr>
        <w:t xml:space="preserve"> per cent</w:t>
      </w:r>
      <w:r>
        <w:rPr>
          <w:bdr w:val="nil"/>
        </w:rPr>
        <w:t xml:space="preserve">. Funds currently under investment total </w:t>
      </w:r>
      <w:r>
        <w:rPr>
          <w:bdr w:val="nil"/>
        </w:rPr>
        <w:br/>
        <w:t>$127.46</w:t>
      </w:r>
      <w:r w:rsidR="00724BA0">
        <w:rPr>
          <w:bdr w:val="nil"/>
        </w:rPr>
        <w:t>0</w:t>
      </w:r>
      <w:r>
        <w:rPr>
          <w:bdr w:val="nil"/>
        </w:rPr>
        <w:t xml:space="preserve"> million.</w:t>
      </w:r>
    </w:p>
    <w:p w14:paraId="6A71DD14"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Conservative Common Fund</w:t>
      </w:r>
    </w:p>
    <w:p w14:paraId="2D3B2EB2" w14:textId="3080E4FC" w:rsidR="007F5788" w:rsidRDefault="007F5788" w:rsidP="007F5788">
      <w:pPr>
        <w:pStyle w:val="Normal6"/>
        <w:pBdr>
          <w:top w:val="nil"/>
          <w:left w:val="nil"/>
          <w:bottom w:val="nil"/>
          <w:right w:val="nil"/>
          <w:between w:val="nil"/>
          <w:bar w:val="nil"/>
        </w:pBdr>
        <w:jc w:val="both"/>
        <w:rPr>
          <w:bdr w:val="nil"/>
        </w:rPr>
      </w:pPr>
      <w:r>
        <w:rPr>
          <w:bdr w:val="nil"/>
        </w:rPr>
        <w:t xml:space="preserve">Invested in a diversified index trust. Performance return after fees for the 12 months to </w:t>
      </w:r>
      <w:r>
        <w:rPr>
          <w:bdr w:val="nil"/>
        </w:rPr>
        <w:br/>
        <w:t>30 June 2021 was 10.1</w:t>
      </w:r>
      <w:r w:rsidR="00724BA0" w:rsidRPr="00724BA0">
        <w:rPr>
          <w:bdr w:val="nil"/>
        </w:rPr>
        <w:t xml:space="preserve"> </w:t>
      </w:r>
      <w:r w:rsidR="00724BA0">
        <w:rPr>
          <w:bdr w:val="nil"/>
        </w:rPr>
        <w:t xml:space="preserve">per cent. </w:t>
      </w:r>
      <w:r>
        <w:rPr>
          <w:bdr w:val="nil"/>
        </w:rPr>
        <w:t>Funds currently under investment total $15.9 million.</w:t>
      </w:r>
    </w:p>
    <w:p w14:paraId="527B21C1"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Balanced Common Fund</w:t>
      </w:r>
    </w:p>
    <w:p w14:paraId="58CAC0B4" w14:textId="577F29B7" w:rsidR="007F5788" w:rsidRDefault="007F5788" w:rsidP="007F5788">
      <w:pPr>
        <w:pStyle w:val="Normal6"/>
        <w:pBdr>
          <w:top w:val="nil"/>
          <w:left w:val="nil"/>
          <w:bottom w:val="nil"/>
          <w:right w:val="nil"/>
          <w:between w:val="nil"/>
          <w:bar w:val="nil"/>
        </w:pBdr>
        <w:jc w:val="both"/>
        <w:rPr>
          <w:bdr w:val="nil"/>
        </w:rPr>
      </w:pPr>
      <w:r>
        <w:rPr>
          <w:bdr w:val="nil"/>
        </w:rPr>
        <w:t xml:space="preserve">Invested in a diversified index trust. Performance return after fees for the 12 months to </w:t>
      </w:r>
      <w:r>
        <w:rPr>
          <w:bdr w:val="nil"/>
        </w:rPr>
        <w:br/>
        <w:t>30 June 2021 was 14.7</w:t>
      </w:r>
      <w:r w:rsidR="00724BA0" w:rsidRPr="00724BA0">
        <w:rPr>
          <w:bdr w:val="nil"/>
        </w:rPr>
        <w:t xml:space="preserve"> </w:t>
      </w:r>
      <w:r w:rsidR="00724BA0">
        <w:rPr>
          <w:bdr w:val="nil"/>
        </w:rPr>
        <w:t xml:space="preserve">per </w:t>
      </w:r>
      <w:proofErr w:type="gramStart"/>
      <w:r w:rsidR="00724BA0">
        <w:rPr>
          <w:bdr w:val="nil"/>
        </w:rPr>
        <w:t>cent</w:t>
      </w:r>
      <w:r w:rsidR="00724BA0" w:rsidDel="00724BA0">
        <w:rPr>
          <w:bdr w:val="nil"/>
        </w:rPr>
        <w:t xml:space="preserve"> </w:t>
      </w:r>
      <w:r>
        <w:rPr>
          <w:bdr w:val="nil"/>
        </w:rPr>
        <w:t>.</w:t>
      </w:r>
      <w:proofErr w:type="gramEnd"/>
      <w:r>
        <w:rPr>
          <w:bdr w:val="nil"/>
        </w:rPr>
        <w:t xml:space="preserve"> Funds currently under investment total $43.26</w:t>
      </w:r>
      <w:r w:rsidR="00724BA0">
        <w:rPr>
          <w:bdr w:val="nil"/>
        </w:rPr>
        <w:t>0</w:t>
      </w:r>
      <w:r>
        <w:rPr>
          <w:bdr w:val="nil"/>
        </w:rPr>
        <w:t xml:space="preserve"> million.</w:t>
      </w:r>
    </w:p>
    <w:p w14:paraId="754FA030"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Growth Common Fund</w:t>
      </w:r>
    </w:p>
    <w:p w14:paraId="0AC159BC" w14:textId="2117B97C" w:rsidR="007F5788" w:rsidRDefault="007F5788" w:rsidP="007F5788">
      <w:pPr>
        <w:pStyle w:val="Normal6"/>
        <w:pBdr>
          <w:top w:val="nil"/>
          <w:left w:val="nil"/>
          <w:bottom w:val="nil"/>
          <w:right w:val="nil"/>
          <w:between w:val="nil"/>
          <w:bar w:val="nil"/>
        </w:pBdr>
        <w:jc w:val="both"/>
        <w:rPr>
          <w:bdr w:val="nil"/>
        </w:rPr>
      </w:pPr>
      <w:r>
        <w:rPr>
          <w:bdr w:val="nil"/>
        </w:rPr>
        <w:t xml:space="preserve">Invested in a diversified index trust. Performance return after fees for the 12 months to </w:t>
      </w:r>
      <w:r>
        <w:rPr>
          <w:bdr w:val="nil"/>
        </w:rPr>
        <w:br/>
        <w:t>30 June 2021 was 23.0</w:t>
      </w:r>
      <w:r w:rsidR="00724BA0">
        <w:rPr>
          <w:bdr w:val="nil"/>
        </w:rPr>
        <w:t xml:space="preserve"> per cent</w:t>
      </w:r>
      <w:r>
        <w:rPr>
          <w:bdr w:val="nil"/>
        </w:rPr>
        <w:t>. Funds currently under investment total $75.75</w:t>
      </w:r>
      <w:r w:rsidR="00724BA0">
        <w:rPr>
          <w:bdr w:val="nil"/>
        </w:rPr>
        <w:t>0</w:t>
      </w:r>
      <w:r>
        <w:rPr>
          <w:bdr w:val="nil"/>
        </w:rPr>
        <w:t xml:space="preserve"> million.</w:t>
      </w:r>
    </w:p>
    <w:p w14:paraId="369C445C" w14:textId="77777777" w:rsidR="007F5788" w:rsidRDefault="007F5788" w:rsidP="007F5788">
      <w:pPr>
        <w:pStyle w:val="Normal6"/>
        <w:pBdr>
          <w:top w:val="nil"/>
          <w:left w:val="nil"/>
          <w:bottom w:val="nil"/>
          <w:right w:val="nil"/>
          <w:between w:val="nil"/>
          <w:bar w:val="nil"/>
        </w:pBdr>
        <w:rPr>
          <w:b/>
          <w:i/>
          <w:bdr w:val="nil"/>
        </w:rPr>
      </w:pPr>
      <w:r>
        <w:rPr>
          <w:b/>
          <w:i/>
          <w:bdr w:val="nil"/>
        </w:rPr>
        <w:t>Investment Strategies</w:t>
      </w:r>
    </w:p>
    <w:p w14:paraId="23F746B4" w14:textId="77777777" w:rsidR="007F5788" w:rsidRDefault="007F5788" w:rsidP="007F5788">
      <w:pPr>
        <w:pStyle w:val="Normal6"/>
        <w:pBdr>
          <w:top w:val="nil"/>
          <w:left w:val="nil"/>
          <w:bottom w:val="nil"/>
          <w:right w:val="nil"/>
          <w:between w:val="nil"/>
          <w:bar w:val="nil"/>
        </w:pBdr>
        <w:jc w:val="both"/>
        <w:rPr>
          <w:bdr w:val="nil"/>
        </w:rPr>
      </w:pPr>
      <w:r>
        <w:rPr>
          <w:bdr w:val="nil"/>
        </w:rPr>
        <w:t xml:space="preserve">Investments reflect individual client risk profiles as assessed and reviewed annually under the ‘prudent person trustee investment principle’ in the </w:t>
      </w:r>
      <w:r>
        <w:rPr>
          <w:i/>
          <w:bdr w:val="nil"/>
        </w:rPr>
        <w:t>Trustee Act 1925</w:t>
      </w:r>
      <w:r>
        <w:rPr>
          <w:bdr w:val="nil"/>
        </w:rPr>
        <w:t>. Clients of similar risk profiles are grouped into four risk models, Conservative, Balanced, Growth and Capital Stable for investment in appropriate allocations into the common funds. Returns are in respect to the 12 months to 30 June 2021.</w:t>
      </w:r>
    </w:p>
    <w:p w14:paraId="60603397"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Conservative Model Portfolio</w:t>
      </w:r>
    </w:p>
    <w:p w14:paraId="65A81DA4" w14:textId="3C285D64" w:rsidR="003C16F2" w:rsidRDefault="007F5788" w:rsidP="007F5788">
      <w:pPr>
        <w:pStyle w:val="Normal6"/>
        <w:pBdr>
          <w:top w:val="nil"/>
          <w:left w:val="nil"/>
          <w:bottom w:val="nil"/>
          <w:right w:val="nil"/>
          <w:between w:val="nil"/>
          <w:bar w:val="nil"/>
        </w:pBdr>
        <w:jc w:val="both"/>
        <w:rPr>
          <w:bdr w:val="nil"/>
        </w:rPr>
      </w:pPr>
      <w:r>
        <w:rPr>
          <w:bdr w:val="nil"/>
        </w:rPr>
        <w:t xml:space="preserve">The objective is to provide income return, moderate </w:t>
      </w:r>
      <w:proofErr w:type="gramStart"/>
      <w:r>
        <w:rPr>
          <w:bdr w:val="nil"/>
        </w:rPr>
        <w:t>volatility</w:t>
      </w:r>
      <w:proofErr w:type="gramEnd"/>
      <w:r>
        <w:rPr>
          <w:bdr w:val="nil"/>
        </w:rPr>
        <w:t xml:space="preserve"> and potential for some growth to protect the real value of the trust. It is suitable for trusts with income needs, shorter </w:t>
      </w:r>
      <w:proofErr w:type="gramStart"/>
      <w:r>
        <w:rPr>
          <w:bdr w:val="nil"/>
        </w:rPr>
        <w:t>terms</w:t>
      </w:r>
      <w:proofErr w:type="gramEnd"/>
      <w:r>
        <w:rPr>
          <w:bdr w:val="nil"/>
        </w:rPr>
        <w:t xml:space="preserve"> or conservative risk profiles. Performance return after fees for the 12 months to 30 June 2021 has been 10.1</w:t>
      </w:r>
      <w:r w:rsidR="00724BA0">
        <w:rPr>
          <w:bdr w:val="nil"/>
        </w:rPr>
        <w:t xml:space="preserve"> per cent</w:t>
      </w:r>
      <w:r>
        <w:rPr>
          <w:bdr w:val="nil"/>
        </w:rPr>
        <w:t>.</w:t>
      </w:r>
    </w:p>
    <w:p w14:paraId="73938F81" w14:textId="77777777" w:rsidR="003C16F2" w:rsidRDefault="003C16F2">
      <w:pPr>
        <w:spacing w:before="0" w:after="0"/>
        <w:rPr>
          <w:bdr w:val="nil"/>
        </w:rPr>
      </w:pPr>
      <w:r>
        <w:rPr>
          <w:bdr w:val="nil"/>
        </w:rPr>
        <w:br w:type="page"/>
      </w:r>
    </w:p>
    <w:p w14:paraId="09708198" w14:textId="77777777" w:rsidR="007F5788" w:rsidRDefault="007F5788" w:rsidP="007F5788">
      <w:pPr>
        <w:pStyle w:val="Normal6"/>
        <w:pBdr>
          <w:top w:val="nil"/>
          <w:left w:val="nil"/>
          <w:bottom w:val="nil"/>
          <w:right w:val="nil"/>
          <w:between w:val="nil"/>
          <w:bar w:val="nil"/>
        </w:pBdr>
        <w:jc w:val="both"/>
        <w:rPr>
          <w:bdr w:val="nil"/>
        </w:rPr>
      </w:pPr>
    </w:p>
    <w:p w14:paraId="7D860B18"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Balanced Model Portfolio</w:t>
      </w:r>
    </w:p>
    <w:p w14:paraId="1A6494DA" w14:textId="21D7D190" w:rsidR="007F5788" w:rsidRDefault="007F5788" w:rsidP="007F5788">
      <w:pPr>
        <w:pStyle w:val="Normal6"/>
        <w:pBdr>
          <w:top w:val="nil"/>
          <w:left w:val="nil"/>
          <w:bottom w:val="nil"/>
          <w:right w:val="nil"/>
          <w:between w:val="nil"/>
          <w:bar w:val="nil"/>
        </w:pBdr>
        <w:jc w:val="both"/>
        <w:rPr>
          <w:bdr w:val="nil"/>
        </w:rPr>
      </w:pPr>
      <w:r>
        <w:rPr>
          <w:bdr w:val="nil"/>
        </w:rPr>
        <w:t>The objective is to provide a balance between income and capital return with moderate volatility. It is suitable for medium term trusts or those with a mix of income and capital needs for beneficiaries. Performance return after fees for the 12 months to 30 June 2021 has been 14.7</w:t>
      </w:r>
      <w:r w:rsidR="00724BA0" w:rsidRPr="00724BA0">
        <w:rPr>
          <w:bdr w:val="nil"/>
        </w:rPr>
        <w:t xml:space="preserve"> </w:t>
      </w:r>
      <w:r w:rsidR="00724BA0">
        <w:rPr>
          <w:bdr w:val="nil"/>
        </w:rPr>
        <w:t>per cent</w:t>
      </w:r>
      <w:r>
        <w:rPr>
          <w:bdr w:val="nil"/>
        </w:rPr>
        <w:t>.</w:t>
      </w:r>
    </w:p>
    <w:p w14:paraId="1FAF2FDC"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Growth Model Portfolio</w:t>
      </w:r>
    </w:p>
    <w:p w14:paraId="1ECBDB66" w14:textId="0D801264" w:rsidR="007F5788" w:rsidRDefault="007F5788" w:rsidP="007F5788">
      <w:pPr>
        <w:pStyle w:val="Normal6"/>
        <w:pBdr>
          <w:top w:val="nil"/>
          <w:left w:val="nil"/>
          <w:bottom w:val="nil"/>
          <w:right w:val="nil"/>
          <w:between w:val="nil"/>
          <w:bar w:val="nil"/>
        </w:pBdr>
        <w:jc w:val="both"/>
        <w:rPr>
          <w:bdr w:val="nil"/>
        </w:rPr>
      </w:pPr>
      <w:r>
        <w:rPr>
          <w:bdr w:val="nil"/>
        </w:rPr>
        <w:t xml:space="preserve">The objective is to attain higher long term returns </w:t>
      </w:r>
      <w:proofErr w:type="gramStart"/>
      <w:r>
        <w:rPr>
          <w:bdr w:val="nil"/>
        </w:rPr>
        <w:t>in excess of</w:t>
      </w:r>
      <w:proofErr w:type="gramEnd"/>
      <w:r>
        <w:rPr>
          <w:bdr w:val="nil"/>
        </w:rPr>
        <w:t xml:space="preserve"> inflation.  A higher weighting in growth assets provides potential for superior long term returns for clients able to accept increased volatility in the short term and provides prospective tax efficiencies associated with franked dividends and capital growth.  Performance return after fees for the 12 months to 30</w:t>
      </w:r>
      <w:r w:rsidR="00724BA0">
        <w:rPr>
          <w:bdr w:val="nil"/>
        </w:rPr>
        <w:t> </w:t>
      </w:r>
      <w:r>
        <w:rPr>
          <w:bdr w:val="nil"/>
        </w:rPr>
        <w:t>June 2021 has been 23</w:t>
      </w:r>
      <w:r w:rsidR="00724BA0" w:rsidRPr="00724BA0">
        <w:rPr>
          <w:bdr w:val="nil"/>
        </w:rPr>
        <w:t xml:space="preserve"> </w:t>
      </w:r>
      <w:r w:rsidR="00724BA0">
        <w:rPr>
          <w:bdr w:val="nil"/>
        </w:rPr>
        <w:t>per cent</w:t>
      </w:r>
      <w:r>
        <w:rPr>
          <w:bdr w:val="nil"/>
        </w:rPr>
        <w:t>.</w:t>
      </w:r>
    </w:p>
    <w:p w14:paraId="0DAC8EAE" w14:textId="77777777" w:rsidR="007F5788" w:rsidRDefault="007F5788" w:rsidP="007F5788">
      <w:pPr>
        <w:pStyle w:val="Normal6"/>
        <w:pBdr>
          <w:top w:val="nil"/>
          <w:left w:val="nil"/>
          <w:bottom w:val="nil"/>
          <w:right w:val="nil"/>
          <w:between w:val="nil"/>
          <w:bar w:val="nil"/>
        </w:pBdr>
        <w:rPr>
          <w:u w:val="single"/>
          <w:bdr w:val="nil"/>
        </w:rPr>
      </w:pPr>
      <w:r>
        <w:rPr>
          <w:u w:val="single"/>
          <w:bdr w:val="nil"/>
        </w:rPr>
        <w:t xml:space="preserve">Capital Stable Portfolio </w:t>
      </w:r>
    </w:p>
    <w:p w14:paraId="2FEA6CA6" w14:textId="62E56E47" w:rsidR="007F5788" w:rsidRDefault="007F5788" w:rsidP="007F5788">
      <w:pPr>
        <w:pStyle w:val="Normal6"/>
        <w:pBdr>
          <w:top w:val="nil"/>
          <w:left w:val="nil"/>
          <w:bottom w:val="nil"/>
          <w:right w:val="nil"/>
          <w:between w:val="nil"/>
          <w:bar w:val="nil"/>
        </w:pBdr>
        <w:jc w:val="both"/>
        <w:rPr>
          <w:bdr w:val="nil"/>
        </w:rPr>
      </w:pPr>
      <w:r>
        <w:rPr>
          <w:bdr w:val="nil"/>
        </w:rPr>
        <w:t>Accounts requiring stability of capital are invested through the Cash Common Fund providing a market interest return on daily balances with funds available at call. The Cash Common Fund is suitable for cash balances and trusts of uncertain term. Credit interest rate at the end of the period was 0.05</w:t>
      </w:r>
      <w:r w:rsidR="00724BA0">
        <w:rPr>
          <w:bdr w:val="nil"/>
        </w:rPr>
        <w:t xml:space="preserve"> per cent</w:t>
      </w:r>
      <w:r>
        <w:rPr>
          <w:bdr w:val="nil"/>
        </w:rPr>
        <w:t>.</w:t>
      </w:r>
    </w:p>
    <w:p w14:paraId="4F56E210" w14:textId="77777777" w:rsidR="007F5788" w:rsidRDefault="007F5788" w:rsidP="007F5788">
      <w:pPr>
        <w:pStyle w:val="AINotes"/>
        <w:pBdr>
          <w:top w:val="nil"/>
          <w:left w:val="nil"/>
          <w:bottom w:val="nil"/>
          <w:right w:val="nil"/>
          <w:between w:val="nil"/>
          <w:bar w:val="nil"/>
        </w:pBdr>
        <w:spacing w:before="0" w:after="0"/>
        <w:ind w:left="284"/>
        <w:rPr>
          <w:bdr w:val="nil"/>
          <w:lang w:val="en-US"/>
        </w:rPr>
      </w:pPr>
      <w:r>
        <w:t xml:space="preserve"> </w:t>
      </w:r>
    </w:p>
    <w:p w14:paraId="532B5DC6" w14:textId="77777777" w:rsidR="007F5788" w:rsidRDefault="007F5788" w:rsidP="007F5788">
      <w:pPr>
        <w:pStyle w:val="Heading2"/>
        <w:pageBreakBefore/>
        <w:pBdr>
          <w:top w:val="nil"/>
          <w:left w:val="nil"/>
          <w:bottom w:val="nil"/>
          <w:right w:val="nil"/>
          <w:between w:val="nil"/>
          <w:bar w:val="nil"/>
        </w:pBdr>
        <w:rPr>
          <w:bdr w:val="nil"/>
        </w:rPr>
      </w:pPr>
      <w:r>
        <w:rPr>
          <w:bdr w:val="nil"/>
        </w:rPr>
        <w:lastRenderedPageBreak/>
        <w:t>Changes to appropriation</w:t>
      </w:r>
    </w:p>
    <w:p w14:paraId="41B9463A" w14:textId="77777777" w:rsidR="007F5788" w:rsidRPr="00F0682D" w:rsidRDefault="007F5788" w:rsidP="007F5788">
      <w:pPr>
        <w:pStyle w:val="Caption"/>
        <w:pBdr>
          <w:top w:val="nil"/>
          <w:left w:val="nil"/>
          <w:bottom w:val="nil"/>
          <w:right w:val="nil"/>
          <w:between w:val="nil"/>
          <w:bar w:val="nil"/>
        </w:pBdr>
        <w:rPr>
          <w:bdr w:val="nil"/>
        </w:rPr>
      </w:pPr>
      <w:r w:rsidRPr="00F0682D">
        <w:rPr>
          <w:bdr w:val="nil"/>
        </w:rPr>
        <w:t xml:space="preserve">Table </w:t>
      </w:r>
      <w:r>
        <w:rPr>
          <w:bdr w:val="nil"/>
        </w:rPr>
        <w:t>4</w:t>
      </w:r>
      <w:r w:rsidRPr="00F0682D">
        <w:rPr>
          <w:bdr w:val="nil"/>
        </w:rPr>
        <w:t>: Changes to appropriation –</w:t>
      </w:r>
      <w:r w:rsidRPr="00F0682D">
        <w:rPr>
          <w:szCs w:val="20"/>
          <w:bdr w:val="nil"/>
        </w:rPr>
        <w:t xml:space="preserve"> </w:t>
      </w:r>
      <w:r w:rsidRPr="00F0682D">
        <w:rPr>
          <w:bdr w:val="nil"/>
        </w:rPr>
        <w:t>Controlled Recurrent Payments</w:t>
      </w:r>
    </w:p>
    <w:p w14:paraId="7BC7FBFA" w14:textId="77777777" w:rsidR="007F5788" w:rsidRDefault="007F5788" w:rsidP="007F5788">
      <w:pPr>
        <w:pStyle w:val="Normal2"/>
      </w:pP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7F5788" w14:paraId="62D1EF95" w14:textId="77777777" w:rsidTr="00B23E3B">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421AAF04" w14:textId="77777777" w:rsidR="007F5788" w:rsidRDefault="007F5788" w:rsidP="00B23E3B">
            <w:pPr>
              <w:pStyle w:val="Normal2"/>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4B8F669"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16D1D856"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652BF2"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2021-22 Budget</w:t>
            </w:r>
          </w:p>
          <w:p w14:paraId="43538814" w14:textId="77777777" w:rsidR="007F5788" w:rsidRDefault="007F5788" w:rsidP="00B23E3B">
            <w:pPr>
              <w:pStyle w:val="Normal2"/>
              <w:jc w:val="right"/>
              <w:rPr>
                <w:rFonts w:ascii="Calibri" w:eastAsia="Calibri" w:hAnsi="Calibri" w:cs="Calibri"/>
                <w:b/>
                <w:color w:val="000000"/>
                <w:sz w:val="18"/>
              </w:rPr>
            </w:pPr>
          </w:p>
          <w:p w14:paraId="769844B3"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907446"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2022-23 Estimate</w:t>
            </w:r>
          </w:p>
          <w:p w14:paraId="22C974FA" w14:textId="77777777" w:rsidR="007F5788" w:rsidRDefault="007F5788" w:rsidP="00B23E3B">
            <w:pPr>
              <w:pStyle w:val="Normal2"/>
              <w:jc w:val="right"/>
              <w:rPr>
                <w:rFonts w:ascii="Calibri" w:eastAsia="Calibri" w:hAnsi="Calibri" w:cs="Calibri"/>
                <w:b/>
                <w:color w:val="000000"/>
                <w:sz w:val="18"/>
              </w:rPr>
            </w:pPr>
          </w:p>
          <w:p w14:paraId="2599629B"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868883D"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2023-24 Estimate</w:t>
            </w:r>
          </w:p>
          <w:p w14:paraId="2D3F3AEB" w14:textId="77777777" w:rsidR="007F5788" w:rsidRDefault="007F5788" w:rsidP="00B23E3B">
            <w:pPr>
              <w:pStyle w:val="Normal2"/>
              <w:jc w:val="right"/>
              <w:rPr>
                <w:rFonts w:ascii="Calibri" w:eastAsia="Calibri" w:hAnsi="Calibri" w:cs="Calibri"/>
                <w:b/>
                <w:color w:val="000000"/>
                <w:sz w:val="18"/>
              </w:rPr>
            </w:pPr>
          </w:p>
          <w:p w14:paraId="6DC40A08"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4C1CBBF"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2024-25 Estimate</w:t>
            </w:r>
          </w:p>
          <w:p w14:paraId="69B21528" w14:textId="77777777" w:rsidR="007F5788" w:rsidRDefault="007F5788" w:rsidP="00B23E3B">
            <w:pPr>
              <w:pStyle w:val="Normal2"/>
              <w:jc w:val="right"/>
              <w:rPr>
                <w:rFonts w:ascii="Calibri" w:eastAsia="Calibri" w:hAnsi="Calibri" w:cs="Calibri"/>
                <w:b/>
                <w:color w:val="000000"/>
                <w:sz w:val="18"/>
              </w:rPr>
            </w:pPr>
          </w:p>
          <w:p w14:paraId="6FE29744" w14:textId="7777777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7F5788" w14:paraId="08C72AA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AE105EA" w14:textId="77777777" w:rsidR="007F5788" w:rsidRDefault="007F5788" w:rsidP="00B23E3B">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5ACB33C" w14:textId="77777777" w:rsidR="007F5788" w:rsidRDefault="007F5788" w:rsidP="00B23E3B">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D64B461" w14:textId="77777777" w:rsidR="007F5788" w:rsidRDefault="007F5788" w:rsidP="00B23E3B">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B68ADD4" w14:textId="77777777" w:rsidR="007F5788" w:rsidRDefault="007F5788" w:rsidP="00B23E3B">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9E16785" w14:textId="77777777" w:rsidR="007F5788" w:rsidRDefault="007F5788" w:rsidP="00B23E3B">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74D3A6D" w14:textId="77777777" w:rsidR="007F5788" w:rsidRDefault="007F5788" w:rsidP="00B23E3B">
            <w:pPr>
              <w:pStyle w:val="Normal2"/>
              <w:rPr>
                <w:rFonts w:ascii="Calibri" w:eastAsia="Calibri" w:hAnsi="Calibri" w:cs="Calibri"/>
                <w:color w:val="000000"/>
                <w:sz w:val="18"/>
              </w:rPr>
            </w:pPr>
          </w:p>
        </w:tc>
      </w:tr>
      <w:tr w:rsidR="007F5788" w14:paraId="03260CBC"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5BBC5EAC"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488DF0C"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1E1C525"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D550AF5"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2925636"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3021D2E" w14:textId="77777777" w:rsidR="007F5788" w:rsidRDefault="007F5788" w:rsidP="00B23E3B">
            <w:pPr>
              <w:pStyle w:val="Normal2"/>
              <w:rPr>
                <w:rFonts w:ascii="Calibri" w:eastAsia="Calibri" w:hAnsi="Calibri" w:cs="Calibri"/>
                <w:color w:val="000000"/>
                <w:sz w:val="18"/>
              </w:rPr>
            </w:pPr>
          </w:p>
        </w:tc>
      </w:tr>
      <w:tr w:rsidR="007F5788" w14:paraId="097ABDCC"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65C3436A" w14:textId="77777777" w:rsidR="007F5788" w:rsidRDefault="007F5788" w:rsidP="00B23E3B">
            <w:pPr>
              <w:pStyle w:val="Normal2"/>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EFE3669" w14:textId="054E4CEA"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897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97A2479" w14:textId="27E96488"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935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DD616FD" w14:textId="3FC27FBC"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3</w:t>
            </w:r>
            <w:r w:rsidR="00724BA0">
              <w:rPr>
                <w:rFonts w:ascii="Calibri" w:eastAsia="Calibri" w:hAnsi="Calibri" w:cs="Calibri"/>
                <w:color w:val="000000"/>
                <w:sz w:val="18"/>
              </w:rPr>
              <w:t>,</w:t>
            </w:r>
            <w:r>
              <w:rPr>
                <w:rFonts w:ascii="Calibri" w:eastAsia="Calibri" w:hAnsi="Calibri" w:cs="Calibri"/>
                <w:color w:val="000000"/>
                <w:sz w:val="18"/>
              </w:rPr>
              <w:t>030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93CCA5E" w14:textId="23AB3055"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3</w:t>
            </w:r>
            <w:r w:rsidR="00724BA0">
              <w:rPr>
                <w:rFonts w:ascii="Calibri" w:eastAsia="Calibri" w:hAnsi="Calibri" w:cs="Calibri"/>
                <w:color w:val="000000"/>
                <w:sz w:val="18"/>
              </w:rPr>
              <w:t>,</w:t>
            </w:r>
            <w:r>
              <w:rPr>
                <w:rFonts w:ascii="Calibri" w:eastAsia="Calibri" w:hAnsi="Calibri" w:cs="Calibri"/>
                <w:color w:val="000000"/>
                <w:sz w:val="18"/>
              </w:rPr>
              <w:t>152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C2C45B3" w14:textId="7969E8F8"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3</w:t>
            </w:r>
            <w:r w:rsidR="00724BA0">
              <w:rPr>
                <w:rFonts w:ascii="Calibri" w:eastAsia="Calibri" w:hAnsi="Calibri" w:cs="Calibri"/>
                <w:color w:val="000000"/>
                <w:sz w:val="18"/>
              </w:rPr>
              <w:t>,</w:t>
            </w:r>
            <w:r>
              <w:rPr>
                <w:rFonts w:ascii="Calibri" w:eastAsia="Calibri" w:hAnsi="Calibri" w:cs="Calibri"/>
                <w:color w:val="000000"/>
                <w:sz w:val="18"/>
              </w:rPr>
              <w:t>152</w:t>
            </w:r>
          </w:p>
        </w:tc>
      </w:tr>
      <w:tr w:rsidR="007F5788" w14:paraId="36D5E5E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44CFDF73"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5BC1C49"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C9610BC"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0CCBA6"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9ED607D"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29B9CA9" w14:textId="77777777" w:rsidR="007F5788" w:rsidRDefault="007F5788" w:rsidP="00B23E3B">
            <w:pPr>
              <w:pStyle w:val="Normal2"/>
              <w:rPr>
                <w:rFonts w:ascii="Calibri" w:eastAsia="Calibri" w:hAnsi="Calibri" w:cs="Calibri"/>
                <w:color w:val="000000"/>
                <w:sz w:val="18"/>
              </w:rPr>
            </w:pPr>
          </w:p>
        </w:tc>
      </w:tr>
      <w:tr w:rsidR="007F5788" w14:paraId="1EDDAB5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46E16E9D" w14:textId="77777777" w:rsidR="007F5788" w:rsidRDefault="007F5788" w:rsidP="00B23E3B">
            <w:pPr>
              <w:pStyle w:val="Normal2"/>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15D5081"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3E64C0B"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FFFA0B"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284CBD"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14D936" w14:textId="77777777" w:rsidR="007F5788" w:rsidRDefault="007F5788" w:rsidP="00B23E3B">
            <w:pPr>
              <w:pStyle w:val="Normal2"/>
              <w:rPr>
                <w:rFonts w:ascii="Calibri" w:eastAsia="Calibri" w:hAnsi="Calibri" w:cs="Calibri"/>
                <w:color w:val="FFFFFF"/>
                <w:sz w:val="18"/>
              </w:rPr>
            </w:pPr>
          </w:p>
        </w:tc>
      </w:tr>
      <w:tr w:rsidR="007F5788" w14:paraId="25B509D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3902B6FE" w14:textId="77777777" w:rsidR="007F5788" w:rsidRDefault="007F5788" w:rsidP="003C16F2">
            <w:pPr>
              <w:pStyle w:val="Normal2"/>
              <w:ind w:left="181" w:hanging="181"/>
              <w:rPr>
                <w:rFonts w:ascii="Calibri" w:eastAsia="Calibri" w:hAnsi="Calibri" w:cs="Calibri"/>
                <w:color w:val="000000"/>
                <w:sz w:val="18"/>
              </w:rPr>
            </w:pPr>
            <w:r>
              <w:rPr>
                <w:rFonts w:ascii="Calibri" w:eastAsia="Calibri" w:hAnsi="Calibri" w:cs="Calibri"/>
                <w:color w:val="000000"/>
                <w:sz w:val="18"/>
              </w:rPr>
              <w:t>Supporting the Public Trustee and Guardian in caring for unclaimed deceased Canberrans</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8330351" w14:textId="6F1B65DB" w:rsidR="007F5788" w:rsidRDefault="00724BA0" w:rsidP="00B23E3B">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8131A7D"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122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FEBDBA4"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125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655FF31"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128</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C2BC1C2"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131</w:t>
            </w:r>
          </w:p>
        </w:tc>
      </w:tr>
      <w:tr w:rsidR="00724BA0" w14:paraId="7E97AA82"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D475932" w14:textId="77777777" w:rsidR="00724BA0" w:rsidRDefault="00724BA0" w:rsidP="003C16F2">
            <w:pPr>
              <w:pStyle w:val="Normal2"/>
              <w:ind w:left="181" w:hanging="181"/>
              <w:rPr>
                <w:rFonts w:ascii="Calibri" w:eastAsia="Calibri" w:hAnsi="Calibri" w:cs="Calibri"/>
                <w:color w:val="000000"/>
                <w:sz w:val="18"/>
              </w:rPr>
            </w:pPr>
            <w:r>
              <w:rPr>
                <w:rFonts w:ascii="Calibri" w:eastAsia="Calibri" w:hAnsi="Calibri" w:cs="Calibri"/>
                <w:color w:val="000000"/>
                <w:sz w:val="18"/>
              </w:rPr>
              <w:t>COVID-19 Response - Extension of temporary contract positions</w:t>
            </w:r>
          </w:p>
        </w:tc>
        <w:tc>
          <w:tcPr>
            <w:tcW w:w="1035" w:type="dxa"/>
            <w:tcBorders>
              <w:top w:val="nil"/>
              <w:left w:val="nil"/>
              <w:bottom w:val="nil"/>
              <w:right w:val="nil"/>
              <w:tl2br w:val="nil"/>
              <w:tr2bl w:val="nil"/>
            </w:tcBorders>
            <w:shd w:val="clear" w:color="auto" w:fill="auto"/>
            <w:noWrap/>
            <w:tcMar>
              <w:left w:w="101" w:type="dxa"/>
              <w:right w:w="101" w:type="dxa"/>
            </w:tcMar>
          </w:tcPr>
          <w:p w14:paraId="25358FB5" w14:textId="091F74D4"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12D6E39B" w14:textId="77777777"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23</w:t>
            </w:r>
          </w:p>
        </w:tc>
        <w:tc>
          <w:tcPr>
            <w:tcW w:w="1035" w:type="dxa"/>
            <w:tcBorders>
              <w:top w:val="nil"/>
              <w:left w:val="nil"/>
              <w:bottom w:val="nil"/>
              <w:right w:val="nil"/>
              <w:tl2br w:val="nil"/>
              <w:tr2bl w:val="nil"/>
            </w:tcBorders>
            <w:shd w:val="clear" w:color="auto" w:fill="auto"/>
            <w:noWrap/>
            <w:tcMar>
              <w:left w:w="101" w:type="dxa"/>
              <w:right w:w="101" w:type="dxa"/>
            </w:tcMar>
          </w:tcPr>
          <w:p w14:paraId="58E66469" w14:textId="16D19CA5" w:rsidR="00724BA0" w:rsidRDefault="00724BA0" w:rsidP="00724BA0">
            <w:pPr>
              <w:pStyle w:val="Normal2"/>
              <w:jc w:val="right"/>
              <w:rPr>
                <w:rFonts w:ascii="Calibri" w:eastAsia="Calibri" w:hAnsi="Calibri" w:cs="Calibri"/>
                <w:color w:val="000000"/>
                <w:sz w:val="18"/>
              </w:rPr>
            </w:pPr>
            <w:r w:rsidRPr="003922B1">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19A6E557" w14:textId="02731F31" w:rsidR="00724BA0" w:rsidRDefault="00724BA0" w:rsidP="00724BA0">
            <w:pPr>
              <w:pStyle w:val="Normal2"/>
              <w:jc w:val="right"/>
              <w:rPr>
                <w:rFonts w:ascii="Calibri" w:eastAsia="Calibri" w:hAnsi="Calibri" w:cs="Calibri"/>
                <w:color w:val="000000"/>
                <w:sz w:val="18"/>
              </w:rPr>
            </w:pPr>
            <w:r w:rsidRPr="003922B1">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32B9023D" w14:textId="15804596" w:rsidR="00724BA0" w:rsidRDefault="00724BA0" w:rsidP="00724BA0">
            <w:pPr>
              <w:pStyle w:val="Normal2"/>
              <w:jc w:val="right"/>
              <w:rPr>
                <w:rFonts w:ascii="Calibri" w:eastAsia="Calibri" w:hAnsi="Calibri" w:cs="Calibri"/>
                <w:color w:val="000000"/>
                <w:sz w:val="18"/>
              </w:rPr>
            </w:pPr>
            <w:r w:rsidRPr="003922B1">
              <w:rPr>
                <w:rFonts w:ascii="Calibri" w:eastAsia="Calibri" w:hAnsi="Calibri" w:cs="Calibri"/>
                <w:color w:val="000000"/>
                <w:sz w:val="18"/>
              </w:rPr>
              <w:t>-</w:t>
            </w:r>
          </w:p>
        </w:tc>
      </w:tr>
      <w:tr w:rsidR="007F5788" w14:paraId="5E89D57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1B7540F4" w14:textId="77777777" w:rsidR="007F5788" w:rsidRDefault="007F5788" w:rsidP="003C16F2">
            <w:pPr>
              <w:pStyle w:val="Normal2"/>
              <w:ind w:left="181" w:hanging="18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C4990B3"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D412ED8"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AEEC36"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9A8A1FE"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5B66F6" w14:textId="77777777" w:rsidR="007F5788" w:rsidRDefault="007F5788" w:rsidP="00B23E3B">
            <w:pPr>
              <w:pStyle w:val="Normal2"/>
              <w:rPr>
                <w:rFonts w:ascii="Calibri" w:eastAsia="Calibri" w:hAnsi="Calibri" w:cs="Calibri"/>
                <w:color w:val="000000"/>
                <w:sz w:val="18"/>
              </w:rPr>
            </w:pPr>
          </w:p>
        </w:tc>
      </w:tr>
      <w:tr w:rsidR="007F5788" w14:paraId="5A2E9A5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68CF17DC" w14:textId="77777777" w:rsidR="007F5788" w:rsidRDefault="007F5788" w:rsidP="003C16F2">
            <w:pPr>
              <w:pStyle w:val="Normal2"/>
              <w:ind w:left="181" w:hanging="181"/>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BD346C2"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34E79A3"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49D311E"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D7209A3" w14:textId="77777777" w:rsidR="007F5788" w:rsidRDefault="007F5788" w:rsidP="00B23E3B">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AE8A5D4" w14:textId="77777777" w:rsidR="007F5788" w:rsidRDefault="007F5788" w:rsidP="00B23E3B">
            <w:pPr>
              <w:pStyle w:val="Normal2"/>
              <w:rPr>
                <w:rFonts w:ascii="Calibri" w:eastAsia="Calibri" w:hAnsi="Calibri" w:cs="Calibri"/>
                <w:color w:val="FFFFFF"/>
                <w:sz w:val="18"/>
              </w:rPr>
            </w:pPr>
          </w:p>
        </w:tc>
      </w:tr>
      <w:tr w:rsidR="007F5788" w14:paraId="2B39209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8E40420" w14:textId="77777777" w:rsidR="007F5788" w:rsidRDefault="007F5788" w:rsidP="003C16F2">
            <w:pPr>
              <w:pStyle w:val="Normal2"/>
              <w:ind w:left="181" w:hanging="181"/>
              <w:rPr>
                <w:rFonts w:ascii="Calibri" w:eastAsia="Calibri" w:hAnsi="Calibri" w:cs="Calibri"/>
                <w:color w:val="000000"/>
                <w:sz w:val="18"/>
              </w:rPr>
            </w:pPr>
            <w:r>
              <w:rPr>
                <w:rFonts w:ascii="Calibri" w:eastAsia="Calibri" w:hAnsi="Calibri" w:cs="Calibri"/>
                <w:color w:val="000000"/>
                <w:sz w:val="18"/>
              </w:rPr>
              <w:t>Revised Superannuation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6E7F1783"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auto" w:fill="auto"/>
            <w:noWrap/>
            <w:tcMar>
              <w:left w:w="101" w:type="dxa"/>
              <w:right w:w="101" w:type="dxa"/>
            </w:tcMar>
          </w:tcPr>
          <w:p w14:paraId="1CB5FF44"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auto" w:fill="auto"/>
            <w:noWrap/>
            <w:tcMar>
              <w:left w:w="101" w:type="dxa"/>
              <w:right w:w="101" w:type="dxa"/>
            </w:tcMar>
          </w:tcPr>
          <w:p w14:paraId="0D0EA527"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auto" w:fill="auto"/>
            <w:noWrap/>
            <w:tcMar>
              <w:left w:w="101" w:type="dxa"/>
              <w:right w:w="101" w:type="dxa"/>
            </w:tcMar>
          </w:tcPr>
          <w:p w14:paraId="05E28DA8"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auto" w:fill="auto"/>
            <w:noWrap/>
            <w:tcMar>
              <w:left w:w="101" w:type="dxa"/>
              <w:right w:w="101" w:type="dxa"/>
            </w:tcMar>
          </w:tcPr>
          <w:p w14:paraId="5F611A41"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-2</w:t>
            </w:r>
          </w:p>
        </w:tc>
      </w:tr>
      <w:tr w:rsidR="007F5788" w14:paraId="6774792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9A4B0DA" w14:textId="77777777" w:rsidR="007F5788" w:rsidRDefault="007F5788" w:rsidP="003C16F2">
            <w:pPr>
              <w:pStyle w:val="Normal2"/>
              <w:ind w:left="181" w:hanging="181"/>
              <w:rPr>
                <w:rFonts w:ascii="Calibri" w:eastAsia="Calibri" w:hAnsi="Calibri" w:cs="Calibri"/>
                <w:color w:val="000000"/>
                <w:sz w:val="18"/>
              </w:rPr>
            </w:pPr>
            <w:r>
              <w:rPr>
                <w:rFonts w:ascii="Calibri" w:eastAsia="Calibri" w:hAnsi="Calibri" w:cs="Calibri"/>
                <w:color w:val="000000"/>
                <w:sz w:val="18"/>
              </w:rPr>
              <w:t>Transfer of Official Visitors to Human Rights Commission</w:t>
            </w:r>
          </w:p>
        </w:tc>
        <w:tc>
          <w:tcPr>
            <w:tcW w:w="1035" w:type="dxa"/>
            <w:tcBorders>
              <w:top w:val="nil"/>
              <w:left w:val="nil"/>
              <w:bottom w:val="nil"/>
              <w:right w:val="nil"/>
              <w:tl2br w:val="nil"/>
              <w:tr2bl w:val="nil"/>
            </w:tcBorders>
            <w:shd w:val="clear" w:color="auto" w:fill="auto"/>
            <w:noWrap/>
            <w:tcMar>
              <w:left w:w="101" w:type="dxa"/>
              <w:right w:w="101" w:type="dxa"/>
            </w:tcMar>
          </w:tcPr>
          <w:p w14:paraId="4E216D2B" w14:textId="74FA5A77" w:rsidR="007F5788" w:rsidRDefault="00724BA0" w:rsidP="00B23E3B">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7365D985"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-606</w:t>
            </w:r>
          </w:p>
        </w:tc>
        <w:tc>
          <w:tcPr>
            <w:tcW w:w="1035" w:type="dxa"/>
            <w:tcBorders>
              <w:top w:val="nil"/>
              <w:left w:val="nil"/>
              <w:bottom w:val="nil"/>
              <w:right w:val="nil"/>
              <w:tl2br w:val="nil"/>
              <w:tr2bl w:val="nil"/>
            </w:tcBorders>
            <w:shd w:val="clear" w:color="auto" w:fill="auto"/>
            <w:noWrap/>
            <w:tcMar>
              <w:left w:w="101" w:type="dxa"/>
              <w:right w:w="101" w:type="dxa"/>
            </w:tcMar>
          </w:tcPr>
          <w:p w14:paraId="2556A76C"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-615</w:t>
            </w:r>
          </w:p>
        </w:tc>
        <w:tc>
          <w:tcPr>
            <w:tcW w:w="1035" w:type="dxa"/>
            <w:tcBorders>
              <w:top w:val="nil"/>
              <w:left w:val="nil"/>
              <w:bottom w:val="nil"/>
              <w:right w:val="nil"/>
              <w:tl2br w:val="nil"/>
              <w:tr2bl w:val="nil"/>
            </w:tcBorders>
            <w:shd w:val="clear" w:color="auto" w:fill="auto"/>
            <w:noWrap/>
            <w:tcMar>
              <w:left w:w="101" w:type="dxa"/>
              <w:right w:w="101" w:type="dxa"/>
            </w:tcMar>
          </w:tcPr>
          <w:p w14:paraId="0861A77D"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-624</w:t>
            </w:r>
          </w:p>
        </w:tc>
        <w:tc>
          <w:tcPr>
            <w:tcW w:w="1035" w:type="dxa"/>
            <w:tcBorders>
              <w:top w:val="nil"/>
              <w:left w:val="nil"/>
              <w:bottom w:val="nil"/>
              <w:right w:val="nil"/>
              <w:tl2br w:val="nil"/>
              <w:tr2bl w:val="nil"/>
            </w:tcBorders>
            <w:shd w:val="clear" w:color="auto" w:fill="auto"/>
            <w:noWrap/>
            <w:tcMar>
              <w:left w:w="101" w:type="dxa"/>
              <w:right w:w="101" w:type="dxa"/>
            </w:tcMar>
          </w:tcPr>
          <w:p w14:paraId="2563244E" w14:textId="77777777" w:rsidR="007F5788" w:rsidRDefault="007F5788" w:rsidP="00B23E3B">
            <w:pPr>
              <w:pStyle w:val="Normal2"/>
              <w:jc w:val="right"/>
              <w:rPr>
                <w:rFonts w:ascii="Calibri" w:eastAsia="Calibri" w:hAnsi="Calibri" w:cs="Calibri"/>
                <w:color w:val="000000"/>
                <w:sz w:val="18"/>
              </w:rPr>
            </w:pPr>
            <w:r>
              <w:rPr>
                <w:rFonts w:ascii="Calibri" w:eastAsia="Calibri" w:hAnsi="Calibri" w:cs="Calibri"/>
                <w:color w:val="000000"/>
                <w:sz w:val="18"/>
              </w:rPr>
              <w:t>-633</w:t>
            </w:r>
          </w:p>
        </w:tc>
      </w:tr>
      <w:tr w:rsidR="00724BA0" w14:paraId="4D32317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A58F5E7" w14:textId="77777777" w:rsidR="00724BA0" w:rsidRDefault="00724BA0" w:rsidP="003C16F2">
            <w:pPr>
              <w:pStyle w:val="Normal2"/>
              <w:ind w:left="181" w:hanging="181"/>
              <w:rPr>
                <w:rFonts w:ascii="Calibri" w:eastAsia="Calibri" w:hAnsi="Calibri" w:cs="Calibri"/>
                <w:color w:val="000000"/>
                <w:sz w:val="18"/>
              </w:rPr>
            </w:pPr>
            <w:r>
              <w:rPr>
                <w:rFonts w:ascii="Calibri" w:eastAsia="Calibri" w:hAnsi="Calibri" w:cs="Calibri"/>
                <w:color w:val="000000"/>
                <w:sz w:val="18"/>
              </w:rPr>
              <w:t>Undrawn Appropriation</w:t>
            </w:r>
          </w:p>
        </w:tc>
        <w:tc>
          <w:tcPr>
            <w:tcW w:w="1035" w:type="dxa"/>
            <w:tcBorders>
              <w:top w:val="nil"/>
              <w:left w:val="nil"/>
              <w:bottom w:val="nil"/>
              <w:right w:val="nil"/>
              <w:tl2br w:val="nil"/>
              <w:tr2bl w:val="nil"/>
            </w:tcBorders>
            <w:shd w:val="clear" w:color="auto" w:fill="auto"/>
            <w:noWrap/>
            <w:tcMar>
              <w:left w:w="101" w:type="dxa"/>
              <w:right w:w="101" w:type="dxa"/>
            </w:tcMar>
          </w:tcPr>
          <w:p w14:paraId="41DEA138" w14:textId="77777777"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-18</w:t>
            </w:r>
          </w:p>
        </w:tc>
        <w:tc>
          <w:tcPr>
            <w:tcW w:w="1035" w:type="dxa"/>
            <w:tcBorders>
              <w:top w:val="nil"/>
              <w:left w:val="nil"/>
              <w:bottom w:val="nil"/>
              <w:right w:val="nil"/>
              <w:tl2br w:val="nil"/>
              <w:tr2bl w:val="nil"/>
            </w:tcBorders>
            <w:shd w:val="clear" w:color="auto" w:fill="auto"/>
            <w:noWrap/>
            <w:tcMar>
              <w:left w:w="101" w:type="dxa"/>
              <w:right w:w="101" w:type="dxa"/>
            </w:tcMar>
          </w:tcPr>
          <w:p w14:paraId="14DBB664" w14:textId="436D894E"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4BF0D406" w14:textId="5C395BC3"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7102BEC5" w14:textId="1F822D4C"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115D8E8B" w14:textId="60106DD6"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724BA0" w14:paraId="3FB819D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9A00982" w14:textId="77777777" w:rsidR="00724BA0" w:rsidRDefault="00724BA0" w:rsidP="003C16F2">
            <w:pPr>
              <w:pStyle w:val="Normal2"/>
              <w:ind w:left="181" w:hanging="181"/>
              <w:rPr>
                <w:rFonts w:ascii="Calibri" w:eastAsia="Calibri" w:hAnsi="Calibri" w:cs="Calibri"/>
                <w:color w:val="000000"/>
                <w:sz w:val="18"/>
              </w:rPr>
            </w:pPr>
            <w:r>
              <w:rPr>
                <w:rFonts w:ascii="Calibri" w:eastAsia="Calibri" w:hAnsi="Calibri" w:cs="Calibri"/>
                <w:color w:val="000000"/>
                <w:sz w:val="18"/>
              </w:rPr>
              <w:t>Support for Official Visitor Scheme</w:t>
            </w:r>
          </w:p>
        </w:tc>
        <w:tc>
          <w:tcPr>
            <w:tcW w:w="1035" w:type="dxa"/>
            <w:tcBorders>
              <w:top w:val="nil"/>
              <w:left w:val="nil"/>
              <w:bottom w:val="nil"/>
              <w:right w:val="nil"/>
              <w:tl2br w:val="nil"/>
              <w:tr2bl w:val="nil"/>
            </w:tcBorders>
            <w:shd w:val="clear" w:color="auto" w:fill="auto"/>
            <w:noWrap/>
            <w:tcMar>
              <w:left w:w="101" w:type="dxa"/>
              <w:right w:w="101" w:type="dxa"/>
            </w:tcMar>
          </w:tcPr>
          <w:p w14:paraId="2B9975F4" w14:textId="77777777"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106</w:t>
            </w:r>
          </w:p>
        </w:tc>
        <w:tc>
          <w:tcPr>
            <w:tcW w:w="1035" w:type="dxa"/>
            <w:tcBorders>
              <w:top w:val="nil"/>
              <w:left w:val="nil"/>
              <w:bottom w:val="nil"/>
              <w:right w:val="nil"/>
              <w:tl2br w:val="nil"/>
              <w:tr2bl w:val="nil"/>
            </w:tcBorders>
            <w:shd w:val="clear" w:color="auto" w:fill="auto"/>
            <w:noWrap/>
            <w:tcMar>
              <w:left w:w="101" w:type="dxa"/>
              <w:right w:w="101" w:type="dxa"/>
            </w:tcMar>
          </w:tcPr>
          <w:p w14:paraId="394ECE2F" w14:textId="7152918B"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1F48B1ED" w14:textId="07A6636E"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42DE8433" w14:textId="15413606"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6D826DB8" w14:textId="01C24D77"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724BA0" w14:paraId="1BC25A1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4C41976" w14:textId="77777777" w:rsidR="00724BA0" w:rsidRDefault="00724BA0" w:rsidP="003C16F2">
            <w:pPr>
              <w:pStyle w:val="Normal2"/>
              <w:ind w:left="181" w:hanging="181"/>
              <w:rPr>
                <w:rFonts w:ascii="Calibri" w:eastAsia="Calibri" w:hAnsi="Calibri" w:cs="Calibri"/>
                <w:color w:val="000000"/>
                <w:sz w:val="18"/>
              </w:rPr>
            </w:pPr>
            <w:r>
              <w:rPr>
                <w:rFonts w:ascii="Calibri" w:eastAsia="Calibri" w:hAnsi="Calibri" w:cs="Calibri"/>
                <w:color w:val="000000"/>
                <w:sz w:val="18"/>
              </w:rPr>
              <w:t>s.14B Transfer from JACS - Support for Official Visitor Scheme</w:t>
            </w:r>
          </w:p>
        </w:tc>
        <w:tc>
          <w:tcPr>
            <w:tcW w:w="1035" w:type="dxa"/>
            <w:tcBorders>
              <w:top w:val="nil"/>
              <w:left w:val="nil"/>
              <w:bottom w:val="nil"/>
              <w:right w:val="nil"/>
              <w:tl2br w:val="nil"/>
              <w:tr2bl w:val="nil"/>
            </w:tcBorders>
            <w:shd w:val="clear" w:color="auto" w:fill="auto"/>
            <w:noWrap/>
            <w:tcMar>
              <w:left w:w="101" w:type="dxa"/>
              <w:right w:w="101" w:type="dxa"/>
            </w:tcMar>
          </w:tcPr>
          <w:p w14:paraId="42117ADD" w14:textId="16227412"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33A35690" w14:textId="42CBA5F7"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1C3CA9D5" w14:textId="19AAD3E4"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5E4C09D9" w14:textId="498F9F87" w:rsidR="00724BA0" w:rsidRDefault="00724BA0" w:rsidP="00724BA0">
            <w:pPr>
              <w:pStyle w:val="Normal2"/>
              <w:jc w:val="right"/>
              <w:rPr>
                <w:rFonts w:ascii="Calibri" w:eastAsia="Calibri" w:hAnsi="Calibri" w:cs="Calibri"/>
                <w:color w:val="000000"/>
                <w:sz w:val="18"/>
              </w:rPr>
            </w:pPr>
            <w:r w:rsidRPr="0083735C">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2622AFE3" w14:textId="77777777" w:rsidR="00724BA0" w:rsidRDefault="00724BA0" w:rsidP="00724BA0">
            <w:pPr>
              <w:pStyle w:val="Normal2"/>
              <w:jc w:val="right"/>
              <w:rPr>
                <w:rFonts w:ascii="Calibri" w:eastAsia="Calibri" w:hAnsi="Calibri" w:cs="Calibri"/>
                <w:color w:val="000000"/>
                <w:sz w:val="18"/>
              </w:rPr>
            </w:pPr>
            <w:r>
              <w:rPr>
                <w:rFonts w:ascii="Calibri" w:eastAsia="Calibri" w:hAnsi="Calibri" w:cs="Calibri"/>
                <w:color w:val="000000"/>
                <w:sz w:val="18"/>
              </w:rPr>
              <w:t>-4</w:t>
            </w:r>
          </w:p>
        </w:tc>
      </w:tr>
      <w:tr w:rsidR="007F5788" w14:paraId="61DF24A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A06771A"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513DF03"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65F4344"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FA464FE"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0C31D39" w14:textId="77777777" w:rsidR="007F5788" w:rsidRDefault="007F5788" w:rsidP="00B23E3B">
            <w:pPr>
              <w:pStyle w:val="Normal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844C8FB" w14:textId="77777777" w:rsidR="007F5788" w:rsidRDefault="007F5788" w:rsidP="00B23E3B">
            <w:pPr>
              <w:pStyle w:val="Normal2"/>
              <w:rPr>
                <w:rFonts w:ascii="Calibri" w:eastAsia="Calibri" w:hAnsi="Calibri" w:cs="Calibri"/>
                <w:color w:val="000000"/>
                <w:sz w:val="18"/>
              </w:rPr>
            </w:pPr>
          </w:p>
        </w:tc>
      </w:tr>
      <w:tr w:rsidR="007F5788" w14:paraId="41CF13C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488D9C9E" w14:textId="77777777" w:rsidR="007F5788" w:rsidRDefault="007F5788" w:rsidP="00B23E3B">
            <w:pPr>
              <w:pStyle w:val="Normal2"/>
              <w:rPr>
                <w:rFonts w:ascii="Calibri" w:eastAsia="Calibri" w:hAnsi="Calibri" w:cs="Calibri"/>
                <w:b/>
                <w:color w:val="000000"/>
                <w:sz w:val="18"/>
              </w:rPr>
            </w:pPr>
            <w:r>
              <w:rPr>
                <w:rFonts w:ascii="Calibri" w:eastAsia="Calibri" w:hAnsi="Calibri" w:cs="Calibri"/>
                <w:b/>
                <w:color w:val="000000"/>
                <w:sz w:val="18"/>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BBE2898" w14:textId="25E7E5BF"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w:t>
            </w:r>
            <w:r w:rsidR="00724BA0">
              <w:rPr>
                <w:rFonts w:ascii="Calibri" w:eastAsia="Calibri" w:hAnsi="Calibri" w:cs="Calibri"/>
                <w:b/>
                <w:color w:val="000000"/>
                <w:sz w:val="18"/>
              </w:rPr>
              <w:t>,</w:t>
            </w:r>
            <w:r>
              <w:rPr>
                <w:rFonts w:ascii="Calibri" w:eastAsia="Calibri" w:hAnsi="Calibri" w:cs="Calibri"/>
                <w:b/>
                <w:color w:val="000000"/>
                <w:sz w:val="18"/>
              </w:rPr>
              <w:t>983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9284F32" w14:textId="4C6592D9"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w:t>
            </w:r>
            <w:r w:rsidR="00724BA0">
              <w:rPr>
                <w:rFonts w:ascii="Calibri" w:eastAsia="Calibri" w:hAnsi="Calibri" w:cs="Calibri"/>
                <w:b/>
                <w:color w:val="000000"/>
                <w:sz w:val="18"/>
              </w:rPr>
              <w:t>,</w:t>
            </w:r>
            <w:r>
              <w:rPr>
                <w:rFonts w:ascii="Calibri" w:eastAsia="Calibri" w:hAnsi="Calibri" w:cs="Calibri"/>
                <w:b/>
                <w:color w:val="000000"/>
                <w:sz w:val="18"/>
              </w:rPr>
              <w:t>471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A73144C" w14:textId="6FBF6D1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w:t>
            </w:r>
            <w:r w:rsidR="00724BA0">
              <w:rPr>
                <w:rFonts w:ascii="Calibri" w:eastAsia="Calibri" w:hAnsi="Calibri" w:cs="Calibri"/>
                <w:b/>
                <w:color w:val="000000"/>
                <w:sz w:val="18"/>
              </w:rPr>
              <w:t>,</w:t>
            </w:r>
            <w:r>
              <w:rPr>
                <w:rFonts w:ascii="Calibri" w:eastAsia="Calibri" w:hAnsi="Calibri" w:cs="Calibri"/>
                <w:b/>
                <w:color w:val="000000"/>
                <w:sz w:val="18"/>
              </w:rPr>
              <w:t>538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BDE6700" w14:textId="1DC8F887"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w:t>
            </w:r>
            <w:r w:rsidR="00724BA0">
              <w:rPr>
                <w:rFonts w:ascii="Calibri" w:eastAsia="Calibri" w:hAnsi="Calibri" w:cs="Calibri"/>
                <w:b/>
                <w:color w:val="000000"/>
                <w:sz w:val="18"/>
              </w:rPr>
              <w:t>,</w:t>
            </w:r>
            <w:r>
              <w:rPr>
                <w:rFonts w:ascii="Calibri" w:eastAsia="Calibri" w:hAnsi="Calibri" w:cs="Calibri"/>
                <w:b/>
                <w:color w:val="000000"/>
                <w:sz w:val="18"/>
              </w:rPr>
              <w:t>654</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E22381A" w14:textId="41F31F8C" w:rsidR="007F5788" w:rsidRDefault="007F5788" w:rsidP="00B23E3B">
            <w:pPr>
              <w:pStyle w:val="Normal2"/>
              <w:jc w:val="right"/>
              <w:rPr>
                <w:rFonts w:ascii="Calibri" w:eastAsia="Calibri" w:hAnsi="Calibri" w:cs="Calibri"/>
                <w:b/>
                <w:color w:val="000000"/>
                <w:sz w:val="18"/>
              </w:rPr>
            </w:pPr>
            <w:r>
              <w:rPr>
                <w:rFonts w:ascii="Calibri" w:eastAsia="Calibri" w:hAnsi="Calibri" w:cs="Calibri"/>
                <w:b/>
                <w:color w:val="000000"/>
                <w:sz w:val="18"/>
              </w:rPr>
              <w:t>2</w:t>
            </w:r>
            <w:r w:rsidR="00724BA0">
              <w:rPr>
                <w:rFonts w:ascii="Calibri" w:eastAsia="Calibri" w:hAnsi="Calibri" w:cs="Calibri"/>
                <w:b/>
                <w:color w:val="000000"/>
                <w:sz w:val="18"/>
              </w:rPr>
              <w:t>,</w:t>
            </w:r>
            <w:r>
              <w:rPr>
                <w:rFonts w:ascii="Calibri" w:eastAsia="Calibri" w:hAnsi="Calibri" w:cs="Calibri"/>
                <w:b/>
                <w:color w:val="000000"/>
                <w:sz w:val="18"/>
              </w:rPr>
              <w:t>644</w:t>
            </w:r>
          </w:p>
        </w:tc>
      </w:tr>
    </w:tbl>
    <w:p w14:paraId="40360345" w14:textId="77777777" w:rsidR="007F5788" w:rsidRPr="003E42B9" w:rsidRDefault="007F5788" w:rsidP="007F5788">
      <w:pPr>
        <w:pBdr>
          <w:top w:val="nil"/>
          <w:left w:val="nil"/>
          <w:bottom w:val="nil"/>
          <w:right w:val="nil"/>
          <w:between w:val="nil"/>
          <w:bar w:val="nil"/>
        </w:pBdr>
        <w:rPr>
          <w:rFonts w:eastAsia="TimesNewRomanPS-ItalicMT"/>
          <w:bdr w:val="nil"/>
        </w:rPr>
      </w:pPr>
      <w:r>
        <w:t xml:space="preserve"> </w:t>
      </w:r>
    </w:p>
    <w:p w14:paraId="73284954" w14:textId="77777777" w:rsidR="007F5788" w:rsidRPr="000862F2" w:rsidRDefault="007F5788" w:rsidP="000862F2">
      <w:pPr>
        <w:pStyle w:val="Heading24"/>
        <w:pageBreakBefore/>
        <w:pBdr>
          <w:top w:val="nil"/>
          <w:left w:val="nil"/>
          <w:bottom w:val="nil"/>
          <w:right w:val="nil"/>
          <w:between w:val="nil"/>
          <w:bar w:val="nil"/>
        </w:pBdr>
        <w:rPr>
          <w:rFonts w:asciiTheme="minorHAnsi" w:hAnsiTheme="minorHAnsi" w:cstheme="minorHAnsi"/>
          <w:bdr w:val="nil"/>
        </w:rPr>
      </w:pPr>
      <w:r w:rsidRPr="000862F2">
        <w:rPr>
          <w:rFonts w:asciiTheme="minorHAnsi" w:hAnsiTheme="minorHAnsi" w:cstheme="minorHAnsi"/>
          <w:bdr w:val="nil"/>
        </w:rPr>
        <w:lastRenderedPageBreak/>
        <w:t>Monitoring and reporting</w:t>
      </w:r>
    </w:p>
    <w:p w14:paraId="6B91FE7E" w14:textId="77777777" w:rsidR="007F5788" w:rsidRPr="000862F2" w:rsidRDefault="007F5788" w:rsidP="000862F2">
      <w:pPr>
        <w:pStyle w:val="Normal7"/>
        <w:pBdr>
          <w:top w:val="nil"/>
          <w:left w:val="nil"/>
          <w:bottom w:val="nil"/>
          <w:right w:val="nil"/>
          <w:between w:val="nil"/>
          <w:bar w:val="nil"/>
        </w:pBdr>
        <w:jc w:val="both"/>
        <w:rPr>
          <w:rFonts w:asciiTheme="minorHAnsi" w:hAnsiTheme="minorHAnsi" w:cstheme="minorHAnsi"/>
          <w:bdr w:val="nil"/>
        </w:rPr>
      </w:pPr>
      <w:r w:rsidRPr="000862F2">
        <w:rPr>
          <w:rFonts w:asciiTheme="minorHAnsi" w:hAnsiTheme="minorHAnsi" w:cstheme="minorHAnsi"/>
          <w:bdr w:val="nil"/>
        </w:rPr>
        <w:t>PTG will satisfy the requirements of the Chief Minister’s Annual Reports Directions. PTG’s Annual Report will, amongst other things, report against the requirements of this Statement of Intent.</w:t>
      </w:r>
    </w:p>
    <w:p w14:paraId="5ADD2607" w14:textId="77777777" w:rsidR="007F5788" w:rsidRPr="000862F2" w:rsidRDefault="007F5788" w:rsidP="000862F2">
      <w:pPr>
        <w:pStyle w:val="Normal7"/>
        <w:pBdr>
          <w:top w:val="nil"/>
          <w:left w:val="nil"/>
          <w:bottom w:val="nil"/>
          <w:right w:val="nil"/>
          <w:between w:val="nil"/>
          <w:bar w:val="nil"/>
        </w:pBdr>
        <w:jc w:val="both"/>
        <w:rPr>
          <w:rFonts w:asciiTheme="minorHAnsi" w:hAnsiTheme="minorHAnsi" w:cstheme="minorHAnsi"/>
          <w:bdr w:val="nil"/>
        </w:rPr>
      </w:pPr>
      <w:r w:rsidRPr="000862F2">
        <w:rPr>
          <w:rFonts w:asciiTheme="minorHAnsi" w:hAnsiTheme="minorHAnsi" w:cstheme="minorHAnsi"/>
          <w:bdr w:val="nil"/>
        </w:rPr>
        <w:t xml:space="preserve">The </w:t>
      </w:r>
      <w:r w:rsidRPr="000862F2">
        <w:rPr>
          <w:rFonts w:asciiTheme="minorHAnsi" w:hAnsiTheme="minorHAnsi" w:cstheme="minorHAnsi"/>
          <w:i/>
          <w:iCs/>
          <w:bdr w:val="nil"/>
        </w:rPr>
        <w:t>Financial Management Act 1996</w:t>
      </w:r>
      <w:r w:rsidRPr="000862F2">
        <w:rPr>
          <w:rFonts w:asciiTheme="minorHAnsi" w:hAnsiTheme="minorHAnsi" w:cstheme="minorHAnsi"/>
          <w:bdr w:val="nil"/>
        </w:rPr>
        <w:t xml:space="preserve"> authorises the Treasurer to obtain financial and other statements from PTG for a stated period including annual, </w:t>
      </w:r>
      <w:proofErr w:type="gramStart"/>
      <w:r w:rsidRPr="000862F2">
        <w:rPr>
          <w:rFonts w:asciiTheme="minorHAnsi" w:hAnsiTheme="minorHAnsi" w:cstheme="minorHAnsi"/>
          <w:bdr w:val="nil"/>
        </w:rPr>
        <w:t>quarterly</w:t>
      </w:r>
      <w:proofErr w:type="gramEnd"/>
      <w:r w:rsidRPr="000862F2">
        <w:rPr>
          <w:rFonts w:asciiTheme="minorHAnsi" w:hAnsiTheme="minorHAnsi" w:cstheme="minorHAnsi"/>
          <w:bdr w:val="nil"/>
        </w:rPr>
        <w:t xml:space="preserve"> and monthly reporting.</w:t>
      </w:r>
    </w:p>
    <w:p w14:paraId="7108B6ED" w14:textId="77777777" w:rsidR="007F5788" w:rsidRPr="000862F2" w:rsidRDefault="007F5788" w:rsidP="000862F2">
      <w:pPr>
        <w:pStyle w:val="Heading30"/>
        <w:pBdr>
          <w:top w:val="nil"/>
          <w:left w:val="nil"/>
          <w:bottom w:val="nil"/>
          <w:right w:val="nil"/>
          <w:between w:val="nil"/>
          <w:bar w:val="nil"/>
        </w:pBdr>
        <w:rPr>
          <w:rFonts w:asciiTheme="minorHAnsi" w:hAnsiTheme="minorHAnsi" w:cstheme="minorHAnsi"/>
          <w:bdr w:val="nil"/>
        </w:rPr>
      </w:pPr>
      <w:r w:rsidRPr="000862F2">
        <w:rPr>
          <w:rFonts w:asciiTheme="minorHAnsi" w:hAnsiTheme="minorHAnsi" w:cstheme="minorHAnsi"/>
          <w:bdr w:val="nil"/>
        </w:rPr>
        <w:t>Quarterly reporting</w:t>
      </w:r>
    </w:p>
    <w:p w14:paraId="765EA0E0" w14:textId="77777777" w:rsidR="007F5788" w:rsidRPr="000862F2" w:rsidRDefault="007F5788" w:rsidP="000862F2">
      <w:pPr>
        <w:pStyle w:val="Normal7"/>
        <w:pBdr>
          <w:top w:val="nil"/>
          <w:left w:val="nil"/>
          <w:bottom w:val="nil"/>
          <w:right w:val="nil"/>
          <w:between w:val="nil"/>
          <w:bar w:val="nil"/>
        </w:pBdr>
        <w:rPr>
          <w:rFonts w:asciiTheme="minorHAnsi" w:hAnsiTheme="minorHAnsi" w:cstheme="minorHAnsi"/>
          <w:bdr w:val="nil"/>
        </w:rPr>
      </w:pPr>
      <w:r w:rsidRPr="000862F2">
        <w:rPr>
          <w:rFonts w:asciiTheme="minorHAnsi" w:hAnsiTheme="minorHAnsi" w:cstheme="minorHAnsi"/>
          <w:bdr w:val="nil"/>
        </w:rPr>
        <w:t>To enable consolidated whole of Government reporting requirements to be met on a quarterly basis, the PTG will ensure the availability to the Treasurer, through CMTEDD (by the eighth working day of each quarter, unless otherwise indicated), information, in the prescribed form and detail, in respect of the previous quarter:</w:t>
      </w:r>
    </w:p>
    <w:p w14:paraId="274E981B" w14:textId="77777777" w:rsidR="007F5788" w:rsidRPr="000862F2" w:rsidRDefault="007F5788" w:rsidP="000862F2">
      <w:pPr>
        <w:pStyle w:val="BSbullet10"/>
        <w:numPr>
          <w:ilvl w:val="0"/>
          <w:numId w:val="7"/>
        </w:numPr>
        <w:pBdr>
          <w:top w:val="nil"/>
          <w:left w:val="nil"/>
          <w:bottom w:val="nil"/>
          <w:right w:val="nil"/>
          <w:between w:val="nil"/>
          <w:bar w:val="nil"/>
        </w:pBdr>
        <w:tabs>
          <w:tab w:val="num" w:pos="360"/>
        </w:tabs>
        <w:ind w:left="357" w:hanging="357"/>
        <w:rPr>
          <w:rFonts w:asciiTheme="minorHAnsi" w:hAnsiTheme="minorHAnsi" w:cstheme="minorHAnsi"/>
          <w:bdr w:val="nil"/>
        </w:rPr>
      </w:pPr>
      <w:r w:rsidRPr="000862F2">
        <w:rPr>
          <w:rFonts w:asciiTheme="minorHAnsi" w:hAnsiTheme="minorHAnsi" w:cstheme="minorHAnsi"/>
          <w:bdr w:val="nil"/>
        </w:rPr>
        <w:t xml:space="preserve">Operating </w:t>
      </w:r>
      <w:proofErr w:type="gramStart"/>
      <w:r w:rsidRPr="000862F2">
        <w:rPr>
          <w:rFonts w:asciiTheme="minorHAnsi" w:hAnsiTheme="minorHAnsi" w:cstheme="minorHAnsi"/>
          <w:bdr w:val="nil"/>
        </w:rPr>
        <w:t>Statement;</w:t>
      </w:r>
      <w:proofErr w:type="gramEnd"/>
    </w:p>
    <w:p w14:paraId="0D2DF87D" w14:textId="77777777" w:rsidR="007F5788" w:rsidRPr="000862F2" w:rsidRDefault="007F5788" w:rsidP="000862F2">
      <w:pPr>
        <w:pStyle w:val="BSbullet10"/>
        <w:numPr>
          <w:ilvl w:val="0"/>
          <w:numId w:val="7"/>
        </w:numPr>
        <w:pBdr>
          <w:top w:val="nil"/>
          <w:left w:val="nil"/>
          <w:bottom w:val="nil"/>
          <w:right w:val="nil"/>
          <w:between w:val="nil"/>
          <w:bar w:val="nil"/>
        </w:pBdr>
        <w:tabs>
          <w:tab w:val="num" w:pos="360"/>
        </w:tabs>
        <w:ind w:left="357" w:hanging="357"/>
        <w:rPr>
          <w:rFonts w:asciiTheme="minorHAnsi" w:hAnsiTheme="minorHAnsi" w:cstheme="minorHAnsi"/>
          <w:bdr w:val="nil"/>
        </w:rPr>
      </w:pPr>
      <w:r w:rsidRPr="000862F2">
        <w:rPr>
          <w:rFonts w:asciiTheme="minorHAnsi" w:hAnsiTheme="minorHAnsi" w:cstheme="minorHAnsi"/>
          <w:bdr w:val="nil"/>
        </w:rPr>
        <w:t xml:space="preserve">Balance </w:t>
      </w:r>
      <w:proofErr w:type="gramStart"/>
      <w:r w:rsidRPr="000862F2">
        <w:rPr>
          <w:rFonts w:asciiTheme="minorHAnsi" w:hAnsiTheme="minorHAnsi" w:cstheme="minorHAnsi"/>
          <w:bdr w:val="nil"/>
        </w:rPr>
        <w:t>Sheet;</w:t>
      </w:r>
      <w:proofErr w:type="gramEnd"/>
    </w:p>
    <w:p w14:paraId="37A27B1F" w14:textId="77777777" w:rsidR="007F5788" w:rsidRPr="000862F2" w:rsidRDefault="007F5788" w:rsidP="000862F2">
      <w:pPr>
        <w:pStyle w:val="BSbullet10"/>
        <w:numPr>
          <w:ilvl w:val="0"/>
          <w:numId w:val="7"/>
        </w:numPr>
        <w:pBdr>
          <w:top w:val="nil"/>
          <w:left w:val="nil"/>
          <w:bottom w:val="nil"/>
          <w:right w:val="nil"/>
          <w:between w:val="nil"/>
          <w:bar w:val="nil"/>
        </w:pBdr>
        <w:tabs>
          <w:tab w:val="num" w:pos="360"/>
        </w:tabs>
        <w:ind w:left="357" w:hanging="357"/>
        <w:rPr>
          <w:rFonts w:asciiTheme="minorHAnsi" w:hAnsiTheme="minorHAnsi" w:cstheme="minorHAnsi"/>
          <w:bdr w:val="nil"/>
        </w:rPr>
      </w:pPr>
      <w:r w:rsidRPr="000862F2">
        <w:rPr>
          <w:rFonts w:asciiTheme="minorHAnsi" w:hAnsiTheme="minorHAnsi" w:cstheme="minorHAnsi"/>
          <w:bdr w:val="nil"/>
        </w:rPr>
        <w:t xml:space="preserve">Statement of Changes in </w:t>
      </w:r>
      <w:proofErr w:type="gramStart"/>
      <w:r w:rsidRPr="000862F2">
        <w:rPr>
          <w:rFonts w:asciiTheme="minorHAnsi" w:hAnsiTheme="minorHAnsi" w:cstheme="minorHAnsi"/>
          <w:bdr w:val="nil"/>
        </w:rPr>
        <w:t>Equity;</w:t>
      </w:r>
      <w:proofErr w:type="gramEnd"/>
    </w:p>
    <w:p w14:paraId="6F5A3870" w14:textId="77777777" w:rsidR="007F5788" w:rsidRPr="000862F2" w:rsidRDefault="007F5788" w:rsidP="000862F2">
      <w:pPr>
        <w:pStyle w:val="BSbullet10"/>
        <w:numPr>
          <w:ilvl w:val="0"/>
          <w:numId w:val="7"/>
        </w:numPr>
        <w:pBdr>
          <w:top w:val="nil"/>
          <w:left w:val="nil"/>
          <w:bottom w:val="nil"/>
          <w:right w:val="nil"/>
          <w:between w:val="nil"/>
          <w:bar w:val="nil"/>
        </w:pBdr>
        <w:tabs>
          <w:tab w:val="num" w:pos="360"/>
        </w:tabs>
        <w:ind w:left="357" w:hanging="357"/>
        <w:rPr>
          <w:rFonts w:asciiTheme="minorHAnsi" w:hAnsiTheme="minorHAnsi" w:cstheme="minorHAnsi"/>
          <w:bdr w:val="nil"/>
        </w:rPr>
      </w:pPr>
      <w:r w:rsidRPr="000862F2">
        <w:rPr>
          <w:rFonts w:asciiTheme="minorHAnsi" w:hAnsiTheme="minorHAnsi" w:cstheme="minorHAnsi"/>
          <w:bdr w:val="nil"/>
        </w:rPr>
        <w:t xml:space="preserve">Cash Flow </w:t>
      </w:r>
      <w:proofErr w:type="gramStart"/>
      <w:r w:rsidRPr="000862F2">
        <w:rPr>
          <w:rFonts w:asciiTheme="minorHAnsi" w:hAnsiTheme="minorHAnsi" w:cstheme="minorHAnsi"/>
          <w:bdr w:val="nil"/>
        </w:rPr>
        <w:t>Statement;</w:t>
      </w:r>
      <w:proofErr w:type="gramEnd"/>
    </w:p>
    <w:p w14:paraId="73341B44" w14:textId="77777777" w:rsidR="007F5788" w:rsidRPr="000862F2" w:rsidRDefault="007F5788" w:rsidP="000862F2">
      <w:pPr>
        <w:pStyle w:val="BSbullet10"/>
        <w:numPr>
          <w:ilvl w:val="0"/>
          <w:numId w:val="7"/>
        </w:numPr>
        <w:pBdr>
          <w:top w:val="nil"/>
          <w:left w:val="nil"/>
          <w:bottom w:val="nil"/>
          <w:right w:val="nil"/>
          <w:between w:val="nil"/>
          <w:bar w:val="nil"/>
        </w:pBdr>
        <w:tabs>
          <w:tab w:val="num" w:pos="360"/>
        </w:tabs>
        <w:ind w:left="357" w:hanging="357"/>
        <w:rPr>
          <w:rFonts w:asciiTheme="minorHAnsi" w:hAnsiTheme="minorHAnsi" w:cstheme="minorHAnsi"/>
          <w:bdr w:val="nil"/>
        </w:rPr>
      </w:pPr>
      <w:r w:rsidRPr="000862F2">
        <w:rPr>
          <w:rFonts w:asciiTheme="minorHAnsi" w:hAnsiTheme="minorHAnsi" w:cstheme="minorHAnsi"/>
          <w:bdr w:val="nil"/>
        </w:rPr>
        <w:t xml:space="preserve">Operating Statement material variance explanations against seasonal budget provided by </w:t>
      </w:r>
      <w:proofErr w:type="gramStart"/>
      <w:r w:rsidRPr="000862F2">
        <w:rPr>
          <w:rFonts w:asciiTheme="minorHAnsi" w:hAnsiTheme="minorHAnsi" w:cstheme="minorHAnsi"/>
          <w:bdr w:val="nil"/>
        </w:rPr>
        <w:t>PTG;</w:t>
      </w:r>
      <w:proofErr w:type="gramEnd"/>
    </w:p>
    <w:p w14:paraId="31070633" w14:textId="77777777" w:rsidR="007F5788" w:rsidRPr="000862F2" w:rsidRDefault="007F5788" w:rsidP="000862F2">
      <w:pPr>
        <w:pStyle w:val="BSbullet10"/>
        <w:numPr>
          <w:ilvl w:val="0"/>
          <w:numId w:val="7"/>
        </w:numPr>
        <w:pBdr>
          <w:top w:val="nil"/>
          <w:left w:val="nil"/>
          <w:bottom w:val="nil"/>
          <w:right w:val="nil"/>
          <w:between w:val="nil"/>
          <w:bar w:val="nil"/>
        </w:pBdr>
        <w:tabs>
          <w:tab w:val="num" w:pos="360"/>
        </w:tabs>
        <w:ind w:left="357" w:hanging="357"/>
        <w:rPr>
          <w:rFonts w:asciiTheme="minorHAnsi" w:hAnsiTheme="minorHAnsi" w:cstheme="minorHAnsi"/>
          <w:bdr w:val="nil"/>
        </w:rPr>
      </w:pPr>
      <w:r w:rsidRPr="000862F2">
        <w:rPr>
          <w:rFonts w:asciiTheme="minorHAnsi" w:hAnsiTheme="minorHAnsi" w:cstheme="minorHAnsi"/>
          <w:bdr w:val="nil"/>
        </w:rPr>
        <w:t xml:space="preserve">Status Report to supplement performance reporting to the Assembly and provide stakeholders with a summary on progress against budget highlights, significant </w:t>
      </w:r>
      <w:proofErr w:type="gramStart"/>
      <w:r w:rsidRPr="000862F2">
        <w:rPr>
          <w:rFonts w:asciiTheme="minorHAnsi" w:hAnsiTheme="minorHAnsi" w:cstheme="minorHAnsi"/>
          <w:bdr w:val="nil"/>
        </w:rPr>
        <w:t>initiatives</w:t>
      </w:r>
      <w:proofErr w:type="gramEnd"/>
      <w:r w:rsidRPr="000862F2">
        <w:rPr>
          <w:rFonts w:asciiTheme="minorHAnsi" w:hAnsiTheme="minorHAnsi" w:cstheme="minorHAnsi"/>
          <w:bdr w:val="nil"/>
        </w:rPr>
        <w:t xml:space="preserve"> and major projects (by the tenth working day of each quarter); and</w:t>
      </w:r>
    </w:p>
    <w:p w14:paraId="7585AE29" w14:textId="77777777" w:rsidR="007F5788" w:rsidRPr="000862F2" w:rsidRDefault="007F5788" w:rsidP="000862F2">
      <w:pPr>
        <w:pStyle w:val="BSbullet10"/>
        <w:numPr>
          <w:ilvl w:val="0"/>
          <w:numId w:val="7"/>
        </w:numPr>
        <w:pBdr>
          <w:top w:val="nil"/>
          <w:left w:val="nil"/>
          <w:bottom w:val="nil"/>
          <w:right w:val="nil"/>
          <w:between w:val="nil"/>
          <w:bar w:val="nil"/>
        </w:pBdr>
        <w:tabs>
          <w:tab w:val="num" w:pos="360"/>
        </w:tabs>
        <w:ind w:left="357" w:hanging="357"/>
        <w:rPr>
          <w:rFonts w:asciiTheme="minorHAnsi" w:hAnsiTheme="minorHAnsi" w:cstheme="minorHAnsi"/>
          <w:bdr w:val="nil"/>
        </w:rPr>
      </w:pPr>
      <w:r w:rsidRPr="000862F2">
        <w:rPr>
          <w:rFonts w:asciiTheme="minorHAnsi" w:hAnsiTheme="minorHAnsi" w:cstheme="minorHAnsi"/>
          <w:bdr w:val="nil"/>
        </w:rPr>
        <w:t>Management Discussion and Analysis of results to date, forecast results and related issues that may impact on the financial condition of PTG (by the tenth working day of each quarter).</w:t>
      </w:r>
    </w:p>
    <w:p w14:paraId="247760B8" w14:textId="77777777" w:rsidR="007F5788" w:rsidRPr="000862F2" w:rsidRDefault="007F5788" w:rsidP="000862F2">
      <w:pPr>
        <w:pStyle w:val="Heading30"/>
        <w:pBdr>
          <w:top w:val="nil"/>
          <w:left w:val="nil"/>
          <w:bottom w:val="nil"/>
          <w:right w:val="nil"/>
          <w:between w:val="nil"/>
          <w:bar w:val="nil"/>
        </w:pBdr>
        <w:rPr>
          <w:rFonts w:asciiTheme="minorHAnsi" w:hAnsiTheme="minorHAnsi" w:cstheme="minorHAnsi"/>
          <w:bdr w:val="nil"/>
        </w:rPr>
      </w:pPr>
      <w:r w:rsidRPr="000862F2">
        <w:rPr>
          <w:rFonts w:asciiTheme="minorHAnsi" w:hAnsiTheme="minorHAnsi" w:cstheme="minorHAnsi"/>
          <w:bdr w:val="nil"/>
          <w:lang w:val="en-US"/>
        </w:rPr>
        <w:t>Annual reporting</w:t>
      </w:r>
    </w:p>
    <w:p w14:paraId="12C63635" w14:textId="77777777" w:rsidR="007F5788" w:rsidRPr="000862F2" w:rsidRDefault="007F5788" w:rsidP="000862F2">
      <w:pPr>
        <w:pStyle w:val="Normal7"/>
        <w:pBdr>
          <w:top w:val="nil"/>
          <w:left w:val="nil"/>
          <w:bottom w:val="nil"/>
          <w:right w:val="nil"/>
          <w:between w:val="nil"/>
          <w:bar w:val="nil"/>
        </w:pBdr>
        <w:rPr>
          <w:rFonts w:asciiTheme="minorHAnsi" w:hAnsiTheme="minorHAnsi" w:cstheme="minorHAnsi"/>
          <w:bdr w:val="nil"/>
        </w:rPr>
      </w:pPr>
      <w:r w:rsidRPr="000862F2">
        <w:rPr>
          <w:rFonts w:asciiTheme="minorHAnsi" w:hAnsiTheme="minorHAnsi" w:cstheme="minorHAnsi"/>
          <w:bdr w:val="nil"/>
        </w:rPr>
        <w:t>As part of preparations for end of year reporting, CMTEDD will advise the dates when the following documents are required at the CMTEDD and at the Auditor</w:t>
      </w:r>
      <w:r w:rsidRPr="000862F2">
        <w:rPr>
          <w:rFonts w:asciiTheme="minorHAnsi" w:hAnsiTheme="minorHAnsi" w:cstheme="minorHAnsi"/>
          <w:bdr w:val="nil"/>
        </w:rPr>
        <w:noBreakHyphen/>
        <w:t>General's Office:</w:t>
      </w:r>
    </w:p>
    <w:p w14:paraId="591A4E0B" w14:textId="77777777" w:rsidR="007F5788" w:rsidRPr="000862F2" w:rsidRDefault="007F5788" w:rsidP="007F5788">
      <w:pPr>
        <w:pStyle w:val="Normal7"/>
        <w:numPr>
          <w:ilvl w:val="0"/>
          <w:numId w:val="94"/>
        </w:numPr>
        <w:pBdr>
          <w:top w:val="nil"/>
          <w:left w:val="nil"/>
          <w:bottom w:val="nil"/>
          <w:right w:val="nil"/>
          <w:between w:val="nil"/>
          <w:bar w:val="nil"/>
        </w:pBdr>
        <w:spacing w:before="200" w:after="200"/>
        <w:ind w:left="720"/>
        <w:rPr>
          <w:rFonts w:asciiTheme="minorHAnsi" w:hAnsiTheme="minorHAnsi" w:cstheme="minorHAnsi"/>
          <w:bdr w:val="nil"/>
        </w:rPr>
      </w:pPr>
      <w:r w:rsidRPr="000862F2">
        <w:rPr>
          <w:rFonts w:asciiTheme="minorHAnsi" w:hAnsiTheme="minorHAnsi" w:cstheme="minorHAnsi"/>
          <w:bdr w:val="nil"/>
        </w:rPr>
        <w:t xml:space="preserve">Certified financial </w:t>
      </w:r>
      <w:proofErr w:type="gramStart"/>
      <w:r w:rsidRPr="000862F2">
        <w:rPr>
          <w:rFonts w:asciiTheme="minorHAnsi" w:hAnsiTheme="minorHAnsi" w:cstheme="minorHAnsi"/>
          <w:bdr w:val="nil"/>
        </w:rPr>
        <w:t>statements;</w:t>
      </w:r>
      <w:proofErr w:type="gramEnd"/>
    </w:p>
    <w:p w14:paraId="6130DE13" w14:textId="77777777" w:rsidR="007F5788" w:rsidRPr="000862F2" w:rsidRDefault="007F5788" w:rsidP="007F5788">
      <w:pPr>
        <w:pStyle w:val="Normal7"/>
        <w:numPr>
          <w:ilvl w:val="0"/>
          <w:numId w:val="94"/>
        </w:numPr>
        <w:pBdr>
          <w:top w:val="nil"/>
          <w:left w:val="nil"/>
          <w:bottom w:val="nil"/>
          <w:right w:val="nil"/>
          <w:between w:val="nil"/>
          <w:bar w:val="nil"/>
        </w:pBdr>
        <w:spacing w:before="200" w:after="200"/>
        <w:ind w:left="720"/>
        <w:rPr>
          <w:rFonts w:asciiTheme="minorHAnsi" w:hAnsiTheme="minorHAnsi" w:cstheme="minorHAnsi"/>
          <w:bdr w:val="nil"/>
        </w:rPr>
      </w:pPr>
      <w:r w:rsidRPr="000862F2">
        <w:rPr>
          <w:rFonts w:asciiTheme="minorHAnsi" w:hAnsiTheme="minorHAnsi" w:cstheme="minorHAnsi"/>
          <w:bdr w:val="nil"/>
        </w:rPr>
        <w:t xml:space="preserve">Management Discussion and </w:t>
      </w:r>
      <w:proofErr w:type="gramStart"/>
      <w:r w:rsidRPr="000862F2">
        <w:rPr>
          <w:rFonts w:asciiTheme="minorHAnsi" w:hAnsiTheme="minorHAnsi" w:cstheme="minorHAnsi"/>
          <w:bdr w:val="nil"/>
        </w:rPr>
        <w:t>Analysis;</w:t>
      </w:r>
      <w:proofErr w:type="gramEnd"/>
    </w:p>
    <w:p w14:paraId="2AC47631" w14:textId="77777777" w:rsidR="007F5788" w:rsidRPr="000862F2" w:rsidRDefault="007F5788" w:rsidP="007F5788">
      <w:pPr>
        <w:pStyle w:val="Normal7"/>
        <w:numPr>
          <w:ilvl w:val="0"/>
          <w:numId w:val="94"/>
        </w:numPr>
        <w:pBdr>
          <w:top w:val="nil"/>
          <w:left w:val="nil"/>
          <w:bottom w:val="nil"/>
          <w:right w:val="nil"/>
          <w:between w:val="nil"/>
          <w:bar w:val="nil"/>
        </w:pBdr>
        <w:spacing w:before="200" w:after="200"/>
        <w:ind w:left="720"/>
        <w:rPr>
          <w:rFonts w:asciiTheme="minorHAnsi" w:hAnsiTheme="minorHAnsi" w:cstheme="minorHAnsi"/>
          <w:bdr w:val="nil"/>
        </w:rPr>
      </w:pPr>
      <w:r w:rsidRPr="000862F2">
        <w:rPr>
          <w:rFonts w:asciiTheme="minorHAnsi" w:hAnsiTheme="minorHAnsi" w:cstheme="minorHAnsi"/>
          <w:bdr w:val="nil"/>
        </w:rPr>
        <w:t>A full and accurate set of audited financial records for the preceding financial year in the form requested; and</w:t>
      </w:r>
    </w:p>
    <w:p w14:paraId="4DF6EFDF" w14:textId="77777777" w:rsidR="007F5788" w:rsidRPr="000862F2" w:rsidRDefault="007F5788" w:rsidP="007F5788">
      <w:pPr>
        <w:pStyle w:val="Normal7"/>
        <w:numPr>
          <w:ilvl w:val="0"/>
          <w:numId w:val="94"/>
        </w:numPr>
        <w:pBdr>
          <w:top w:val="nil"/>
          <w:left w:val="nil"/>
          <w:bottom w:val="nil"/>
          <w:right w:val="nil"/>
          <w:between w:val="nil"/>
          <w:bar w:val="nil"/>
        </w:pBdr>
        <w:spacing w:before="200" w:after="200"/>
        <w:ind w:left="720"/>
        <w:rPr>
          <w:rFonts w:asciiTheme="minorHAnsi" w:hAnsiTheme="minorHAnsi" w:cstheme="minorHAnsi"/>
          <w:bdr w:val="nil"/>
        </w:rPr>
      </w:pPr>
      <w:r w:rsidRPr="000862F2">
        <w:rPr>
          <w:rFonts w:asciiTheme="minorHAnsi" w:hAnsiTheme="minorHAnsi" w:cstheme="minorHAnsi"/>
          <w:bdr w:val="nil"/>
        </w:rPr>
        <w:t>Consolidation packs relating to the annual financial statements, draft and final.</w:t>
      </w:r>
    </w:p>
    <w:p w14:paraId="155D0F16" w14:textId="77777777" w:rsidR="007F5788" w:rsidRDefault="007F5788" w:rsidP="007F5788">
      <w:pPr>
        <w:pStyle w:val="Heading25"/>
        <w:pBdr>
          <w:top w:val="nil"/>
          <w:left w:val="nil"/>
          <w:bottom w:val="nil"/>
          <w:right w:val="nil"/>
          <w:between w:val="nil"/>
          <w:bar w:val="nil"/>
        </w:pBdr>
        <w:rPr>
          <w:bdr w:val="nil"/>
        </w:rPr>
      </w:pPr>
      <w:r>
        <w:rPr>
          <w:bdr w:val="nil"/>
        </w:rPr>
        <w:lastRenderedPageBreak/>
        <w:t>Financial arrangements</w:t>
      </w:r>
    </w:p>
    <w:p w14:paraId="2E188700" w14:textId="77777777" w:rsidR="007F5788" w:rsidRPr="000862F2" w:rsidRDefault="007F5788" w:rsidP="007F5788">
      <w:pPr>
        <w:pStyle w:val="Normal8"/>
        <w:pBdr>
          <w:top w:val="nil"/>
          <w:left w:val="nil"/>
          <w:bottom w:val="nil"/>
          <w:right w:val="nil"/>
          <w:between w:val="nil"/>
          <w:bar w:val="nil"/>
        </w:pBdr>
        <w:jc w:val="both"/>
        <w:rPr>
          <w:rFonts w:asciiTheme="minorHAnsi" w:hAnsiTheme="minorHAnsi" w:cstheme="minorHAnsi"/>
          <w:bdr w:val="nil"/>
        </w:rPr>
      </w:pPr>
      <w:r w:rsidRPr="000862F2">
        <w:rPr>
          <w:rFonts w:asciiTheme="minorHAnsi" w:hAnsiTheme="minorHAnsi" w:cstheme="minorHAnsi"/>
          <w:bdr w:val="nil"/>
        </w:rPr>
        <w:t>PTG’s estimated operating revenue and expenditure is shown as part of the Budgeted Financial Statements.</w:t>
      </w:r>
    </w:p>
    <w:p w14:paraId="7DFFD3D4" w14:textId="77777777" w:rsidR="007F5788" w:rsidRPr="000862F2" w:rsidRDefault="007F5788" w:rsidP="007F5788">
      <w:pPr>
        <w:pStyle w:val="Normal8"/>
        <w:pBdr>
          <w:top w:val="nil"/>
          <w:left w:val="nil"/>
          <w:bottom w:val="nil"/>
          <w:right w:val="nil"/>
          <w:between w:val="nil"/>
          <w:bar w:val="nil"/>
        </w:pBdr>
        <w:jc w:val="both"/>
        <w:rPr>
          <w:rFonts w:asciiTheme="minorHAnsi" w:hAnsiTheme="minorHAnsi" w:cstheme="minorHAnsi"/>
          <w:bdr w:val="nil"/>
        </w:rPr>
      </w:pPr>
      <w:r w:rsidRPr="000862F2">
        <w:rPr>
          <w:rFonts w:asciiTheme="minorHAnsi" w:hAnsiTheme="minorHAnsi" w:cstheme="minorHAnsi"/>
          <w:bdr w:val="nil"/>
        </w:rPr>
        <w:t>PTG has no borrowings, guarantees, joint venture arrangements and overdraft or credit facilities.</w:t>
      </w:r>
    </w:p>
    <w:p w14:paraId="5A6E5B22" w14:textId="0188D66F" w:rsidR="007F5788" w:rsidRPr="000862F2" w:rsidRDefault="007F5788" w:rsidP="007F5788">
      <w:pPr>
        <w:pStyle w:val="Normal8"/>
        <w:pBdr>
          <w:top w:val="nil"/>
          <w:left w:val="nil"/>
          <w:bottom w:val="nil"/>
          <w:right w:val="nil"/>
          <w:between w:val="nil"/>
          <w:bar w:val="nil"/>
        </w:pBdr>
        <w:jc w:val="both"/>
        <w:rPr>
          <w:rFonts w:asciiTheme="minorHAnsi" w:hAnsiTheme="minorHAnsi" w:cstheme="minorHAnsi"/>
          <w:bdr w:val="nil"/>
        </w:rPr>
      </w:pPr>
      <w:r w:rsidRPr="000862F2">
        <w:rPr>
          <w:rFonts w:asciiTheme="minorHAnsi" w:hAnsiTheme="minorHAnsi" w:cstheme="minorHAnsi"/>
          <w:bdr w:val="nil"/>
        </w:rPr>
        <w:t>PTG is a self-funded independent statutory authority, in normal circumstances, requiring no supplementary funding from the ACT Government other than Community Service Obligations and Controlled Recurrent Payments for Guardianship.</w:t>
      </w:r>
    </w:p>
    <w:p w14:paraId="56AB0F93" w14:textId="77777777" w:rsidR="007F5788" w:rsidRDefault="007F5788" w:rsidP="007F5788">
      <w:pPr>
        <w:pStyle w:val="Heading31"/>
        <w:pBdr>
          <w:top w:val="nil"/>
          <w:left w:val="nil"/>
          <w:bottom w:val="nil"/>
          <w:right w:val="nil"/>
          <w:between w:val="nil"/>
          <w:bar w:val="nil"/>
        </w:pBdr>
        <w:rPr>
          <w:bdr w:val="nil"/>
          <w:lang w:val="en-US"/>
        </w:rPr>
      </w:pPr>
      <w:r>
        <w:rPr>
          <w:bdr w:val="nil"/>
          <w:lang w:val="en-US"/>
        </w:rPr>
        <w:t xml:space="preserve">Financial </w:t>
      </w:r>
      <w:r>
        <w:rPr>
          <w:bdr w:val="nil"/>
        </w:rPr>
        <w:t>statements</w:t>
      </w:r>
    </w:p>
    <w:p w14:paraId="7B816DA4" w14:textId="77777777" w:rsidR="007F5788" w:rsidRPr="000862F2" w:rsidRDefault="007F5788" w:rsidP="007F5788">
      <w:pPr>
        <w:pStyle w:val="Normal8"/>
        <w:pBdr>
          <w:top w:val="nil"/>
          <w:left w:val="nil"/>
          <w:bottom w:val="nil"/>
          <w:right w:val="nil"/>
          <w:between w:val="nil"/>
          <w:bar w:val="nil"/>
        </w:pBdr>
        <w:jc w:val="both"/>
        <w:rPr>
          <w:rFonts w:asciiTheme="minorHAnsi" w:hAnsiTheme="minorHAnsi" w:cstheme="minorHAnsi"/>
          <w:bdr w:val="nil"/>
        </w:rPr>
      </w:pPr>
      <w:r w:rsidRPr="000862F2">
        <w:rPr>
          <w:rFonts w:asciiTheme="minorHAnsi" w:hAnsiTheme="minorHAnsi" w:cstheme="minorHAnsi"/>
          <w:bdr w:val="nil"/>
        </w:rPr>
        <w:t xml:space="preserve">Budgeted financial statements for the 2021-22 Budget Year, as well as forward estimates for the three financial years appear below. These </w:t>
      </w:r>
      <w:proofErr w:type="gramStart"/>
      <w:r w:rsidRPr="000862F2">
        <w:rPr>
          <w:rFonts w:asciiTheme="minorHAnsi" w:hAnsiTheme="minorHAnsi" w:cstheme="minorHAnsi"/>
          <w:bdr w:val="nil"/>
        </w:rPr>
        <w:t>general purpose</w:t>
      </w:r>
      <w:proofErr w:type="gramEnd"/>
      <w:r w:rsidRPr="000862F2">
        <w:rPr>
          <w:rFonts w:asciiTheme="minorHAnsi" w:hAnsiTheme="minorHAnsi" w:cstheme="minorHAnsi"/>
          <w:bdr w:val="nil"/>
        </w:rPr>
        <w:t xml:space="preserve"> financial statements, have been prepared in accordance with the ACT’s Model Financial Statements and include: </w:t>
      </w:r>
    </w:p>
    <w:p w14:paraId="2F58145B" w14:textId="77777777" w:rsidR="007F5788" w:rsidRPr="000862F2" w:rsidRDefault="007F5788" w:rsidP="007F5788">
      <w:pPr>
        <w:pStyle w:val="SOInumberpara"/>
        <w:numPr>
          <w:ilvl w:val="0"/>
          <w:numId w:val="80"/>
        </w:numPr>
        <w:pBdr>
          <w:top w:val="nil"/>
          <w:left w:val="nil"/>
          <w:bottom w:val="nil"/>
          <w:right w:val="nil"/>
          <w:between w:val="nil"/>
          <w:bar w:val="nil"/>
        </w:pBdr>
        <w:ind w:left="0" w:firstLine="0"/>
        <w:rPr>
          <w:rFonts w:asciiTheme="minorHAnsi" w:hAnsiTheme="minorHAnsi" w:cstheme="minorHAnsi"/>
          <w:bdr w:val="nil"/>
        </w:rPr>
      </w:pPr>
      <w:r w:rsidRPr="000862F2">
        <w:rPr>
          <w:rFonts w:asciiTheme="minorHAnsi" w:hAnsiTheme="minorHAnsi" w:cstheme="minorHAnsi"/>
          <w:bdr w:val="nil"/>
        </w:rPr>
        <w:t xml:space="preserve">Operating </w:t>
      </w:r>
      <w:proofErr w:type="gramStart"/>
      <w:r w:rsidRPr="000862F2">
        <w:rPr>
          <w:rFonts w:asciiTheme="minorHAnsi" w:hAnsiTheme="minorHAnsi" w:cstheme="minorHAnsi"/>
          <w:bdr w:val="nil"/>
        </w:rPr>
        <w:t>Statement;</w:t>
      </w:r>
      <w:proofErr w:type="gramEnd"/>
    </w:p>
    <w:p w14:paraId="6111B090" w14:textId="77777777" w:rsidR="007F5788" w:rsidRPr="000862F2" w:rsidRDefault="007F5788" w:rsidP="007F5788">
      <w:pPr>
        <w:pStyle w:val="SOInumberpara"/>
        <w:numPr>
          <w:ilvl w:val="0"/>
          <w:numId w:val="80"/>
        </w:numPr>
        <w:pBdr>
          <w:top w:val="nil"/>
          <w:left w:val="nil"/>
          <w:bottom w:val="nil"/>
          <w:right w:val="nil"/>
          <w:between w:val="nil"/>
          <w:bar w:val="nil"/>
        </w:pBdr>
        <w:ind w:left="0" w:firstLine="0"/>
        <w:rPr>
          <w:rFonts w:asciiTheme="minorHAnsi" w:hAnsiTheme="minorHAnsi" w:cstheme="minorHAnsi"/>
          <w:bdr w:val="nil"/>
        </w:rPr>
      </w:pPr>
      <w:r w:rsidRPr="000862F2">
        <w:rPr>
          <w:rFonts w:asciiTheme="minorHAnsi" w:hAnsiTheme="minorHAnsi" w:cstheme="minorHAnsi"/>
          <w:bdr w:val="nil"/>
        </w:rPr>
        <w:t xml:space="preserve">Balance </w:t>
      </w:r>
      <w:proofErr w:type="gramStart"/>
      <w:r w:rsidRPr="000862F2">
        <w:rPr>
          <w:rFonts w:asciiTheme="minorHAnsi" w:hAnsiTheme="minorHAnsi" w:cstheme="minorHAnsi"/>
          <w:bdr w:val="nil"/>
        </w:rPr>
        <w:t>Sheet;</w:t>
      </w:r>
      <w:proofErr w:type="gramEnd"/>
    </w:p>
    <w:p w14:paraId="7EAF656B" w14:textId="77777777" w:rsidR="007F5788" w:rsidRPr="000862F2" w:rsidRDefault="007F5788" w:rsidP="007F5788">
      <w:pPr>
        <w:pStyle w:val="SOInumberpara"/>
        <w:numPr>
          <w:ilvl w:val="0"/>
          <w:numId w:val="80"/>
        </w:numPr>
        <w:pBdr>
          <w:top w:val="nil"/>
          <w:left w:val="nil"/>
          <w:bottom w:val="nil"/>
          <w:right w:val="nil"/>
          <w:between w:val="nil"/>
          <w:bar w:val="nil"/>
        </w:pBdr>
        <w:ind w:left="0" w:firstLine="0"/>
        <w:rPr>
          <w:rFonts w:asciiTheme="minorHAnsi" w:hAnsiTheme="minorHAnsi" w:cstheme="minorHAnsi"/>
          <w:bdr w:val="nil"/>
        </w:rPr>
      </w:pPr>
      <w:r w:rsidRPr="000862F2">
        <w:rPr>
          <w:rFonts w:asciiTheme="minorHAnsi" w:hAnsiTheme="minorHAnsi" w:cstheme="minorHAnsi"/>
          <w:bdr w:val="nil"/>
        </w:rPr>
        <w:t>Statement of Changes in Equity; and</w:t>
      </w:r>
    </w:p>
    <w:p w14:paraId="29D2A34C" w14:textId="77777777" w:rsidR="007F5788" w:rsidRPr="000862F2" w:rsidRDefault="007F5788" w:rsidP="007F5788">
      <w:pPr>
        <w:pStyle w:val="SOInumberpara"/>
        <w:numPr>
          <w:ilvl w:val="0"/>
          <w:numId w:val="80"/>
        </w:numPr>
        <w:pBdr>
          <w:top w:val="nil"/>
          <w:left w:val="nil"/>
          <w:bottom w:val="nil"/>
          <w:right w:val="nil"/>
          <w:between w:val="nil"/>
          <w:bar w:val="nil"/>
        </w:pBdr>
        <w:ind w:left="0" w:firstLine="0"/>
        <w:rPr>
          <w:rFonts w:asciiTheme="minorHAnsi" w:hAnsiTheme="minorHAnsi" w:cstheme="minorHAnsi"/>
          <w:bdr w:val="nil"/>
        </w:rPr>
      </w:pPr>
      <w:r w:rsidRPr="000862F2">
        <w:rPr>
          <w:rFonts w:asciiTheme="minorHAnsi" w:hAnsiTheme="minorHAnsi" w:cstheme="minorHAnsi"/>
          <w:bdr w:val="nil"/>
        </w:rPr>
        <w:t>Cash Flow Statement.</w:t>
      </w:r>
    </w:p>
    <w:p w14:paraId="10CF63F8" w14:textId="77777777" w:rsidR="007F5788" w:rsidRPr="00CB23F3" w:rsidRDefault="007F5788" w:rsidP="007F5788">
      <w:pPr>
        <w:pBdr>
          <w:top w:val="nil"/>
          <w:left w:val="nil"/>
          <w:bottom w:val="nil"/>
          <w:right w:val="nil"/>
          <w:between w:val="nil"/>
          <w:bar w:val="nil"/>
        </w:pBdr>
        <w:rPr>
          <w:bdr w:val="nil"/>
        </w:rPr>
      </w:pPr>
      <w:r>
        <w:t xml:space="preserve"> </w:t>
      </w:r>
    </w:p>
    <w:p w14:paraId="7F3ACDE6" w14:textId="77777777" w:rsidR="007F5788" w:rsidRDefault="007F5788" w:rsidP="007F5788">
      <w:pPr>
        <w:pStyle w:val="Heading2"/>
        <w:pageBreakBefore/>
        <w:pBdr>
          <w:top w:val="nil"/>
          <w:left w:val="nil"/>
          <w:bottom w:val="nil"/>
          <w:right w:val="nil"/>
          <w:between w:val="nil"/>
          <w:bar w:val="nil"/>
        </w:pBdr>
        <w:ind w:left="-426" w:firstLine="426"/>
        <w:rPr>
          <w:bdr w:val="nil"/>
        </w:rPr>
      </w:pPr>
      <w:r>
        <w:rPr>
          <w:bdr w:val="nil"/>
        </w:rPr>
        <w:lastRenderedPageBreak/>
        <w:t>Financial Statements – Controlled (GGS)</w:t>
      </w:r>
    </w:p>
    <w:p w14:paraId="10B6EB57" w14:textId="77777777" w:rsidR="00724BA0" w:rsidRPr="005E3B44" w:rsidRDefault="00724BA0" w:rsidP="00724BA0">
      <w:pPr>
        <w:pBdr>
          <w:top w:val="nil"/>
          <w:left w:val="nil"/>
          <w:bottom w:val="nil"/>
          <w:right w:val="nil"/>
          <w:between w:val="nil"/>
          <w:bar w:val="nil"/>
        </w:pBdr>
        <w:rPr>
          <w:rFonts w:asciiTheme="minorHAnsi" w:hAnsiTheme="minorHAnsi" w:cstheme="minorHAnsi"/>
          <w:bdr w:val="nil"/>
        </w:rPr>
      </w:pPr>
      <w:r w:rsidRPr="005E3B44">
        <w:rPr>
          <w:rFonts w:asciiTheme="minorHAnsi" w:hAnsiTheme="minorHAnsi" w:cstheme="minorHAnsi"/>
          <w:bdr w:val="nil"/>
        </w:rPr>
        <w:t>Due to the release of the 2021-22 Budget on 6 October 2021, the 2020-21 Interim Outcome column reflects the interim outcome included in the draft 2020-21 Financial Statements, which were unaudited at the time of preparing these budget statements.</w:t>
      </w:r>
    </w:p>
    <w:p w14:paraId="46686D50" w14:textId="77777777" w:rsidR="007F5788" w:rsidRPr="00625775" w:rsidRDefault="007F5788" w:rsidP="007F5788">
      <w:pPr>
        <w:pStyle w:val="Caption"/>
        <w:pBdr>
          <w:top w:val="nil"/>
          <w:left w:val="nil"/>
          <w:bottom w:val="nil"/>
          <w:right w:val="nil"/>
          <w:between w:val="nil"/>
          <w:bar w:val="nil"/>
        </w:pBdr>
        <w:rPr>
          <w:bdr w:val="nil"/>
        </w:rPr>
      </w:pPr>
      <w:r>
        <w:rPr>
          <w:bdr w:val="nil"/>
        </w:rPr>
        <w:t xml:space="preserve">Table 5: Public Trustee and Guardian: Operating Statement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7F5788" w14:paraId="3D3049AF" w14:textId="77777777" w:rsidTr="00B23E3B">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367047"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67E21F1" w14:textId="77777777" w:rsidR="007F5788" w:rsidRDefault="007F5788" w:rsidP="00B23E3B">
            <w:pPr>
              <w:pStyle w:val="Normal3"/>
              <w:jc w:val="right"/>
              <w:rPr>
                <w:rFonts w:ascii="Calibri" w:eastAsia="Calibri" w:hAnsi="Calibri" w:cs="Calibri"/>
                <w:b/>
                <w:color w:val="000000"/>
                <w:sz w:val="18"/>
              </w:rPr>
            </w:pPr>
          </w:p>
          <w:p w14:paraId="3FE905B3"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98C7420" w14:textId="77777777" w:rsidR="007F5788" w:rsidRDefault="007F5788" w:rsidP="00B23E3B">
            <w:pPr>
              <w:pStyle w:val="Normal3"/>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4FD022"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F08065"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17A6694" w14:textId="77777777" w:rsidR="007F5788" w:rsidRDefault="007F5788" w:rsidP="00B23E3B">
            <w:pPr>
              <w:pStyle w:val="Normal3"/>
              <w:jc w:val="right"/>
              <w:rPr>
                <w:rFonts w:ascii="Calibri" w:eastAsia="Calibri" w:hAnsi="Calibri" w:cs="Calibri"/>
                <w:b/>
                <w:color w:val="000000"/>
                <w:sz w:val="18"/>
              </w:rPr>
            </w:pPr>
          </w:p>
          <w:p w14:paraId="6FBE04F8"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7D189B0"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Var</w:t>
            </w:r>
          </w:p>
          <w:p w14:paraId="6C9C1ED8"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C58329D"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1E9A8B7A" w14:textId="77777777" w:rsidR="007F5788" w:rsidRDefault="007F5788" w:rsidP="00B23E3B">
            <w:pPr>
              <w:pStyle w:val="Normal3"/>
              <w:jc w:val="right"/>
              <w:rPr>
                <w:rFonts w:ascii="Calibri" w:eastAsia="Calibri" w:hAnsi="Calibri" w:cs="Calibri"/>
                <w:b/>
                <w:color w:val="000000"/>
                <w:sz w:val="18"/>
              </w:rPr>
            </w:pPr>
          </w:p>
          <w:p w14:paraId="29E58404"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50645DF"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3CB37399" w14:textId="77777777" w:rsidR="007F5788" w:rsidRDefault="007F5788" w:rsidP="00B23E3B">
            <w:pPr>
              <w:pStyle w:val="Normal3"/>
              <w:jc w:val="right"/>
              <w:rPr>
                <w:rFonts w:ascii="Calibri" w:eastAsia="Calibri" w:hAnsi="Calibri" w:cs="Calibri"/>
                <w:b/>
                <w:color w:val="000000"/>
                <w:sz w:val="18"/>
              </w:rPr>
            </w:pPr>
          </w:p>
          <w:p w14:paraId="4B668A86"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7DD1DA2"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38C6995B" w14:textId="77777777" w:rsidR="007F5788" w:rsidRDefault="007F5788" w:rsidP="00B23E3B">
            <w:pPr>
              <w:pStyle w:val="Normal3"/>
              <w:jc w:val="right"/>
              <w:rPr>
                <w:rFonts w:ascii="Calibri" w:eastAsia="Calibri" w:hAnsi="Calibri" w:cs="Calibri"/>
                <w:b/>
                <w:color w:val="000000"/>
                <w:sz w:val="18"/>
              </w:rPr>
            </w:pPr>
          </w:p>
          <w:p w14:paraId="35F6192B"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7F5788" w14:paraId="3BB0AA7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08787DC" w14:textId="77777777" w:rsidR="007F5788" w:rsidRDefault="007F5788" w:rsidP="00B23E3B">
            <w:pPr>
              <w:pStyle w:val="Normal3"/>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A73A8C2" w14:textId="77777777" w:rsidR="007F5788" w:rsidRDefault="007F5788" w:rsidP="00B23E3B">
            <w:pPr>
              <w:pStyle w:val="Normal3"/>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21E1043"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62D454" w14:textId="77777777" w:rsidR="007F5788" w:rsidRDefault="007F5788" w:rsidP="00B23E3B">
            <w:pPr>
              <w:pStyle w:val="Normal3"/>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87842E8"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8AB6E16"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3AB177C"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5B0D38E" w14:textId="77777777" w:rsidR="007F5788" w:rsidRDefault="007F5788" w:rsidP="00B23E3B">
            <w:pPr>
              <w:pStyle w:val="Normal3"/>
              <w:jc w:val="right"/>
              <w:rPr>
                <w:rFonts w:ascii="Calibri" w:eastAsia="Calibri" w:hAnsi="Calibri" w:cs="Calibri"/>
                <w:b/>
                <w:i/>
                <w:color w:val="000000"/>
                <w:sz w:val="18"/>
              </w:rPr>
            </w:pPr>
          </w:p>
        </w:tc>
      </w:tr>
      <w:tr w:rsidR="007F5788" w14:paraId="76706BB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880301" w14:textId="77777777" w:rsidR="007F5788" w:rsidRDefault="007F5788" w:rsidP="00B23E3B">
            <w:pPr>
              <w:pStyle w:val="Normal3"/>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3E7EF32" w14:textId="77777777" w:rsidR="007F5788" w:rsidRDefault="007F5788" w:rsidP="00B23E3B">
            <w:pPr>
              <w:pStyle w:val="Normal3"/>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43CFFC9F"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1B4717" w14:textId="77777777" w:rsidR="007F5788" w:rsidRDefault="007F5788" w:rsidP="00B23E3B">
            <w:pPr>
              <w:pStyle w:val="Normal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830357"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23ED1B"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4C101B"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12B9D7" w14:textId="77777777" w:rsidR="007F5788" w:rsidRDefault="007F5788" w:rsidP="00B23E3B">
            <w:pPr>
              <w:pStyle w:val="Normal3"/>
              <w:jc w:val="right"/>
              <w:rPr>
                <w:rFonts w:ascii="Calibri" w:eastAsia="Calibri" w:hAnsi="Calibri" w:cs="Calibri"/>
                <w:b/>
                <w:i/>
                <w:color w:val="000000"/>
                <w:sz w:val="18"/>
              </w:rPr>
            </w:pPr>
          </w:p>
        </w:tc>
      </w:tr>
      <w:tr w:rsidR="007F5788" w14:paraId="13514EC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E1E43C" w14:textId="77777777" w:rsidR="007F5788" w:rsidRDefault="007F5788" w:rsidP="00B23E3B">
            <w:pPr>
              <w:pStyle w:val="Normal3"/>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FDC303"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2F3589"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25B4BE" w14:textId="77777777" w:rsidR="007F5788" w:rsidRDefault="007F5788" w:rsidP="00B23E3B">
            <w:pPr>
              <w:pStyle w:val="Normal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93AD0D"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627EE6"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AB19B8" w14:textId="77777777" w:rsidR="007F5788" w:rsidRDefault="007F5788" w:rsidP="00B23E3B">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066B5A" w14:textId="77777777" w:rsidR="007F5788" w:rsidRDefault="007F5788" w:rsidP="00B23E3B">
            <w:pPr>
              <w:pStyle w:val="Normal3"/>
              <w:jc w:val="right"/>
              <w:rPr>
                <w:rFonts w:ascii="Calibri" w:eastAsia="Calibri" w:hAnsi="Calibri" w:cs="Calibri"/>
                <w:b/>
                <w:i/>
                <w:color w:val="000000"/>
                <w:sz w:val="18"/>
              </w:rPr>
            </w:pPr>
          </w:p>
        </w:tc>
      </w:tr>
      <w:tr w:rsidR="007F5788" w14:paraId="7D89FCC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484EDC"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E061F98" w14:textId="77777777" w:rsidR="007F5788" w:rsidRDefault="007F5788" w:rsidP="00B23E3B">
            <w:pPr>
              <w:pStyle w:val="Normal3"/>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BF6E39D"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86A5E6"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97344E"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BE86AE"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417BBC"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348973" w14:textId="77777777" w:rsidR="007F5788" w:rsidRDefault="007F5788" w:rsidP="00B23E3B">
            <w:pPr>
              <w:pStyle w:val="Normal3"/>
              <w:rPr>
                <w:rFonts w:ascii="Calibri" w:eastAsia="Calibri" w:hAnsi="Calibri" w:cs="Calibri"/>
                <w:color w:val="000000"/>
                <w:sz w:val="18"/>
              </w:rPr>
            </w:pPr>
          </w:p>
        </w:tc>
      </w:tr>
      <w:tr w:rsidR="007F5788" w14:paraId="59CA4DD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1B37619" w14:textId="686A4E79"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897</w:t>
            </w:r>
          </w:p>
        </w:tc>
        <w:tc>
          <w:tcPr>
            <w:tcW w:w="2385" w:type="dxa"/>
            <w:tcBorders>
              <w:top w:val="nil"/>
              <w:left w:val="nil"/>
              <w:bottom w:val="nil"/>
              <w:right w:val="nil"/>
              <w:tl2br w:val="nil"/>
              <w:tr2bl w:val="nil"/>
            </w:tcBorders>
            <w:shd w:val="clear" w:color="auto" w:fill="auto"/>
            <w:noWrap/>
            <w:tcMar>
              <w:left w:w="101" w:type="dxa"/>
              <w:right w:w="101" w:type="dxa"/>
            </w:tcMar>
          </w:tcPr>
          <w:p w14:paraId="4CC67738"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74D88CE3" w14:textId="5151777C"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983</w:t>
            </w:r>
          </w:p>
        </w:tc>
        <w:tc>
          <w:tcPr>
            <w:tcW w:w="1035" w:type="dxa"/>
            <w:tcBorders>
              <w:top w:val="nil"/>
              <w:left w:val="nil"/>
              <w:bottom w:val="nil"/>
              <w:right w:val="nil"/>
              <w:tl2br w:val="nil"/>
              <w:tr2bl w:val="nil"/>
            </w:tcBorders>
            <w:shd w:val="clear" w:color="FFFFFF" w:fill="FFFFFF"/>
            <w:tcMar>
              <w:left w:w="101" w:type="dxa"/>
              <w:right w:w="101" w:type="dxa"/>
            </w:tcMar>
          </w:tcPr>
          <w:p w14:paraId="32A1CFBC" w14:textId="3D61AFBB"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471</w:t>
            </w:r>
          </w:p>
        </w:tc>
        <w:tc>
          <w:tcPr>
            <w:tcW w:w="600" w:type="dxa"/>
            <w:tcBorders>
              <w:top w:val="nil"/>
              <w:left w:val="nil"/>
              <w:bottom w:val="nil"/>
              <w:right w:val="nil"/>
              <w:tl2br w:val="nil"/>
              <w:tr2bl w:val="nil"/>
            </w:tcBorders>
            <w:shd w:val="clear" w:color="FFFFFF" w:fill="FFFFFF"/>
            <w:tcMar>
              <w:left w:w="101" w:type="dxa"/>
              <w:right w:w="101" w:type="dxa"/>
            </w:tcMar>
          </w:tcPr>
          <w:p w14:paraId="04AB2F19"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363A96B8" w14:textId="679F710C"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538</w:t>
            </w:r>
          </w:p>
        </w:tc>
        <w:tc>
          <w:tcPr>
            <w:tcW w:w="1035" w:type="dxa"/>
            <w:tcBorders>
              <w:top w:val="nil"/>
              <w:left w:val="nil"/>
              <w:bottom w:val="nil"/>
              <w:right w:val="nil"/>
              <w:tl2br w:val="nil"/>
              <w:tr2bl w:val="nil"/>
            </w:tcBorders>
            <w:shd w:val="clear" w:color="FFFFFF" w:fill="FFFFFF"/>
            <w:tcMar>
              <w:left w:w="101" w:type="dxa"/>
              <w:right w:w="101" w:type="dxa"/>
            </w:tcMar>
          </w:tcPr>
          <w:p w14:paraId="00B4D302" w14:textId="6AC0CA93"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654</w:t>
            </w:r>
          </w:p>
        </w:tc>
        <w:tc>
          <w:tcPr>
            <w:tcW w:w="1035" w:type="dxa"/>
            <w:tcBorders>
              <w:top w:val="nil"/>
              <w:left w:val="nil"/>
              <w:bottom w:val="nil"/>
              <w:right w:val="nil"/>
              <w:tl2br w:val="nil"/>
              <w:tr2bl w:val="nil"/>
            </w:tcBorders>
            <w:shd w:val="clear" w:color="FFFFFF" w:fill="FFFFFF"/>
            <w:tcMar>
              <w:left w:w="101" w:type="dxa"/>
              <w:right w:w="101" w:type="dxa"/>
            </w:tcMar>
          </w:tcPr>
          <w:p w14:paraId="340FB61D" w14:textId="012854DB"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2</w:t>
            </w:r>
            <w:r w:rsidR="00724BA0">
              <w:rPr>
                <w:rFonts w:ascii="Calibri" w:eastAsia="Calibri" w:hAnsi="Calibri" w:cs="Calibri"/>
                <w:color w:val="000000"/>
                <w:sz w:val="18"/>
              </w:rPr>
              <w:t>,</w:t>
            </w:r>
            <w:r>
              <w:rPr>
                <w:rFonts w:ascii="Calibri" w:eastAsia="Calibri" w:hAnsi="Calibri" w:cs="Calibri"/>
                <w:color w:val="000000"/>
                <w:sz w:val="18"/>
              </w:rPr>
              <w:t>644</w:t>
            </w:r>
          </w:p>
        </w:tc>
      </w:tr>
      <w:tr w:rsidR="007F5788" w14:paraId="34BB5EE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189472" w14:textId="034BF4CF"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222</w:t>
            </w:r>
          </w:p>
        </w:tc>
        <w:tc>
          <w:tcPr>
            <w:tcW w:w="2385" w:type="dxa"/>
            <w:tcBorders>
              <w:top w:val="nil"/>
              <w:left w:val="nil"/>
              <w:bottom w:val="nil"/>
              <w:right w:val="nil"/>
              <w:tl2br w:val="nil"/>
              <w:tr2bl w:val="nil"/>
            </w:tcBorders>
            <w:shd w:val="clear" w:color="auto" w:fill="auto"/>
            <w:noWrap/>
            <w:tcMar>
              <w:left w:w="101" w:type="dxa"/>
              <w:right w:w="101" w:type="dxa"/>
            </w:tcMar>
          </w:tcPr>
          <w:p w14:paraId="6703B413"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42034DE" w14:textId="13FB52DD"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316</w:t>
            </w:r>
          </w:p>
        </w:tc>
        <w:tc>
          <w:tcPr>
            <w:tcW w:w="1035" w:type="dxa"/>
            <w:tcBorders>
              <w:top w:val="nil"/>
              <w:left w:val="nil"/>
              <w:bottom w:val="nil"/>
              <w:right w:val="nil"/>
              <w:tl2br w:val="nil"/>
              <w:tr2bl w:val="nil"/>
            </w:tcBorders>
            <w:shd w:val="clear" w:color="FFFFFF" w:fill="FFFFFF"/>
            <w:tcMar>
              <w:left w:w="101" w:type="dxa"/>
              <w:right w:w="101" w:type="dxa"/>
            </w:tcMar>
          </w:tcPr>
          <w:p w14:paraId="3298D4B5" w14:textId="2BA6A6F6"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352</w:t>
            </w:r>
          </w:p>
        </w:tc>
        <w:tc>
          <w:tcPr>
            <w:tcW w:w="600" w:type="dxa"/>
            <w:tcBorders>
              <w:top w:val="nil"/>
              <w:left w:val="nil"/>
              <w:bottom w:val="nil"/>
              <w:right w:val="nil"/>
              <w:tl2br w:val="nil"/>
              <w:tr2bl w:val="nil"/>
            </w:tcBorders>
            <w:shd w:val="clear" w:color="FFFFFF" w:fill="FFFFFF"/>
            <w:tcMar>
              <w:left w:w="101" w:type="dxa"/>
              <w:right w:w="101" w:type="dxa"/>
            </w:tcMar>
          </w:tcPr>
          <w:p w14:paraId="2C24F61A"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1020ED3" w14:textId="335FFF2D"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476</w:t>
            </w:r>
          </w:p>
        </w:tc>
        <w:tc>
          <w:tcPr>
            <w:tcW w:w="1035" w:type="dxa"/>
            <w:tcBorders>
              <w:top w:val="nil"/>
              <w:left w:val="nil"/>
              <w:bottom w:val="nil"/>
              <w:right w:val="nil"/>
              <w:tl2br w:val="nil"/>
              <w:tr2bl w:val="nil"/>
            </w:tcBorders>
            <w:shd w:val="clear" w:color="FFFFFF" w:fill="FFFFFF"/>
            <w:tcMar>
              <w:left w:w="101" w:type="dxa"/>
              <w:right w:w="101" w:type="dxa"/>
            </w:tcMar>
          </w:tcPr>
          <w:p w14:paraId="66FF8426" w14:textId="04CD2E5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610</w:t>
            </w:r>
          </w:p>
        </w:tc>
        <w:tc>
          <w:tcPr>
            <w:tcW w:w="1035" w:type="dxa"/>
            <w:tcBorders>
              <w:top w:val="nil"/>
              <w:left w:val="nil"/>
              <w:bottom w:val="nil"/>
              <w:right w:val="nil"/>
              <w:tl2br w:val="nil"/>
              <w:tr2bl w:val="nil"/>
            </w:tcBorders>
            <w:shd w:val="clear" w:color="FFFFFF" w:fill="FFFFFF"/>
            <w:tcMar>
              <w:left w:w="101" w:type="dxa"/>
              <w:right w:w="101" w:type="dxa"/>
            </w:tcMar>
          </w:tcPr>
          <w:p w14:paraId="737D9B4A" w14:textId="4E77784A"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726</w:t>
            </w:r>
          </w:p>
        </w:tc>
      </w:tr>
      <w:tr w:rsidR="007F5788" w14:paraId="34EAC5C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343828"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555B1C83"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361C075"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769</w:t>
            </w:r>
          </w:p>
        </w:tc>
        <w:tc>
          <w:tcPr>
            <w:tcW w:w="1035" w:type="dxa"/>
            <w:tcBorders>
              <w:top w:val="nil"/>
              <w:left w:val="nil"/>
              <w:bottom w:val="nil"/>
              <w:right w:val="nil"/>
              <w:tl2br w:val="nil"/>
              <w:tr2bl w:val="nil"/>
            </w:tcBorders>
            <w:shd w:val="clear" w:color="FFFFFF" w:fill="FFFFFF"/>
            <w:tcMar>
              <w:left w:w="101" w:type="dxa"/>
              <w:right w:w="101" w:type="dxa"/>
            </w:tcMar>
          </w:tcPr>
          <w:p w14:paraId="78210D6F"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55</w:t>
            </w:r>
          </w:p>
        </w:tc>
        <w:tc>
          <w:tcPr>
            <w:tcW w:w="600" w:type="dxa"/>
            <w:tcBorders>
              <w:top w:val="nil"/>
              <w:left w:val="nil"/>
              <w:bottom w:val="nil"/>
              <w:right w:val="nil"/>
              <w:tl2br w:val="nil"/>
              <w:tr2bl w:val="nil"/>
            </w:tcBorders>
            <w:shd w:val="clear" w:color="FFFFFF" w:fill="FFFFFF"/>
            <w:tcMar>
              <w:left w:w="101" w:type="dxa"/>
              <w:right w:w="101" w:type="dxa"/>
            </w:tcMar>
          </w:tcPr>
          <w:p w14:paraId="270D5FB9"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-93 </w:t>
            </w:r>
          </w:p>
        </w:tc>
        <w:tc>
          <w:tcPr>
            <w:tcW w:w="1035" w:type="dxa"/>
            <w:tcBorders>
              <w:top w:val="nil"/>
              <w:left w:val="nil"/>
              <w:bottom w:val="nil"/>
              <w:right w:val="nil"/>
              <w:tl2br w:val="nil"/>
              <w:tr2bl w:val="nil"/>
            </w:tcBorders>
            <w:shd w:val="clear" w:color="FFFFFF" w:fill="FFFFFF"/>
            <w:tcMar>
              <w:left w:w="101" w:type="dxa"/>
              <w:right w:w="101" w:type="dxa"/>
            </w:tcMar>
          </w:tcPr>
          <w:p w14:paraId="471E148C"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56</w:t>
            </w:r>
          </w:p>
        </w:tc>
        <w:tc>
          <w:tcPr>
            <w:tcW w:w="1035" w:type="dxa"/>
            <w:tcBorders>
              <w:top w:val="nil"/>
              <w:left w:val="nil"/>
              <w:bottom w:val="nil"/>
              <w:right w:val="nil"/>
              <w:tl2br w:val="nil"/>
              <w:tr2bl w:val="nil"/>
            </w:tcBorders>
            <w:shd w:val="clear" w:color="FFFFFF" w:fill="FFFFFF"/>
            <w:tcMar>
              <w:left w:w="101" w:type="dxa"/>
              <w:right w:w="101" w:type="dxa"/>
            </w:tcMar>
          </w:tcPr>
          <w:p w14:paraId="68071E9E"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57</w:t>
            </w:r>
          </w:p>
        </w:tc>
        <w:tc>
          <w:tcPr>
            <w:tcW w:w="1035" w:type="dxa"/>
            <w:tcBorders>
              <w:top w:val="nil"/>
              <w:left w:val="nil"/>
              <w:bottom w:val="nil"/>
              <w:right w:val="nil"/>
              <w:tl2br w:val="nil"/>
              <w:tr2bl w:val="nil"/>
            </w:tcBorders>
            <w:shd w:val="clear" w:color="FFFFFF" w:fill="FFFFFF"/>
            <w:tcMar>
              <w:left w:w="101" w:type="dxa"/>
              <w:right w:w="101" w:type="dxa"/>
            </w:tcMar>
          </w:tcPr>
          <w:p w14:paraId="742E727B"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59</w:t>
            </w:r>
          </w:p>
        </w:tc>
      </w:tr>
      <w:tr w:rsidR="007F5788" w14:paraId="44A1564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B24F1E"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190</w:t>
            </w:r>
          </w:p>
        </w:tc>
        <w:tc>
          <w:tcPr>
            <w:tcW w:w="2385" w:type="dxa"/>
            <w:tcBorders>
              <w:top w:val="nil"/>
              <w:left w:val="nil"/>
              <w:bottom w:val="nil"/>
              <w:right w:val="nil"/>
              <w:tl2br w:val="nil"/>
              <w:tr2bl w:val="nil"/>
            </w:tcBorders>
            <w:shd w:val="clear" w:color="auto" w:fill="auto"/>
            <w:noWrap/>
            <w:tcMar>
              <w:left w:w="101" w:type="dxa"/>
              <w:right w:w="101" w:type="dxa"/>
            </w:tcMar>
          </w:tcPr>
          <w:p w14:paraId="2C91F3FD"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7649EC53"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0CFC2DEE"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61</w:t>
            </w:r>
          </w:p>
        </w:tc>
        <w:tc>
          <w:tcPr>
            <w:tcW w:w="600" w:type="dxa"/>
            <w:tcBorders>
              <w:top w:val="nil"/>
              <w:left w:val="nil"/>
              <w:bottom w:val="nil"/>
              <w:right w:val="nil"/>
              <w:tl2br w:val="nil"/>
              <w:tr2bl w:val="nil"/>
            </w:tcBorders>
            <w:shd w:val="clear" w:color="FFFFFF" w:fill="FFFFFF"/>
            <w:tcMar>
              <w:left w:w="101" w:type="dxa"/>
              <w:right w:w="101" w:type="dxa"/>
            </w:tcMar>
          </w:tcPr>
          <w:p w14:paraId="417ACE04"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1F3E3F08"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66</w:t>
            </w:r>
          </w:p>
        </w:tc>
        <w:tc>
          <w:tcPr>
            <w:tcW w:w="1035" w:type="dxa"/>
            <w:tcBorders>
              <w:top w:val="nil"/>
              <w:left w:val="nil"/>
              <w:bottom w:val="nil"/>
              <w:right w:val="nil"/>
              <w:tl2br w:val="nil"/>
              <w:tr2bl w:val="nil"/>
            </w:tcBorders>
            <w:shd w:val="clear" w:color="FFFFFF" w:fill="FFFFFF"/>
            <w:tcMar>
              <w:left w:w="101" w:type="dxa"/>
              <w:right w:w="101" w:type="dxa"/>
            </w:tcMar>
          </w:tcPr>
          <w:p w14:paraId="3204C5A3"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72</w:t>
            </w:r>
          </w:p>
        </w:tc>
        <w:tc>
          <w:tcPr>
            <w:tcW w:w="1035" w:type="dxa"/>
            <w:tcBorders>
              <w:top w:val="nil"/>
              <w:left w:val="nil"/>
              <w:bottom w:val="nil"/>
              <w:right w:val="nil"/>
              <w:tl2br w:val="nil"/>
              <w:tr2bl w:val="nil"/>
            </w:tcBorders>
            <w:shd w:val="clear" w:color="FFFFFF" w:fill="FFFFFF"/>
            <w:tcMar>
              <w:left w:w="101" w:type="dxa"/>
              <w:right w:w="101" w:type="dxa"/>
            </w:tcMar>
          </w:tcPr>
          <w:p w14:paraId="7C1ECCBD"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79</w:t>
            </w:r>
          </w:p>
        </w:tc>
      </w:tr>
      <w:tr w:rsidR="007F5788" w14:paraId="45EC18E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781073"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51BF521"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3C97B573"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2318DB0A"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B97D572"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AE41C7A"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C2558A5"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FC6BA76"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7F5788" w14:paraId="202EABA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846688"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B5E389D"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AEA445"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E0BE9D"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EFD54D1"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ABB036"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940319"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47BD1D" w14:textId="77777777" w:rsidR="007F5788" w:rsidRDefault="007F5788" w:rsidP="00B23E3B">
            <w:pPr>
              <w:pStyle w:val="Normal3"/>
              <w:rPr>
                <w:rFonts w:ascii="Calibri" w:eastAsia="Calibri" w:hAnsi="Calibri" w:cs="Calibri"/>
                <w:color w:val="000000"/>
                <w:sz w:val="18"/>
              </w:rPr>
            </w:pPr>
          </w:p>
        </w:tc>
      </w:tr>
      <w:tr w:rsidR="007F5788" w14:paraId="5274A7B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7BB5EE" w14:textId="584E8550"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309</w:t>
            </w:r>
          </w:p>
        </w:tc>
        <w:tc>
          <w:tcPr>
            <w:tcW w:w="2385" w:type="dxa"/>
            <w:tcBorders>
              <w:top w:val="nil"/>
              <w:left w:val="nil"/>
              <w:bottom w:val="nil"/>
              <w:right w:val="nil"/>
              <w:tl2br w:val="nil"/>
              <w:tr2bl w:val="nil"/>
            </w:tcBorders>
            <w:shd w:val="clear" w:color="FFFFFF" w:fill="FFFFFF"/>
            <w:noWrap/>
            <w:tcMar>
              <w:left w:w="101" w:type="dxa"/>
              <w:right w:w="101" w:type="dxa"/>
            </w:tcMar>
          </w:tcPr>
          <w:p w14:paraId="59FF2EE5" w14:textId="77777777" w:rsidR="007F5788" w:rsidRDefault="007F5788" w:rsidP="00B23E3B">
            <w:pPr>
              <w:pStyle w:val="Normal3"/>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2DB6F350" w14:textId="575D28BA"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10</w:t>
            </w:r>
            <w:r w:rsidR="00724BA0">
              <w:rPr>
                <w:rFonts w:ascii="Calibri" w:eastAsia="Calibri" w:hAnsi="Calibri" w:cs="Calibri"/>
                <w:b/>
                <w:color w:val="000000"/>
                <w:sz w:val="18"/>
              </w:rPr>
              <w:t>,</w:t>
            </w:r>
            <w:r>
              <w:rPr>
                <w:rFonts w:ascii="Calibri" w:eastAsia="Calibri" w:hAnsi="Calibri" w:cs="Calibri"/>
                <w:b/>
                <w:color w:val="000000"/>
                <w:sz w:val="18"/>
              </w:rPr>
              <w:t>381</w:t>
            </w:r>
          </w:p>
        </w:tc>
        <w:tc>
          <w:tcPr>
            <w:tcW w:w="1035" w:type="dxa"/>
            <w:tcBorders>
              <w:top w:val="nil"/>
              <w:left w:val="nil"/>
              <w:bottom w:val="nil"/>
              <w:right w:val="nil"/>
              <w:tl2br w:val="nil"/>
              <w:tr2bl w:val="nil"/>
            </w:tcBorders>
            <w:shd w:val="clear" w:color="FFFFFF" w:fill="FFFFFF"/>
            <w:tcMar>
              <w:left w:w="101" w:type="dxa"/>
              <w:right w:w="101" w:type="dxa"/>
            </w:tcMar>
          </w:tcPr>
          <w:p w14:paraId="5EA12205" w14:textId="2BF0392B"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8</w:t>
            </w:r>
            <w:r w:rsidR="00724BA0">
              <w:rPr>
                <w:rFonts w:ascii="Calibri" w:eastAsia="Calibri" w:hAnsi="Calibri" w:cs="Calibri"/>
                <w:b/>
                <w:color w:val="000000"/>
                <w:sz w:val="18"/>
              </w:rPr>
              <w:t>,</w:t>
            </w:r>
            <w:r>
              <w:rPr>
                <w:rFonts w:ascii="Calibri" w:eastAsia="Calibri" w:hAnsi="Calibri" w:cs="Calibri"/>
                <w:b/>
                <w:color w:val="000000"/>
                <w:sz w:val="18"/>
              </w:rPr>
              <w:t>939</w:t>
            </w:r>
          </w:p>
        </w:tc>
        <w:tc>
          <w:tcPr>
            <w:tcW w:w="600" w:type="dxa"/>
            <w:tcBorders>
              <w:top w:val="nil"/>
              <w:left w:val="nil"/>
              <w:bottom w:val="nil"/>
              <w:right w:val="nil"/>
              <w:tl2br w:val="nil"/>
              <w:tr2bl w:val="nil"/>
            </w:tcBorders>
            <w:shd w:val="clear" w:color="FFFFFF" w:fill="FFFFFF"/>
            <w:tcMar>
              <w:left w:w="101" w:type="dxa"/>
              <w:right w:w="101" w:type="dxa"/>
            </w:tcMar>
          </w:tcPr>
          <w:p w14:paraId="66A3117A"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18E2523C" w14:textId="39CDF90B"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136</w:t>
            </w:r>
          </w:p>
        </w:tc>
        <w:tc>
          <w:tcPr>
            <w:tcW w:w="1035" w:type="dxa"/>
            <w:tcBorders>
              <w:top w:val="nil"/>
              <w:left w:val="nil"/>
              <w:bottom w:val="nil"/>
              <w:right w:val="nil"/>
              <w:tl2br w:val="nil"/>
              <w:tr2bl w:val="nil"/>
            </w:tcBorders>
            <w:shd w:val="clear" w:color="FFFFFF" w:fill="FFFFFF"/>
            <w:tcMar>
              <w:left w:w="101" w:type="dxa"/>
              <w:right w:w="101" w:type="dxa"/>
            </w:tcMar>
          </w:tcPr>
          <w:p w14:paraId="3D798444" w14:textId="2DD7ED58"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393</w:t>
            </w:r>
          </w:p>
        </w:tc>
        <w:tc>
          <w:tcPr>
            <w:tcW w:w="1035" w:type="dxa"/>
            <w:tcBorders>
              <w:top w:val="nil"/>
              <w:left w:val="nil"/>
              <w:bottom w:val="nil"/>
              <w:right w:val="nil"/>
              <w:tl2br w:val="nil"/>
              <w:tr2bl w:val="nil"/>
            </w:tcBorders>
            <w:shd w:val="clear" w:color="FFFFFF" w:fill="FFFFFF"/>
            <w:tcMar>
              <w:left w:w="101" w:type="dxa"/>
              <w:right w:w="101" w:type="dxa"/>
            </w:tcMar>
          </w:tcPr>
          <w:p w14:paraId="79D3EE94" w14:textId="4FB91459"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508</w:t>
            </w:r>
          </w:p>
        </w:tc>
      </w:tr>
      <w:tr w:rsidR="007F5788" w14:paraId="732EFCD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52EC5F"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842F0FF"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244378"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3D54D1"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EBCA7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C215D6"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CC82FD"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CA125B" w14:textId="77777777" w:rsidR="007F5788" w:rsidRDefault="007F5788" w:rsidP="00B23E3B">
            <w:pPr>
              <w:pStyle w:val="Normal3"/>
              <w:rPr>
                <w:rFonts w:ascii="Calibri" w:eastAsia="Calibri" w:hAnsi="Calibri" w:cs="Calibri"/>
                <w:color w:val="000000"/>
                <w:sz w:val="18"/>
              </w:rPr>
            </w:pPr>
          </w:p>
        </w:tc>
      </w:tr>
      <w:tr w:rsidR="007F5788" w14:paraId="3FE34BA2"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CA7488E"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897581C"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1C130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119EE5"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809A45D"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F3504A"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5BEBD1"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28EF6" w14:textId="77777777" w:rsidR="007F5788" w:rsidRDefault="007F5788" w:rsidP="00B23E3B">
            <w:pPr>
              <w:pStyle w:val="Normal3"/>
              <w:rPr>
                <w:rFonts w:ascii="Calibri" w:eastAsia="Calibri" w:hAnsi="Calibri" w:cs="Calibri"/>
                <w:color w:val="000000"/>
                <w:sz w:val="18"/>
              </w:rPr>
            </w:pPr>
          </w:p>
        </w:tc>
      </w:tr>
      <w:tr w:rsidR="007F5788" w14:paraId="5C8473A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D95EA5"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7109CC8"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5B9162"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E4FF37"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1FDE09"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95DF4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A28E51"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3A7AC4" w14:textId="77777777" w:rsidR="007F5788" w:rsidRDefault="007F5788" w:rsidP="00B23E3B">
            <w:pPr>
              <w:pStyle w:val="Normal3"/>
              <w:rPr>
                <w:rFonts w:ascii="Calibri" w:eastAsia="Calibri" w:hAnsi="Calibri" w:cs="Calibri"/>
                <w:color w:val="000000"/>
                <w:sz w:val="18"/>
              </w:rPr>
            </w:pPr>
          </w:p>
        </w:tc>
      </w:tr>
      <w:tr w:rsidR="007F5788" w14:paraId="0E3C8CB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561F04"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2F0C99F"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73CB8D"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54C48D"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05376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2A5C21"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1D3A4D"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526D6B" w14:textId="77777777" w:rsidR="007F5788" w:rsidRDefault="007F5788" w:rsidP="00B23E3B">
            <w:pPr>
              <w:pStyle w:val="Normal3"/>
              <w:rPr>
                <w:rFonts w:ascii="Calibri" w:eastAsia="Calibri" w:hAnsi="Calibri" w:cs="Calibri"/>
                <w:color w:val="000000"/>
                <w:sz w:val="18"/>
              </w:rPr>
            </w:pPr>
          </w:p>
        </w:tc>
      </w:tr>
      <w:tr w:rsidR="007F5788" w14:paraId="2A7F605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EF4995"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DE6B1B2" w14:textId="77777777" w:rsidR="007F5788" w:rsidRDefault="007F5788" w:rsidP="00B23E3B">
            <w:pPr>
              <w:pStyle w:val="Normal3"/>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263BC7F7"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732173"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1D7270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FFE5E5"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235331"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3B56D8" w14:textId="77777777" w:rsidR="007F5788" w:rsidRDefault="007F5788" w:rsidP="00B23E3B">
            <w:pPr>
              <w:pStyle w:val="Normal3"/>
              <w:rPr>
                <w:rFonts w:ascii="Calibri" w:eastAsia="Calibri" w:hAnsi="Calibri" w:cs="Calibri"/>
                <w:color w:val="000000"/>
                <w:sz w:val="18"/>
              </w:rPr>
            </w:pPr>
          </w:p>
        </w:tc>
      </w:tr>
      <w:tr w:rsidR="007F5788" w14:paraId="79B0D9D2"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A04C43" w14:textId="0A4E69D6"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5</w:t>
            </w:r>
            <w:r w:rsidR="00724BA0">
              <w:rPr>
                <w:rFonts w:ascii="Calibri" w:eastAsia="Calibri" w:hAnsi="Calibri" w:cs="Calibri"/>
                <w:color w:val="000000"/>
                <w:sz w:val="18"/>
              </w:rPr>
              <w:t>,</w:t>
            </w:r>
            <w:r>
              <w:rPr>
                <w:rFonts w:ascii="Calibri" w:eastAsia="Calibri" w:hAnsi="Calibri" w:cs="Calibri"/>
                <w:color w:val="000000"/>
                <w:sz w:val="18"/>
              </w:rPr>
              <w:t>982</w:t>
            </w:r>
          </w:p>
        </w:tc>
        <w:tc>
          <w:tcPr>
            <w:tcW w:w="2385" w:type="dxa"/>
            <w:tcBorders>
              <w:top w:val="nil"/>
              <w:left w:val="nil"/>
              <w:bottom w:val="nil"/>
              <w:right w:val="nil"/>
              <w:tl2br w:val="nil"/>
              <w:tr2bl w:val="nil"/>
            </w:tcBorders>
            <w:shd w:val="clear" w:color="FFFFFF" w:fill="FFFFFF"/>
            <w:noWrap/>
            <w:tcMar>
              <w:left w:w="101" w:type="dxa"/>
              <w:right w:w="101" w:type="dxa"/>
            </w:tcMar>
          </w:tcPr>
          <w:p w14:paraId="679A91EF"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FDD77BC" w14:textId="7D3EDF80"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769</w:t>
            </w:r>
          </w:p>
        </w:tc>
        <w:tc>
          <w:tcPr>
            <w:tcW w:w="1035" w:type="dxa"/>
            <w:tcBorders>
              <w:top w:val="nil"/>
              <w:left w:val="nil"/>
              <w:bottom w:val="nil"/>
              <w:right w:val="nil"/>
              <w:tl2br w:val="nil"/>
              <w:tr2bl w:val="nil"/>
            </w:tcBorders>
            <w:shd w:val="clear" w:color="FFFFFF" w:fill="FFFFFF"/>
            <w:tcMar>
              <w:left w:w="101" w:type="dxa"/>
              <w:right w:w="101" w:type="dxa"/>
            </w:tcMar>
          </w:tcPr>
          <w:p w14:paraId="5E472F14" w14:textId="70112A82"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171</w:t>
            </w:r>
          </w:p>
        </w:tc>
        <w:tc>
          <w:tcPr>
            <w:tcW w:w="600" w:type="dxa"/>
            <w:tcBorders>
              <w:top w:val="nil"/>
              <w:left w:val="nil"/>
              <w:bottom w:val="nil"/>
              <w:right w:val="nil"/>
              <w:tl2br w:val="nil"/>
              <w:tr2bl w:val="nil"/>
            </w:tcBorders>
            <w:shd w:val="clear" w:color="FFFFFF" w:fill="FFFFFF"/>
            <w:tcMar>
              <w:left w:w="101" w:type="dxa"/>
              <w:right w:w="101" w:type="dxa"/>
            </w:tcMar>
          </w:tcPr>
          <w:p w14:paraId="6BE5EC8D"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6EB0D8B4" w14:textId="5D98A48D"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321</w:t>
            </w:r>
          </w:p>
        </w:tc>
        <w:tc>
          <w:tcPr>
            <w:tcW w:w="1035" w:type="dxa"/>
            <w:tcBorders>
              <w:top w:val="nil"/>
              <w:left w:val="nil"/>
              <w:bottom w:val="nil"/>
              <w:right w:val="nil"/>
              <w:tl2br w:val="nil"/>
              <w:tr2bl w:val="nil"/>
            </w:tcBorders>
            <w:shd w:val="clear" w:color="FFFFFF" w:fill="FFFFFF"/>
            <w:tcMar>
              <w:left w:w="101" w:type="dxa"/>
              <w:right w:w="101" w:type="dxa"/>
            </w:tcMar>
          </w:tcPr>
          <w:p w14:paraId="1176586C" w14:textId="43EDA1A5"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411</w:t>
            </w:r>
          </w:p>
        </w:tc>
        <w:tc>
          <w:tcPr>
            <w:tcW w:w="1035" w:type="dxa"/>
            <w:tcBorders>
              <w:top w:val="nil"/>
              <w:left w:val="nil"/>
              <w:bottom w:val="nil"/>
              <w:right w:val="nil"/>
              <w:tl2br w:val="nil"/>
              <w:tr2bl w:val="nil"/>
            </w:tcBorders>
            <w:shd w:val="clear" w:color="FFFFFF" w:fill="FFFFFF"/>
            <w:tcMar>
              <w:left w:w="101" w:type="dxa"/>
              <w:right w:w="101" w:type="dxa"/>
            </w:tcMar>
          </w:tcPr>
          <w:p w14:paraId="042AD16C" w14:textId="0E5F0A6A"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6</w:t>
            </w:r>
            <w:r w:rsidR="00724BA0">
              <w:rPr>
                <w:rFonts w:ascii="Calibri" w:eastAsia="Calibri" w:hAnsi="Calibri" w:cs="Calibri"/>
                <w:color w:val="000000"/>
                <w:sz w:val="18"/>
              </w:rPr>
              <w:t>,</w:t>
            </w:r>
            <w:r>
              <w:rPr>
                <w:rFonts w:ascii="Calibri" w:eastAsia="Calibri" w:hAnsi="Calibri" w:cs="Calibri"/>
                <w:color w:val="000000"/>
                <w:sz w:val="18"/>
              </w:rPr>
              <w:t>496</w:t>
            </w:r>
          </w:p>
        </w:tc>
      </w:tr>
      <w:tr w:rsidR="007F5788" w14:paraId="78F15BF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A15955"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947</w:t>
            </w:r>
          </w:p>
        </w:tc>
        <w:tc>
          <w:tcPr>
            <w:tcW w:w="2385" w:type="dxa"/>
            <w:tcBorders>
              <w:top w:val="nil"/>
              <w:left w:val="nil"/>
              <w:bottom w:val="nil"/>
              <w:right w:val="nil"/>
              <w:tl2br w:val="nil"/>
              <w:tr2bl w:val="nil"/>
            </w:tcBorders>
            <w:shd w:val="clear" w:color="FFFFFF" w:fill="FFFFFF"/>
            <w:noWrap/>
            <w:tcMar>
              <w:left w:w="101" w:type="dxa"/>
              <w:right w:w="101" w:type="dxa"/>
            </w:tcMar>
          </w:tcPr>
          <w:p w14:paraId="18ECD817"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512AA566"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958</w:t>
            </w:r>
          </w:p>
        </w:tc>
        <w:tc>
          <w:tcPr>
            <w:tcW w:w="1035" w:type="dxa"/>
            <w:tcBorders>
              <w:top w:val="nil"/>
              <w:left w:val="nil"/>
              <w:bottom w:val="nil"/>
              <w:right w:val="nil"/>
              <w:tl2br w:val="nil"/>
              <w:tr2bl w:val="nil"/>
            </w:tcBorders>
            <w:shd w:val="clear" w:color="FFFFFF" w:fill="FFFFFF"/>
            <w:tcMar>
              <w:left w:w="101" w:type="dxa"/>
              <w:right w:w="101" w:type="dxa"/>
            </w:tcMar>
          </w:tcPr>
          <w:p w14:paraId="6C1818FD"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875</w:t>
            </w:r>
          </w:p>
        </w:tc>
        <w:tc>
          <w:tcPr>
            <w:tcW w:w="600" w:type="dxa"/>
            <w:tcBorders>
              <w:top w:val="nil"/>
              <w:left w:val="nil"/>
              <w:bottom w:val="nil"/>
              <w:right w:val="nil"/>
              <w:tl2br w:val="nil"/>
              <w:tr2bl w:val="nil"/>
            </w:tcBorders>
            <w:shd w:val="clear" w:color="FFFFFF" w:fill="FFFFFF"/>
            <w:tcMar>
              <w:left w:w="101" w:type="dxa"/>
              <w:right w:w="101" w:type="dxa"/>
            </w:tcMar>
          </w:tcPr>
          <w:p w14:paraId="73838111"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16FB5D64"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863</w:t>
            </w:r>
          </w:p>
        </w:tc>
        <w:tc>
          <w:tcPr>
            <w:tcW w:w="1035" w:type="dxa"/>
            <w:tcBorders>
              <w:top w:val="nil"/>
              <w:left w:val="nil"/>
              <w:bottom w:val="nil"/>
              <w:right w:val="nil"/>
              <w:tl2br w:val="nil"/>
              <w:tr2bl w:val="nil"/>
            </w:tcBorders>
            <w:shd w:val="clear" w:color="FFFFFF" w:fill="FFFFFF"/>
            <w:tcMar>
              <w:left w:w="101" w:type="dxa"/>
              <w:right w:w="101" w:type="dxa"/>
            </w:tcMar>
          </w:tcPr>
          <w:p w14:paraId="443A94AD"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855</w:t>
            </w:r>
          </w:p>
        </w:tc>
        <w:tc>
          <w:tcPr>
            <w:tcW w:w="1035" w:type="dxa"/>
            <w:tcBorders>
              <w:top w:val="nil"/>
              <w:left w:val="nil"/>
              <w:bottom w:val="nil"/>
              <w:right w:val="nil"/>
              <w:tl2br w:val="nil"/>
              <w:tr2bl w:val="nil"/>
            </w:tcBorders>
            <w:shd w:val="clear" w:color="FFFFFF" w:fill="FFFFFF"/>
            <w:tcMar>
              <w:left w:w="101" w:type="dxa"/>
              <w:right w:w="101" w:type="dxa"/>
            </w:tcMar>
          </w:tcPr>
          <w:p w14:paraId="16669867"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848</w:t>
            </w:r>
          </w:p>
        </w:tc>
      </w:tr>
      <w:tr w:rsidR="007F5788" w14:paraId="7ED2472F"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61130D" w14:textId="6F1F4551"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1</w:t>
            </w:r>
            <w:r w:rsidR="00724BA0">
              <w:rPr>
                <w:rFonts w:ascii="Calibri" w:eastAsia="Calibri" w:hAnsi="Calibri" w:cs="Calibri"/>
                <w:color w:val="000000"/>
                <w:sz w:val="18"/>
              </w:rPr>
              <w:t>,</w:t>
            </w:r>
            <w:r>
              <w:rPr>
                <w:rFonts w:ascii="Calibri" w:eastAsia="Calibri" w:hAnsi="Calibri" w:cs="Calibri"/>
                <w:color w:val="000000"/>
                <w:sz w:val="18"/>
              </w:rPr>
              <w:t>909</w:t>
            </w:r>
          </w:p>
        </w:tc>
        <w:tc>
          <w:tcPr>
            <w:tcW w:w="2385" w:type="dxa"/>
            <w:tcBorders>
              <w:top w:val="nil"/>
              <w:left w:val="nil"/>
              <w:bottom w:val="nil"/>
              <w:right w:val="nil"/>
              <w:tl2br w:val="nil"/>
              <w:tr2bl w:val="nil"/>
            </w:tcBorders>
            <w:shd w:val="clear" w:color="FFFFFF" w:fill="FFFFFF"/>
            <w:noWrap/>
            <w:tcMar>
              <w:left w:w="101" w:type="dxa"/>
              <w:right w:w="101" w:type="dxa"/>
            </w:tcMar>
          </w:tcPr>
          <w:p w14:paraId="4D24C625"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6D24CEA" w14:textId="1DB33933"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1</w:t>
            </w:r>
            <w:r w:rsidR="00724BA0">
              <w:rPr>
                <w:rFonts w:ascii="Calibri" w:eastAsia="Calibri" w:hAnsi="Calibri" w:cs="Calibri"/>
                <w:color w:val="000000"/>
                <w:sz w:val="18"/>
              </w:rPr>
              <w:t>,</w:t>
            </w:r>
            <w:r>
              <w:rPr>
                <w:rFonts w:ascii="Calibri" w:eastAsia="Calibri" w:hAnsi="Calibri" w:cs="Calibri"/>
                <w:color w:val="000000"/>
                <w:sz w:val="18"/>
              </w:rPr>
              <w:t>427</w:t>
            </w:r>
          </w:p>
        </w:tc>
        <w:tc>
          <w:tcPr>
            <w:tcW w:w="1035" w:type="dxa"/>
            <w:tcBorders>
              <w:top w:val="nil"/>
              <w:left w:val="nil"/>
              <w:bottom w:val="nil"/>
              <w:right w:val="nil"/>
              <w:tl2br w:val="nil"/>
              <w:tr2bl w:val="nil"/>
            </w:tcBorders>
            <w:shd w:val="clear" w:color="FFFFFF" w:fill="FFFFFF"/>
            <w:tcMar>
              <w:left w:w="101" w:type="dxa"/>
              <w:right w:w="101" w:type="dxa"/>
            </w:tcMar>
          </w:tcPr>
          <w:p w14:paraId="1CDD6DD3" w14:textId="7FA62E45"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1</w:t>
            </w:r>
            <w:r w:rsidR="00724BA0">
              <w:rPr>
                <w:rFonts w:ascii="Calibri" w:eastAsia="Calibri" w:hAnsi="Calibri" w:cs="Calibri"/>
                <w:color w:val="000000"/>
                <w:sz w:val="18"/>
              </w:rPr>
              <w:t>,</w:t>
            </w:r>
            <w:r>
              <w:rPr>
                <w:rFonts w:ascii="Calibri" w:eastAsia="Calibri" w:hAnsi="Calibri" w:cs="Calibri"/>
                <w:color w:val="000000"/>
                <w:sz w:val="18"/>
              </w:rPr>
              <w:t>754</w:t>
            </w:r>
          </w:p>
        </w:tc>
        <w:tc>
          <w:tcPr>
            <w:tcW w:w="600" w:type="dxa"/>
            <w:tcBorders>
              <w:top w:val="nil"/>
              <w:left w:val="nil"/>
              <w:bottom w:val="nil"/>
              <w:right w:val="nil"/>
              <w:tl2br w:val="nil"/>
              <w:tr2bl w:val="nil"/>
            </w:tcBorders>
            <w:shd w:val="clear" w:color="FFFFFF" w:fill="FFFFFF"/>
            <w:tcMar>
              <w:left w:w="101" w:type="dxa"/>
              <w:right w:w="101" w:type="dxa"/>
            </w:tcMar>
          </w:tcPr>
          <w:p w14:paraId="75CAEFB2"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055A7AC6" w14:textId="2549F79E"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1</w:t>
            </w:r>
            <w:r w:rsidR="00724BA0">
              <w:rPr>
                <w:rFonts w:ascii="Calibri" w:eastAsia="Calibri" w:hAnsi="Calibri" w:cs="Calibri"/>
                <w:color w:val="000000"/>
                <w:sz w:val="18"/>
              </w:rPr>
              <w:t>,</w:t>
            </w:r>
            <w:r>
              <w:rPr>
                <w:rFonts w:ascii="Calibri" w:eastAsia="Calibri" w:hAnsi="Calibri" w:cs="Calibri"/>
                <w:color w:val="000000"/>
                <w:sz w:val="18"/>
              </w:rPr>
              <w:t>813</w:t>
            </w:r>
          </w:p>
        </w:tc>
        <w:tc>
          <w:tcPr>
            <w:tcW w:w="1035" w:type="dxa"/>
            <w:tcBorders>
              <w:top w:val="nil"/>
              <w:left w:val="nil"/>
              <w:bottom w:val="nil"/>
              <w:right w:val="nil"/>
              <w:tl2br w:val="nil"/>
              <w:tr2bl w:val="nil"/>
            </w:tcBorders>
            <w:shd w:val="clear" w:color="FFFFFF" w:fill="FFFFFF"/>
            <w:tcMar>
              <w:left w:w="101" w:type="dxa"/>
              <w:right w:w="101" w:type="dxa"/>
            </w:tcMar>
          </w:tcPr>
          <w:p w14:paraId="7B24C230" w14:textId="21AD2744"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1</w:t>
            </w:r>
            <w:r w:rsidR="00724BA0">
              <w:rPr>
                <w:rFonts w:ascii="Calibri" w:eastAsia="Calibri" w:hAnsi="Calibri" w:cs="Calibri"/>
                <w:color w:val="000000"/>
                <w:sz w:val="18"/>
              </w:rPr>
              <w:t>,</w:t>
            </w:r>
            <w:r>
              <w:rPr>
                <w:rFonts w:ascii="Calibri" w:eastAsia="Calibri" w:hAnsi="Calibri" w:cs="Calibri"/>
                <w:color w:val="000000"/>
                <w:sz w:val="18"/>
              </w:rPr>
              <w:t>859</w:t>
            </w:r>
          </w:p>
        </w:tc>
        <w:tc>
          <w:tcPr>
            <w:tcW w:w="1035" w:type="dxa"/>
            <w:tcBorders>
              <w:top w:val="nil"/>
              <w:left w:val="nil"/>
              <w:bottom w:val="nil"/>
              <w:right w:val="nil"/>
              <w:tl2br w:val="nil"/>
              <w:tr2bl w:val="nil"/>
            </w:tcBorders>
            <w:shd w:val="clear" w:color="FFFFFF" w:fill="FFFFFF"/>
            <w:tcMar>
              <w:left w:w="101" w:type="dxa"/>
              <w:right w:w="101" w:type="dxa"/>
            </w:tcMar>
          </w:tcPr>
          <w:p w14:paraId="4C3A977C" w14:textId="0AC81E65"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1</w:t>
            </w:r>
            <w:r w:rsidR="00724BA0">
              <w:rPr>
                <w:rFonts w:ascii="Calibri" w:eastAsia="Calibri" w:hAnsi="Calibri" w:cs="Calibri"/>
                <w:color w:val="000000"/>
                <w:sz w:val="18"/>
              </w:rPr>
              <w:t>,</w:t>
            </w:r>
            <w:r>
              <w:rPr>
                <w:rFonts w:ascii="Calibri" w:eastAsia="Calibri" w:hAnsi="Calibri" w:cs="Calibri"/>
                <w:color w:val="000000"/>
                <w:sz w:val="18"/>
              </w:rPr>
              <w:t>909</w:t>
            </w:r>
          </w:p>
        </w:tc>
      </w:tr>
      <w:tr w:rsidR="007F5788" w14:paraId="23E8891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01DFCA"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308</w:t>
            </w:r>
          </w:p>
        </w:tc>
        <w:tc>
          <w:tcPr>
            <w:tcW w:w="2385" w:type="dxa"/>
            <w:tcBorders>
              <w:top w:val="nil"/>
              <w:left w:val="nil"/>
              <w:bottom w:val="nil"/>
              <w:right w:val="nil"/>
              <w:tl2br w:val="nil"/>
              <w:tr2bl w:val="nil"/>
            </w:tcBorders>
            <w:shd w:val="clear" w:color="FFFFFF" w:fill="FFFFFF"/>
            <w:noWrap/>
            <w:tcMar>
              <w:left w:w="101" w:type="dxa"/>
              <w:right w:w="101" w:type="dxa"/>
            </w:tcMar>
          </w:tcPr>
          <w:p w14:paraId="36F34331" w14:textId="77777777" w:rsidR="007F5788" w:rsidRDefault="007F5788" w:rsidP="00B23E3B">
            <w:pPr>
              <w:pStyle w:val="Normal3"/>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2D657D7A"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452</w:t>
            </w:r>
          </w:p>
        </w:tc>
        <w:tc>
          <w:tcPr>
            <w:tcW w:w="1035" w:type="dxa"/>
            <w:tcBorders>
              <w:top w:val="nil"/>
              <w:left w:val="nil"/>
              <w:bottom w:val="nil"/>
              <w:right w:val="nil"/>
              <w:tl2br w:val="nil"/>
              <w:tr2bl w:val="nil"/>
            </w:tcBorders>
            <w:shd w:val="clear" w:color="FFFFFF" w:fill="FFFFFF"/>
            <w:tcMar>
              <w:left w:w="101" w:type="dxa"/>
              <w:right w:w="101" w:type="dxa"/>
            </w:tcMar>
          </w:tcPr>
          <w:p w14:paraId="298B8085"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308</w:t>
            </w:r>
          </w:p>
        </w:tc>
        <w:tc>
          <w:tcPr>
            <w:tcW w:w="600" w:type="dxa"/>
            <w:tcBorders>
              <w:top w:val="nil"/>
              <w:left w:val="nil"/>
              <w:bottom w:val="nil"/>
              <w:right w:val="nil"/>
              <w:tl2br w:val="nil"/>
              <w:tr2bl w:val="nil"/>
            </w:tcBorders>
            <w:shd w:val="clear" w:color="FFFFFF" w:fill="FFFFFF"/>
            <w:tcMar>
              <w:left w:w="101" w:type="dxa"/>
              <w:right w:w="101" w:type="dxa"/>
            </w:tcMar>
          </w:tcPr>
          <w:p w14:paraId="67CE47EE"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6FAA5897"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308</w:t>
            </w:r>
          </w:p>
        </w:tc>
        <w:tc>
          <w:tcPr>
            <w:tcW w:w="1035" w:type="dxa"/>
            <w:tcBorders>
              <w:top w:val="nil"/>
              <w:left w:val="nil"/>
              <w:bottom w:val="nil"/>
              <w:right w:val="nil"/>
              <w:tl2br w:val="nil"/>
              <w:tr2bl w:val="nil"/>
            </w:tcBorders>
            <w:shd w:val="clear" w:color="FFFFFF" w:fill="FFFFFF"/>
            <w:tcMar>
              <w:left w:w="101" w:type="dxa"/>
              <w:right w:w="101" w:type="dxa"/>
            </w:tcMar>
          </w:tcPr>
          <w:p w14:paraId="75157E9B"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308</w:t>
            </w:r>
          </w:p>
        </w:tc>
        <w:tc>
          <w:tcPr>
            <w:tcW w:w="1035" w:type="dxa"/>
            <w:tcBorders>
              <w:top w:val="nil"/>
              <w:left w:val="nil"/>
              <w:bottom w:val="nil"/>
              <w:right w:val="nil"/>
              <w:tl2br w:val="nil"/>
              <w:tr2bl w:val="nil"/>
            </w:tcBorders>
            <w:shd w:val="clear" w:color="FFFFFF" w:fill="FFFFFF"/>
            <w:tcMar>
              <w:left w:w="101" w:type="dxa"/>
              <w:right w:w="101" w:type="dxa"/>
            </w:tcMar>
          </w:tcPr>
          <w:p w14:paraId="54A6F3EC" w14:textId="77777777" w:rsidR="007F5788" w:rsidRDefault="007F5788" w:rsidP="00B23E3B">
            <w:pPr>
              <w:pStyle w:val="Normal3"/>
              <w:jc w:val="right"/>
              <w:rPr>
                <w:rFonts w:ascii="Calibri" w:eastAsia="Calibri" w:hAnsi="Calibri" w:cs="Calibri"/>
                <w:color w:val="000000"/>
                <w:sz w:val="18"/>
              </w:rPr>
            </w:pPr>
            <w:r>
              <w:rPr>
                <w:rFonts w:ascii="Calibri" w:eastAsia="Calibri" w:hAnsi="Calibri" w:cs="Calibri"/>
                <w:color w:val="000000"/>
                <w:sz w:val="18"/>
              </w:rPr>
              <w:t>308</w:t>
            </w:r>
          </w:p>
        </w:tc>
      </w:tr>
      <w:tr w:rsidR="007F5788" w14:paraId="7E28DD7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DF0CF8"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A015DFC"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7F68DC"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E6915E"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63ADFF"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16EA6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2A3D7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83E65A" w14:textId="77777777" w:rsidR="007F5788" w:rsidRDefault="007F5788" w:rsidP="00B23E3B">
            <w:pPr>
              <w:pStyle w:val="Normal3"/>
              <w:rPr>
                <w:rFonts w:ascii="Calibri" w:eastAsia="Calibri" w:hAnsi="Calibri" w:cs="Calibri"/>
                <w:color w:val="000000"/>
                <w:sz w:val="18"/>
              </w:rPr>
            </w:pPr>
          </w:p>
        </w:tc>
      </w:tr>
      <w:tr w:rsidR="007F5788" w14:paraId="63D32BB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C5F99A" w14:textId="3A42AF21"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146</w:t>
            </w:r>
          </w:p>
        </w:tc>
        <w:tc>
          <w:tcPr>
            <w:tcW w:w="2385" w:type="dxa"/>
            <w:tcBorders>
              <w:top w:val="nil"/>
              <w:left w:val="nil"/>
              <w:bottom w:val="nil"/>
              <w:right w:val="nil"/>
              <w:tl2br w:val="nil"/>
              <w:tr2bl w:val="nil"/>
            </w:tcBorders>
            <w:shd w:val="clear" w:color="FFFFFF" w:fill="FFFFFF"/>
            <w:noWrap/>
            <w:tcMar>
              <w:left w:w="101" w:type="dxa"/>
              <w:right w:w="101" w:type="dxa"/>
            </w:tcMar>
          </w:tcPr>
          <w:p w14:paraId="46053FB8" w14:textId="77777777" w:rsidR="007F5788" w:rsidRDefault="007F5788" w:rsidP="00B23E3B">
            <w:pPr>
              <w:pStyle w:val="Normal3"/>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526A4737" w14:textId="2B4565CC"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606</w:t>
            </w:r>
          </w:p>
        </w:tc>
        <w:tc>
          <w:tcPr>
            <w:tcW w:w="1035" w:type="dxa"/>
            <w:tcBorders>
              <w:top w:val="nil"/>
              <w:left w:val="nil"/>
              <w:bottom w:val="nil"/>
              <w:right w:val="nil"/>
              <w:tl2br w:val="nil"/>
              <w:tr2bl w:val="nil"/>
            </w:tcBorders>
            <w:shd w:val="clear" w:color="FFFFFF" w:fill="FFFFFF"/>
            <w:tcMar>
              <w:left w:w="101" w:type="dxa"/>
              <w:right w:w="101" w:type="dxa"/>
            </w:tcMar>
          </w:tcPr>
          <w:p w14:paraId="523AF853" w14:textId="205F10AA"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108</w:t>
            </w:r>
          </w:p>
        </w:tc>
        <w:tc>
          <w:tcPr>
            <w:tcW w:w="600" w:type="dxa"/>
            <w:tcBorders>
              <w:top w:val="nil"/>
              <w:left w:val="nil"/>
              <w:bottom w:val="nil"/>
              <w:right w:val="nil"/>
              <w:tl2br w:val="nil"/>
              <w:tr2bl w:val="nil"/>
            </w:tcBorders>
            <w:shd w:val="clear" w:color="FFFFFF" w:fill="FFFFFF"/>
            <w:tcMar>
              <w:left w:w="101" w:type="dxa"/>
              <w:right w:w="101" w:type="dxa"/>
            </w:tcMar>
          </w:tcPr>
          <w:p w14:paraId="3B555ED8"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55246460" w14:textId="7A0EFD28"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305</w:t>
            </w:r>
          </w:p>
        </w:tc>
        <w:tc>
          <w:tcPr>
            <w:tcW w:w="1035" w:type="dxa"/>
            <w:tcBorders>
              <w:top w:val="nil"/>
              <w:left w:val="nil"/>
              <w:bottom w:val="nil"/>
              <w:right w:val="nil"/>
              <w:tl2br w:val="nil"/>
              <w:tr2bl w:val="nil"/>
            </w:tcBorders>
            <w:shd w:val="clear" w:color="FFFFFF" w:fill="FFFFFF"/>
            <w:tcMar>
              <w:left w:w="101" w:type="dxa"/>
              <w:right w:w="101" w:type="dxa"/>
            </w:tcMar>
          </w:tcPr>
          <w:p w14:paraId="702BA3E5" w14:textId="2C12D899"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433</w:t>
            </w:r>
          </w:p>
        </w:tc>
        <w:tc>
          <w:tcPr>
            <w:tcW w:w="1035" w:type="dxa"/>
            <w:tcBorders>
              <w:top w:val="nil"/>
              <w:left w:val="nil"/>
              <w:bottom w:val="nil"/>
              <w:right w:val="nil"/>
              <w:tl2br w:val="nil"/>
              <w:tr2bl w:val="nil"/>
            </w:tcBorders>
            <w:shd w:val="clear" w:color="FFFFFF" w:fill="FFFFFF"/>
            <w:tcMar>
              <w:left w:w="101" w:type="dxa"/>
              <w:right w:w="101" w:type="dxa"/>
            </w:tcMar>
          </w:tcPr>
          <w:p w14:paraId="553B6D0B" w14:textId="6A0C432A"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9</w:t>
            </w:r>
            <w:r w:rsidR="00724BA0">
              <w:rPr>
                <w:rFonts w:ascii="Calibri" w:eastAsia="Calibri" w:hAnsi="Calibri" w:cs="Calibri"/>
                <w:b/>
                <w:color w:val="000000"/>
                <w:sz w:val="18"/>
              </w:rPr>
              <w:t>,</w:t>
            </w:r>
            <w:r>
              <w:rPr>
                <w:rFonts w:ascii="Calibri" w:eastAsia="Calibri" w:hAnsi="Calibri" w:cs="Calibri"/>
                <w:b/>
                <w:color w:val="000000"/>
                <w:sz w:val="18"/>
              </w:rPr>
              <w:t>561</w:t>
            </w:r>
          </w:p>
        </w:tc>
      </w:tr>
      <w:tr w:rsidR="007F5788" w14:paraId="6DA0A45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40FAD3"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2E34758"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34DAE0"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BDB066"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24F79F"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3C5BF1"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9FE379"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E67844" w14:textId="77777777" w:rsidR="007F5788" w:rsidRDefault="007F5788" w:rsidP="00B23E3B">
            <w:pPr>
              <w:pStyle w:val="Normal3"/>
              <w:rPr>
                <w:rFonts w:ascii="Calibri" w:eastAsia="Calibri" w:hAnsi="Calibri" w:cs="Calibri"/>
                <w:color w:val="000000"/>
                <w:sz w:val="18"/>
              </w:rPr>
            </w:pPr>
          </w:p>
        </w:tc>
      </w:tr>
      <w:tr w:rsidR="007F5788" w14:paraId="6003BFC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CD7D10"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163</w:t>
            </w:r>
          </w:p>
        </w:tc>
        <w:tc>
          <w:tcPr>
            <w:tcW w:w="2385" w:type="dxa"/>
            <w:tcBorders>
              <w:top w:val="nil"/>
              <w:left w:val="nil"/>
              <w:bottom w:val="nil"/>
              <w:right w:val="nil"/>
              <w:tl2br w:val="nil"/>
              <w:tr2bl w:val="nil"/>
            </w:tcBorders>
            <w:shd w:val="clear" w:color="FFFFFF" w:fill="FFFFFF"/>
            <w:noWrap/>
            <w:tcMar>
              <w:left w:w="101" w:type="dxa"/>
              <w:right w:w="101" w:type="dxa"/>
            </w:tcMar>
          </w:tcPr>
          <w:p w14:paraId="5443B889" w14:textId="77777777" w:rsidR="007F5788" w:rsidRDefault="007F5788" w:rsidP="00B23E3B">
            <w:pPr>
              <w:pStyle w:val="Normal3"/>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450B44EC"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775</w:t>
            </w:r>
          </w:p>
        </w:tc>
        <w:tc>
          <w:tcPr>
            <w:tcW w:w="1035" w:type="dxa"/>
            <w:tcBorders>
              <w:top w:val="nil"/>
              <w:left w:val="nil"/>
              <w:bottom w:val="nil"/>
              <w:right w:val="nil"/>
              <w:tl2br w:val="nil"/>
              <w:tr2bl w:val="nil"/>
            </w:tcBorders>
            <w:shd w:val="clear" w:color="FFFFFF" w:fill="FFFFFF"/>
            <w:tcMar>
              <w:left w:w="101" w:type="dxa"/>
              <w:right w:w="101" w:type="dxa"/>
            </w:tcMar>
          </w:tcPr>
          <w:p w14:paraId="5C5FF3D0"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-169</w:t>
            </w:r>
          </w:p>
        </w:tc>
        <w:tc>
          <w:tcPr>
            <w:tcW w:w="600" w:type="dxa"/>
            <w:tcBorders>
              <w:top w:val="nil"/>
              <w:left w:val="nil"/>
              <w:bottom w:val="nil"/>
              <w:right w:val="nil"/>
              <w:tl2br w:val="nil"/>
              <w:tr2bl w:val="nil"/>
            </w:tcBorders>
            <w:shd w:val="clear" w:color="FFFFFF" w:fill="FFFFFF"/>
            <w:tcMar>
              <w:left w:w="101" w:type="dxa"/>
              <w:right w:w="101" w:type="dxa"/>
            </w:tcMar>
          </w:tcPr>
          <w:p w14:paraId="681969D9"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-122</w:t>
            </w:r>
          </w:p>
        </w:tc>
        <w:tc>
          <w:tcPr>
            <w:tcW w:w="1035" w:type="dxa"/>
            <w:tcBorders>
              <w:top w:val="nil"/>
              <w:left w:val="nil"/>
              <w:bottom w:val="nil"/>
              <w:right w:val="nil"/>
              <w:tl2br w:val="nil"/>
              <w:tr2bl w:val="nil"/>
            </w:tcBorders>
            <w:shd w:val="clear" w:color="FFFFFF" w:fill="FFFFFF"/>
            <w:tcMar>
              <w:left w:w="101" w:type="dxa"/>
              <w:right w:w="101" w:type="dxa"/>
            </w:tcMar>
          </w:tcPr>
          <w:p w14:paraId="31FE8A44"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0D0B23C7"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-40</w:t>
            </w:r>
          </w:p>
        </w:tc>
        <w:tc>
          <w:tcPr>
            <w:tcW w:w="1035" w:type="dxa"/>
            <w:tcBorders>
              <w:top w:val="nil"/>
              <w:left w:val="nil"/>
              <w:bottom w:val="nil"/>
              <w:right w:val="nil"/>
              <w:tl2br w:val="nil"/>
              <w:tr2bl w:val="nil"/>
            </w:tcBorders>
            <w:shd w:val="clear" w:color="FFFFFF" w:fill="FFFFFF"/>
            <w:tcMar>
              <w:left w:w="101" w:type="dxa"/>
              <w:right w:w="101" w:type="dxa"/>
            </w:tcMar>
          </w:tcPr>
          <w:p w14:paraId="7F68514C"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-53</w:t>
            </w:r>
          </w:p>
        </w:tc>
      </w:tr>
      <w:tr w:rsidR="007F5788" w14:paraId="6D007A5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E20A98" w14:textId="77777777" w:rsidR="007F5788" w:rsidRDefault="007F5788" w:rsidP="00B23E3B">
            <w:pPr>
              <w:pStyle w:val="Normal3"/>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CBD2B02"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27B1A3"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D67FC0" w14:textId="77777777" w:rsidR="007F5788" w:rsidRDefault="007F5788" w:rsidP="00B23E3B">
            <w:pPr>
              <w:pStyle w:val="Normal3"/>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EFB1CF"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85097F"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CA28ED" w14:textId="77777777" w:rsidR="007F5788" w:rsidRDefault="007F5788" w:rsidP="00B23E3B">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90D321" w14:textId="77777777" w:rsidR="007F5788" w:rsidRDefault="007F5788" w:rsidP="00B23E3B">
            <w:pPr>
              <w:pStyle w:val="Normal3"/>
              <w:rPr>
                <w:rFonts w:ascii="Calibri" w:eastAsia="Calibri" w:hAnsi="Calibri" w:cs="Calibri"/>
                <w:b/>
                <w:color w:val="000000"/>
                <w:sz w:val="18"/>
              </w:rPr>
            </w:pPr>
          </w:p>
        </w:tc>
      </w:tr>
      <w:tr w:rsidR="007F5788" w14:paraId="059B7F9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6173C1"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163</w:t>
            </w:r>
          </w:p>
        </w:tc>
        <w:tc>
          <w:tcPr>
            <w:tcW w:w="2385" w:type="dxa"/>
            <w:tcBorders>
              <w:top w:val="nil"/>
              <w:left w:val="nil"/>
              <w:bottom w:val="nil"/>
              <w:right w:val="nil"/>
              <w:tl2br w:val="nil"/>
              <w:tr2bl w:val="nil"/>
            </w:tcBorders>
            <w:shd w:val="clear" w:color="FFFFFF" w:fill="FFFFFF"/>
            <w:noWrap/>
            <w:tcMar>
              <w:left w:w="101" w:type="dxa"/>
              <w:right w:w="101" w:type="dxa"/>
            </w:tcMar>
          </w:tcPr>
          <w:p w14:paraId="23A2968C" w14:textId="77777777" w:rsidR="007F5788" w:rsidRDefault="007F5788" w:rsidP="00B23E3B">
            <w:pPr>
              <w:pStyle w:val="Normal3"/>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2F762DC3" w14:textId="5868FD94" w:rsidR="007F5788" w:rsidRDefault="006F5A8F" w:rsidP="00B23E3B">
            <w:pPr>
              <w:pStyle w:val="Normal3"/>
              <w:jc w:val="right"/>
              <w:rPr>
                <w:rFonts w:ascii="Calibri" w:eastAsia="Calibri" w:hAnsi="Calibri" w:cs="Calibri"/>
                <w:b/>
                <w:color w:val="000000"/>
                <w:sz w:val="18"/>
              </w:rPr>
            </w:pPr>
            <w:r>
              <w:rPr>
                <w:rFonts w:ascii="Calibri" w:eastAsia="Calibri" w:hAnsi="Calibri" w:cs="Calibri"/>
                <w:b/>
                <w:color w:val="000000"/>
                <w:sz w:val="18"/>
              </w:rPr>
              <w:t>775</w:t>
            </w:r>
          </w:p>
        </w:tc>
        <w:tc>
          <w:tcPr>
            <w:tcW w:w="1035" w:type="dxa"/>
            <w:tcBorders>
              <w:top w:val="nil"/>
              <w:left w:val="nil"/>
              <w:bottom w:val="nil"/>
              <w:right w:val="nil"/>
              <w:tl2br w:val="nil"/>
              <w:tr2bl w:val="nil"/>
            </w:tcBorders>
            <w:shd w:val="clear" w:color="FFFFFF" w:fill="FFFFFF"/>
            <w:tcMar>
              <w:left w:w="101" w:type="dxa"/>
              <w:right w:w="101" w:type="dxa"/>
            </w:tcMar>
          </w:tcPr>
          <w:p w14:paraId="63C64E74"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-169</w:t>
            </w:r>
          </w:p>
        </w:tc>
        <w:tc>
          <w:tcPr>
            <w:tcW w:w="600" w:type="dxa"/>
            <w:tcBorders>
              <w:top w:val="nil"/>
              <w:left w:val="nil"/>
              <w:bottom w:val="nil"/>
              <w:right w:val="nil"/>
              <w:tl2br w:val="nil"/>
              <w:tr2bl w:val="nil"/>
            </w:tcBorders>
            <w:shd w:val="clear" w:color="FFFFFF" w:fill="FFFFFF"/>
            <w:tcMar>
              <w:left w:w="101" w:type="dxa"/>
              <w:right w:w="101" w:type="dxa"/>
            </w:tcMar>
          </w:tcPr>
          <w:p w14:paraId="49BCB652"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-111 </w:t>
            </w:r>
          </w:p>
        </w:tc>
        <w:tc>
          <w:tcPr>
            <w:tcW w:w="1035" w:type="dxa"/>
            <w:tcBorders>
              <w:top w:val="nil"/>
              <w:left w:val="nil"/>
              <w:bottom w:val="nil"/>
              <w:right w:val="nil"/>
              <w:tl2br w:val="nil"/>
              <w:tr2bl w:val="nil"/>
            </w:tcBorders>
            <w:shd w:val="clear" w:color="FFFFFF" w:fill="FFFFFF"/>
            <w:tcMar>
              <w:left w:w="101" w:type="dxa"/>
              <w:right w:w="101" w:type="dxa"/>
            </w:tcMar>
          </w:tcPr>
          <w:p w14:paraId="67AB3D21"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2F5516EC"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-40</w:t>
            </w:r>
          </w:p>
        </w:tc>
        <w:tc>
          <w:tcPr>
            <w:tcW w:w="1035" w:type="dxa"/>
            <w:tcBorders>
              <w:top w:val="nil"/>
              <w:left w:val="nil"/>
              <w:bottom w:val="nil"/>
              <w:right w:val="nil"/>
              <w:tl2br w:val="nil"/>
              <w:tr2bl w:val="nil"/>
            </w:tcBorders>
            <w:shd w:val="clear" w:color="FFFFFF" w:fill="FFFFFF"/>
            <w:tcMar>
              <w:left w:w="101" w:type="dxa"/>
              <w:right w:w="101" w:type="dxa"/>
            </w:tcMar>
          </w:tcPr>
          <w:p w14:paraId="6E5D1FD7" w14:textId="77777777" w:rsidR="007F5788" w:rsidRDefault="007F5788" w:rsidP="00B23E3B">
            <w:pPr>
              <w:pStyle w:val="Normal3"/>
              <w:jc w:val="right"/>
              <w:rPr>
                <w:rFonts w:ascii="Calibri" w:eastAsia="Calibri" w:hAnsi="Calibri" w:cs="Calibri"/>
                <w:b/>
                <w:color w:val="000000"/>
                <w:sz w:val="18"/>
              </w:rPr>
            </w:pPr>
            <w:r>
              <w:rPr>
                <w:rFonts w:ascii="Calibri" w:eastAsia="Calibri" w:hAnsi="Calibri" w:cs="Calibri"/>
                <w:b/>
                <w:color w:val="000000"/>
                <w:sz w:val="18"/>
              </w:rPr>
              <w:t>-53</w:t>
            </w:r>
          </w:p>
        </w:tc>
      </w:tr>
      <w:tr w:rsidR="007F5788" w14:paraId="16D8D93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7A3000" w14:textId="77777777" w:rsidR="007F5788" w:rsidRDefault="007F5788" w:rsidP="00B23E3B">
            <w:pPr>
              <w:pStyle w:val="Normal3"/>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F9044AC"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CA737B3"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610B73A" w14:textId="77777777" w:rsidR="007F5788" w:rsidRDefault="007F5788" w:rsidP="00B23E3B">
            <w:pPr>
              <w:pStyle w:val="Normal3"/>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A5206CF"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7DC0BC3"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FBC2C81" w14:textId="77777777" w:rsidR="007F5788" w:rsidRDefault="007F5788" w:rsidP="00B23E3B">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10423AA" w14:textId="77777777" w:rsidR="007F5788" w:rsidRDefault="007F5788" w:rsidP="00B23E3B">
            <w:pPr>
              <w:pStyle w:val="Normal3"/>
              <w:rPr>
                <w:rFonts w:ascii="Calibri" w:eastAsia="Calibri" w:hAnsi="Calibri" w:cs="Calibri"/>
                <w:color w:val="000000"/>
                <w:sz w:val="18"/>
              </w:rPr>
            </w:pPr>
          </w:p>
        </w:tc>
      </w:tr>
    </w:tbl>
    <w:p w14:paraId="1812167C" w14:textId="77777777" w:rsidR="007F5788" w:rsidRDefault="007F5788" w:rsidP="007F5788">
      <w:pPr>
        <w:pStyle w:val="Caption"/>
        <w:pageBreakBefore/>
        <w:pBdr>
          <w:top w:val="nil"/>
          <w:left w:val="nil"/>
          <w:bottom w:val="nil"/>
          <w:right w:val="nil"/>
          <w:between w:val="nil"/>
          <w:bar w:val="nil"/>
        </w:pBdr>
        <w:outlineLvl w:val="0"/>
        <w:rPr>
          <w:bdr w:val="nil"/>
        </w:rPr>
      </w:pPr>
      <w:r>
        <w:rPr>
          <w:bdr w:val="nil"/>
        </w:rPr>
        <w:lastRenderedPageBreak/>
        <w:t xml:space="preserve">Table 6: Public Trustee and Guardian: Balance Sheet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7F5788" w14:paraId="7BEF9405" w14:textId="77777777" w:rsidTr="00B23E3B">
        <w:trPr>
          <w:trHeight w:val="127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F54990"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4513BF1D"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21979AA9"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5014FC64"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0236E9B" w14:textId="77777777" w:rsidR="007F5788" w:rsidRDefault="007F5788" w:rsidP="00B23E3B">
            <w:pPr>
              <w:pStyle w:val="Normal4"/>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A5707D2"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2020-21 Interim Outcome at 30/6/21</w:t>
            </w:r>
          </w:p>
          <w:p w14:paraId="77D4097C"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C7CC02D"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78E54800"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0F08170C"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468E254"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6BF887C"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Var</w:t>
            </w:r>
          </w:p>
          <w:p w14:paraId="7CE3B9F6"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762060E"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168F3250"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0E89D7C5"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59275697"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31B745"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6F50B8CA"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06CE1EB6"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C7CF360"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9179BF"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77F88659"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14470F1A"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051B1B36"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r>
      <w:tr w:rsidR="007F5788" w14:paraId="5F6D36B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10E86DE" w14:textId="77777777" w:rsidR="007F5788" w:rsidRDefault="007F5788" w:rsidP="00B23E3B">
            <w:pPr>
              <w:pStyle w:val="Normal4"/>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558C0A7" w14:textId="77777777" w:rsidR="007F5788" w:rsidRDefault="007F5788" w:rsidP="00B23E3B">
            <w:pPr>
              <w:pStyle w:val="Normal4"/>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E37D85" w14:textId="77777777" w:rsidR="007F5788" w:rsidRDefault="007F5788" w:rsidP="00B23E3B">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A53094C" w14:textId="77777777" w:rsidR="007F5788" w:rsidRDefault="007F5788" w:rsidP="00B23E3B">
            <w:pPr>
              <w:pStyle w:val="Normal4"/>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E986200" w14:textId="77777777" w:rsidR="007F5788" w:rsidRDefault="007F5788" w:rsidP="00B23E3B">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6F49F73" w14:textId="77777777" w:rsidR="007F5788" w:rsidRDefault="007F5788" w:rsidP="00B23E3B">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95C595" w14:textId="77777777" w:rsidR="007F5788" w:rsidRDefault="007F5788" w:rsidP="00B23E3B">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C9D7EB" w14:textId="77777777" w:rsidR="007F5788" w:rsidRDefault="007F5788" w:rsidP="00B23E3B">
            <w:pPr>
              <w:pStyle w:val="Normal4"/>
              <w:jc w:val="right"/>
              <w:rPr>
                <w:rFonts w:ascii="Calibri" w:eastAsia="Calibri" w:hAnsi="Calibri" w:cs="Calibri"/>
                <w:b/>
                <w:i/>
                <w:color w:val="000000"/>
                <w:sz w:val="18"/>
              </w:rPr>
            </w:pPr>
          </w:p>
        </w:tc>
      </w:tr>
      <w:tr w:rsidR="007F5788" w14:paraId="44C78DC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D8532E"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4FC09F7"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417251E"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F7C850"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CC8BCA"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1B9F5A"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BCE071"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FB10FE" w14:textId="77777777" w:rsidR="007F5788" w:rsidRDefault="007F5788" w:rsidP="00B23E3B">
            <w:pPr>
              <w:pStyle w:val="Normal4"/>
              <w:rPr>
                <w:rFonts w:ascii="Calibri" w:eastAsia="Calibri" w:hAnsi="Calibri" w:cs="Calibri"/>
                <w:color w:val="000000"/>
                <w:sz w:val="18"/>
              </w:rPr>
            </w:pPr>
          </w:p>
        </w:tc>
      </w:tr>
      <w:tr w:rsidR="007F5788" w14:paraId="77DB936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9608C5" w14:textId="1B99C335"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706</w:t>
            </w:r>
          </w:p>
        </w:tc>
        <w:tc>
          <w:tcPr>
            <w:tcW w:w="2385" w:type="dxa"/>
            <w:tcBorders>
              <w:top w:val="nil"/>
              <w:left w:val="nil"/>
              <w:bottom w:val="nil"/>
              <w:right w:val="nil"/>
              <w:tl2br w:val="nil"/>
              <w:tr2bl w:val="nil"/>
            </w:tcBorders>
            <w:shd w:val="clear" w:color="auto" w:fill="auto"/>
            <w:noWrap/>
            <w:tcMar>
              <w:left w:w="101" w:type="dxa"/>
              <w:right w:w="101" w:type="dxa"/>
            </w:tcMar>
          </w:tcPr>
          <w:p w14:paraId="34DB375F"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58E80E21" w14:textId="74E282EB"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r w:rsidR="00B23E3B">
              <w:rPr>
                <w:rFonts w:ascii="Calibri" w:eastAsia="Calibri" w:hAnsi="Calibri" w:cs="Calibri"/>
                <w:color w:val="000000"/>
                <w:sz w:val="18"/>
              </w:rPr>
              <w:t>,</w:t>
            </w:r>
            <w:r>
              <w:rPr>
                <w:rFonts w:ascii="Calibri" w:eastAsia="Calibri" w:hAnsi="Calibri" w:cs="Calibri"/>
                <w:color w:val="000000"/>
                <w:sz w:val="18"/>
              </w:rPr>
              <w:t>157</w:t>
            </w:r>
          </w:p>
        </w:tc>
        <w:tc>
          <w:tcPr>
            <w:tcW w:w="1035" w:type="dxa"/>
            <w:tcBorders>
              <w:top w:val="nil"/>
              <w:left w:val="nil"/>
              <w:bottom w:val="nil"/>
              <w:right w:val="nil"/>
              <w:tl2br w:val="nil"/>
              <w:tr2bl w:val="nil"/>
            </w:tcBorders>
            <w:shd w:val="clear" w:color="FFFFFF" w:fill="FFFFFF"/>
            <w:tcMar>
              <w:left w:w="101" w:type="dxa"/>
              <w:right w:w="101" w:type="dxa"/>
            </w:tcMar>
          </w:tcPr>
          <w:p w14:paraId="5972E0ED" w14:textId="30C57A31"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r w:rsidR="00B23E3B">
              <w:rPr>
                <w:rFonts w:ascii="Calibri" w:eastAsia="Calibri" w:hAnsi="Calibri" w:cs="Calibri"/>
                <w:color w:val="000000"/>
                <w:sz w:val="18"/>
              </w:rPr>
              <w:t>,</w:t>
            </w:r>
            <w:r>
              <w:rPr>
                <w:rFonts w:ascii="Calibri" w:eastAsia="Calibri" w:hAnsi="Calibri" w:cs="Calibri"/>
                <w:color w:val="000000"/>
                <w:sz w:val="18"/>
              </w:rPr>
              <w:t>355</w:t>
            </w:r>
          </w:p>
        </w:tc>
        <w:tc>
          <w:tcPr>
            <w:tcW w:w="600" w:type="dxa"/>
            <w:tcBorders>
              <w:top w:val="nil"/>
              <w:left w:val="nil"/>
              <w:bottom w:val="nil"/>
              <w:right w:val="nil"/>
              <w:tl2br w:val="nil"/>
              <w:tr2bl w:val="nil"/>
            </w:tcBorders>
            <w:shd w:val="clear" w:color="FFFFFF" w:fill="FFFFFF"/>
            <w:tcMar>
              <w:left w:w="101" w:type="dxa"/>
              <w:right w:w="101" w:type="dxa"/>
            </w:tcMar>
          </w:tcPr>
          <w:p w14:paraId="272BD53E"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57A069A3" w14:textId="22ED775B"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r w:rsidR="00B23E3B">
              <w:rPr>
                <w:rFonts w:ascii="Calibri" w:eastAsia="Calibri" w:hAnsi="Calibri" w:cs="Calibri"/>
                <w:color w:val="000000"/>
                <w:sz w:val="18"/>
              </w:rPr>
              <w:t>,</w:t>
            </w:r>
            <w:r>
              <w:rPr>
                <w:rFonts w:ascii="Calibri" w:eastAsia="Calibri" w:hAnsi="Calibri" w:cs="Calibri"/>
                <w:color w:val="000000"/>
                <w:sz w:val="18"/>
              </w:rPr>
              <w:t>561</w:t>
            </w:r>
          </w:p>
        </w:tc>
        <w:tc>
          <w:tcPr>
            <w:tcW w:w="1035" w:type="dxa"/>
            <w:tcBorders>
              <w:top w:val="nil"/>
              <w:left w:val="nil"/>
              <w:bottom w:val="nil"/>
              <w:right w:val="nil"/>
              <w:tl2br w:val="nil"/>
              <w:tr2bl w:val="nil"/>
            </w:tcBorders>
            <w:shd w:val="clear" w:color="FFFFFF" w:fill="FFFFFF"/>
            <w:tcMar>
              <w:left w:w="101" w:type="dxa"/>
              <w:right w:w="101" w:type="dxa"/>
            </w:tcMar>
          </w:tcPr>
          <w:p w14:paraId="4001824F" w14:textId="0B0891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r w:rsidR="00B23E3B">
              <w:rPr>
                <w:rFonts w:ascii="Calibri" w:eastAsia="Calibri" w:hAnsi="Calibri" w:cs="Calibri"/>
                <w:color w:val="000000"/>
                <w:sz w:val="18"/>
              </w:rPr>
              <w:t>,</w:t>
            </w:r>
            <w:r>
              <w:rPr>
                <w:rFonts w:ascii="Calibri" w:eastAsia="Calibri" w:hAnsi="Calibri" w:cs="Calibri"/>
                <w:color w:val="000000"/>
                <w:sz w:val="18"/>
              </w:rPr>
              <w:t>898</w:t>
            </w:r>
          </w:p>
        </w:tc>
        <w:tc>
          <w:tcPr>
            <w:tcW w:w="1035" w:type="dxa"/>
            <w:tcBorders>
              <w:top w:val="nil"/>
              <w:left w:val="nil"/>
              <w:bottom w:val="nil"/>
              <w:right w:val="nil"/>
              <w:tl2br w:val="nil"/>
              <w:tr2bl w:val="nil"/>
            </w:tcBorders>
            <w:shd w:val="clear" w:color="FFFFFF" w:fill="FFFFFF"/>
            <w:tcMar>
              <w:left w:w="101" w:type="dxa"/>
              <w:right w:w="101" w:type="dxa"/>
            </w:tcMar>
          </w:tcPr>
          <w:p w14:paraId="14F0E05A" w14:textId="62C12692"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224</w:t>
            </w:r>
          </w:p>
        </w:tc>
      </w:tr>
      <w:tr w:rsidR="007F5788" w14:paraId="01CCDF9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B25418" w14:textId="26F18C8D"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141</w:t>
            </w:r>
          </w:p>
        </w:tc>
        <w:tc>
          <w:tcPr>
            <w:tcW w:w="2385" w:type="dxa"/>
            <w:tcBorders>
              <w:top w:val="nil"/>
              <w:left w:val="nil"/>
              <w:bottom w:val="nil"/>
              <w:right w:val="nil"/>
              <w:tl2br w:val="nil"/>
              <w:tr2bl w:val="nil"/>
            </w:tcBorders>
            <w:shd w:val="clear" w:color="auto" w:fill="auto"/>
            <w:noWrap/>
            <w:tcMar>
              <w:left w:w="101" w:type="dxa"/>
              <w:right w:w="101" w:type="dxa"/>
            </w:tcMar>
          </w:tcPr>
          <w:p w14:paraId="7D5104CA"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2831C50D"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8614D6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7E24AEB"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F60FA8D"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678E39D"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C0E98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7F5788" w14:paraId="70060F4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AAE9D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509</w:t>
            </w:r>
          </w:p>
        </w:tc>
        <w:tc>
          <w:tcPr>
            <w:tcW w:w="2385" w:type="dxa"/>
            <w:tcBorders>
              <w:top w:val="nil"/>
              <w:left w:val="nil"/>
              <w:bottom w:val="nil"/>
              <w:right w:val="nil"/>
              <w:tl2br w:val="nil"/>
              <w:tr2bl w:val="nil"/>
            </w:tcBorders>
            <w:shd w:val="clear" w:color="auto" w:fill="auto"/>
            <w:noWrap/>
            <w:tcMar>
              <w:left w:w="101" w:type="dxa"/>
              <w:right w:w="101" w:type="dxa"/>
            </w:tcMar>
          </w:tcPr>
          <w:p w14:paraId="56D8CCB8"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56329EDC"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607</w:t>
            </w:r>
          </w:p>
        </w:tc>
        <w:tc>
          <w:tcPr>
            <w:tcW w:w="1035" w:type="dxa"/>
            <w:tcBorders>
              <w:top w:val="nil"/>
              <w:left w:val="nil"/>
              <w:bottom w:val="nil"/>
              <w:right w:val="nil"/>
              <w:tl2br w:val="nil"/>
              <w:tr2bl w:val="nil"/>
            </w:tcBorders>
            <w:shd w:val="clear" w:color="FFFFFF" w:fill="FFFFFF"/>
            <w:tcMar>
              <w:left w:w="101" w:type="dxa"/>
              <w:right w:w="101" w:type="dxa"/>
            </w:tcMar>
          </w:tcPr>
          <w:p w14:paraId="6F054CF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608</w:t>
            </w:r>
          </w:p>
        </w:tc>
        <w:tc>
          <w:tcPr>
            <w:tcW w:w="600" w:type="dxa"/>
            <w:tcBorders>
              <w:top w:val="nil"/>
              <w:left w:val="nil"/>
              <w:bottom w:val="nil"/>
              <w:right w:val="nil"/>
              <w:tl2br w:val="nil"/>
              <w:tr2bl w:val="nil"/>
            </w:tcBorders>
            <w:shd w:val="clear" w:color="FFFFFF" w:fill="FFFFFF"/>
            <w:tcMar>
              <w:left w:w="101" w:type="dxa"/>
              <w:right w:w="101" w:type="dxa"/>
            </w:tcMar>
          </w:tcPr>
          <w:p w14:paraId="396680EA"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C6C5B1D"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609</w:t>
            </w:r>
          </w:p>
        </w:tc>
        <w:tc>
          <w:tcPr>
            <w:tcW w:w="1035" w:type="dxa"/>
            <w:tcBorders>
              <w:top w:val="nil"/>
              <w:left w:val="nil"/>
              <w:bottom w:val="nil"/>
              <w:right w:val="nil"/>
              <w:tl2br w:val="nil"/>
              <w:tr2bl w:val="nil"/>
            </w:tcBorders>
            <w:shd w:val="clear" w:color="FFFFFF" w:fill="FFFFFF"/>
            <w:tcMar>
              <w:left w:w="101" w:type="dxa"/>
              <w:right w:w="101" w:type="dxa"/>
            </w:tcMar>
          </w:tcPr>
          <w:p w14:paraId="53F033A9"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610</w:t>
            </w:r>
          </w:p>
        </w:tc>
        <w:tc>
          <w:tcPr>
            <w:tcW w:w="1035" w:type="dxa"/>
            <w:tcBorders>
              <w:top w:val="nil"/>
              <w:left w:val="nil"/>
              <w:bottom w:val="nil"/>
              <w:right w:val="nil"/>
              <w:tl2br w:val="nil"/>
              <w:tr2bl w:val="nil"/>
            </w:tcBorders>
            <w:shd w:val="clear" w:color="FFFFFF" w:fill="FFFFFF"/>
            <w:tcMar>
              <w:left w:w="101" w:type="dxa"/>
              <w:right w:w="101" w:type="dxa"/>
            </w:tcMar>
          </w:tcPr>
          <w:p w14:paraId="40FAC93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611</w:t>
            </w:r>
          </w:p>
        </w:tc>
      </w:tr>
      <w:tr w:rsidR="007F5788" w14:paraId="15FDD27F"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842D5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w:t>
            </w:r>
          </w:p>
        </w:tc>
        <w:tc>
          <w:tcPr>
            <w:tcW w:w="2385" w:type="dxa"/>
            <w:tcBorders>
              <w:top w:val="nil"/>
              <w:left w:val="nil"/>
              <w:bottom w:val="nil"/>
              <w:right w:val="nil"/>
              <w:tl2br w:val="nil"/>
              <w:tr2bl w:val="nil"/>
            </w:tcBorders>
            <w:shd w:val="clear" w:color="auto" w:fill="auto"/>
            <w:noWrap/>
            <w:tcMar>
              <w:left w:w="101" w:type="dxa"/>
              <w:right w:w="101" w:type="dxa"/>
            </w:tcMar>
          </w:tcPr>
          <w:p w14:paraId="70CD599E"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10F406E0"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CB8783E"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4BE9DD8E"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5E57450"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2EAC1833"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1B292F0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w:t>
            </w:r>
          </w:p>
        </w:tc>
      </w:tr>
      <w:tr w:rsidR="007F5788" w14:paraId="174DBEC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811965"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4B80792"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071148"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2EB532"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EA284A"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1872A7"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F34D5B"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EB69FC" w14:textId="77777777" w:rsidR="007F5788" w:rsidRDefault="007F5788" w:rsidP="00B23E3B">
            <w:pPr>
              <w:pStyle w:val="Normal4"/>
              <w:rPr>
                <w:rFonts w:ascii="Calibri" w:eastAsia="Calibri" w:hAnsi="Calibri" w:cs="Calibri"/>
                <w:color w:val="000000"/>
                <w:sz w:val="18"/>
              </w:rPr>
            </w:pPr>
          </w:p>
        </w:tc>
      </w:tr>
      <w:tr w:rsidR="007F5788" w14:paraId="376A105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9D27D9" w14:textId="1BA9CB13"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6</w:t>
            </w:r>
            <w:r w:rsidR="00B23E3B">
              <w:rPr>
                <w:rFonts w:ascii="Calibri" w:eastAsia="Calibri" w:hAnsi="Calibri" w:cs="Calibri"/>
                <w:b/>
                <w:color w:val="000000"/>
                <w:sz w:val="18"/>
              </w:rPr>
              <w:t>,</w:t>
            </w:r>
            <w:r>
              <w:rPr>
                <w:rFonts w:ascii="Calibri" w:eastAsia="Calibri" w:hAnsi="Calibri" w:cs="Calibri"/>
                <w:b/>
                <w:color w:val="000000"/>
                <w:sz w:val="18"/>
              </w:rPr>
              <w:t>357</w:t>
            </w:r>
          </w:p>
        </w:tc>
        <w:tc>
          <w:tcPr>
            <w:tcW w:w="2385" w:type="dxa"/>
            <w:tcBorders>
              <w:top w:val="nil"/>
              <w:left w:val="nil"/>
              <w:bottom w:val="nil"/>
              <w:right w:val="nil"/>
              <w:tl2br w:val="nil"/>
              <w:tr2bl w:val="nil"/>
            </w:tcBorders>
            <w:shd w:val="clear" w:color="FFFFFF" w:fill="FFFFFF"/>
            <w:tcMar>
              <w:left w:w="101" w:type="dxa"/>
              <w:right w:w="101" w:type="dxa"/>
            </w:tcMar>
          </w:tcPr>
          <w:p w14:paraId="540E68DA"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47D955CD" w14:textId="5BE0672D"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B23E3B">
              <w:rPr>
                <w:rFonts w:ascii="Calibri" w:eastAsia="Calibri" w:hAnsi="Calibri" w:cs="Calibri"/>
                <w:b/>
                <w:color w:val="000000"/>
                <w:sz w:val="18"/>
              </w:rPr>
              <w:t>,</w:t>
            </w:r>
            <w:r>
              <w:rPr>
                <w:rFonts w:ascii="Calibri" w:eastAsia="Calibri" w:hAnsi="Calibri" w:cs="Calibri"/>
                <w:b/>
                <w:color w:val="000000"/>
                <w:sz w:val="18"/>
              </w:rPr>
              <w:t>764</w:t>
            </w:r>
          </w:p>
        </w:tc>
        <w:tc>
          <w:tcPr>
            <w:tcW w:w="1035" w:type="dxa"/>
            <w:tcBorders>
              <w:top w:val="nil"/>
              <w:left w:val="nil"/>
              <w:bottom w:val="nil"/>
              <w:right w:val="nil"/>
              <w:tl2br w:val="nil"/>
              <w:tr2bl w:val="nil"/>
            </w:tcBorders>
            <w:shd w:val="clear" w:color="FFFFFF" w:fill="FFFFFF"/>
            <w:tcMar>
              <w:left w:w="101" w:type="dxa"/>
              <w:right w:w="101" w:type="dxa"/>
            </w:tcMar>
          </w:tcPr>
          <w:p w14:paraId="77BD74CF" w14:textId="4AE309EE"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B23E3B">
              <w:rPr>
                <w:rFonts w:ascii="Calibri" w:eastAsia="Calibri" w:hAnsi="Calibri" w:cs="Calibri"/>
                <w:b/>
                <w:color w:val="000000"/>
                <w:sz w:val="18"/>
              </w:rPr>
              <w:t>,</w:t>
            </w:r>
            <w:r>
              <w:rPr>
                <w:rFonts w:ascii="Calibri" w:eastAsia="Calibri" w:hAnsi="Calibri" w:cs="Calibri"/>
                <w:b/>
                <w:color w:val="000000"/>
                <w:sz w:val="18"/>
              </w:rPr>
              <w:t>964</w:t>
            </w:r>
          </w:p>
        </w:tc>
        <w:tc>
          <w:tcPr>
            <w:tcW w:w="600" w:type="dxa"/>
            <w:tcBorders>
              <w:top w:val="nil"/>
              <w:left w:val="nil"/>
              <w:bottom w:val="nil"/>
              <w:right w:val="nil"/>
              <w:tl2br w:val="nil"/>
              <w:tr2bl w:val="nil"/>
            </w:tcBorders>
            <w:shd w:val="clear" w:color="FFFFFF" w:fill="FFFFFF"/>
            <w:tcMar>
              <w:left w:w="101" w:type="dxa"/>
              <w:right w:w="101" w:type="dxa"/>
            </w:tcMar>
          </w:tcPr>
          <w:p w14:paraId="3A371326"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DE66CA6" w14:textId="0300CE79"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6</w:t>
            </w:r>
            <w:r w:rsidR="00B23E3B">
              <w:rPr>
                <w:rFonts w:ascii="Calibri" w:eastAsia="Calibri" w:hAnsi="Calibri" w:cs="Calibri"/>
                <w:b/>
                <w:color w:val="000000"/>
                <w:sz w:val="18"/>
              </w:rPr>
              <w:t>,</w:t>
            </w:r>
            <w:r>
              <w:rPr>
                <w:rFonts w:ascii="Calibri" w:eastAsia="Calibri" w:hAnsi="Calibri" w:cs="Calibri"/>
                <w:b/>
                <w:color w:val="000000"/>
                <w:sz w:val="18"/>
              </w:rPr>
              <w:t>172</w:t>
            </w:r>
          </w:p>
        </w:tc>
        <w:tc>
          <w:tcPr>
            <w:tcW w:w="1035" w:type="dxa"/>
            <w:tcBorders>
              <w:top w:val="nil"/>
              <w:left w:val="nil"/>
              <w:bottom w:val="nil"/>
              <w:right w:val="nil"/>
              <w:tl2br w:val="nil"/>
              <w:tr2bl w:val="nil"/>
            </w:tcBorders>
            <w:shd w:val="clear" w:color="FFFFFF" w:fill="FFFFFF"/>
            <w:tcMar>
              <w:left w:w="101" w:type="dxa"/>
              <w:right w:w="101" w:type="dxa"/>
            </w:tcMar>
          </w:tcPr>
          <w:p w14:paraId="3BE2FFF6" w14:textId="50FDB7B8"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6</w:t>
            </w:r>
            <w:r w:rsidR="00B23E3B">
              <w:rPr>
                <w:rFonts w:ascii="Calibri" w:eastAsia="Calibri" w:hAnsi="Calibri" w:cs="Calibri"/>
                <w:b/>
                <w:color w:val="000000"/>
                <w:sz w:val="18"/>
              </w:rPr>
              <w:t>,</w:t>
            </w:r>
            <w:r>
              <w:rPr>
                <w:rFonts w:ascii="Calibri" w:eastAsia="Calibri" w:hAnsi="Calibri" w:cs="Calibri"/>
                <w:b/>
                <w:color w:val="000000"/>
                <w:sz w:val="18"/>
              </w:rPr>
              <w:t>511</w:t>
            </w:r>
          </w:p>
        </w:tc>
        <w:tc>
          <w:tcPr>
            <w:tcW w:w="1035" w:type="dxa"/>
            <w:tcBorders>
              <w:top w:val="nil"/>
              <w:left w:val="nil"/>
              <w:bottom w:val="nil"/>
              <w:right w:val="nil"/>
              <w:tl2br w:val="nil"/>
              <w:tr2bl w:val="nil"/>
            </w:tcBorders>
            <w:shd w:val="clear" w:color="FFFFFF" w:fill="FFFFFF"/>
            <w:tcMar>
              <w:left w:w="101" w:type="dxa"/>
              <w:right w:w="101" w:type="dxa"/>
            </w:tcMar>
          </w:tcPr>
          <w:p w14:paraId="0E824A53" w14:textId="307DFDCA"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6</w:t>
            </w:r>
            <w:r w:rsidR="00B23E3B">
              <w:rPr>
                <w:rFonts w:ascii="Calibri" w:eastAsia="Calibri" w:hAnsi="Calibri" w:cs="Calibri"/>
                <w:b/>
                <w:color w:val="000000"/>
                <w:sz w:val="18"/>
              </w:rPr>
              <w:t>,</w:t>
            </w:r>
            <w:r>
              <w:rPr>
                <w:rFonts w:ascii="Calibri" w:eastAsia="Calibri" w:hAnsi="Calibri" w:cs="Calibri"/>
                <w:b/>
                <w:color w:val="000000"/>
                <w:sz w:val="18"/>
              </w:rPr>
              <w:t>839</w:t>
            </w:r>
          </w:p>
        </w:tc>
      </w:tr>
      <w:tr w:rsidR="007F5788" w14:paraId="07ACE44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01D0AA"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FAEFBA7"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F8ECBD"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9EFBE8"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32C6AE"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FCBB0F"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A0EA9E"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5583C4" w14:textId="77777777" w:rsidR="007F5788" w:rsidRDefault="007F5788" w:rsidP="00B23E3B">
            <w:pPr>
              <w:pStyle w:val="Normal4"/>
              <w:rPr>
                <w:rFonts w:ascii="Calibri" w:eastAsia="Calibri" w:hAnsi="Calibri" w:cs="Calibri"/>
                <w:color w:val="000000"/>
                <w:sz w:val="18"/>
              </w:rPr>
            </w:pPr>
          </w:p>
        </w:tc>
      </w:tr>
      <w:tr w:rsidR="007F5788" w14:paraId="3EC78BB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BE24C1"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F94B2FE" w14:textId="77777777" w:rsidR="007F5788" w:rsidRDefault="007F5788" w:rsidP="00B23E3B">
            <w:pPr>
              <w:pStyle w:val="Normal4"/>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76A37A8F"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A1BA4E"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753400"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58D2F7"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A24E62"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A5DACB" w14:textId="77777777" w:rsidR="007F5788" w:rsidRDefault="007F5788" w:rsidP="00B23E3B">
            <w:pPr>
              <w:pStyle w:val="Normal4"/>
              <w:rPr>
                <w:rFonts w:ascii="Calibri" w:eastAsia="Calibri" w:hAnsi="Calibri" w:cs="Calibri"/>
                <w:color w:val="000000"/>
                <w:sz w:val="18"/>
              </w:rPr>
            </w:pPr>
          </w:p>
        </w:tc>
      </w:tr>
      <w:tr w:rsidR="007F5788" w14:paraId="2C6CA4C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48C461" w14:textId="6C7E0718"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588</w:t>
            </w:r>
          </w:p>
        </w:tc>
        <w:tc>
          <w:tcPr>
            <w:tcW w:w="2385" w:type="dxa"/>
            <w:tcBorders>
              <w:top w:val="nil"/>
              <w:left w:val="nil"/>
              <w:bottom w:val="nil"/>
              <w:right w:val="nil"/>
              <w:tl2br w:val="nil"/>
              <w:tr2bl w:val="nil"/>
            </w:tcBorders>
            <w:shd w:val="clear" w:color="FFFFFF" w:fill="FFFFFF"/>
            <w:noWrap/>
            <w:tcMar>
              <w:left w:w="101" w:type="dxa"/>
              <w:right w:w="101" w:type="dxa"/>
            </w:tcMar>
          </w:tcPr>
          <w:p w14:paraId="6AA2743C"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5520812" w14:textId="39E32652"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657</w:t>
            </w:r>
          </w:p>
        </w:tc>
        <w:tc>
          <w:tcPr>
            <w:tcW w:w="1035" w:type="dxa"/>
            <w:tcBorders>
              <w:top w:val="nil"/>
              <w:left w:val="nil"/>
              <w:bottom w:val="nil"/>
              <w:right w:val="nil"/>
              <w:tl2br w:val="nil"/>
              <w:tr2bl w:val="nil"/>
            </w:tcBorders>
            <w:shd w:val="clear" w:color="FFFFFF" w:fill="FFFFFF"/>
            <w:tcMar>
              <w:left w:w="101" w:type="dxa"/>
              <w:right w:w="101" w:type="dxa"/>
            </w:tcMar>
          </w:tcPr>
          <w:p w14:paraId="670C986B" w14:textId="5A41E25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302</w:t>
            </w:r>
          </w:p>
        </w:tc>
        <w:tc>
          <w:tcPr>
            <w:tcW w:w="600" w:type="dxa"/>
            <w:tcBorders>
              <w:top w:val="nil"/>
              <w:left w:val="nil"/>
              <w:bottom w:val="nil"/>
              <w:right w:val="nil"/>
              <w:tl2br w:val="nil"/>
              <w:tr2bl w:val="nil"/>
            </w:tcBorders>
            <w:shd w:val="clear" w:color="FFFFFF" w:fill="FFFFFF"/>
            <w:tcMar>
              <w:left w:w="101" w:type="dxa"/>
              <w:right w:w="101" w:type="dxa"/>
            </w:tcMar>
          </w:tcPr>
          <w:p w14:paraId="694020B4"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5C337F7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947</w:t>
            </w:r>
          </w:p>
        </w:tc>
        <w:tc>
          <w:tcPr>
            <w:tcW w:w="1035" w:type="dxa"/>
            <w:tcBorders>
              <w:top w:val="nil"/>
              <w:left w:val="nil"/>
              <w:bottom w:val="nil"/>
              <w:right w:val="nil"/>
              <w:tl2br w:val="nil"/>
              <w:tr2bl w:val="nil"/>
            </w:tcBorders>
            <w:shd w:val="clear" w:color="FFFFFF" w:fill="FFFFFF"/>
            <w:tcMar>
              <w:left w:w="101" w:type="dxa"/>
              <w:right w:w="101" w:type="dxa"/>
            </w:tcMar>
          </w:tcPr>
          <w:p w14:paraId="3EACFB0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592</w:t>
            </w:r>
          </w:p>
        </w:tc>
        <w:tc>
          <w:tcPr>
            <w:tcW w:w="1035" w:type="dxa"/>
            <w:tcBorders>
              <w:top w:val="nil"/>
              <w:left w:val="nil"/>
              <w:bottom w:val="nil"/>
              <w:right w:val="nil"/>
              <w:tl2br w:val="nil"/>
              <w:tr2bl w:val="nil"/>
            </w:tcBorders>
            <w:shd w:val="clear" w:color="FFFFFF" w:fill="FFFFFF"/>
            <w:tcMar>
              <w:left w:w="101" w:type="dxa"/>
              <w:right w:w="101" w:type="dxa"/>
            </w:tcMar>
          </w:tcPr>
          <w:p w14:paraId="0D27016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237</w:t>
            </w:r>
          </w:p>
        </w:tc>
      </w:tr>
      <w:tr w:rsidR="007F5788" w14:paraId="3899416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FB4003"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7D39060"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3A56922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777</w:t>
            </w:r>
          </w:p>
        </w:tc>
        <w:tc>
          <w:tcPr>
            <w:tcW w:w="1035" w:type="dxa"/>
            <w:tcBorders>
              <w:top w:val="nil"/>
              <w:left w:val="nil"/>
              <w:bottom w:val="nil"/>
              <w:right w:val="nil"/>
              <w:tl2br w:val="nil"/>
              <w:tr2bl w:val="nil"/>
            </w:tcBorders>
            <w:shd w:val="clear" w:color="FFFFFF" w:fill="FFFFFF"/>
            <w:tcMar>
              <w:left w:w="101" w:type="dxa"/>
              <w:right w:w="101" w:type="dxa"/>
            </w:tcMar>
          </w:tcPr>
          <w:p w14:paraId="2632F0B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656</w:t>
            </w:r>
          </w:p>
        </w:tc>
        <w:tc>
          <w:tcPr>
            <w:tcW w:w="600" w:type="dxa"/>
            <w:tcBorders>
              <w:top w:val="nil"/>
              <w:left w:val="nil"/>
              <w:bottom w:val="nil"/>
              <w:right w:val="nil"/>
              <w:tl2br w:val="nil"/>
              <w:tr2bl w:val="nil"/>
            </w:tcBorders>
            <w:shd w:val="clear" w:color="FFFFFF" w:fill="FFFFFF"/>
            <w:tcMar>
              <w:left w:w="101" w:type="dxa"/>
              <w:right w:w="101" w:type="dxa"/>
            </w:tcMar>
          </w:tcPr>
          <w:p w14:paraId="0B495594"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1764D1FB"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656</w:t>
            </w:r>
          </w:p>
        </w:tc>
        <w:tc>
          <w:tcPr>
            <w:tcW w:w="1035" w:type="dxa"/>
            <w:tcBorders>
              <w:top w:val="nil"/>
              <w:left w:val="nil"/>
              <w:bottom w:val="nil"/>
              <w:right w:val="nil"/>
              <w:tl2br w:val="nil"/>
              <w:tr2bl w:val="nil"/>
            </w:tcBorders>
            <w:shd w:val="clear" w:color="FFFFFF" w:fill="FFFFFF"/>
            <w:tcMar>
              <w:left w:w="101" w:type="dxa"/>
              <w:right w:w="101" w:type="dxa"/>
            </w:tcMar>
          </w:tcPr>
          <w:p w14:paraId="11D83B0A"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656</w:t>
            </w:r>
          </w:p>
        </w:tc>
        <w:tc>
          <w:tcPr>
            <w:tcW w:w="1035" w:type="dxa"/>
            <w:tcBorders>
              <w:top w:val="nil"/>
              <w:left w:val="nil"/>
              <w:bottom w:val="nil"/>
              <w:right w:val="nil"/>
              <w:tl2br w:val="nil"/>
              <w:tr2bl w:val="nil"/>
            </w:tcBorders>
            <w:shd w:val="clear" w:color="FFFFFF" w:fill="FFFFFF"/>
            <w:tcMar>
              <w:left w:w="101" w:type="dxa"/>
              <w:right w:w="101" w:type="dxa"/>
            </w:tcMar>
          </w:tcPr>
          <w:p w14:paraId="2F5DB298"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656</w:t>
            </w:r>
          </w:p>
        </w:tc>
      </w:tr>
      <w:tr w:rsidR="007F5788" w14:paraId="22F829E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6E80CD"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C5032C2"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B800BD"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11857"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0FBEF6"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1DB8DD"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49B36D"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753ED3" w14:textId="77777777" w:rsidR="007F5788" w:rsidRDefault="007F5788" w:rsidP="00B23E3B">
            <w:pPr>
              <w:pStyle w:val="Normal4"/>
              <w:rPr>
                <w:rFonts w:ascii="Calibri" w:eastAsia="Calibri" w:hAnsi="Calibri" w:cs="Calibri"/>
                <w:color w:val="000000"/>
                <w:sz w:val="18"/>
              </w:rPr>
            </w:pPr>
          </w:p>
        </w:tc>
      </w:tr>
      <w:tr w:rsidR="007F5788" w14:paraId="2713AB0F"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6B4EB8" w14:textId="2C95198B"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588</w:t>
            </w:r>
          </w:p>
        </w:tc>
        <w:tc>
          <w:tcPr>
            <w:tcW w:w="2385" w:type="dxa"/>
            <w:tcBorders>
              <w:top w:val="nil"/>
              <w:left w:val="nil"/>
              <w:bottom w:val="nil"/>
              <w:right w:val="nil"/>
              <w:tl2br w:val="nil"/>
              <w:tr2bl w:val="nil"/>
            </w:tcBorders>
            <w:shd w:val="clear" w:color="FFFFFF" w:fill="FFFFFF"/>
            <w:tcMar>
              <w:left w:w="101" w:type="dxa"/>
              <w:right w:w="101" w:type="dxa"/>
            </w:tcMar>
          </w:tcPr>
          <w:p w14:paraId="20B7A23E"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 xml:space="preserve">Total </w:t>
            </w: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3FD7DD3F" w14:textId="6F01BF96"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w:t>
            </w:r>
            <w:r w:rsidR="00B23E3B">
              <w:rPr>
                <w:rFonts w:ascii="Calibri" w:eastAsia="Calibri" w:hAnsi="Calibri" w:cs="Calibri"/>
                <w:b/>
                <w:color w:val="000000"/>
                <w:sz w:val="18"/>
              </w:rPr>
              <w:t>,</w:t>
            </w:r>
            <w:r>
              <w:rPr>
                <w:rFonts w:ascii="Calibri" w:eastAsia="Calibri" w:hAnsi="Calibri" w:cs="Calibri"/>
                <w:b/>
                <w:color w:val="000000"/>
                <w:sz w:val="18"/>
              </w:rPr>
              <w:t>434</w:t>
            </w:r>
          </w:p>
        </w:tc>
        <w:tc>
          <w:tcPr>
            <w:tcW w:w="1035" w:type="dxa"/>
            <w:tcBorders>
              <w:top w:val="nil"/>
              <w:left w:val="nil"/>
              <w:bottom w:val="nil"/>
              <w:right w:val="nil"/>
              <w:tl2br w:val="nil"/>
              <w:tr2bl w:val="nil"/>
            </w:tcBorders>
            <w:shd w:val="clear" w:color="FFFFFF" w:fill="FFFFFF"/>
            <w:tcMar>
              <w:left w:w="101" w:type="dxa"/>
              <w:right w:w="101" w:type="dxa"/>
            </w:tcMar>
          </w:tcPr>
          <w:p w14:paraId="574F809E" w14:textId="311FD262"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958</w:t>
            </w:r>
          </w:p>
        </w:tc>
        <w:tc>
          <w:tcPr>
            <w:tcW w:w="600" w:type="dxa"/>
            <w:tcBorders>
              <w:top w:val="nil"/>
              <w:left w:val="nil"/>
              <w:bottom w:val="nil"/>
              <w:right w:val="nil"/>
              <w:tl2br w:val="nil"/>
              <w:tr2bl w:val="nil"/>
            </w:tcBorders>
            <w:shd w:val="clear" w:color="FFFFFF" w:fill="FFFFFF"/>
            <w:tcMar>
              <w:left w:w="101" w:type="dxa"/>
              <w:right w:w="101" w:type="dxa"/>
            </w:tcMar>
          </w:tcPr>
          <w:p w14:paraId="20061939"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250261CC" w14:textId="2CD6BADE"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603</w:t>
            </w:r>
          </w:p>
        </w:tc>
        <w:tc>
          <w:tcPr>
            <w:tcW w:w="1035" w:type="dxa"/>
            <w:tcBorders>
              <w:top w:val="nil"/>
              <w:left w:val="nil"/>
              <w:bottom w:val="nil"/>
              <w:right w:val="nil"/>
              <w:tl2br w:val="nil"/>
              <w:tr2bl w:val="nil"/>
            </w:tcBorders>
            <w:shd w:val="clear" w:color="FFFFFF" w:fill="FFFFFF"/>
            <w:tcMar>
              <w:left w:w="101" w:type="dxa"/>
              <w:right w:w="101" w:type="dxa"/>
            </w:tcMar>
          </w:tcPr>
          <w:p w14:paraId="676E8A87"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1 248</w:t>
            </w:r>
          </w:p>
        </w:tc>
        <w:tc>
          <w:tcPr>
            <w:tcW w:w="1035" w:type="dxa"/>
            <w:tcBorders>
              <w:top w:val="nil"/>
              <w:left w:val="nil"/>
              <w:bottom w:val="nil"/>
              <w:right w:val="nil"/>
              <w:tl2br w:val="nil"/>
              <w:tr2bl w:val="nil"/>
            </w:tcBorders>
            <w:shd w:val="clear" w:color="FFFFFF" w:fill="FFFFFF"/>
            <w:tcMar>
              <w:left w:w="101" w:type="dxa"/>
              <w:right w:w="101" w:type="dxa"/>
            </w:tcMar>
          </w:tcPr>
          <w:p w14:paraId="16C53875"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893</w:t>
            </w:r>
          </w:p>
        </w:tc>
      </w:tr>
      <w:tr w:rsidR="007F5788" w14:paraId="4205A0A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962E06"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4707245"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DCB5F5"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3D3944"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CAC78F"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569B54"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91D250"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3E1703" w14:textId="77777777" w:rsidR="007F5788" w:rsidRDefault="007F5788" w:rsidP="00B23E3B">
            <w:pPr>
              <w:pStyle w:val="Normal4"/>
              <w:rPr>
                <w:rFonts w:ascii="Calibri" w:eastAsia="Calibri" w:hAnsi="Calibri" w:cs="Calibri"/>
                <w:color w:val="000000"/>
                <w:sz w:val="18"/>
              </w:rPr>
            </w:pPr>
          </w:p>
        </w:tc>
      </w:tr>
      <w:tr w:rsidR="007F5788" w14:paraId="4E28E13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F153AD" w14:textId="44CB9224"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7</w:t>
            </w:r>
            <w:r w:rsidR="00B23E3B">
              <w:rPr>
                <w:rFonts w:ascii="Calibri" w:eastAsia="Calibri" w:hAnsi="Calibri" w:cs="Calibri"/>
                <w:b/>
                <w:color w:val="000000"/>
                <w:sz w:val="18"/>
              </w:rPr>
              <w:t>,</w:t>
            </w:r>
            <w:r>
              <w:rPr>
                <w:rFonts w:ascii="Calibri" w:eastAsia="Calibri" w:hAnsi="Calibri" w:cs="Calibri"/>
                <w:b/>
                <w:color w:val="000000"/>
                <w:sz w:val="18"/>
              </w:rPr>
              <w:t>945</w:t>
            </w:r>
          </w:p>
        </w:tc>
        <w:tc>
          <w:tcPr>
            <w:tcW w:w="2385" w:type="dxa"/>
            <w:tcBorders>
              <w:top w:val="nil"/>
              <w:left w:val="nil"/>
              <w:bottom w:val="nil"/>
              <w:right w:val="nil"/>
              <w:tl2br w:val="nil"/>
              <w:tr2bl w:val="nil"/>
            </w:tcBorders>
            <w:shd w:val="clear" w:color="FFFFFF" w:fill="FFFFFF"/>
            <w:tcMar>
              <w:left w:w="101" w:type="dxa"/>
              <w:right w:w="101" w:type="dxa"/>
            </w:tcMar>
          </w:tcPr>
          <w:p w14:paraId="0123FD5A"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5CBB0F94" w14:textId="50B25175"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8</w:t>
            </w:r>
            <w:r w:rsidR="00B23E3B">
              <w:rPr>
                <w:rFonts w:ascii="Calibri" w:eastAsia="Calibri" w:hAnsi="Calibri" w:cs="Calibri"/>
                <w:b/>
                <w:color w:val="000000"/>
                <w:sz w:val="18"/>
              </w:rPr>
              <w:t>,</w:t>
            </w:r>
            <w:r>
              <w:rPr>
                <w:rFonts w:ascii="Calibri" w:eastAsia="Calibri" w:hAnsi="Calibri" w:cs="Calibri"/>
                <w:b/>
                <w:color w:val="000000"/>
                <w:sz w:val="18"/>
              </w:rPr>
              <w:t>198</w:t>
            </w:r>
          </w:p>
        </w:tc>
        <w:tc>
          <w:tcPr>
            <w:tcW w:w="1035" w:type="dxa"/>
            <w:tcBorders>
              <w:top w:val="nil"/>
              <w:left w:val="nil"/>
              <w:bottom w:val="nil"/>
              <w:right w:val="nil"/>
              <w:tl2br w:val="nil"/>
              <w:tr2bl w:val="nil"/>
            </w:tcBorders>
            <w:shd w:val="clear" w:color="FFFFFF" w:fill="FFFFFF"/>
            <w:tcMar>
              <w:left w:w="101" w:type="dxa"/>
              <w:right w:w="101" w:type="dxa"/>
            </w:tcMar>
          </w:tcPr>
          <w:p w14:paraId="0F518F37" w14:textId="63EBE24C"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7</w:t>
            </w:r>
            <w:r w:rsidR="00B23E3B">
              <w:rPr>
                <w:rFonts w:ascii="Calibri" w:eastAsia="Calibri" w:hAnsi="Calibri" w:cs="Calibri"/>
                <w:b/>
                <w:color w:val="000000"/>
                <w:sz w:val="18"/>
              </w:rPr>
              <w:t>,</w:t>
            </w:r>
            <w:r>
              <w:rPr>
                <w:rFonts w:ascii="Calibri" w:eastAsia="Calibri" w:hAnsi="Calibri" w:cs="Calibri"/>
                <w:b/>
                <w:color w:val="000000"/>
                <w:sz w:val="18"/>
              </w:rPr>
              <w:t>922</w:t>
            </w:r>
          </w:p>
        </w:tc>
        <w:tc>
          <w:tcPr>
            <w:tcW w:w="600" w:type="dxa"/>
            <w:tcBorders>
              <w:top w:val="nil"/>
              <w:left w:val="nil"/>
              <w:bottom w:val="nil"/>
              <w:right w:val="nil"/>
              <w:tl2br w:val="nil"/>
              <w:tr2bl w:val="nil"/>
            </w:tcBorders>
            <w:shd w:val="clear" w:color="FFFFFF" w:fill="FFFFFF"/>
            <w:tcMar>
              <w:left w:w="101" w:type="dxa"/>
              <w:right w:w="101" w:type="dxa"/>
            </w:tcMar>
          </w:tcPr>
          <w:p w14:paraId="46EFE5E1"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C52CBB7" w14:textId="6B5573EB"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7</w:t>
            </w:r>
            <w:r w:rsidR="00B23E3B">
              <w:rPr>
                <w:rFonts w:ascii="Calibri" w:eastAsia="Calibri" w:hAnsi="Calibri" w:cs="Calibri"/>
                <w:b/>
                <w:color w:val="000000"/>
                <w:sz w:val="18"/>
              </w:rPr>
              <w:t>,</w:t>
            </w:r>
            <w:r>
              <w:rPr>
                <w:rFonts w:ascii="Calibri" w:eastAsia="Calibri" w:hAnsi="Calibri" w:cs="Calibri"/>
                <w:b/>
                <w:color w:val="000000"/>
                <w:sz w:val="18"/>
              </w:rPr>
              <w:t>775</w:t>
            </w:r>
          </w:p>
        </w:tc>
        <w:tc>
          <w:tcPr>
            <w:tcW w:w="1035" w:type="dxa"/>
            <w:tcBorders>
              <w:top w:val="nil"/>
              <w:left w:val="nil"/>
              <w:bottom w:val="nil"/>
              <w:right w:val="nil"/>
              <w:tl2br w:val="nil"/>
              <w:tr2bl w:val="nil"/>
            </w:tcBorders>
            <w:shd w:val="clear" w:color="FFFFFF" w:fill="FFFFFF"/>
            <w:tcMar>
              <w:left w:w="101" w:type="dxa"/>
              <w:right w:w="101" w:type="dxa"/>
            </w:tcMar>
          </w:tcPr>
          <w:p w14:paraId="0F5E29AA" w14:textId="484CF74E"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7</w:t>
            </w:r>
            <w:r w:rsidR="00B23E3B">
              <w:rPr>
                <w:rFonts w:ascii="Calibri" w:eastAsia="Calibri" w:hAnsi="Calibri" w:cs="Calibri"/>
                <w:b/>
                <w:color w:val="000000"/>
                <w:sz w:val="18"/>
              </w:rPr>
              <w:t>,</w:t>
            </w:r>
            <w:r>
              <w:rPr>
                <w:rFonts w:ascii="Calibri" w:eastAsia="Calibri" w:hAnsi="Calibri" w:cs="Calibri"/>
                <w:b/>
                <w:color w:val="000000"/>
                <w:sz w:val="18"/>
              </w:rPr>
              <w:t>759</w:t>
            </w:r>
          </w:p>
        </w:tc>
        <w:tc>
          <w:tcPr>
            <w:tcW w:w="1035" w:type="dxa"/>
            <w:tcBorders>
              <w:top w:val="nil"/>
              <w:left w:val="nil"/>
              <w:bottom w:val="nil"/>
              <w:right w:val="nil"/>
              <w:tl2br w:val="nil"/>
              <w:tr2bl w:val="nil"/>
            </w:tcBorders>
            <w:shd w:val="clear" w:color="FFFFFF" w:fill="FFFFFF"/>
            <w:tcMar>
              <w:left w:w="101" w:type="dxa"/>
              <w:right w:w="101" w:type="dxa"/>
            </w:tcMar>
          </w:tcPr>
          <w:p w14:paraId="2A710DBD" w14:textId="4BB84BC5"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7</w:t>
            </w:r>
            <w:r w:rsidR="00B23E3B">
              <w:rPr>
                <w:rFonts w:ascii="Calibri" w:eastAsia="Calibri" w:hAnsi="Calibri" w:cs="Calibri"/>
                <w:b/>
                <w:color w:val="000000"/>
                <w:sz w:val="18"/>
              </w:rPr>
              <w:t>,</w:t>
            </w:r>
            <w:r>
              <w:rPr>
                <w:rFonts w:ascii="Calibri" w:eastAsia="Calibri" w:hAnsi="Calibri" w:cs="Calibri"/>
                <w:b/>
                <w:color w:val="000000"/>
                <w:sz w:val="18"/>
              </w:rPr>
              <w:t>732</w:t>
            </w:r>
          </w:p>
        </w:tc>
      </w:tr>
      <w:tr w:rsidR="007F5788" w14:paraId="20E9DD3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55588C"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32AA9C"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C7DB8B"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3E382A"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FD86D7"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2AA8F1"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A00049"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37EF72" w14:textId="77777777" w:rsidR="007F5788" w:rsidRDefault="007F5788" w:rsidP="00B23E3B">
            <w:pPr>
              <w:pStyle w:val="Normal4"/>
              <w:rPr>
                <w:rFonts w:ascii="Calibri" w:eastAsia="Calibri" w:hAnsi="Calibri" w:cs="Calibri"/>
                <w:color w:val="000000"/>
                <w:sz w:val="18"/>
              </w:rPr>
            </w:pPr>
          </w:p>
        </w:tc>
      </w:tr>
      <w:tr w:rsidR="007F5788" w14:paraId="1398375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D8DACD"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84ED76C"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3AB01C1"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6F39CE"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00974DE"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D54B1A"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AF1836"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409B72" w14:textId="77777777" w:rsidR="007F5788" w:rsidRDefault="007F5788" w:rsidP="00B23E3B">
            <w:pPr>
              <w:pStyle w:val="Normal4"/>
              <w:rPr>
                <w:rFonts w:ascii="Calibri" w:eastAsia="Calibri" w:hAnsi="Calibri" w:cs="Calibri"/>
                <w:color w:val="000000"/>
                <w:sz w:val="18"/>
              </w:rPr>
            </w:pPr>
          </w:p>
        </w:tc>
      </w:tr>
      <w:tr w:rsidR="007F5788" w14:paraId="1E91771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90A12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554</w:t>
            </w:r>
          </w:p>
        </w:tc>
        <w:tc>
          <w:tcPr>
            <w:tcW w:w="2385" w:type="dxa"/>
            <w:tcBorders>
              <w:top w:val="nil"/>
              <w:left w:val="nil"/>
              <w:bottom w:val="nil"/>
              <w:right w:val="nil"/>
              <w:tl2br w:val="nil"/>
              <w:tr2bl w:val="nil"/>
            </w:tcBorders>
            <w:shd w:val="clear" w:color="FFFFFF" w:fill="FFFFFF"/>
            <w:noWrap/>
            <w:tcMar>
              <w:left w:w="101" w:type="dxa"/>
              <w:right w:w="101" w:type="dxa"/>
            </w:tcMar>
          </w:tcPr>
          <w:p w14:paraId="34845CF8"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54EF683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327</w:t>
            </w:r>
          </w:p>
        </w:tc>
        <w:tc>
          <w:tcPr>
            <w:tcW w:w="1035" w:type="dxa"/>
            <w:tcBorders>
              <w:top w:val="nil"/>
              <w:left w:val="nil"/>
              <w:bottom w:val="nil"/>
              <w:right w:val="nil"/>
              <w:tl2br w:val="nil"/>
              <w:tr2bl w:val="nil"/>
            </w:tcBorders>
            <w:shd w:val="clear" w:color="FFFFFF" w:fill="FFFFFF"/>
            <w:tcMar>
              <w:left w:w="101" w:type="dxa"/>
              <w:right w:w="101" w:type="dxa"/>
            </w:tcMar>
          </w:tcPr>
          <w:p w14:paraId="7F7DE2D0"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366</w:t>
            </w:r>
          </w:p>
        </w:tc>
        <w:tc>
          <w:tcPr>
            <w:tcW w:w="600" w:type="dxa"/>
            <w:tcBorders>
              <w:top w:val="nil"/>
              <w:left w:val="nil"/>
              <w:bottom w:val="nil"/>
              <w:right w:val="nil"/>
              <w:tl2br w:val="nil"/>
              <w:tr2bl w:val="nil"/>
            </w:tcBorders>
            <w:shd w:val="clear" w:color="FFFFFF" w:fill="FFFFFF"/>
            <w:tcMar>
              <w:left w:w="101" w:type="dxa"/>
              <w:right w:w="101" w:type="dxa"/>
            </w:tcMar>
          </w:tcPr>
          <w:p w14:paraId="1B7347CA"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3095DE89"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413</w:t>
            </w:r>
          </w:p>
        </w:tc>
        <w:tc>
          <w:tcPr>
            <w:tcW w:w="1035" w:type="dxa"/>
            <w:tcBorders>
              <w:top w:val="nil"/>
              <w:left w:val="nil"/>
              <w:bottom w:val="nil"/>
              <w:right w:val="nil"/>
              <w:tl2br w:val="nil"/>
              <w:tr2bl w:val="nil"/>
            </w:tcBorders>
            <w:shd w:val="clear" w:color="FFFFFF" w:fill="FFFFFF"/>
            <w:tcMar>
              <w:left w:w="101" w:type="dxa"/>
              <w:right w:w="101" w:type="dxa"/>
            </w:tcMar>
          </w:tcPr>
          <w:p w14:paraId="0086F28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460</w:t>
            </w:r>
          </w:p>
        </w:tc>
        <w:tc>
          <w:tcPr>
            <w:tcW w:w="1035" w:type="dxa"/>
            <w:tcBorders>
              <w:top w:val="nil"/>
              <w:left w:val="nil"/>
              <w:bottom w:val="nil"/>
              <w:right w:val="nil"/>
              <w:tl2br w:val="nil"/>
              <w:tr2bl w:val="nil"/>
            </w:tcBorders>
            <w:shd w:val="clear" w:color="FFFFFF" w:fill="FFFFFF"/>
            <w:tcMar>
              <w:left w:w="101" w:type="dxa"/>
              <w:right w:w="101" w:type="dxa"/>
            </w:tcMar>
          </w:tcPr>
          <w:p w14:paraId="541401A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507</w:t>
            </w:r>
          </w:p>
        </w:tc>
      </w:tr>
      <w:tr w:rsidR="007F5788" w14:paraId="39F1858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924422"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w:t>
            </w:r>
          </w:p>
        </w:tc>
        <w:tc>
          <w:tcPr>
            <w:tcW w:w="2385" w:type="dxa"/>
            <w:tcBorders>
              <w:top w:val="nil"/>
              <w:left w:val="nil"/>
              <w:bottom w:val="nil"/>
              <w:right w:val="nil"/>
              <w:tl2br w:val="nil"/>
              <w:tr2bl w:val="nil"/>
            </w:tcBorders>
            <w:shd w:val="clear" w:color="FFFFFF" w:fill="FFFFFF"/>
            <w:noWrap/>
            <w:tcMar>
              <w:left w:w="101" w:type="dxa"/>
              <w:right w:w="101" w:type="dxa"/>
            </w:tcMar>
          </w:tcPr>
          <w:p w14:paraId="7F4CAE94"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3BD268FD"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12128A4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600" w:type="dxa"/>
            <w:tcBorders>
              <w:top w:val="nil"/>
              <w:left w:val="nil"/>
              <w:bottom w:val="nil"/>
              <w:right w:val="nil"/>
              <w:tl2br w:val="nil"/>
              <w:tr2bl w:val="nil"/>
            </w:tcBorders>
            <w:shd w:val="clear" w:color="FFFFFF" w:fill="FFFFFF"/>
            <w:tcMar>
              <w:left w:w="101" w:type="dxa"/>
              <w:right w:w="101" w:type="dxa"/>
            </w:tcMar>
          </w:tcPr>
          <w:p w14:paraId="6C4E9902"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E50C0D0"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1B01B25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2B24B2F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p>
        </w:tc>
      </w:tr>
      <w:tr w:rsidR="007F5788" w14:paraId="58F25E5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9BFB1D" w14:textId="783F95A3"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187</w:t>
            </w:r>
          </w:p>
        </w:tc>
        <w:tc>
          <w:tcPr>
            <w:tcW w:w="2385" w:type="dxa"/>
            <w:tcBorders>
              <w:top w:val="nil"/>
              <w:left w:val="nil"/>
              <w:bottom w:val="nil"/>
              <w:right w:val="nil"/>
              <w:tl2br w:val="nil"/>
              <w:tr2bl w:val="nil"/>
            </w:tcBorders>
            <w:shd w:val="clear" w:color="FFFFFF" w:fill="FFFFFF"/>
            <w:noWrap/>
            <w:tcMar>
              <w:left w:w="101" w:type="dxa"/>
              <w:right w:w="101" w:type="dxa"/>
            </w:tcMar>
          </w:tcPr>
          <w:p w14:paraId="57FD3910"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2882F721" w14:textId="3A5C7C96"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224</w:t>
            </w:r>
          </w:p>
        </w:tc>
        <w:tc>
          <w:tcPr>
            <w:tcW w:w="1035" w:type="dxa"/>
            <w:tcBorders>
              <w:top w:val="nil"/>
              <w:left w:val="nil"/>
              <w:bottom w:val="nil"/>
              <w:right w:val="nil"/>
              <w:tl2br w:val="nil"/>
              <w:tr2bl w:val="nil"/>
            </w:tcBorders>
            <w:shd w:val="clear" w:color="FFFFFF" w:fill="FFFFFF"/>
            <w:tcMar>
              <w:left w:w="101" w:type="dxa"/>
              <w:right w:w="101" w:type="dxa"/>
            </w:tcMar>
          </w:tcPr>
          <w:p w14:paraId="434F6389" w14:textId="09244F6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239</w:t>
            </w:r>
          </w:p>
        </w:tc>
        <w:tc>
          <w:tcPr>
            <w:tcW w:w="600" w:type="dxa"/>
            <w:tcBorders>
              <w:top w:val="nil"/>
              <w:left w:val="nil"/>
              <w:bottom w:val="nil"/>
              <w:right w:val="nil"/>
              <w:tl2br w:val="nil"/>
              <w:tr2bl w:val="nil"/>
            </w:tcBorders>
            <w:shd w:val="clear" w:color="FFFFFF" w:fill="FFFFFF"/>
            <w:tcMar>
              <w:left w:w="101" w:type="dxa"/>
              <w:right w:w="101" w:type="dxa"/>
            </w:tcMar>
          </w:tcPr>
          <w:p w14:paraId="57AA6199"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E6F1AD3" w14:textId="5106CBC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4764EE3D"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2 271</w:t>
            </w:r>
          </w:p>
        </w:tc>
        <w:tc>
          <w:tcPr>
            <w:tcW w:w="1035" w:type="dxa"/>
            <w:tcBorders>
              <w:top w:val="nil"/>
              <w:left w:val="nil"/>
              <w:bottom w:val="nil"/>
              <w:right w:val="nil"/>
              <w:tl2br w:val="nil"/>
              <w:tr2bl w:val="nil"/>
            </w:tcBorders>
            <w:shd w:val="clear" w:color="FFFFFF" w:fill="FFFFFF"/>
            <w:tcMar>
              <w:left w:w="101" w:type="dxa"/>
              <w:right w:w="101" w:type="dxa"/>
            </w:tcMar>
          </w:tcPr>
          <w:p w14:paraId="06146EFC"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2 290</w:t>
            </w:r>
          </w:p>
        </w:tc>
      </w:tr>
      <w:tr w:rsidR="007F5788" w14:paraId="50F8FD5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19EA33"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2385" w:type="dxa"/>
            <w:tcBorders>
              <w:top w:val="nil"/>
              <w:left w:val="nil"/>
              <w:bottom w:val="nil"/>
              <w:right w:val="nil"/>
              <w:tl2br w:val="nil"/>
              <w:tr2bl w:val="nil"/>
            </w:tcBorders>
            <w:shd w:val="clear" w:color="FFFFFF" w:fill="FFFFFF"/>
            <w:noWrap/>
            <w:tcMar>
              <w:left w:w="101" w:type="dxa"/>
              <w:right w:w="101" w:type="dxa"/>
            </w:tcMar>
          </w:tcPr>
          <w:p w14:paraId="2E3A8204"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159AA4FA"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388</w:t>
            </w:r>
          </w:p>
        </w:tc>
        <w:tc>
          <w:tcPr>
            <w:tcW w:w="1035" w:type="dxa"/>
            <w:tcBorders>
              <w:top w:val="nil"/>
              <w:left w:val="nil"/>
              <w:bottom w:val="nil"/>
              <w:right w:val="nil"/>
              <w:tl2br w:val="nil"/>
              <w:tr2bl w:val="nil"/>
            </w:tcBorders>
            <w:shd w:val="clear" w:color="FFFFFF" w:fill="FFFFFF"/>
            <w:tcMar>
              <w:left w:w="101" w:type="dxa"/>
              <w:right w:w="101" w:type="dxa"/>
            </w:tcMar>
          </w:tcPr>
          <w:p w14:paraId="68B7D645"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600" w:type="dxa"/>
            <w:tcBorders>
              <w:top w:val="nil"/>
              <w:left w:val="nil"/>
              <w:bottom w:val="nil"/>
              <w:right w:val="nil"/>
              <w:tl2br w:val="nil"/>
              <w:tr2bl w:val="nil"/>
            </w:tcBorders>
            <w:shd w:val="clear" w:color="FFFFFF" w:fill="FFFFFF"/>
            <w:tcMar>
              <w:left w:w="101" w:type="dxa"/>
              <w:right w:w="101" w:type="dxa"/>
            </w:tcMar>
          </w:tcPr>
          <w:p w14:paraId="6FA411E5"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-88 </w:t>
            </w:r>
          </w:p>
        </w:tc>
        <w:tc>
          <w:tcPr>
            <w:tcW w:w="1035" w:type="dxa"/>
            <w:tcBorders>
              <w:top w:val="nil"/>
              <w:left w:val="nil"/>
              <w:bottom w:val="nil"/>
              <w:right w:val="nil"/>
              <w:tl2br w:val="nil"/>
              <w:tr2bl w:val="nil"/>
            </w:tcBorders>
            <w:shd w:val="clear" w:color="FFFFFF" w:fill="FFFFFF"/>
            <w:tcMar>
              <w:left w:w="101" w:type="dxa"/>
              <w:right w:w="101" w:type="dxa"/>
            </w:tcMar>
          </w:tcPr>
          <w:p w14:paraId="044F6F90"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7677940B"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647754B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47</w:t>
            </w:r>
          </w:p>
        </w:tc>
      </w:tr>
      <w:tr w:rsidR="007F5788" w14:paraId="77383A2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1ADF4B"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0F53C67"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1B1481"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EE97F2"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47D4CA" w14:textId="77777777" w:rsidR="007F5788" w:rsidRDefault="007F5788" w:rsidP="00B23E3B">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BB13DD"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F5CDE4"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E87E0B" w14:textId="77777777" w:rsidR="007F5788" w:rsidRDefault="007F5788" w:rsidP="00B23E3B">
            <w:pPr>
              <w:pStyle w:val="Normal4"/>
              <w:rPr>
                <w:rFonts w:ascii="Calibri" w:eastAsia="Calibri" w:hAnsi="Calibri" w:cs="Calibri"/>
                <w:color w:val="000000"/>
                <w:sz w:val="18"/>
              </w:rPr>
            </w:pPr>
          </w:p>
        </w:tc>
      </w:tr>
      <w:tr w:rsidR="007F5788" w14:paraId="10F03DD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31B8897" w14:textId="0CC47553"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w:t>
            </w:r>
            <w:r w:rsidR="00B23E3B">
              <w:rPr>
                <w:rFonts w:ascii="Calibri" w:eastAsia="Calibri" w:hAnsi="Calibri" w:cs="Calibri"/>
                <w:b/>
                <w:color w:val="000000"/>
                <w:sz w:val="18"/>
              </w:rPr>
              <w:t>,</w:t>
            </w:r>
            <w:r>
              <w:rPr>
                <w:rFonts w:ascii="Calibri" w:eastAsia="Calibri" w:hAnsi="Calibri" w:cs="Calibri"/>
                <w:b/>
                <w:color w:val="000000"/>
                <w:sz w:val="18"/>
              </w:rPr>
              <w:t>794</w:t>
            </w:r>
          </w:p>
        </w:tc>
        <w:tc>
          <w:tcPr>
            <w:tcW w:w="2385" w:type="dxa"/>
            <w:tcBorders>
              <w:top w:val="nil"/>
              <w:left w:val="nil"/>
              <w:bottom w:val="nil"/>
              <w:right w:val="nil"/>
              <w:tl2br w:val="nil"/>
              <w:tr2bl w:val="nil"/>
            </w:tcBorders>
            <w:shd w:val="clear" w:color="FFFFFF" w:fill="FFFFFF"/>
            <w:tcMar>
              <w:left w:w="101" w:type="dxa"/>
              <w:right w:w="101" w:type="dxa"/>
            </w:tcMar>
          </w:tcPr>
          <w:p w14:paraId="1253D91B"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5BCA8E4" w14:textId="67D5B76F"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w:t>
            </w:r>
            <w:r w:rsidR="00B23E3B">
              <w:rPr>
                <w:rFonts w:ascii="Calibri" w:eastAsia="Calibri" w:hAnsi="Calibri" w:cs="Calibri"/>
                <w:b/>
                <w:color w:val="000000"/>
                <w:sz w:val="18"/>
              </w:rPr>
              <w:t>,</w:t>
            </w:r>
            <w:r>
              <w:rPr>
                <w:rFonts w:ascii="Calibri" w:eastAsia="Calibri" w:hAnsi="Calibri" w:cs="Calibri"/>
                <w:b/>
                <w:color w:val="000000"/>
                <w:sz w:val="18"/>
              </w:rPr>
              <w:t>944</w:t>
            </w:r>
          </w:p>
        </w:tc>
        <w:tc>
          <w:tcPr>
            <w:tcW w:w="1035" w:type="dxa"/>
            <w:tcBorders>
              <w:top w:val="nil"/>
              <w:left w:val="nil"/>
              <w:bottom w:val="nil"/>
              <w:right w:val="nil"/>
              <w:tl2br w:val="nil"/>
              <w:tr2bl w:val="nil"/>
            </w:tcBorders>
            <w:shd w:val="clear" w:color="FFFFFF" w:fill="FFFFFF"/>
            <w:noWrap/>
            <w:tcMar>
              <w:left w:w="101" w:type="dxa"/>
              <w:right w:w="101" w:type="dxa"/>
            </w:tcMar>
          </w:tcPr>
          <w:p w14:paraId="21A802A1" w14:textId="0CEB05B4"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w:t>
            </w:r>
            <w:r w:rsidR="00B23E3B">
              <w:rPr>
                <w:rFonts w:ascii="Calibri" w:eastAsia="Calibri" w:hAnsi="Calibri" w:cs="Calibri"/>
                <w:b/>
                <w:color w:val="000000"/>
                <w:sz w:val="18"/>
              </w:rPr>
              <w:t>,</w:t>
            </w:r>
            <w:r>
              <w:rPr>
                <w:rFonts w:ascii="Calibri" w:eastAsia="Calibri" w:hAnsi="Calibri" w:cs="Calibri"/>
                <w:b/>
                <w:color w:val="000000"/>
                <w:sz w:val="18"/>
              </w:rPr>
              <w:t>657</w:t>
            </w:r>
          </w:p>
        </w:tc>
        <w:tc>
          <w:tcPr>
            <w:tcW w:w="600" w:type="dxa"/>
            <w:tcBorders>
              <w:top w:val="nil"/>
              <w:left w:val="nil"/>
              <w:bottom w:val="nil"/>
              <w:right w:val="nil"/>
              <w:tl2br w:val="nil"/>
              <w:tr2bl w:val="nil"/>
            </w:tcBorders>
            <w:shd w:val="clear" w:color="FFFFFF" w:fill="FFFFFF"/>
            <w:tcMar>
              <w:left w:w="101" w:type="dxa"/>
              <w:right w:w="101" w:type="dxa"/>
            </w:tcMar>
          </w:tcPr>
          <w:p w14:paraId="45799F1F"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65DA50C9" w14:textId="2F467ED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w:t>
            </w:r>
            <w:r w:rsidR="00B23E3B">
              <w:rPr>
                <w:rFonts w:ascii="Calibri" w:eastAsia="Calibri" w:hAnsi="Calibri" w:cs="Calibri"/>
                <w:b/>
                <w:color w:val="000000"/>
                <w:sz w:val="18"/>
              </w:rPr>
              <w:t>,</w:t>
            </w:r>
            <w:r>
              <w:rPr>
                <w:rFonts w:ascii="Calibri" w:eastAsia="Calibri" w:hAnsi="Calibri" w:cs="Calibri"/>
                <w:b/>
                <w:color w:val="000000"/>
                <w:sz w:val="18"/>
              </w:rPr>
              <w:t>719</w:t>
            </w:r>
          </w:p>
        </w:tc>
        <w:tc>
          <w:tcPr>
            <w:tcW w:w="1035" w:type="dxa"/>
            <w:tcBorders>
              <w:top w:val="nil"/>
              <w:left w:val="nil"/>
              <w:bottom w:val="nil"/>
              <w:right w:val="nil"/>
              <w:tl2br w:val="nil"/>
              <w:tr2bl w:val="nil"/>
            </w:tcBorders>
            <w:shd w:val="clear" w:color="FFFFFF" w:fill="FFFFFF"/>
            <w:noWrap/>
            <w:tcMar>
              <w:left w:w="101" w:type="dxa"/>
              <w:right w:w="101" w:type="dxa"/>
            </w:tcMar>
          </w:tcPr>
          <w:p w14:paraId="035A17C6" w14:textId="3E7CDDA4"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w:t>
            </w:r>
            <w:r w:rsidR="00B23E3B">
              <w:rPr>
                <w:rFonts w:ascii="Calibri" w:eastAsia="Calibri" w:hAnsi="Calibri" w:cs="Calibri"/>
                <w:b/>
                <w:color w:val="000000"/>
                <w:sz w:val="18"/>
              </w:rPr>
              <w:t>,</w:t>
            </w:r>
            <w:r>
              <w:rPr>
                <w:rFonts w:ascii="Calibri" w:eastAsia="Calibri" w:hAnsi="Calibri" w:cs="Calibri"/>
                <w:b/>
                <w:color w:val="000000"/>
                <w:sz w:val="18"/>
              </w:rPr>
              <w:t>783</w:t>
            </w:r>
          </w:p>
        </w:tc>
        <w:tc>
          <w:tcPr>
            <w:tcW w:w="1035" w:type="dxa"/>
            <w:tcBorders>
              <w:top w:val="nil"/>
              <w:left w:val="nil"/>
              <w:bottom w:val="nil"/>
              <w:right w:val="nil"/>
              <w:tl2br w:val="nil"/>
              <w:tr2bl w:val="nil"/>
            </w:tcBorders>
            <w:shd w:val="clear" w:color="FFFFFF" w:fill="FFFFFF"/>
            <w:noWrap/>
            <w:tcMar>
              <w:left w:w="101" w:type="dxa"/>
              <w:right w:w="101" w:type="dxa"/>
            </w:tcMar>
          </w:tcPr>
          <w:p w14:paraId="324EB7DC" w14:textId="574FA6C2"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2</w:t>
            </w:r>
            <w:r w:rsidR="00B23E3B">
              <w:rPr>
                <w:rFonts w:ascii="Calibri" w:eastAsia="Calibri" w:hAnsi="Calibri" w:cs="Calibri"/>
                <w:b/>
                <w:color w:val="000000"/>
                <w:sz w:val="18"/>
              </w:rPr>
              <w:t>,</w:t>
            </w:r>
            <w:r>
              <w:rPr>
                <w:rFonts w:ascii="Calibri" w:eastAsia="Calibri" w:hAnsi="Calibri" w:cs="Calibri"/>
                <w:b/>
                <w:color w:val="000000"/>
                <w:sz w:val="18"/>
              </w:rPr>
              <w:t>849</w:t>
            </w:r>
          </w:p>
        </w:tc>
      </w:tr>
      <w:tr w:rsidR="007F5788" w14:paraId="00F6259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81A03F"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6ED78BC"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3DBB35"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43C435"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CB0AEE" w14:textId="77777777" w:rsidR="007F5788" w:rsidRDefault="007F5788" w:rsidP="00B23E3B">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6F38F5"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E8E971"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50771B" w14:textId="77777777" w:rsidR="007F5788" w:rsidRDefault="007F5788" w:rsidP="00B23E3B">
            <w:pPr>
              <w:pStyle w:val="Normal4"/>
              <w:rPr>
                <w:rFonts w:ascii="Calibri" w:eastAsia="Calibri" w:hAnsi="Calibri" w:cs="Calibri"/>
                <w:color w:val="000000"/>
                <w:sz w:val="18"/>
              </w:rPr>
            </w:pPr>
          </w:p>
        </w:tc>
      </w:tr>
      <w:tr w:rsidR="007F5788" w14:paraId="678BE50C"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0D0970"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53009FE" w14:textId="77777777" w:rsidR="007F5788" w:rsidRDefault="007F5788" w:rsidP="00B23E3B">
            <w:pPr>
              <w:pStyle w:val="Normal4"/>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2EFC47D7"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5CD288"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057390" w14:textId="77777777" w:rsidR="007F5788" w:rsidRDefault="007F5788" w:rsidP="00B23E3B">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2F3215"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A11025"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F51DFA" w14:textId="77777777" w:rsidR="007F5788" w:rsidRDefault="007F5788" w:rsidP="00B23E3B">
            <w:pPr>
              <w:pStyle w:val="Normal4"/>
              <w:rPr>
                <w:rFonts w:ascii="Calibri" w:eastAsia="Calibri" w:hAnsi="Calibri" w:cs="Calibri"/>
                <w:color w:val="000000"/>
                <w:sz w:val="18"/>
              </w:rPr>
            </w:pPr>
          </w:p>
        </w:tc>
      </w:tr>
      <w:tr w:rsidR="007F5788" w14:paraId="463D1C9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DEE668"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2385" w:type="dxa"/>
            <w:tcBorders>
              <w:top w:val="nil"/>
              <w:left w:val="nil"/>
              <w:bottom w:val="nil"/>
              <w:right w:val="nil"/>
              <w:tl2br w:val="nil"/>
              <w:tr2bl w:val="nil"/>
            </w:tcBorders>
            <w:shd w:val="clear" w:color="FFFFFF" w:fill="FFFFFF"/>
            <w:noWrap/>
            <w:tcMar>
              <w:left w:w="101" w:type="dxa"/>
              <w:right w:w="101" w:type="dxa"/>
            </w:tcMar>
          </w:tcPr>
          <w:p w14:paraId="0E3A16F3"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658F22CB"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F36C0A1"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288B622"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1C0016E"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E03B2F2"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EF4F3E2"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7F5788" w14:paraId="13BE1A6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7F8216"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151</w:t>
            </w:r>
          </w:p>
        </w:tc>
        <w:tc>
          <w:tcPr>
            <w:tcW w:w="2385" w:type="dxa"/>
            <w:tcBorders>
              <w:top w:val="nil"/>
              <w:left w:val="nil"/>
              <w:bottom w:val="nil"/>
              <w:right w:val="nil"/>
              <w:tl2br w:val="nil"/>
              <w:tr2bl w:val="nil"/>
            </w:tcBorders>
            <w:shd w:val="clear" w:color="FFFFFF" w:fill="FFFFFF"/>
            <w:noWrap/>
            <w:tcMar>
              <w:left w:w="101" w:type="dxa"/>
              <w:right w:w="101" w:type="dxa"/>
            </w:tcMar>
          </w:tcPr>
          <w:p w14:paraId="03AE51AC"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517FF87E"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247</w:t>
            </w:r>
          </w:p>
        </w:tc>
        <w:tc>
          <w:tcPr>
            <w:tcW w:w="1035" w:type="dxa"/>
            <w:tcBorders>
              <w:top w:val="nil"/>
              <w:left w:val="nil"/>
              <w:bottom w:val="nil"/>
              <w:right w:val="nil"/>
              <w:tl2br w:val="nil"/>
              <w:tr2bl w:val="nil"/>
            </w:tcBorders>
            <w:shd w:val="clear" w:color="FFFFFF" w:fill="FFFFFF"/>
            <w:tcMar>
              <w:left w:w="101" w:type="dxa"/>
              <w:right w:w="101" w:type="dxa"/>
            </w:tcMar>
          </w:tcPr>
          <w:p w14:paraId="356CDEC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268</w:t>
            </w:r>
          </w:p>
        </w:tc>
        <w:tc>
          <w:tcPr>
            <w:tcW w:w="600" w:type="dxa"/>
            <w:tcBorders>
              <w:top w:val="nil"/>
              <w:left w:val="nil"/>
              <w:bottom w:val="nil"/>
              <w:right w:val="nil"/>
              <w:tl2br w:val="nil"/>
              <w:tr2bl w:val="nil"/>
            </w:tcBorders>
            <w:shd w:val="clear" w:color="FFFFFF" w:fill="FFFFFF"/>
            <w:tcMar>
              <w:left w:w="101" w:type="dxa"/>
              <w:right w:w="101" w:type="dxa"/>
            </w:tcMar>
          </w:tcPr>
          <w:p w14:paraId="2CAB4C70"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42A03DDA"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289</w:t>
            </w:r>
          </w:p>
        </w:tc>
        <w:tc>
          <w:tcPr>
            <w:tcW w:w="1035" w:type="dxa"/>
            <w:tcBorders>
              <w:top w:val="nil"/>
              <w:left w:val="nil"/>
              <w:bottom w:val="nil"/>
              <w:right w:val="nil"/>
              <w:tl2br w:val="nil"/>
              <w:tr2bl w:val="nil"/>
            </w:tcBorders>
            <w:shd w:val="clear" w:color="FFFFFF" w:fill="FFFFFF"/>
            <w:tcMar>
              <w:left w:w="101" w:type="dxa"/>
              <w:right w:w="101" w:type="dxa"/>
            </w:tcMar>
          </w:tcPr>
          <w:p w14:paraId="1871B3E2"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310</w:t>
            </w:r>
          </w:p>
        </w:tc>
        <w:tc>
          <w:tcPr>
            <w:tcW w:w="1035" w:type="dxa"/>
            <w:tcBorders>
              <w:top w:val="nil"/>
              <w:left w:val="nil"/>
              <w:bottom w:val="nil"/>
              <w:right w:val="nil"/>
              <w:tl2br w:val="nil"/>
              <w:tr2bl w:val="nil"/>
            </w:tcBorders>
            <w:shd w:val="clear" w:color="FFFFFF" w:fill="FFFFFF"/>
            <w:tcMar>
              <w:left w:w="101" w:type="dxa"/>
              <w:right w:w="101" w:type="dxa"/>
            </w:tcMar>
          </w:tcPr>
          <w:p w14:paraId="5D0E96DA"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331</w:t>
            </w:r>
          </w:p>
        </w:tc>
      </w:tr>
      <w:tr w:rsidR="007F5788" w14:paraId="04325F7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08199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344</w:t>
            </w:r>
          </w:p>
        </w:tc>
        <w:tc>
          <w:tcPr>
            <w:tcW w:w="2385" w:type="dxa"/>
            <w:tcBorders>
              <w:top w:val="nil"/>
              <w:left w:val="nil"/>
              <w:bottom w:val="nil"/>
              <w:right w:val="nil"/>
              <w:tl2br w:val="nil"/>
              <w:tr2bl w:val="nil"/>
            </w:tcBorders>
            <w:shd w:val="clear" w:color="FFFFFF" w:fill="FFFFFF"/>
            <w:noWrap/>
            <w:tcMar>
              <w:left w:w="101" w:type="dxa"/>
              <w:right w:w="101" w:type="dxa"/>
            </w:tcMar>
          </w:tcPr>
          <w:p w14:paraId="74CAA1D3"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1CAF121E"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130</w:t>
            </w:r>
          </w:p>
        </w:tc>
        <w:tc>
          <w:tcPr>
            <w:tcW w:w="1035" w:type="dxa"/>
            <w:tcBorders>
              <w:top w:val="nil"/>
              <w:left w:val="nil"/>
              <w:bottom w:val="nil"/>
              <w:right w:val="nil"/>
              <w:tl2br w:val="nil"/>
              <w:tr2bl w:val="nil"/>
            </w:tcBorders>
            <w:shd w:val="clear" w:color="FFFFFF" w:fill="FFFFFF"/>
            <w:tcMar>
              <w:left w:w="101" w:type="dxa"/>
              <w:right w:w="101" w:type="dxa"/>
            </w:tcMar>
          </w:tcPr>
          <w:p w14:paraId="0356C31F"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289</w:t>
            </w:r>
          </w:p>
        </w:tc>
        <w:tc>
          <w:tcPr>
            <w:tcW w:w="600" w:type="dxa"/>
            <w:tcBorders>
              <w:top w:val="nil"/>
              <w:left w:val="nil"/>
              <w:bottom w:val="nil"/>
              <w:right w:val="nil"/>
              <w:tl2br w:val="nil"/>
              <w:tr2bl w:val="nil"/>
            </w:tcBorders>
            <w:shd w:val="clear" w:color="FFFFFF" w:fill="FFFFFF"/>
            <w:tcMar>
              <w:left w:w="101" w:type="dxa"/>
              <w:right w:w="101" w:type="dxa"/>
            </w:tcMar>
          </w:tcPr>
          <w:p w14:paraId="328834E9"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122 </w:t>
            </w:r>
          </w:p>
        </w:tc>
        <w:tc>
          <w:tcPr>
            <w:tcW w:w="1035" w:type="dxa"/>
            <w:tcBorders>
              <w:top w:val="nil"/>
              <w:left w:val="nil"/>
              <w:bottom w:val="nil"/>
              <w:right w:val="nil"/>
              <w:tl2br w:val="nil"/>
              <w:tr2bl w:val="nil"/>
            </w:tcBorders>
            <w:shd w:val="clear" w:color="FFFFFF" w:fill="FFFFFF"/>
            <w:tcMar>
              <w:left w:w="101" w:type="dxa"/>
              <w:right w:w="101" w:type="dxa"/>
            </w:tcMar>
          </w:tcPr>
          <w:p w14:paraId="2E628E69"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228</w:t>
            </w:r>
          </w:p>
        </w:tc>
        <w:tc>
          <w:tcPr>
            <w:tcW w:w="1035" w:type="dxa"/>
            <w:tcBorders>
              <w:top w:val="nil"/>
              <w:left w:val="nil"/>
              <w:bottom w:val="nil"/>
              <w:right w:val="nil"/>
              <w:tl2br w:val="nil"/>
              <w:tr2bl w:val="nil"/>
            </w:tcBorders>
            <w:shd w:val="clear" w:color="FFFFFF" w:fill="FFFFFF"/>
            <w:tcMar>
              <w:left w:w="101" w:type="dxa"/>
              <w:right w:w="101" w:type="dxa"/>
            </w:tcMar>
          </w:tcPr>
          <w:p w14:paraId="15FE1BBA"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167</w:t>
            </w:r>
          </w:p>
        </w:tc>
        <w:tc>
          <w:tcPr>
            <w:tcW w:w="1035" w:type="dxa"/>
            <w:tcBorders>
              <w:top w:val="nil"/>
              <w:left w:val="nil"/>
              <w:bottom w:val="nil"/>
              <w:right w:val="nil"/>
              <w:tl2br w:val="nil"/>
              <w:tr2bl w:val="nil"/>
            </w:tcBorders>
            <w:shd w:val="clear" w:color="FFFFFF" w:fill="FFFFFF"/>
            <w:tcMar>
              <w:left w:w="101" w:type="dxa"/>
              <w:right w:w="101" w:type="dxa"/>
            </w:tcMar>
          </w:tcPr>
          <w:p w14:paraId="507A7048"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106</w:t>
            </w:r>
          </w:p>
        </w:tc>
      </w:tr>
      <w:tr w:rsidR="007F5788" w14:paraId="6D22F4EC"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B84FB86"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B20C5C"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91069A"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B73257"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12F8C3"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DE43C7"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DB1B8E"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BD16DD" w14:textId="77777777" w:rsidR="007F5788" w:rsidRDefault="007F5788" w:rsidP="00B23E3B">
            <w:pPr>
              <w:pStyle w:val="Normal4"/>
              <w:rPr>
                <w:rFonts w:ascii="Calibri" w:eastAsia="Calibri" w:hAnsi="Calibri" w:cs="Calibri"/>
                <w:color w:val="000000"/>
                <w:sz w:val="18"/>
              </w:rPr>
            </w:pPr>
          </w:p>
        </w:tc>
      </w:tr>
      <w:tr w:rsidR="007F5788" w14:paraId="42FC371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11AFD5D"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500</w:t>
            </w:r>
          </w:p>
        </w:tc>
        <w:tc>
          <w:tcPr>
            <w:tcW w:w="2385" w:type="dxa"/>
            <w:tcBorders>
              <w:top w:val="nil"/>
              <w:left w:val="nil"/>
              <w:bottom w:val="nil"/>
              <w:right w:val="nil"/>
              <w:tl2br w:val="nil"/>
              <w:tr2bl w:val="nil"/>
            </w:tcBorders>
            <w:shd w:val="clear" w:color="FFFFFF" w:fill="FFFFFF"/>
            <w:tcMar>
              <w:left w:w="101" w:type="dxa"/>
              <w:right w:w="101" w:type="dxa"/>
            </w:tcMar>
          </w:tcPr>
          <w:p w14:paraId="3376CDE6"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FC5C6CB"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11685C93"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557</w:t>
            </w:r>
          </w:p>
        </w:tc>
        <w:tc>
          <w:tcPr>
            <w:tcW w:w="600" w:type="dxa"/>
            <w:tcBorders>
              <w:top w:val="nil"/>
              <w:left w:val="nil"/>
              <w:bottom w:val="nil"/>
              <w:right w:val="nil"/>
              <w:tl2br w:val="nil"/>
              <w:tr2bl w:val="nil"/>
            </w:tcBorders>
            <w:shd w:val="clear" w:color="FFFFFF" w:fill="FFFFFF"/>
            <w:tcMar>
              <w:left w:w="101" w:type="dxa"/>
              <w:right w:w="101" w:type="dxa"/>
            </w:tcMar>
          </w:tcPr>
          <w:p w14:paraId="6BB42C92"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48 </w:t>
            </w:r>
          </w:p>
        </w:tc>
        <w:tc>
          <w:tcPr>
            <w:tcW w:w="1035" w:type="dxa"/>
            <w:tcBorders>
              <w:top w:val="nil"/>
              <w:left w:val="nil"/>
              <w:bottom w:val="nil"/>
              <w:right w:val="nil"/>
              <w:tl2br w:val="nil"/>
              <w:tr2bl w:val="nil"/>
            </w:tcBorders>
            <w:shd w:val="clear" w:color="FFFFFF" w:fill="FFFFFF"/>
            <w:noWrap/>
            <w:tcMar>
              <w:left w:w="101" w:type="dxa"/>
              <w:right w:w="101" w:type="dxa"/>
            </w:tcMar>
          </w:tcPr>
          <w:p w14:paraId="7A1ECD94"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517</w:t>
            </w:r>
          </w:p>
        </w:tc>
        <w:tc>
          <w:tcPr>
            <w:tcW w:w="1035" w:type="dxa"/>
            <w:tcBorders>
              <w:top w:val="nil"/>
              <w:left w:val="nil"/>
              <w:bottom w:val="nil"/>
              <w:right w:val="nil"/>
              <w:tl2br w:val="nil"/>
              <w:tr2bl w:val="nil"/>
            </w:tcBorders>
            <w:shd w:val="clear" w:color="FFFFFF" w:fill="FFFFFF"/>
            <w:noWrap/>
            <w:tcMar>
              <w:left w:w="101" w:type="dxa"/>
              <w:right w:w="101" w:type="dxa"/>
            </w:tcMar>
          </w:tcPr>
          <w:p w14:paraId="0AC1A061"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1325539"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437</w:t>
            </w:r>
          </w:p>
        </w:tc>
      </w:tr>
      <w:tr w:rsidR="007F5788" w14:paraId="75E6424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DA167D"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99DAEE6"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4B8034"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820BC7"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00AB6AB"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0EB51C"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46B7BB"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03627E" w14:textId="77777777" w:rsidR="007F5788" w:rsidRDefault="007F5788" w:rsidP="00B23E3B">
            <w:pPr>
              <w:pStyle w:val="Normal4"/>
              <w:rPr>
                <w:rFonts w:ascii="Calibri" w:eastAsia="Calibri" w:hAnsi="Calibri" w:cs="Calibri"/>
                <w:color w:val="000000"/>
                <w:sz w:val="18"/>
              </w:rPr>
            </w:pPr>
          </w:p>
        </w:tc>
      </w:tr>
      <w:tr w:rsidR="007F5788" w14:paraId="376647A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D899B13" w14:textId="25BD3393"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w:t>
            </w:r>
            <w:r w:rsidR="00B23E3B">
              <w:rPr>
                <w:rFonts w:ascii="Calibri" w:eastAsia="Calibri" w:hAnsi="Calibri" w:cs="Calibri"/>
                <w:b/>
                <w:color w:val="000000"/>
                <w:sz w:val="18"/>
              </w:rPr>
              <w:t>,</w:t>
            </w:r>
            <w:r>
              <w:rPr>
                <w:rFonts w:ascii="Calibri" w:eastAsia="Calibri" w:hAnsi="Calibri" w:cs="Calibri"/>
                <w:b/>
                <w:color w:val="000000"/>
                <w:sz w:val="18"/>
              </w:rPr>
              <w:t>294</w:t>
            </w:r>
          </w:p>
        </w:tc>
        <w:tc>
          <w:tcPr>
            <w:tcW w:w="2385" w:type="dxa"/>
            <w:tcBorders>
              <w:top w:val="nil"/>
              <w:left w:val="nil"/>
              <w:bottom w:val="nil"/>
              <w:right w:val="nil"/>
              <w:tl2br w:val="nil"/>
              <w:tr2bl w:val="nil"/>
            </w:tcBorders>
            <w:shd w:val="clear" w:color="FFFFFF" w:fill="FFFFFF"/>
            <w:tcMar>
              <w:left w:w="101" w:type="dxa"/>
              <w:right w:w="101" w:type="dxa"/>
            </w:tcMar>
          </w:tcPr>
          <w:p w14:paraId="430EF65A"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00DBB5B" w14:textId="667052BC"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w:t>
            </w:r>
            <w:r w:rsidR="00B23E3B">
              <w:rPr>
                <w:rFonts w:ascii="Calibri" w:eastAsia="Calibri" w:hAnsi="Calibri" w:cs="Calibri"/>
                <w:b/>
                <w:color w:val="000000"/>
                <w:sz w:val="18"/>
              </w:rPr>
              <w:t>,</w:t>
            </w:r>
            <w:r>
              <w:rPr>
                <w:rFonts w:ascii="Calibri" w:eastAsia="Calibri" w:hAnsi="Calibri" w:cs="Calibri"/>
                <w:b/>
                <w:color w:val="000000"/>
                <w:sz w:val="18"/>
              </w:rPr>
              <w:t>321</w:t>
            </w:r>
          </w:p>
        </w:tc>
        <w:tc>
          <w:tcPr>
            <w:tcW w:w="1035" w:type="dxa"/>
            <w:tcBorders>
              <w:top w:val="nil"/>
              <w:left w:val="nil"/>
              <w:bottom w:val="nil"/>
              <w:right w:val="nil"/>
              <w:tl2br w:val="nil"/>
              <w:tr2bl w:val="nil"/>
            </w:tcBorders>
            <w:shd w:val="clear" w:color="FFFFFF" w:fill="FFFFFF"/>
            <w:noWrap/>
            <w:tcMar>
              <w:left w:w="101" w:type="dxa"/>
              <w:right w:w="101" w:type="dxa"/>
            </w:tcMar>
          </w:tcPr>
          <w:p w14:paraId="19D951AD" w14:textId="7E22E94F"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w:t>
            </w:r>
            <w:r w:rsidR="00B23E3B">
              <w:rPr>
                <w:rFonts w:ascii="Calibri" w:eastAsia="Calibri" w:hAnsi="Calibri" w:cs="Calibri"/>
                <w:b/>
                <w:color w:val="000000"/>
                <w:sz w:val="18"/>
              </w:rPr>
              <w:t>,</w:t>
            </w:r>
            <w:r>
              <w:rPr>
                <w:rFonts w:ascii="Calibri" w:eastAsia="Calibri" w:hAnsi="Calibri" w:cs="Calibri"/>
                <w:b/>
                <w:color w:val="000000"/>
                <w:sz w:val="18"/>
              </w:rPr>
              <w:t>214</w:t>
            </w:r>
          </w:p>
        </w:tc>
        <w:tc>
          <w:tcPr>
            <w:tcW w:w="600" w:type="dxa"/>
            <w:tcBorders>
              <w:top w:val="nil"/>
              <w:left w:val="nil"/>
              <w:bottom w:val="nil"/>
              <w:right w:val="nil"/>
              <w:tl2br w:val="nil"/>
              <w:tr2bl w:val="nil"/>
            </w:tcBorders>
            <w:shd w:val="clear" w:color="FFFFFF" w:fill="FFFFFF"/>
            <w:tcMar>
              <w:left w:w="101" w:type="dxa"/>
              <w:right w:w="101" w:type="dxa"/>
            </w:tcMar>
          </w:tcPr>
          <w:p w14:paraId="411F157E"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0884CBA" w14:textId="1C5D74F0"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w:t>
            </w:r>
            <w:r w:rsidR="00B23E3B">
              <w:rPr>
                <w:rFonts w:ascii="Calibri" w:eastAsia="Calibri" w:hAnsi="Calibri" w:cs="Calibri"/>
                <w:b/>
                <w:color w:val="000000"/>
                <w:sz w:val="18"/>
              </w:rPr>
              <w:t>,</w:t>
            </w:r>
            <w:r>
              <w:rPr>
                <w:rFonts w:ascii="Calibri" w:eastAsia="Calibri" w:hAnsi="Calibri" w:cs="Calibri"/>
                <w:b/>
                <w:color w:val="000000"/>
                <w:sz w:val="18"/>
              </w:rPr>
              <w:t>236</w:t>
            </w:r>
          </w:p>
        </w:tc>
        <w:tc>
          <w:tcPr>
            <w:tcW w:w="1035" w:type="dxa"/>
            <w:tcBorders>
              <w:top w:val="nil"/>
              <w:left w:val="nil"/>
              <w:bottom w:val="nil"/>
              <w:right w:val="nil"/>
              <w:tl2br w:val="nil"/>
              <w:tr2bl w:val="nil"/>
            </w:tcBorders>
            <w:shd w:val="clear" w:color="FFFFFF" w:fill="FFFFFF"/>
            <w:noWrap/>
            <w:tcMar>
              <w:left w:w="101" w:type="dxa"/>
              <w:right w:w="101" w:type="dxa"/>
            </w:tcMar>
          </w:tcPr>
          <w:p w14:paraId="67F4601F" w14:textId="485BCAC4"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w:t>
            </w:r>
            <w:r w:rsidR="00B23E3B">
              <w:rPr>
                <w:rFonts w:ascii="Calibri" w:eastAsia="Calibri" w:hAnsi="Calibri" w:cs="Calibri"/>
                <w:b/>
                <w:color w:val="000000"/>
                <w:sz w:val="18"/>
              </w:rPr>
              <w:t>,</w:t>
            </w:r>
            <w:r>
              <w:rPr>
                <w:rFonts w:ascii="Calibri" w:eastAsia="Calibri" w:hAnsi="Calibri" w:cs="Calibri"/>
                <w:b/>
                <w:color w:val="000000"/>
                <w:sz w:val="18"/>
              </w:rPr>
              <w:t>260</w:t>
            </w:r>
          </w:p>
        </w:tc>
        <w:tc>
          <w:tcPr>
            <w:tcW w:w="1035" w:type="dxa"/>
            <w:tcBorders>
              <w:top w:val="nil"/>
              <w:left w:val="nil"/>
              <w:bottom w:val="nil"/>
              <w:right w:val="nil"/>
              <w:tl2br w:val="nil"/>
              <w:tr2bl w:val="nil"/>
            </w:tcBorders>
            <w:shd w:val="clear" w:color="FFFFFF" w:fill="FFFFFF"/>
            <w:noWrap/>
            <w:tcMar>
              <w:left w:w="101" w:type="dxa"/>
              <w:right w:w="101" w:type="dxa"/>
            </w:tcMar>
          </w:tcPr>
          <w:p w14:paraId="25187C53" w14:textId="047EA829"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w:t>
            </w:r>
            <w:r w:rsidR="00B23E3B">
              <w:rPr>
                <w:rFonts w:ascii="Calibri" w:eastAsia="Calibri" w:hAnsi="Calibri" w:cs="Calibri"/>
                <w:b/>
                <w:color w:val="000000"/>
                <w:sz w:val="18"/>
              </w:rPr>
              <w:t>,</w:t>
            </w:r>
            <w:r>
              <w:rPr>
                <w:rFonts w:ascii="Calibri" w:eastAsia="Calibri" w:hAnsi="Calibri" w:cs="Calibri"/>
                <w:b/>
                <w:color w:val="000000"/>
                <w:sz w:val="18"/>
              </w:rPr>
              <w:t>286</w:t>
            </w:r>
          </w:p>
        </w:tc>
      </w:tr>
      <w:tr w:rsidR="007F5788" w14:paraId="7B9472C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D8BBA5"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AA39630"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C582D5"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90597"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982E06"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2A708C"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2C98EE"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F3B5DC" w14:textId="77777777" w:rsidR="007F5788" w:rsidRDefault="007F5788" w:rsidP="00B23E3B">
            <w:pPr>
              <w:pStyle w:val="Normal4"/>
              <w:rPr>
                <w:rFonts w:ascii="Calibri" w:eastAsia="Calibri" w:hAnsi="Calibri" w:cs="Calibri"/>
                <w:color w:val="000000"/>
                <w:sz w:val="18"/>
              </w:rPr>
            </w:pPr>
          </w:p>
        </w:tc>
      </w:tr>
      <w:tr w:rsidR="007F5788" w14:paraId="1B4DC0FF"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903ABBD" w14:textId="0A05D00A"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651</w:t>
            </w:r>
          </w:p>
        </w:tc>
        <w:tc>
          <w:tcPr>
            <w:tcW w:w="2385" w:type="dxa"/>
            <w:tcBorders>
              <w:top w:val="nil"/>
              <w:left w:val="nil"/>
              <w:bottom w:val="nil"/>
              <w:right w:val="nil"/>
              <w:tl2br w:val="nil"/>
              <w:tr2bl w:val="nil"/>
            </w:tcBorders>
            <w:shd w:val="clear" w:color="FFFFFF" w:fill="FFFFFF"/>
            <w:tcMar>
              <w:left w:w="101" w:type="dxa"/>
              <w:right w:w="101" w:type="dxa"/>
            </w:tcMar>
          </w:tcPr>
          <w:p w14:paraId="6CE01FBD"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6D2E8AB2" w14:textId="1C0ACA61"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877</w:t>
            </w:r>
          </w:p>
        </w:tc>
        <w:tc>
          <w:tcPr>
            <w:tcW w:w="1035" w:type="dxa"/>
            <w:tcBorders>
              <w:top w:val="nil"/>
              <w:left w:val="nil"/>
              <w:bottom w:val="nil"/>
              <w:right w:val="nil"/>
              <w:tl2br w:val="nil"/>
              <w:tr2bl w:val="nil"/>
            </w:tcBorders>
            <w:shd w:val="clear" w:color="FFFFFF" w:fill="FFFFFF"/>
            <w:noWrap/>
            <w:tcMar>
              <w:left w:w="101" w:type="dxa"/>
              <w:right w:w="101" w:type="dxa"/>
            </w:tcMar>
          </w:tcPr>
          <w:p w14:paraId="2D8BC461" w14:textId="6502AE4C"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708</w:t>
            </w:r>
          </w:p>
        </w:tc>
        <w:tc>
          <w:tcPr>
            <w:tcW w:w="600" w:type="dxa"/>
            <w:tcBorders>
              <w:top w:val="nil"/>
              <w:left w:val="nil"/>
              <w:bottom w:val="nil"/>
              <w:right w:val="nil"/>
              <w:tl2br w:val="nil"/>
              <w:tr2bl w:val="nil"/>
            </w:tcBorders>
            <w:shd w:val="clear" w:color="FFFFFF" w:fill="FFFFFF"/>
            <w:tcMar>
              <w:left w:w="101" w:type="dxa"/>
              <w:right w:w="101" w:type="dxa"/>
            </w:tcMar>
          </w:tcPr>
          <w:p w14:paraId="65F97E80"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2F76D65C" w14:textId="32E58941"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539</w:t>
            </w:r>
          </w:p>
        </w:tc>
        <w:tc>
          <w:tcPr>
            <w:tcW w:w="1035" w:type="dxa"/>
            <w:tcBorders>
              <w:top w:val="nil"/>
              <w:left w:val="nil"/>
              <w:bottom w:val="nil"/>
              <w:right w:val="nil"/>
              <w:tl2br w:val="nil"/>
              <w:tr2bl w:val="nil"/>
            </w:tcBorders>
            <w:shd w:val="clear" w:color="FFFFFF" w:fill="FFFFFF"/>
            <w:noWrap/>
            <w:tcMar>
              <w:left w:w="101" w:type="dxa"/>
              <w:right w:w="101" w:type="dxa"/>
            </w:tcMar>
          </w:tcPr>
          <w:p w14:paraId="7D0A4370" w14:textId="2ACF4ED1"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499</w:t>
            </w:r>
          </w:p>
        </w:tc>
        <w:tc>
          <w:tcPr>
            <w:tcW w:w="1035" w:type="dxa"/>
            <w:tcBorders>
              <w:top w:val="nil"/>
              <w:left w:val="nil"/>
              <w:bottom w:val="nil"/>
              <w:right w:val="nil"/>
              <w:tl2br w:val="nil"/>
              <w:tr2bl w:val="nil"/>
            </w:tcBorders>
            <w:shd w:val="clear" w:color="FFFFFF" w:fill="FFFFFF"/>
            <w:noWrap/>
            <w:tcMar>
              <w:left w:w="101" w:type="dxa"/>
              <w:right w:w="101" w:type="dxa"/>
            </w:tcMar>
          </w:tcPr>
          <w:p w14:paraId="0DCA0C7D" w14:textId="6E0F7759"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446</w:t>
            </w:r>
          </w:p>
        </w:tc>
      </w:tr>
      <w:tr w:rsidR="007F5788" w14:paraId="4EF32F4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10F1C936" w14:textId="77777777" w:rsidR="007F5788" w:rsidRDefault="007F5788" w:rsidP="00B23E3B">
            <w:pPr>
              <w:pStyle w:val="Normal4"/>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26C0D68A"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7F5788" w14:paraId="7125963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693A50"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9EEFD81"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803406"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58B541"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2E47BF"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8328A8"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BB6655"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51B8A7" w14:textId="77777777" w:rsidR="007F5788" w:rsidRDefault="007F5788" w:rsidP="00B23E3B">
            <w:pPr>
              <w:pStyle w:val="Normal4"/>
              <w:rPr>
                <w:rFonts w:ascii="Calibri" w:eastAsia="Calibri" w:hAnsi="Calibri" w:cs="Calibri"/>
                <w:color w:val="000000"/>
                <w:sz w:val="18"/>
              </w:rPr>
            </w:pPr>
          </w:p>
        </w:tc>
      </w:tr>
      <w:tr w:rsidR="007F5788" w14:paraId="5337BCB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FFA022" w14:textId="62627FD9"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974</w:t>
            </w:r>
          </w:p>
        </w:tc>
        <w:tc>
          <w:tcPr>
            <w:tcW w:w="2385" w:type="dxa"/>
            <w:tcBorders>
              <w:top w:val="nil"/>
              <w:left w:val="nil"/>
              <w:bottom w:val="nil"/>
              <w:right w:val="nil"/>
              <w:tl2br w:val="nil"/>
              <w:tr2bl w:val="nil"/>
            </w:tcBorders>
            <w:shd w:val="clear" w:color="FFFFFF" w:fill="FFFFFF"/>
            <w:noWrap/>
            <w:tcMar>
              <w:left w:w="101" w:type="dxa"/>
              <w:right w:w="101" w:type="dxa"/>
            </w:tcMar>
          </w:tcPr>
          <w:p w14:paraId="6EAF0A19"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4C234170" w14:textId="77CFA509"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200</w:t>
            </w:r>
          </w:p>
        </w:tc>
        <w:tc>
          <w:tcPr>
            <w:tcW w:w="1035" w:type="dxa"/>
            <w:tcBorders>
              <w:top w:val="nil"/>
              <w:left w:val="nil"/>
              <w:bottom w:val="nil"/>
              <w:right w:val="nil"/>
              <w:tl2br w:val="nil"/>
              <w:tr2bl w:val="nil"/>
            </w:tcBorders>
            <w:shd w:val="clear" w:color="FFFFFF" w:fill="FFFFFF"/>
            <w:tcMar>
              <w:left w:w="101" w:type="dxa"/>
              <w:right w:w="101" w:type="dxa"/>
            </w:tcMar>
          </w:tcPr>
          <w:p w14:paraId="7F92564D" w14:textId="73FB381D"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031</w:t>
            </w:r>
          </w:p>
        </w:tc>
        <w:tc>
          <w:tcPr>
            <w:tcW w:w="600" w:type="dxa"/>
            <w:tcBorders>
              <w:top w:val="nil"/>
              <w:left w:val="nil"/>
              <w:bottom w:val="nil"/>
              <w:right w:val="nil"/>
              <w:tl2br w:val="nil"/>
              <w:tr2bl w:val="nil"/>
            </w:tcBorders>
            <w:shd w:val="clear" w:color="FFFFFF" w:fill="FFFFFF"/>
            <w:tcMar>
              <w:left w:w="101" w:type="dxa"/>
              <w:right w:w="101" w:type="dxa"/>
            </w:tcMar>
          </w:tcPr>
          <w:p w14:paraId="2C05C867"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74E5D7C7" w14:textId="07A49578"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862</w:t>
            </w:r>
          </w:p>
        </w:tc>
        <w:tc>
          <w:tcPr>
            <w:tcW w:w="1035" w:type="dxa"/>
            <w:tcBorders>
              <w:top w:val="nil"/>
              <w:left w:val="nil"/>
              <w:bottom w:val="nil"/>
              <w:right w:val="nil"/>
              <w:tl2br w:val="nil"/>
              <w:tr2bl w:val="nil"/>
            </w:tcBorders>
            <w:shd w:val="clear" w:color="FFFFFF" w:fill="FFFFFF"/>
            <w:tcMar>
              <w:left w:w="101" w:type="dxa"/>
              <w:right w:w="101" w:type="dxa"/>
            </w:tcMar>
          </w:tcPr>
          <w:p w14:paraId="3093EE9F" w14:textId="5006C37B"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822</w:t>
            </w:r>
          </w:p>
        </w:tc>
        <w:tc>
          <w:tcPr>
            <w:tcW w:w="1035" w:type="dxa"/>
            <w:tcBorders>
              <w:top w:val="nil"/>
              <w:left w:val="nil"/>
              <w:bottom w:val="nil"/>
              <w:right w:val="nil"/>
              <w:tl2br w:val="nil"/>
              <w:tr2bl w:val="nil"/>
            </w:tcBorders>
            <w:shd w:val="clear" w:color="FFFFFF" w:fill="FFFFFF"/>
            <w:tcMar>
              <w:left w:w="101" w:type="dxa"/>
              <w:right w:w="101" w:type="dxa"/>
            </w:tcMar>
          </w:tcPr>
          <w:p w14:paraId="36361105" w14:textId="2E8629F0"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769</w:t>
            </w:r>
          </w:p>
        </w:tc>
      </w:tr>
      <w:tr w:rsidR="007F5788" w14:paraId="3B29427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4E9DE8"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2385" w:type="dxa"/>
            <w:tcBorders>
              <w:top w:val="nil"/>
              <w:left w:val="nil"/>
              <w:bottom w:val="nil"/>
              <w:right w:val="nil"/>
              <w:tl2br w:val="nil"/>
              <w:tr2bl w:val="nil"/>
            </w:tcBorders>
            <w:shd w:val="clear" w:color="FFFFFF" w:fill="FFFFFF"/>
            <w:noWrap/>
            <w:tcMar>
              <w:left w:w="101" w:type="dxa"/>
              <w:right w:w="101" w:type="dxa"/>
            </w:tcMar>
          </w:tcPr>
          <w:p w14:paraId="0F0C8B53" w14:textId="77777777" w:rsidR="007F5788" w:rsidRDefault="007F5788" w:rsidP="00B23E3B">
            <w:pPr>
              <w:pStyle w:val="Normal4"/>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6F49B1E9"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tcMar>
              <w:left w:w="101" w:type="dxa"/>
              <w:right w:w="101" w:type="dxa"/>
            </w:tcMar>
          </w:tcPr>
          <w:p w14:paraId="793B31C6"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600" w:type="dxa"/>
            <w:tcBorders>
              <w:top w:val="nil"/>
              <w:left w:val="nil"/>
              <w:bottom w:val="nil"/>
              <w:right w:val="nil"/>
              <w:tl2br w:val="nil"/>
              <w:tr2bl w:val="nil"/>
            </w:tcBorders>
            <w:shd w:val="clear" w:color="FFFFFF" w:fill="FFFFFF"/>
            <w:tcMar>
              <w:left w:w="101" w:type="dxa"/>
              <w:right w:w="101" w:type="dxa"/>
            </w:tcMar>
          </w:tcPr>
          <w:p w14:paraId="6EF17C20"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133D9ED"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tcMar>
              <w:left w:w="101" w:type="dxa"/>
              <w:right w:w="101" w:type="dxa"/>
            </w:tcMar>
          </w:tcPr>
          <w:p w14:paraId="7D3C2E23"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tcMar>
              <w:left w:w="101" w:type="dxa"/>
              <w:right w:w="101" w:type="dxa"/>
            </w:tcMar>
          </w:tcPr>
          <w:p w14:paraId="08C2FB24" w14:textId="77777777" w:rsidR="007F5788" w:rsidRDefault="007F5788" w:rsidP="00B23E3B">
            <w:pPr>
              <w:pStyle w:val="Normal4"/>
              <w:jc w:val="right"/>
              <w:rPr>
                <w:rFonts w:ascii="Calibri" w:eastAsia="Calibri" w:hAnsi="Calibri" w:cs="Calibri"/>
                <w:color w:val="000000"/>
                <w:sz w:val="18"/>
              </w:rPr>
            </w:pPr>
            <w:r>
              <w:rPr>
                <w:rFonts w:ascii="Calibri" w:eastAsia="Calibri" w:hAnsi="Calibri" w:cs="Calibri"/>
                <w:color w:val="000000"/>
                <w:sz w:val="18"/>
              </w:rPr>
              <w:t>677</w:t>
            </w:r>
          </w:p>
        </w:tc>
      </w:tr>
      <w:tr w:rsidR="007F5788" w14:paraId="6F9B1C0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E76D0D" w14:textId="77777777" w:rsidR="007F5788" w:rsidRDefault="007F5788" w:rsidP="00B23E3B">
            <w:pPr>
              <w:pStyle w:val="Normal4"/>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4F70CE"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A74395"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D8A689" w14:textId="77777777" w:rsidR="007F5788" w:rsidRDefault="007F5788" w:rsidP="00B23E3B">
            <w:pPr>
              <w:pStyle w:val="Normal4"/>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79B5E6"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443A7C"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84592C" w14:textId="77777777" w:rsidR="007F5788" w:rsidRDefault="007F5788" w:rsidP="00B23E3B">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5DDAAF" w14:textId="77777777" w:rsidR="007F5788" w:rsidRDefault="007F5788" w:rsidP="00B23E3B">
            <w:pPr>
              <w:pStyle w:val="Normal4"/>
              <w:rPr>
                <w:rFonts w:ascii="Calibri" w:eastAsia="Calibri" w:hAnsi="Calibri" w:cs="Calibri"/>
                <w:b/>
                <w:color w:val="000000"/>
                <w:sz w:val="18"/>
              </w:rPr>
            </w:pPr>
          </w:p>
        </w:tc>
      </w:tr>
      <w:tr w:rsidR="007F5788" w14:paraId="47685C9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C900C92" w14:textId="6C03B75F"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651</w:t>
            </w:r>
          </w:p>
        </w:tc>
        <w:tc>
          <w:tcPr>
            <w:tcW w:w="2385" w:type="dxa"/>
            <w:tcBorders>
              <w:top w:val="nil"/>
              <w:left w:val="nil"/>
              <w:bottom w:val="nil"/>
              <w:right w:val="nil"/>
              <w:tl2br w:val="nil"/>
              <w:tr2bl w:val="nil"/>
            </w:tcBorders>
            <w:shd w:val="clear" w:color="FFFFFF" w:fill="FFFFFF"/>
            <w:tcMar>
              <w:left w:w="101" w:type="dxa"/>
              <w:right w:w="101" w:type="dxa"/>
            </w:tcMar>
          </w:tcPr>
          <w:p w14:paraId="2D3EFB9B" w14:textId="77777777" w:rsidR="007F5788" w:rsidRDefault="007F5788" w:rsidP="00B23E3B">
            <w:pPr>
              <w:pStyle w:val="Normal4"/>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6447367C" w14:textId="659EB9E3"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877</w:t>
            </w:r>
          </w:p>
        </w:tc>
        <w:tc>
          <w:tcPr>
            <w:tcW w:w="1035" w:type="dxa"/>
            <w:tcBorders>
              <w:top w:val="nil"/>
              <w:left w:val="nil"/>
              <w:bottom w:val="nil"/>
              <w:right w:val="nil"/>
              <w:tl2br w:val="nil"/>
              <w:tr2bl w:val="nil"/>
            </w:tcBorders>
            <w:shd w:val="clear" w:color="FFFFFF" w:fill="FFFFFF"/>
            <w:noWrap/>
            <w:tcMar>
              <w:left w:w="101" w:type="dxa"/>
              <w:right w:w="101" w:type="dxa"/>
            </w:tcMar>
          </w:tcPr>
          <w:p w14:paraId="1B021056" w14:textId="154E1568"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708</w:t>
            </w:r>
          </w:p>
        </w:tc>
        <w:tc>
          <w:tcPr>
            <w:tcW w:w="600" w:type="dxa"/>
            <w:tcBorders>
              <w:top w:val="nil"/>
              <w:left w:val="nil"/>
              <w:bottom w:val="nil"/>
              <w:right w:val="nil"/>
              <w:tl2br w:val="nil"/>
              <w:tr2bl w:val="nil"/>
            </w:tcBorders>
            <w:shd w:val="clear" w:color="FFFFFF" w:fill="FFFFFF"/>
            <w:tcMar>
              <w:left w:w="101" w:type="dxa"/>
              <w:right w:w="101" w:type="dxa"/>
            </w:tcMar>
          </w:tcPr>
          <w:p w14:paraId="39396C30" w14:textId="77777777"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6AF84913" w14:textId="6F97E562"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539</w:t>
            </w:r>
          </w:p>
        </w:tc>
        <w:tc>
          <w:tcPr>
            <w:tcW w:w="1035" w:type="dxa"/>
            <w:tcBorders>
              <w:top w:val="nil"/>
              <w:left w:val="nil"/>
              <w:bottom w:val="nil"/>
              <w:right w:val="nil"/>
              <w:tl2br w:val="nil"/>
              <w:tr2bl w:val="nil"/>
            </w:tcBorders>
            <w:shd w:val="clear" w:color="FFFFFF" w:fill="FFFFFF"/>
            <w:noWrap/>
            <w:tcMar>
              <w:left w:w="101" w:type="dxa"/>
              <w:right w:w="101" w:type="dxa"/>
            </w:tcMar>
          </w:tcPr>
          <w:p w14:paraId="52183D5C" w14:textId="3147E00E"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499</w:t>
            </w:r>
          </w:p>
        </w:tc>
        <w:tc>
          <w:tcPr>
            <w:tcW w:w="1035" w:type="dxa"/>
            <w:tcBorders>
              <w:top w:val="nil"/>
              <w:left w:val="nil"/>
              <w:bottom w:val="nil"/>
              <w:right w:val="nil"/>
              <w:tl2br w:val="nil"/>
              <w:tr2bl w:val="nil"/>
            </w:tcBorders>
            <w:shd w:val="clear" w:color="FFFFFF" w:fill="FFFFFF"/>
            <w:noWrap/>
            <w:tcMar>
              <w:left w:w="101" w:type="dxa"/>
              <w:right w:w="101" w:type="dxa"/>
            </w:tcMar>
          </w:tcPr>
          <w:p w14:paraId="06F6DC26" w14:textId="2D6B51E1" w:rsidR="007F5788" w:rsidRDefault="007F5788" w:rsidP="00B23E3B">
            <w:pPr>
              <w:pStyle w:val="Normal4"/>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446</w:t>
            </w:r>
          </w:p>
        </w:tc>
      </w:tr>
      <w:tr w:rsidR="007F5788" w14:paraId="3FDFEDE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9B5154E" w14:textId="77777777" w:rsidR="007F5788" w:rsidRDefault="007F5788" w:rsidP="00B23E3B">
            <w:pPr>
              <w:pStyle w:val="Normal4"/>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2FEFBE6"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1260A1"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B11AB33" w14:textId="77777777" w:rsidR="007F5788" w:rsidRDefault="007F5788" w:rsidP="00B23E3B">
            <w:pPr>
              <w:pStyle w:val="Normal4"/>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FE1A287"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E24EBE3"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97A2AF3" w14:textId="77777777" w:rsidR="007F5788" w:rsidRDefault="007F5788" w:rsidP="00B23E3B">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ECE6AB2" w14:textId="77777777" w:rsidR="007F5788" w:rsidRDefault="007F5788" w:rsidP="00B23E3B">
            <w:pPr>
              <w:pStyle w:val="Normal4"/>
              <w:rPr>
                <w:rFonts w:ascii="Calibri" w:eastAsia="Calibri" w:hAnsi="Calibri" w:cs="Calibri"/>
                <w:color w:val="000000"/>
                <w:sz w:val="18"/>
              </w:rPr>
            </w:pPr>
          </w:p>
        </w:tc>
      </w:tr>
    </w:tbl>
    <w:p w14:paraId="0CB69C73" w14:textId="77777777" w:rsidR="007F5788" w:rsidRPr="00DB70E3" w:rsidRDefault="007F5788" w:rsidP="007F5788">
      <w:pPr>
        <w:pStyle w:val="Caption"/>
        <w:pageBreakBefore/>
        <w:pBdr>
          <w:top w:val="nil"/>
          <w:left w:val="nil"/>
          <w:bottom w:val="nil"/>
          <w:right w:val="nil"/>
          <w:between w:val="nil"/>
          <w:bar w:val="nil"/>
        </w:pBdr>
        <w:outlineLvl w:val="0"/>
        <w:rPr>
          <w:bdr w:val="nil"/>
        </w:rPr>
      </w:pPr>
      <w:r>
        <w:rPr>
          <w:bdr w:val="nil"/>
        </w:rPr>
        <w:lastRenderedPageBreak/>
        <w:t xml:space="preserve">Table 7: Public Trustee and Guardian: Statement of Changes in Equity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7F5788" w14:paraId="2A6ADF60" w14:textId="77777777" w:rsidTr="00B23E3B">
        <w:trPr>
          <w:trHeight w:val="121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9C9FF9"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17B1F624"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213C7F06"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28E1C8A5"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8DB3602" w14:textId="77777777" w:rsidR="007F5788" w:rsidRDefault="007F5788" w:rsidP="00B23E3B">
            <w:pPr>
              <w:pStyle w:val="Normal9"/>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B3E34A"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2020-21 Interim Outcome at 30/6/21</w:t>
            </w:r>
          </w:p>
          <w:p w14:paraId="6C234B66"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1066C4"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0D433776"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66B35D91"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0A196A42"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0E0CA5"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Var</w:t>
            </w:r>
          </w:p>
          <w:p w14:paraId="1207BEEE"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3471A6"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4CF8C831"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7F24E64D"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45A40465"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496A3D"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5B7D6DF1"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75EF90D6"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02945D3A"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0C93ABD"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12DF0EC6"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12468F8F"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37FE1B52"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r>
      <w:tr w:rsidR="007F5788" w14:paraId="30ADADC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081D65" w14:textId="77777777" w:rsidR="007F5788" w:rsidRDefault="007F5788" w:rsidP="00B23E3B">
            <w:pPr>
              <w:pStyle w:val="Normal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F5C9C63" w14:textId="77777777" w:rsidR="007F5788" w:rsidRDefault="007F5788" w:rsidP="00B23E3B">
            <w:pPr>
              <w:pStyle w:val="Normal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EE83CA2"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E6AF54E" w14:textId="77777777" w:rsidR="007F5788" w:rsidRDefault="007F5788" w:rsidP="00B23E3B">
            <w:pPr>
              <w:pStyle w:val="Normal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851A540"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3D6203"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0E5FE27"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254221E" w14:textId="77777777" w:rsidR="007F5788" w:rsidRDefault="007F5788" w:rsidP="00B23E3B">
            <w:pPr>
              <w:pStyle w:val="Normal9"/>
              <w:jc w:val="right"/>
              <w:rPr>
                <w:rFonts w:ascii="Calibri" w:eastAsia="Calibri" w:hAnsi="Calibri" w:cs="Calibri"/>
                <w:b/>
                <w:i/>
                <w:color w:val="000000"/>
                <w:sz w:val="18"/>
              </w:rPr>
            </w:pPr>
          </w:p>
        </w:tc>
      </w:tr>
      <w:tr w:rsidR="007F5788" w14:paraId="27431B9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1F116DF" w14:textId="77777777" w:rsidR="007F5788" w:rsidRDefault="007F5788" w:rsidP="00B23E3B">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69071F7B"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514FB3E9"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B5BFA4" w14:textId="77777777" w:rsidR="007F5788" w:rsidRDefault="007F5788" w:rsidP="00B23E3B">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C85FA27"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DA8282"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CD94FC"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D966A1" w14:textId="77777777" w:rsidR="007F5788" w:rsidRDefault="007F5788" w:rsidP="00B23E3B">
            <w:pPr>
              <w:pStyle w:val="Normal9"/>
              <w:jc w:val="right"/>
              <w:rPr>
                <w:rFonts w:ascii="Calibri" w:eastAsia="Calibri" w:hAnsi="Calibri" w:cs="Calibri"/>
                <w:b/>
                <w:i/>
                <w:color w:val="000000"/>
                <w:sz w:val="18"/>
              </w:rPr>
            </w:pPr>
          </w:p>
        </w:tc>
      </w:tr>
      <w:tr w:rsidR="007F5788" w14:paraId="750F8BD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4860EF3" w14:textId="2390B62C"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811</w:t>
            </w:r>
          </w:p>
        </w:tc>
        <w:tc>
          <w:tcPr>
            <w:tcW w:w="2385" w:type="dxa"/>
            <w:tcBorders>
              <w:top w:val="nil"/>
              <w:left w:val="nil"/>
              <w:bottom w:val="nil"/>
              <w:right w:val="nil"/>
              <w:tl2br w:val="nil"/>
              <w:tr2bl w:val="nil"/>
            </w:tcBorders>
            <w:shd w:val="clear" w:color="auto" w:fill="auto"/>
            <w:noWrap/>
            <w:tcMar>
              <w:left w:w="101" w:type="dxa"/>
              <w:right w:w="101" w:type="dxa"/>
            </w:tcMar>
          </w:tcPr>
          <w:p w14:paraId="35F868BA" w14:textId="77777777" w:rsidR="007F5788" w:rsidRDefault="007F5788" w:rsidP="00B23E3B">
            <w:pPr>
              <w:pStyle w:val="Normal9"/>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5D6895B" w14:textId="01A969C4"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811</w:t>
            </w:r>
          </w:p>
        </w:tc>
        <w:tc>
          <w:tcPr>
            <w:tcW w:w="1035" w:type="dxa"/>
            <w:tcBorders>
              <w:top w:val="nil"/>
              <w:left w:val="nil"/>
              <w:bottom w:val="nil"/>
              <w:right w:val="nil"/>
              <w:tl2br w:val="nil"/>
              <w:tr2bl w:val="nil"/>
            </w:tcBorders>
            <w:shd w:val="clear" w:color="FFFFFF" w:fill="FFFFFF"/>
            <w:noWrap/>
            <w:tcMar>
              <w:left w:w="101" w:type="dxa"/>
              <w:right w:w="101" w:type="dxa"/>
            </w:tcMar>
          </w:tcPr>
          <w:p w14:paraId="62601D1B" w14:textId="5B4B2505"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200</w:t>
            </w:r>
          </w:p>
        </w:tc>
        <w:tc>
          <w:tcPr>
            <w:tcW w:w="600" w:type="dxa"/>
            <w:tcBorders>
              <w:top w:val="nil"/>
              <w:left w:val="nil"/>
              <w:bottom w:val="nil"/>
              <w:right w:val="nil"/>
              <w:tl2br w:val="nil"/>
              <w:tr2bl w:val="nil"/>
            </w:tcBorders>
            <w:shd w:val="clear" w:color="FFFFFF" w:fill="FFFFFF"/>
            <w:noWrap/>
            <w:tcMar>
              <w:left w:w="101" w:type="dxa"/>
              <w:right w:w="101" w:type="dxa"/>
            </w:tcMar>
          </w:tcPr>
          <w:p w14:paraId="1C4985BA"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4B9C0025" w14:textId="6CD82015"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031</w:t>
            </w:r>
          </w:p>
        </w:tc>
        <w:tc>
          <w:tcPr>
            <w:tcW w:w="1035" w:type="dxa"/>
            <w:tcBorders>
              <w:top w:val="nil"/>
              <w:left w:val="nil"/>
              <w:bottom w:val="nil"/>
              <w:right w:val="nil"/>
              <w:tl2br w:val="nil"/>
              <w:tr2bl w:val="nil"/>
            </w:tcBorders>
            <w:shd w:val="clear" w:color="FFFFFF" w:fill="FFFFFF"/>
            <w:noWrap/>
            <w:tcMar>
              <w:left w:w="101" w:type="dxa"/>
              <w:right w:w="101" w:type="dxa"/>
            </w:tcMar>
          </w:tcPr>
          <w:p w14:paraId="3ABE6189" w14:textId="3A53C72E"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862</w:t>
            </w:r>
          </w:p>
        </w:tc>
        <w:tc>
          <w:tcPr>
            <w:tcW w:w="1035" w:type="dxa"/>
            <w:tcBorders>
              <w:top w:val="nil"/>
              <w:left w:val="nil"/>
              <w:bottom w:val="nil"/>
              <w:right w:val="nil"/>
              <w:tl2br w:val="nil"/>
              <w:tr2bl w:val="nil"/>
            </w:tcBorders>
            <w:shd w:val="clear" w:color="FFFFFF" w:fill="FFFFFF"/>
            <w:noWrap/>
            <w:tcMar>
              <w:left w:w="101" w:type="dxa"/>
              <w:right w:w="101" w:type="dxa"/>
            </w:tcMar>
          </w:tcPr>
          <w:p w14:paraId="34B0934C" w14:textId="3B0D0BCC"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822</w:t>
            </w:r>
          </w:p>
        </w:tc>
      </w:tr>
      <w:tr w:rsidR="007F5788" w14:paraId="112BEA3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075CBDE"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2385" w:type="dxa"/>
            <w:tcBorders>
              <w:top w:val="nil"/>
              <w:left w:val="nil"/>
              <w:bottom w:val="nil"/>
              <w:right w:val="nil"/>
              <w:tl2br w:val="nil"/>
              <w:tr2bl w:val="nil"/>
            </w:tcBorders>
            <w:shd w:val="clear" w:color="auto" w:fill="auto"/>
            <w:tcMar>
              <w:left w:w="101" w:type="dxa"/>
              <w:right w:w="101" w:type="dxa"/>
            </w:tcMar>
          </w:tcPr>
          <w:p w14:paraId="721AE62D" w14:textId="77777777" w:rsidR="007F5788" w:rsidRDefault="007F5788" w:rsidP="00B23E3B">
            <w:pPr>
              <w:pStyle w:val="Normal9"/>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0CFD4729"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6B9F9847"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600" w:type="dxa"/>
            <w:tcBorders>
              <w:top w:val="nil"/>
              <w:left w:val="nil"/>
              <w:bottom w:val="nil"/>
              <w:right w:val="nil"/>
              <w:tl2br w:val="nil"/>
              <w:tr2bl w:val="nil"/>
            </w:tcBorders>
            <w:shd w:val="clear" w:color="FFFFFF" w:fill="FFFFFF"/>
            <w:noWrap/>
            <w:tcMar>
              <w:left w:w="101" w:type="dxa"/>
              <w:right w:w="101" w:type="dxa"/>
            </w:tcMar>
          </w:tcPr>
          <w:p w14:paraId="64A1D852"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FF4BDCC"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5B220630"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354396D"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r>
      <w:tr w:rsidR="007F5788" w14:paraId="5AAB939F"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CC4C466" w14:textId="77777777" w:rsidR="007F5788" w:rsidRDefault="007F5788" w:rsidP="00B23E3B">
            <w:pPr>
              <w:pStyle w:val="Normal9"/>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03AF7265"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C45166" w14:textId="77777777" w:rsidR="007F5788" w:rsidRDefault="007F5788" w:rsidP="00B23E3B">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73A58D" w14:textId="77777777" w:rsidR="007F5788" w:rsidRDefault="007F5788" w:rsidP="00B23E3B">
            <w:pPr>
              <w:pStyle w:val="Normal9"/>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9A2D07C"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252313" w14:textId="77777777" w:rsidR="007F5788" w:rsidRDefault="007F5788" w:rsidP="00B23E3B">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BF7DD3" w14:textId="77777777" w:rsidR="007F5788" w:rsidRDefault="007F5788" w:rsidP="00B23E3B">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4ACD1D" w14:textId="77777777" w:rsidR="007F5788" w:rsidRDefault="007F5788" w:rsidP="00B23E3B">
            <w:pPr>
              <w:pStyle w:val="Normal9"/>
              <w:jc w:val="right"/>
              <w:rPr>
                <w:rFonts w:ascii="Calibri" w:eastAsia="Calibri" w:hAnsi="Calibri" w:cs="Calibri"/>
                <w:b/>
                <w:color w:val="000000"/>
                <w:sz w:val="18"/>
              </w:rPr>
            </w:pPr>
          </w:p>
        </w:tc>
      </w:tr>
      <w:tr w:rsidR="007F5788" w14:paraId="12480C2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34B1C8C" w14:textId="7E8A7403"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488</w:t>
            </w:r>
          </w:p>
        </w:tc>
        <w:tc>
          <w:tcPr>
            <w:tcW w:w="2385" w:type="dxa"/>
            <w:tcBorders>
              <w:top w:val="nil"/>
              <w:left w:val="nil"/>
              <w:bottom w:val="nil"/>
              <w:right w:val="nil"/>
              <w:tl2br w:val="nil"/>
              <w:tr2bl w:val="nil"/>
            </w:tcBorders>
            <w:shd w:val="clear" w:color="auto" w:fill="auto"/>
            <w:tcMar>
              <w:left w:w="101" w:type="dxa"/>
              <w:right w:w="101" w:type="dxa"/>
            </w:tcMar>
          </w:tcPr>
          <w:p w14:paraId="7392DBE8"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640B4433" w14:textId="20918E4E"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488</w:t>
            </w:r>
          </w:p>
        </w:tc>
        <w:tc>
          <w:tcPr>
            <w:tcW w:w="1035" w:type="dxa"/>
            <w:tcBorders>
              <w:top w:val="nil"/>
              <w:left w:val="nil"/>
              <w:bottom w:val="nil"/>
              <w:right w:val="nil"/>
              <w:tl2br w:val="nil"/>
              <w:tr2bl w:val="nil"/>
            </w:tcBorders>
            <w:shd w:val="clear" w:color="FFFFFF" w:fill="FFFFFF"/>
            <w:noWrap/>
            <w:tcMar>
              <w:left w:w="101" w:type="dxa"/>
              <w:right w:w="101" w:type="dxa"/>
            </w:tcMar>
          </w:tcPr>
          <w:p w14:paraId="1F443F1B" w14:textId="0B0CF984"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877</w:t>
            </w:r>
          </w:p>
        </w:tc>
        <w:tc>
          <w:tcPr>
            <w:tcW w:w="600" w:type="dxa"/>
            <w:tcBorders>
              <w:top w:val="nil"/>
              <w:left w:val="nil"/>
              <w:bottom w:val="nil"/>
              <w:right w:val="nil"/>
              <w:tl2br w:val="nil"/>
              <w:tr2bl w:val="nil"/>
            </w:tcBorders>
            <w:shd w:val="clear" w:color="FFFFFF" w:fill="FFFFFF"/>
            <w:noWrap/>
            <w:tcMar>
              <w:left w:w="101" w:type="dxa"/>
              <w:right w:w="101" w:type="dxa"/>
            </w:tcMar>
          </w:tcPr>
          <w:p w14:paraId="1835BBD6"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noWrap/>
            <w:tcMar>
              <w:left w:w="101" w:type="dxa"/>
              <w:right w:w="101" w:type="dxa"/>
            </w:tcMar>
          </w:tcPr>
          <w:p w14:paraId="6073D017" w14:textId="0BCCF2C1"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708</w:t>
            </w:r>
          </w:p>
        </w:tc>
        <w:tc>
          <w:tcPr>
            <w:tcW w:w="1035" w:type="dxa"/>
            <w:tcBorders>
              <w:top w:val="nil"/>
              <w:left w:val="nil"/>
              <w:bottom w:val="nil"/>
              <w:right w:val="nil"/>
              <w:tl2br w:val="nil"/>
              <w:tr2bl w:val="nil"/>
            </w:tcBorders>
            <w:shd w:val="clear" w:color="FFFFFF" w:fill="FFFFFF"/>
            <w:noWrap/>
            <w:tcMar>
              <w:left w:w="101" w:type="dxa"/>
              <w:right w:w="101" w:type="dxa"/>
            </w:tcMar>
          </w:tcPr>
          <w:p w14:paraId="5602E9E8" w14:textId="5089999F"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539</w:t>
            </w:r>
          </w:p>
        </w:tc>
        <w:tc>
          <w:tcPr>
            <w:tcW w:w="1035" w:type="dxa"/>
            <w:tcBorders>
              <w:top w:val="nil"/>
              <w:left w:val="nil"/>
              <w:bottom w:val="nil"/>
              <w:right w:val="nil"/>
              <w:tl2br w:val="nil"/>
              <w:tr2bl w:val="nil"/>
            </w:tcBorders>
            <w:shd w:val="clear" w:color="FFFFFF" w:fill="FFFFFF"/>
            <w:noWrap/>
            <w:tcMar>
              <w:left w:w="101" w:type="dxa"/>
              <w:right w:w="101" w:type="dxa"/>
            </w:tcMar>
          </w:tcPr>
          <w:p w14:paraId="48D4442B" w14:textId="49D75BDA"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499</w:t>
            </w:r>
          </w:p>
        </w:tc>
      </w:tr>
      <w:tr w:rsidR="007F5788" w14:paraId="55CC7DD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105EDAE" w14:textId="77777777" w:rsidR="007F5788" w:rsidRDefault="007F5788" w:rsidP="00B23E3B">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B7C260C" w14:textId="77777777" w:rsidR="007F5788" w:rsidRDefault="007F5788" w:rsidP="00B23E3B">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CC5B53"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D84523" w14:textId="77777777" w:rsidR="007F5788" w:rsidRDefault="007F5788" w:rsidP="00B23E3B">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9E11C37"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045546"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4862D4" w14:textId="77777777" w:rsidR="007F5788" w:rsidRDefault="007F5788" w:rsidP="00B23E3B">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D04375B" w14:textId="77777777" w:rsidR="007F5788" w:rsidRDefault="007F5788" w:rsidP="00B23E3B">
            <w:pPr>
              <w:pStyle w:val="Normal9"/>
              <w:jc w:val="right"/>
              <w:rPr>
                <w:rFonts w:ascii="Calibri" w:eastAsia="Calibri" w:hAnsi="Calibri" w:cs="Calibri"/>
                <w:b/>
                <w:i/>
                <w:color w:val="000000"/>
                <w:sz w:val="18"/>
              </w:rPr>
            </w:pPr>
          </w:p>
        </w:tc>
      </w:tr>
      <w:tr w:rsidR="007F5788" w14:paraId="4386519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1039A29"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23DEB91"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3C82D6E5"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7AD208"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CD83148"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E76FB9"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B5F182"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FEF83F" w14:textId="77777777" w:rsidR="007F5788" w:rsidRDefault="007F5788" w:rsidP="00B23E3B">
            <w:pPr>
              <w:pStyle w:val="Normal9"/>
              <w:rPr>
                <w:rFonts w:ascii="Calibri" w:eastAsia="Calibri" w:hAnsi="Calibri" w:cs="Calibri"/>
                <w:color w:val="000000"/>
                <w:sz w:val="18"/>
              </w:rPr>
            </w:pPr>
          </w:p>
        </w:tc>
      </w:tr>
      <w:tr w:rsidR="007F5788" w14:paraId="113B10A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2F408DC"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163</w:t>
            </w:r>
          </w:p>
        </w:tc>
        <w:tc>
          <w:tcPr>
            <w:tcW w:w="2385" w:type="dxa"/>
            <w:tcBorders>
              <w:top w:val="nil"/>
              <w:left w:val="nil"/>
              <w:bottom w:val="nil"/>
              <w:right w:val="nil"/>
              <w:tl2br w:val="nil"/>
              <w:tr2bl w:val="nil"/>
            </w:tcBorders>
            <w:shd w:val="clear" w:color="auto" w:fill="auto"/>
            <w:tcMar>
              <w:left w:w="101" w:type="dxa"/>
              <w:right w:w="101" w:type="dxa"/>
            </w:tcMar>
          </w:tcPr>
          <w:p w14:paraId="3704A9F4" w14:textId="77777777" w:rsidR="007F5788" w:rsidRDefault="007F5788" w:rsidP="00B23E3B">
            <w:pPr>
              <w:pStyle w:val="Normal9"/>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48F8BACD"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775</w:t>
            </w:r>
          </w:p>
        </w:tc>
        <w:tc>
          <w:tcPr>
            <w:tcW w:w="1035" w:type="dxa"/>
            <w:tcBorders>
              <w:top w:val="nil"/>
              <w:left w:val="nil"/>
              <w:bottom w:val="nil"/>
              <w:right w:val="nil"/>
              <w:tl2br w:val="nil"/>
              <w:tr2bl w:val="nil"/>
            </w:tcBorders>
            <w:shd w:val="clear" w:color="FFFFFF" w:fill="FFFFFF"/>
            <w:noWrap/>
            <w:tcMar>
              <w:left w:w="101" w:type="dxa"/>
              <w:right w:w="101" w:type="dxa"/>
            </w:tcMar>
          </w:tcPr>
          <w:p w14:paraId="0923170E"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-169</w:t>
            </w:r>
          </w:p>
        </w:tc>
        <w:tc>
          <w:tcPr>
            <w:tcW w:w="600" w:type="dxa"/>
            <w:tcBorders>
              <w:top w:val="nil"/>
              <w:left w:val="nil"/>
              <w:bottom w:val="nil"/>
              <w:right w:val="nil"/>
              <w:tl2br w:val="nil"/>
              <w:tr2bl w:val="nil"/>
            </w:tcBorders>
            <w:shd w:val="clear" w:color="FFFFFF" w:fill="FFFFFF"/>
            <w:noWrap/>
            <w:tcMar>
              <w:left w:w="101" w:type="dxa"/>
              <w:right w:w="101" w:type="dxa"/>
            </w:tcMar>
          </w:tcPr>
          <w:p w14:paraId="223819A1"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 xml:space="preserve">-122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5D3BE90A"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-169</w:t>
            </w:r>
          </w:p>
        </w:tc>
        <w:tc>
          <w:tcPr>
            <w:tcW w:w="1035" w:type="dxa"/>
            <w:tcBorders>
              <w:top w:val="nil"/>
              <w:left w:val="nil"/>
              <w:bottom w:val="nil"/>
              <w:right w:val="nil"/>
              <w:tl2br w:val="nil"/>
              <w:tr2bl w:val="nil"/>
            </w:tcBorders>
            <w:shd w:val="clear" w:color="FFFFFF" w:fill="FFFFFF"/>
            <w:noWrap/>
            <w:tcMar>
              <w:left w:w="101" w:type="dxa"/>
              <w:right w:w="101" w:type="dxa"/>
            </w:tcMar>
          </w:tcPr>
          <w:p w14:paraId="5E67FD45"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-40</w:t>
            </w:r>
          </w:p>
        </w:tc>
        <w:tc>
          <w:tcPr>
            <w:tcW w:w="1035" w:type="dxa"/>
            <w:tcBorders>
              <w:top w:val="nil"/>
              <w:left w:val="nil"/>
              <w:bottom w:val="nil"/>
              <w:right w:val="nil"/>
              <w:tl2br w:val="nil"/>
              <w:tr2bl w:val="nil"/>
            </w:tcBorders>
            <w:shd w:val="clear" w:color="FFFFFF" w:fill="FFFFFF"/>
            <w:noWrap/>
            <w:tcMar>
              <w:left w:w="101" w:type="dxa"/>
              <w:right w:w="101" w:type="dxa"/>
            </w:tcMar>
          </w:tcPr>
          <w:p w14:paraId="566C3BB2"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-53</w:t>
            </w:r>
          </w:p>
        </w:tc>
      </w:tr>
      <w:tr w:rsidR="007F5788" w14:paraId="34C6F0C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1F9B8B9"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4304895" w14:textId="77777777" w:rsidR="007F5788" w:rsidRDefault="007F5788" w:rsidP="00B23E3B">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5D3885"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4E2F97"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C849590"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6A89C2"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33A628"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79F55D" w14:textId="77777777" w:rsidR="007F5788" w:rsidRDefault="007F5788" w:rsidP="00B23E3B">
            <w:pPr>
              <w:pStyle w:val="Normal9"/>
              <w:rPr>
                <w:rFonts w:ascii="Calibri" w:eastAsia="Calibri" w:hAnsi="Calibri" w:cs="Calibri"/>
                <w:color w:val="000000"/>
                <w:sz w:val="18"/>
              </w:rPr>
            </w:pPr>
          </w:p>
        </w:tc>
      </w:tr>
      <w:tr w:rsidR="007F5788" w14:paraId="55BDE67B"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F0F630C"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163</w:t>
            </w:r>
          </w:p>
        </w:tc>
        <w:tc>
          <w:tcPr>
            <w:tcW w:w="2385" w:type="dxa"/>
            <w:tcBorders>
              <w:top w:val="nil"/>
              <w:left w:val="nil"/>
              <w:bottom w:val="nil"/>
              <w:right w:val="nil"/>
              <w:tl2br w:val="nil"/>
              <w:tr2bl w:val="nil"/>
            </w:tcBorders>
            <w:shd w:val="clear" w:color="FFFFFF" w:fill="FFFFFF"/>
            <w:tcMar>
              <w:left w:w="101" w:type="dxa"/>
              <w:right w:w="101" w:type="dxa"/>
            </w:tcMar>
          </w:tcPr>
          <w:p w14:paraId="1C57A704"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69AF0E41"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775</w:t>
            </w:r>
          </w:p>
        </w:tc>
        <w:tc>
          <w:tcPr>
            <w:tcW w:w="1035" w:type="dxa"/>
            <w:tcBorders>
              <w:top w:val="nil"/>
              <w:left w:val="nil"/>
              <w:bottom w:val="nil"/>
              <w:right w:val="nil"/>
              <w:tl2br w:val="nil"/>
              <w:tr2bl w:val="nil"/>
            </w:tcBorders>
            <w:shd w:val="clear" w:color="FFFFFF" w:fill="FFFFFF"/>
            <w:noWrap/>
            <w:tcMar>
              <w:left w:w="101" w:type="dxa"/>
              <w:right w:w="101" w:type="dxa"/>
            </w:tcMar>
          </w:tcPr>
          <w:p w14:paraId="7BC2D097"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-169</w:t>
            </w:r>
          </w:p>
        </w:tc>
        <w:tc>
          <w:tcPr>
            <w:tcW w:w="600" w:type="dxa"/>
            <w:tcBorders>
              <w:top w:val="nil"/>
              <w:left w:val="nil"/>
              <w:bottom w:val="nil"/>
              <w:right w:val="nil"/>
              <w:tl2br w:val="nil"/>
              <w:tr2bl w:val="nil"/>
            </w:tcBorders>
            <w:shd w:val="clear" w:color="FFFFFF" w:fill="FFFFFF"/>
            <w:noWrap/>
            <w:tcMar>
              <w:left w:w="101" w:type="dxa"/>
              <w:right w:w="101" w:type="dxa"/>
            </w:tcMar>
          </w:tcPr>
          <w:p w14:paraId="7BC93028"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70495FBF"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-169</w:t>
            </w:r>
          </w:p>
        </w:tc>
        <w:tc>
          <w:tcPr>
            <w:tcW w:w="1035" w:type="dxa"/>
            <w:tcBorders>
              <w:top w:val="nil"/>
              <w:left w:val="nil"/>
              <w:bottom w:val="nil"/>
              <w:right w:val="nil"/>
              <w:tl2br w:val="nil"/>
              <w:tr2bl w:val="nil"/>
            </w:tcBorders>
            <w:shd w:val="clear" w:color="FFFFFF" w:fill="FFFFFF"/>
            <w:noWrap/>
            <w:tcMar>
              <w:left w:w="101" w:type="dxa"/>
              <w:right w:w="101" w:type="dxa"/>
            </w:tcMar>
          </w:tcPr>
          <w:p w14:paraId="49EB0DE9"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81704C"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-53</w:t>
            </w:r>
          </w:p>
        </w:tc>
      </w:tr>
      <w:tr w:rsidR="007F5788" w14:paraId="32A1BDE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13FD279"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87A6B56" w14:textId="77777777" w:rsidR="007F5788" w:rsidRDefault="007F5788" w:rsidP="00B23E3B">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7493FD"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5E3144"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294EE2D"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81DA1D"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9952FE"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11BD8E" w14:textId="77777777" w:rsidR="007F5788" w:rsidRDefault="007F5788" w:rsidP="00B23E3B">
            <w:pPr>
              <w:pStyle w:val="Normal9"/>
              <w:rPr>
                <w:rFonts w:ascii="Calibri" w:eastAsia="Calibri" w:hAnsi="Calibri" w:cs="Calibri"/>
                <w:color w:val="000000"/>
                <w:sz w:val="18"/>
              </w:rPr>
            </w:pPr>
          </w:p>
        </w:tc>
      </w:tr>
      <w:tr w:rsidR="007F5788" w14:paraId="35965D3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1FF7EDF"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1B2E1B7"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8A05E0"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100510"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99F3AD7" w14:textId="77777777" w:rsidR="007F5788" w:rsidRDefault="007F5788" w:rsidP="00B23E3B">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A0FFAF"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7D8B2F"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513CCD" w14:textId="77777777" w:rsidR="007F5788" w:rsidRDefault="007F5788" w:rsidP="00B23E3B">
            <w:pPr>
              <w:pStyle w:val="Normal9"/>
              <w:rPr>
                <w:rFonts w:ascii="Calibri" w:eastAsia="Calibri" w:hAnsi="Calibri" w:cs="Calibri"/>
                <w:color w:val="000000"/>
                <w:sz w:val="18"/>
              </w:rPr>
            </w:pPr>
          </w:p>
        </w:tc>
      </w:tr>
      <w:tr w:rsidR="007F5788" w14:paraId="236536D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481D6AC"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64157553"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642E01F"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E9CDF79"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3361979"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D7BFBD2"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87857FE"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BD487A8"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7F5788" w14:paraId="505BBD4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CF489EC"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C5C240F"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E04113"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2D1F6B"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91AF11C" w14:textId="77777777" w:rsidR="007F5788" w:rsidRDefault="007F5788" w:rsidP="00B23E3B">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A0A393"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B02787"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E939D0" w14:textId="77777777" w:rsidR="007F5788" w:rsidRDefault="007F5788" w:rsidP="00B23E3B">
            <w:pPr>
              <w:pStyle w:val="Normal9"/>
              <w:rPr>
                <w:rFonts w:ascii="Calibri" w:eastAsia="Calibri" w:hAnsi="Calibri" w:cs="Calibri"/>
                <w:color w:val="000000"/>
                <w:sz w:val="18"/>
              </w:rPr>
            </w:pPr>
          </w:p>
        </w:tc>
      </w:tr>
      <w:tr w:rsidR="007F5788" w14:paraId="72E2DB0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0" w:type="dxa"/>
              <w:right w:w="0" w:type="dxa"/>
            </w:tcMar>
          </w:tcPr>
          <w:p w14:paraId="6A780E2C"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AC4AA98"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c>
          <w:tcPr>
            <w:tcW w:w="1035" w:type="dxa"/>
            <w:tcBorders>
              <w:top w:val="nil"/>
              <w:left w:val="nil"/>
              <w:bottom w:val="nil"/>
              <w:right w:val="nil"/>
              <w:tl2br w:val="nil"/>
              <w:tr2bl w:val="nil"/>
            </w:tcBorders>
            <w:shd w:val="clear" w:color="auto" w:fill="auto"/>
            <w:tcMar>
              <w:left w:w="0" w:type="dxa"/>
              <w:right w:w="0" w:type="dxa"/>
            </w:tcMar>
          </w:tcPr>
          <w:p w14:paraId="05D13F52" w14:textId="77777777" w:rsidR="007F5788" w:rsidRDefault="007F5788" w:rsidP="00B23E3B">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4776E5CF" w14:textId="77777777" w:rsidR="007F5788" w:rsidRDefault="007F5788" w:rsidP="00B23E3B">
            <w:pPr>
              <w:pStyle w:val="Normal9"/>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0" w:type="dxa"/>
              <w:right w:w="0" w:type="dxa"/>
            </w:tcMar>
          </w:tcPr>
          <w:p w14:paraId="375B18CE" w14:textId="77777777" w:rsidR="007F5788" w:rsidRDefault="007F5788" w:rsidP="00B23E3B">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3CD3722D" w14:textId="77777777" w:rsidR="007F5788" w:rsidRDefault="007F5788" w:rsidP="00B23E3B">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16CFEBF0" w14:textId="77777777" w:rsidR="007F5788" w:rsidRDefault="007F5788" w:rsidP="00B23E3B">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419B0385" w14:textId="77777777" w:rsidR="007F5788" w:rsidRDefault="007F5788" w:rsidP="00B23E3B">
            <w:pPr>
              <w:pStyle w:val="Normal9"/>
              <w:rPr>
                <w:rFonts w:ascii="Calibri" w:eastAsia="Calibri" w:hAnsi="Calibri" w:cs="Calibri"/>
                <w:b/>
                <w:color w:val="000000"/>
                <w:sz w:val="18"/>
              </w:rPr>
            </w:pPr>
          </w:p>
        </w:tc>
      </w:tr>
      <w:tr w:rsidR="007F5788" w14:paraId="78E0F18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3F9BA52"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E6D8B5F"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887C19"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0DBAF3"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FC9DD76" w14:textId="77777777" w:rsidR="007F5788" w:rsidRDefault="007F5788" w:rsidP="00B23E3B">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41C1F9"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BB3995"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9CF7F3" w14:textId="77777777" w:rsidR="007F5788" w:rsidRDefault="007F5788" w:rsidP="00B23E3B">
            <w:pPr>
              <w:pStyle w:val="Normal9"/>
              <w:rPr>
                <w:rFonts w:ascii="Calibri" w:eastAsia="Calibri" w:hAnsi="Calibri" w:cs="Calibri"/>
                <w:color w:val="000000"/>
                <w:sz w:val="18"/>
              </w:rPr>
            </w:pPr>
          </w:p>
        </w:tc>
      </w:tr>
      <w:tr w:rsidR="007F5788" w14:paraId="36E6D13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689FAAFA"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506F234B"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2A9D25B"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7F7CC4B"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8652DEA"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C9F4D97"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6705CB1"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FA0CD0A"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7F5788" w14:paraId="478BA09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FF45FD4"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D0D1ABC"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C78C85"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668549"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C14197D" w14:textId="77777777" w:rsidR="007F5788" w:rsidRDefault="007F5788" w:rsidP="00B23E3B">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228D54"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949CD8"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51CF53" w14:textId="77777777" w:rsidR="007F5788" w:rsidRDefault="007F5788" w:rsidP="00B23E3B">
            <w:pPr>
              <w:pStyle w:val="Normal9"/>
              <w:rPr>
                <w:rFonts w:ascii="Calibri" w:eastAsia="Calibri" w:hAnsi="Calibri" w:cs="Calibri"/>
                <w:color w:val="000000"/>
                <w:sz w:val="18"/>
              </w:rPr>
            </w:pPr>
          </w:p>
        </w:tc>
      </w:tr>
      <w:tr w:rsidR="007F5788" w14:paraId="54695E1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29C50AA"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51CF701C"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E0CC0A9"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47C8BE"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EED0773" w14:textId="77777777" w:rsidR="007F5788" w:rsidRDefault="007F5788" w:rsidP="00B23E3B">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43AC3B"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332B07"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066BFC" w14:textId="77777777" w:rsidR="007F5788" w:rsidRDefault="007F5788" w:rsidP="00B23E3B">
            <w:pPr>
              <w:pStyle w:val="Normal9"/>
              <w:rPr>
                <w:rFonts w:ascii="Calibri" w:eastAsia="Calibri" w:hAnsi="Calibri" w:cs="Calibri"/>
                <w:color w:val="000000"/>
                <w:sz w:val="18"/>
              </w:rPr>
            </w:pPr>
          </w:p>
        </w:tc>
      </w:tr>
      <w:tr w:rsidR="007F5788" w14:paraId="1E1D290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94C67E2" w14:textId="65EB9408"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974</w:t>
            </w:r>
          </w:p>
        </w:tc>
        <w:tc>
          <w:tcPr>
            <w:tcW w:w="2385" w:type="dxa"/>
            <w:tcBorders>
              <w:top w:val="nil"/>
              <w:left w:val="nil"/>
              <w:bottom w:val="nil"/>
              <w:right w:val="nil"/>
              <w:tl2br w:val="nil"/>
              <w:tr2bl w:val="nil"/>
            </w:tcBorders>
            <w:shd w:val="clear" w:color="auto" w:fill="auto"/>
            <w:tcMar>
              <w:left w:w="101" w:type="dxa"/>
              <w:right w:w="101" w:type="dxa"/>
            </w:tcMar>
          </w:tcPr>
          <w:p w14:paraId="333A31C7" w14:textId="77777777" w:rsidR="007F5788" w:rsidRDefault="007F5788" w:rsidP="00B23E3B">
            <w:pPr>
              <w:pStyle w:val="Normal9"/>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A946F9D" w14:textId="199AEEF2"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200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B8ACF74" w14:textId="67CD6CF0"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031</w:t>
            </w:r>
          </w:p>
        </w:tc>
        <w:tc>
          <w:tcPr>
            <w:tcW w:w="600" w:type="dxa"/>
            <w:tcBorders>
              <w:top w:val="nil"/>
              <w:left w:val="nil"/>
              <w:bottom w:val="nil"/>
              <w:right w:val="nil"/>
              <w:tl2br w:val="nil"/>
              <w:tr2bl w:val="nil"/>
            </w:tcBorders>
            <w:shd w:val="clear" w:color="FFFFFF" w:fill="FFFFFF"/>
            <w:noWrap/>
            <w:tcMar>
              <w:left w:w="101" w:type="dxa"/>
              <w:right w:w="101" w:type="dxa"/>
            </w:tcMar>
          </w:tcPr>
          <w:p w14:paraId="67453A74"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65E05F83" w14:textId="4ED927C6"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862</w:t>
            </w:r>
          </w:p>
        </w:tc>
        <w:tc>
          <w:tcPr>
            <w:tcW w:w="1035" w:type="dxa"/>
            <w:tcBorders>
              <w:top w:val="nil"/>
              <w:left w:val="nil"/>
              <w:bottom w:val="nil"/>
              <w:right w:val="nil"/>
              <w:tl2br w:val="nil"/>
              <w:tr2bl w:val="nil"/>
            </w:tcBorders>
            <w:shd w:val="clear" w:color="FFFFFF" w:fill="FFFFFF"/>
            <w:noWrap/>
            <w:tcMar>
              <w:left w:w="101" w:type="dxa"/>
              <w:right w:w="101" w:type="dxa"/>
            </w:tcMar>
          </w:tcPr>
          <w:p w14:paraId="6BBD0997" w14:textId="7BD7C90B"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822</w:t>
            </w:r>
          </w:p>
        </w:tc>
        <w:tc>
          <w:tcPr>
            <w:tcW w:w="1035" w:type="dxa"/>
            <w:tcBorders>
              <w:top w:val="nil"/>
              <w:left w:val="nil"/>
              <w:bottom w:val="nil"/>
              <w:right w:val="nil"/>
              <w:tl2br w:val="nil"/>
              <w:tr2bl w:val="nil"/>
            </w:tcBorders>
            <w:shd w:val="clear" w:color="FFFFFF" w:fill="FFFFFF"/>
            <w:noWrap/>
            <w:tcMar>
              <w:left w:w="101" w:type="dxa"/>
              <w:right w:w="101" w:type="dxa"/>
            </w:tcMar>
          </w:tcPr>
          <w:p w14:paraId="4E25E05D" w14:textId="20489D5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3</w:t>
            </w:r>
            <w:r w:rsidR="00B23E3B">
              <w:rPr>
                <w:rFonts w:ascii="Calibri" w:eastAsia="Calibri" w:hAnsi="Calibri" w:cs="Calibri"/>
                <w:color w:val="000000"/>
                <w:sz w:val="18"/>
              </w:rPr>
              <w:t>,</w:t>
            </w:r>
            <w:r>
              <w:rPr>
                <w:rFonts w:ascii="Calibri" w:eastAsia="Calibri" w:hAnsi="Calibri" w:cs="Calibri"/>
                <w:color w:val="000000"/>
                <w:sz w:val="18"/>
              </w:rPr>
              <w:t>769</w:t>
            </w:r>
          </w:p>
        </w:tc>
      </w:tr>
      <w:tr w:rsidR="007F5788" w14:paraId="3614440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FBBB1D4"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2385" w:type="dxa"/>
            <w:tcBorders>
              <w:top w:val="nil"/>
              <w:left w:val="nil"/>
              <w:bottom w:val="nil"/>
              <w:right w:val="nil"/>
              <w:tl2br w:val="nil"/>
              <w:tr2bl w:val="nil"/>
            </w:tcBorders>
            <w:shd w:val="clear" w:color="auto" w:fill="auto"/>
            <w:tcMar>
              <w:left w:w="101" w:type="dxa"/>
              <w:right w:w="101" w:type="dxa"/>
            </w:tcMar>
          </w:tcPr>
          <w:p w14:paraId="3EA20C60" w14:textId="77777777" w:rsidR="007F5788" w:rsidRDefault="007F5788" w:rsidP="00B23E3B">
            <w:pPr>
              <w:pStyle w:val="Normal9"/>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69C18A1A"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0DBEF5F"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600" w:type="dxa"/>
            <w:tcBorders>
              <w:top w:val="nil"/>
              <w:left w:val="nil"/>
              <w:bottom w:val="nil"/>
              <w:right w:val="nil"/>
              <w:tl2br w:val="nil"/>
              <w:tr2bl w:val="nil"/>
            </w:tcBorders>
            <w:shd w:val="clear" w:color="FFFFFF" w:fill="FFFFFF"/>
            <w:noWrap/>
            <w:tcMar>
              <w:left w:w="101" w:type="dxa"/>
              <w:right w:w="101" w:type="dxa"/>
            </w:tcMar>
          </w:tcPr>
          <w:p w14:paraId="507AE6E1"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5F817A3"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69AF9025"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0F39C3AC" w14:textId="77777777" w:rsidR="007F5788" w:rsidRDefault="007F5788" w:rsidP="00B23E3B">
            <w:pPr>
              <w:pStyle w:val="Normal9"/>
              <w:jc w:val="right"/>
              <w:rPr>
                <w:rFonts w:ascii="Calibri" w:eastAsia="Calibri" w:hAnsi="Calibri" w:cs="Calibri"/>
                <w:color w:val="000000"/>
                <w:sz w:val="18"/>
              </w:rPr>
            </w:pPr>
            <w:r>
              <w:rPr>
                <w:rFonts w:ascii="Calibri" w:eastAsia="Calibri" w:hAnsi="Calibri" w:cs="Calibri"/>
                <w:color w:val="000000"/>
                <w:sz w:val="18"/>
              </w:rPr>
              <w:t>677</w:t>
            </w:r>
          </w:p>
        </w:tc>
      </w:tr>
      <w:tr w:rsidR="007F5788" w14:paraId="2C0B017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281756A"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B822CEF"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02CD53"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8BD6C6"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9BB39CD" w14:textId="77777777" w:rsidR="007F5788" w:rsidRDefault="007F5788" w:rsidP="00B23E3B">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A55F70"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4B3018"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80CB7C" w14:textId="77777777" w:rsidR="007F5788" w:rsidRDefault="007F5788" w:rsidP="00B23E3B">
            <w:pPr>
              <w:pStyle w:val="Normal9"/>
              <w:rPr>
                <w:rFonts w:ascii="Calibri" w:eastAsia="Calibri" w:hAnsi="Calibri" w:cs="Calibri"/>
                <w:color w:val="000000"/>
                <w:sz w:val="18"/>
              </w:rPr>
            </w:pPr>
          </w:p>
        </w:tc>
      </w:tr>
      <w:tr w:rsidR="007F5788" w14:paraId="30AEDE9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D439BD4" w14:textId="1CC8CD4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651</w:t>
            </w:r>
          </w:p>
        </w:tc>
        <w:tc>
          <w:tcPr>
            <w:tcW w:w="2385" w:type="dxa"/>
            <w:tcBorders>
              <w:top w:val="nil"/>
              <w:left w:val="nil"/>
              <w:bottom w:val="nil"/>
              <w:right w:val="nil"/>
              <w:tl2br w:val="nil"/>
              <w:tr2bl w:val="nil"/>
            </w:tcBorders>
            <w:shd w:val="clear" w:color="FFFFFF" w:fill="FFFFFF"/>
            <w:tcMar>
              <w:left w:w="101" w:type="dxa"/>
              <w:right w:w="101" w:type="dxa"/>
            </w:tcMar>
          </w:tcPr>
          <w:p w14:paraId="65BDE1F0" w14:textId="77777777" w:rsidR="007F5788" w:rsidRDefault="007F5788" w:rsidP="00B23E3B">
            <w:pPr>
              <w:pStyle w:val="Normal9"/>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4091B0CB" w14:textId="5E77D8E2"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877</w:t>
            </w:r>
          </w:p>
        </w:tc>
        <w:tc>
          <w:tcPr>
            <w:tcW w:w="1035" w:type="dxa"/>
            <w:tcBorders>
              <w:top w:val="nil"/>
              <w:left w:val="nil"/>
              <w:bottom w:val="nil"/>
              <w:right w:val="nil"/>
              <w:tl2br w:val="nil"/>
              <w:tr2bl w:val="nil"/>
            </w:tcBorders>
            <w:shd w:val="clear" w:color="FFFFFF" w:fill="FFFFFF"/>
            <w:noWrap/>
            <w:tcMar>
              <w:left w:w="101" w:type="dxa"/>
              <w:right w:w="101" w:type="dxa"/>
            </w:tcMar>
          </w:tcPr>
          <w:p w14:paraId="30383835" w14:textId="36C849DE"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708</w:t>
            </w:r>
          </w:p>
        </w:tc>
        <w:tc>
          <w:tcPr>
            <w:tcW w:w="600" w:type="dxa"/>
            <w:tcBorders>
              <w:top w:val="nil"/>
              <w:left w:val="nil"/>
              <w:bottom w:val="nil"/>
              <w:right w:val="nil"/>
              <w:tl2br w:val="nil"/>
              <w:tr2bl w:val="nil"/>
            </w:tcBorders>
            <w:shd w:val="clear" w:color="FFFFFF" w:fill="FFFFFF"/>
            <w:noWrap/>
            <w:tcMar>
              <w:left w:w="101" w:type="dxa"/>
              <w:right w:w="101" w:type="dxa"/>
            </w:tcMar>
          </w:tcPr>
          <w:p w14:paraId="77D128A2" w14:textId="77777777"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2E10D7D2" w14:textId="3CC6957A"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539</w:t>
            </w:r>
          </w:p>
        </w:tc>
        <w:tc>
          <w:tcPr>
            <w:tcW w:w="1035" w:type="dxa"/>
            <w:tcBorders>
              <w:top w:val="nil"/>
              <w:left w:val="nil"/>
              <w:bottom w:val="nil"/>
              <w:right w:val="nil"/>
              <w:tl2br w:val="nil"/>
              <w:tr2bl w:val="nil"/>
            </w:tcBorders>
            <w:shd w:val="clear" w:color="FFFFFF" w:fill="FFFFFF"/>
            <w:noWrap/>
            <w:tcMar>
              <w:left w:w="101" w:type="dxa"/>
              <w:right w:w="101" w:type="dxa"/>
            </w:tcMar>
          </w:tcPr>
          <w:p w14:paraId="57346EA0" w14:textId="29613C45"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499</w:t>
            </w:r>
          </w:p>
        </w:tc>
        <w:tc>
          <w:tcPr>
            <w:tcW w:w="1035" w:type="dxa"/>
            <w:tcBorders>
              <w:top w:val="nil"/>
              <w:left w:val="nil"/>
              <w:bottom w:val="nil"/>
              <w:right w:val="nil"/>
              <w:tl2br w:val="nil"/>
              <w:tr2bl w:val="nil"/>
            </w:tcBorders>
            <w:shd w:val="clear" w:color="FFFFFF" w:fill="FFFFFF"/>
            <w:noWrap/>
            <w:tcMar>
              <w:left w:w="101" w:type="dxa"/>
              <w:right w:w="101" w:type="dxa"/>
            </w:tcMar>
          </w:tcPr>
          <w:p w14:paraId="1184DA14" w14:textId="1251D978" w:rsidR="007F5788" w:rsidRDefault="007F5788" w:rsidP="00B23E3B">
            <w:pPr>
              <w:pStyle w:val="Normal9"/>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446</w:t>
            </w:r>
          </w:p>
        </w:tc>
      </w:tr>
      <w:tr w:rsidR="007F5788" w14:paraId="7F975676"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F9E694D" w14:textId="77777777" w:rsidR="007F5788" w:rsidRDefault="007F5788" w:rsidP="00B23E3B">
            <w:pPr>
              <w:pStyle w:val="Normal9"/>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B3A8105"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7472AF"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60838E" w14:textId="77777777" w:rsidR="007F5788" w:rsidRDefault="007F5788" w:rsidP="00B23E3B">
            <w:pPr>
              <w:pStyle w:val="Normal9"/>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5A3D293"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8D23222"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2DA2F4D" w14:textId="77777777" w:rsidR="007F5788" w:rsidRDefault="007F5788" w:rsidP="00B23E3B">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755547E" w14:textId="77777777" w:rsidR="007F5788" w:rsidRDefault="007F5788" w:rsidP="00B23E3B">
            <w:pPr>
              <w:pStyle w:val="Normal9"/>
              <w:rPr>
                <w:rFonts w:ascii="Calibri" w:eastAsia="Calibri" w:hAnsi="Calibri" w:cs="Calibri"/>
                <w:color w:val="000000"/>
                <w:sz w:val="18"/>
              </w:rPr>
            </w:pPr>
          </w:p>
        </w:tc>
      </w:tr>
    </w:tbl>
    <w:p w14:paraId="6BDCF443" w14:textId="77777777" w:rsidR="007F5788" w:rsidRDefault="007F5788" w:rsidP="007F5788">
      <w:pPr>
        <w:pStyle w:val="Caption"/>
        <w:pageBreakBefore/>
        <w:pBdr>
          <w:top w:val="nil"/>
          <w:left w:val="nil"/>
          <w:bottom w:val="nil"/>
          <w:right w:val="nil"/>
          <w:between w:val="nil"/>
          <w:bar w:val="nil"/>
        </w:pBdr>
        <w:outlineLvl w:val="0"/>
        <w:rPr>
          <w:bdr w:val="nil"/>
        </w:rPr>
      </w:pPr>
      <w:r>
        <w:rPr>
          <w:bdr w:val="nil"/>
        </w:rPr>
        <w:lastRenderedPageBreak/>
        <w:t xml:space="preserve">Table 8: Public Trustee and Guardian: Cash Flow Statement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7F5788" w14:paraId="1D08F977" w14:textId="77777777" w:rsidTr="00B23E3B">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69390E0"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36298F75" w14:textId="77777777" w:rsidR="007F5788" w:rsidRDefault="007F5788" w:rsidP="00B23E3B">
            <w:pPr>
              <w:pStyle w:val="Normal10"/>
              <w:jc w:val="right"/>
              <w:rPr>
                <w:rFonts w:ascii="Calibri" w:eastAsia="Calibri" w:hAnsi="Calibri" w:cs="Calibri"/>
                <w:b/>
                <w:color w:val="000000"/>
                <w:sz w:val="18"/>
              </w:rPr>
            </w:pPr>
          </w:p>
          <w:p w14:paraId="73714A2D"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C3795E9" w14:textId="77777777" w:rsidR="007F5788" w:rsidRDefault="007F5788" w:rsidP="00B23E3B">
            <w:pPr>
              <w:pStyle w:val="Normal10"/>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B7EE555"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30D7FB"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2DA7374" w14:textId="77777777" w:rsidR="007F5788" w:rsidRDefault="007F5788" w:rsidP="00B23E3B">
            <w:pPr>
              <w:pStyle w:val="Normal10"/>
              <w:jc w:val="right"/>
              <w:rPr>
                <w:rFonts w:ascii="Calibri" w:eastAsia="Calibri" w:hAnsi="Calibri" w:cs="Calibri"/>
                <w:b/>
                <w:color w:val="000000"/>
                <w:sz w:val="18"/>
              </w:rPr>
            </w:pPr>
          </w:p>
          <w:p w14:paraId="318BF69E"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180DE31"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Var </w:t>
            </w:r>
          </w:p>
          <w:p w14:paraId="27D8F2FE"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8EEB10C"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080AEABC" w14:textId="77777777" w:rsidR="007F5788" w:rsidRDefault="007F5788" w:rsidP="00B23E3B">
            <w:pPr>
              <w:pStyle w:val="Normal10"/>
              <w:jc w:val="right"/>
              <w:rPr>
                <w:rFonts w:ascii="Calibri" w:eastAsia="Calibri" w:hAnsi="Calibri" w:cs="Calibri"/>
                <w:b/>
                <w:color w:val="000000"/>
                <w:sz w:val="18"/>
              </w:rPr>
            </w:pPr>
          </w:p>
          <w:p w14:paraId="25DBEBD1"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0F26947"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6EBD6CAE" w14:textId="77777777" w:rsidR="007F5788" w:rsidRDefault="007F5788" w:rsidP="00B23E3B">
            <w:pPr>
              <w:pStyle w:val="Normal10"/>
              <w:jc w:val="right"/>
              <w:rPr>
                <w:rFonts w:ascii="Calibri" w:eastAsia="Calibri" w:hAnsi="Calibri" w:cs="Calibri"/>
                <w:b/>
                <w:color w:val="000000"/>
                <w:sz w:val="18"/>
              </w:rPr>
            </w:pPr>
          </w:p>
          <w:p w14:paraId="73FF4FA3"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49F1255"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058F12EF" w14:textId="77777777" w:rsidR="007F5788" w:rsidRDefault="007F5788" w:rsidP="00B23E3B">
            <w:pPr>
              <w:pStyle w:val="Normal10"/>
              <w:jc w:val="right"/>
              <w:rPr>
                <w:rFonts w:ascii="Calibri" w:eastAsia="Calibri" w:hAnsi="Calibri" w:cs="Calibri"/>
                <w:b/>
                <w:color w:val="000000"/>
                <w:sz w:val="18"/>
              </w:rPr>
            </w:pPr>
          </w:p>
          <w:p w14:paraId="5CD61C4F"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7F5788" w14:paraId="465103B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C56F9E2" w14:textId="77777777" w:rsidR="007F5788" w:rsidRDefault="007F5788" w:rsidP="00B23E3B">
            <w:pPr>
              <w:pStyle w:val="Normal10"/>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FBD4106" w14:textId="77777777" w:rsidR="007F5788" w:rsidRDefault="007F5788" w:rsidP="00B23E3B">
            <w:pPr>
              <w:pStyle w:val="Normal10"/>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7448A4" w14:textId="77777777" w:rsidR="007F5788" w:rsidRDefault="007F5788" w:rsidP="00B23E3B">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A137DAB" w14:textId="77777777" w:rsidR="007F5788" w:rsidRDefault="007F5788" w:rsidP="00B23E3B">
            <w:pPr>
              <w:pStyle w:val="Normal10"/>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8C8C48A" w14:textId="77777777" w:rsidR="007F5788" w:rsidRDefault="007F5788" w:rsidP="00B23E3B">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928BD8B" w14:textId="77777777" w:rsidR="007F5788" w:rsidRDefault="007F5788" w:rsidP="00B23E3B">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FC6E6B" w14:textId="77777777" w:rsidR="007F5788" w:rsidRDefault="007F5788" w:rsidP="00B23E3B">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124A816" w14:textId="77777777" w:rsidR="007F5788" w:rsidRDefault="007F5788" w:rsidP="00B23E3B">
            <w:pPr>
              <w:pStyle w:val="Normal10"/>
              <w:jc w:val="right"/>
              <w:rPr>
                <w:rFonts w:ascii="Calibri" w:eastAsia="Calibri" w:hAnsi="Calibri" w:cs="Calibri"/>
                <w:b/>
                <w:i/>
                <w:color w:val="000000"/>
                <w:sz w:val="18"/>
              </w:rPr>
            </w:pPr>
          </w:p>
        </w:tc>
      </w:tr>
      <w:tr w:rsidR="007F5788" w14:paraId="269876CF"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2D089EBC" w14:textId="77777777" w:rsidR="007F5788" w:rsidRDefault="007F5788" w:rsidP="00B23E3B">
            <w:pPr>
              <w:pStyle w:val="Normal10"/>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3EBE538F"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7F5788" w14:paraId="5CAD246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129F38"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F72EDC6"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718BB3E"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D40C18"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E0D500"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584A93"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31C09F"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B757B8" w14:textId="77777777" w:rsidR="007F5788" w:rsidRDefault="007F5788" w:rsidP="00B23E3B">
            <w:pPr>
              <w:pStyle w:val="Normal10"/>
              <w:rPr>
                <w:rFonts w:ascii="Calibri" w:eastAsia="Calibri" w:hAnsi="Calibri" w:cs="Calibri"/>
                <w:color w:val="000000"/>
                <w:sz w:val="18"/>
              </w:rPr>
            </w:pPr>
          </w:p>
        </w:tc>
      </w:tr>
      <w:tr w:rsidR="007F5788" w14:paraId="282D2A1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5984B6" w14:textId="69107F1F"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357</w:t>
            </w:r>
          </w:p>
        </w:tc>
        <w:tc>
          <w:tcPr>
            <w:tcW w:w="2385" w:type="dxa"/>
            <w:tcBorders>
              <w:top w:val="nil"/>
              <w:left w:val="nil"/>
              <w:bottom w:val="nil"/>
              <w:right w:val="nil"/>
              <w:tl2br w:val="nil"/>
              <w:tr2bl w:val="nil"/>
            </w:tcBorders>
            <w:shd w:val="clear" w:color="auto" w:fill="auto"/>
            <w:noWrap/>
            <w:tcMar>
              <w:left w:w="101" w:type="dxa"/>
              <w:right w:w="101" w:type="dxa"/>
            </w:tcMar>
          </w:tcPr>
          <w:p w14:paraId="7A453466"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BF817AD" w14:textId="38E9C0BF"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033</w:t>
            </w:r>
          </w:p>
        </w:tc>
        <w:tc>
          <w:tcPr>
            <w:tcW w:w="1035" w:type="dxa"/>
            <w:tcBorders>
              <w:top w:val="nil"/>
              <w:left w:val="nil"/>
              <w:bottom w:val="nil"/>
              <w:right w:val="nil"/>
              <w:tl2br w:val="nil"/>
              <w:tr2bl w:val="nil"/>
            </w:tcBorders>
            <w:shd w:val="clear" w:color="FFFFFF" w:fill="FFFFFF"/>
            <w:tcMar>
              <w:left w:w="101" w:type="dxa"/>
              <w:right w:w="101" w:type="dxa"/>
            </w:tcMar>
          </w:tcPr>
          <w:p w14:paraId="07B133F9" w14:textId="7A943C38"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917</w:t>
            </w:r>
          </w:p>
        </w:tc>
        <w:tc>
          <w:tcPr>
            <w:tcW w:w="600" w:type="dxa"/>
            <w:tcBorders>
              <w:top w:val="nil"/>
              <w:left w:val="nil"/>
              <w:bottom w:val="nil"/>
              <w:right w:val="nil"/>
              <w:tl2br w:val="nil"/>
              <w:tr2bl w:val="nil"/>
            </w:tcBorders>
            <w:shd w:val="clear" w:color="FFFFFF" w:fill="FFFFFF"/>
            <w:tcMar>
              <w:left w:w="101" w:type="dxa"/>
              <w:right w:w="101" w:type="dxa"/>
            </w:tcMar>
          </w:tcPr>
          <w:p w14:paraId="34238F0E"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5333DD62" w14:textId="23D73292"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984</w:t>
            </w:r>
          </w:p>
        </w:tc>
        <w:tc>
          <w:tcPr>
            <w:tcW w:w="1035" w:type="dxa"/>
            <w:tcBorders>
              <w:top w:val="nil"/>
              <w:left w:val="nil"/>
              <w:bottom w:val="nil"/>
              <w:right w:val="nil"/>
              <w:tl2br w:val="nil"/>
              <w:tr2bl w:val="nil"/>
            </w:tcBorders>
            <w:shd w:val="clear" w:color="FFFFFF" w:fill="FFFFFF"/>
            <w:tcMar>
              <w:left w:w="101" w:type="dxa"/>
              <w:right w:w="101" w:type="dxa"/>
            </w:tcMar>
          </w:tcPr>
          <w:p w14:paraId="07C0D584" w14:textId="11BBD931"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086</w:t>
            </w:r>
          </w:p>
        </w:tc>
        <w:tc>
          <w:tcPr>
            <w:tcW w:w="1035" w:type="dxa"/>
            <w:tcBorders>
              <w:top w:val="nil"/>
              <w:left w:val="nil"/>
              <w:bottom w:val="nil"/>
              <w:right w:val="nil"/>
              <w:tl2br w:val="nil"/>
              <w:tr2bl w:val="nil"/>
            </w:tcBorders>
            <w:shd w:val="clear" w:color="FFFFFF" w:fill="FFFFFF"/>
            <w:tcMar>
              <w:left w:w="101" w:type="dxa"/>
              <w:right w:w="101" w:type="dxa"/>
            </w:tcMar>
          </w:tcPr>
          <w:p w14:paraId="0BCBE56C" w14:textId="6E87F195"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2</w:t>
            </w:r>
            <w:r w:rsidR="00B23E3B">
              <w:rPr>
                <w:rFonts w:ascii="Calibri" w:eastAsia="Calibri" w:hAnsi="Calibri" w:cs="Calibri"/>
                <w:color w:val="000000"/>
                <w:sz w:val="18"/>
              </w:rPr>
              <w:t>,</w:t>
            </w:r>
            <w:r>
              <w:rPr>
                <w:rFonts w:ascii="Calibri" w:eastAsia="Calibri" w:hAnsi="Calibri" w:cs="Calibri"/>
                <w:color w:val="000000"/>
                <w:sz w:val="18"/>
              </w:rPr>
              <w:t>076</w:t>
            </w:r>
          </w:p>
        </w:tc>
      </w:tr>
      <w:tr w:rsidR="007F5788" w14:paraId="2620856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B5781E"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540</w:t>
            </w:r>
          </w:p>
        </w:tc>
        <w:tc>
          <w:tcPr>
            <w:tcW w:w="2385" w:type="dxa"/>
            <w:tcBorders>
              <w:top w:val="nil"/>
              <w:left w:val="nil"/>
              <w:bottom w:val="nil"/>
              <w:right w:val="nil"/>
              <w:tl2br w:val="nil"/>
              <w:tr2bl w:val="nil"/>
            </w:tcBorders>
            <w:shd w:val="clear" w:color="auto" w:fill="auto"/>
            <w:noWrap/>
            <w:tcMar>
              <w:left w:w="101" w:type="dxa"/>
              <w:right w:w="101" w:type="dxa"/>
            </w:tcMar>
          </w:tcPr>
          <w:p w14:paraId="37CE1215"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Payment for Community Service Obligations</w:t>
            </w:r>
          </w:p>
        </w:tc>
        <w:tc>
          <w:tcPr>
            <w:tcW w:w="1035" w:type="dxa"/>
            <w:tcBorders>
              <w:top w:val="nil"/>
              <w:left w:val="nil"/>
              <w:bottom w:val="nil"/>
              <w:right w:val="nil"/>
              <w:tl2br w:val="nil"/>
              <w:tr2bl w:val="nil"/>
            </w:tcBorders>
            <w:shd w:val="clear" w:color="FFFFFF" w:fill="FFFFFF"/>
            <w:tcMar>
              <w:left w:w="101" w:type="dxa"/>
              <w:right w:w="101" w:type="dxa"/>
            </w:tcMar>
          </w:tcPr>
          <w:p w14:paraId="77987AC7"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950</w:t>
            </w:r>
          </w:p>
        </w:tc>
        <w:tc>
          <w:tcPr>
            <w:tcW w:w="1035" w:type="dxa"/>
            <w:tcBorders>
              <w:top w:val="nil"/>
              <w:left w:val="nil"/>
              <w:bottom w:val="nil"/>
              <w:right w:val="nil"/>
              <w:tl2br w:val="nil"/>
              <w:tr2bl w:val="nil"/>
            </w:tcBorders>
            <w:shd w:val="clear" w:color="FFFFFF" w:fill="FFFFFF"/>
            <w:tcMar>
              <w:left w:w="101" w:type="dxa"/>
              <w:right w:w="101" w:type="dxa"/>
            </w:tcMar>
          </w:tcPr>
          <w:p w14:paraId="2FAB2B9D"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554</w:t>
            </w:r>
          </w:p>
        </w:tc>
        <w:tc>
          <w:tcPr>
            <w:tcW w:w="600" w:type="dxa"/>
            <w:tcBorders>
              <w:top w:val="nil"/>
              <w:left w:val="nil"/>
              <w:bottom w:val="nil"/>
              <w:right w:val="nil"/>
              <w:tl2br w:val="nil"/>
              <w:tr2bl w:val="nil"/>
            </w:tcBorders>
            <w:shd w:val="clear" w:color="FFFFFF" w:fill="FFFFFF"/>
            <w:tcMar>
              <w:left w:w="101" w:type="dxa"/>
              <w:right w:w="101" w:type="dxa"/>
            </w:tcMar>
          </w:tcPr>
          <w:p w14:paraId="54B501AC"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-42 </w:t>
            </w:r>
          </w:p>
        </w:tc>
        <w:tc>
          <w:tcPr>
            <w:tcW w:w="1035" w:type="dxa"/>
            <w:tcBorders>
              <w:top w:val="nil"/>
              <w:left w:val="nil"/>
              <w:bottom w:val="nil"/>
              <w:right w:val="nil"/>
              <w:tl2br w:val="nil"/>
              <w:tr2bl w:val="nil"/>
            </w:tcBorders>
            <w:shd w:val="clear" w:color="FFFFFF" w:fill="FFFFFF"/>
            <w:tcMar>
              <w:left w:w="101" w:type="dxa"/>
              <w:right w:w="101" w:type="dxa"/>
            </w:tcMar>
          </w:tcPr>
          <w:p w14:paraId="3F0E02F2"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554</w:t>
            </w:r>
          </w:p>
        </w:tc>
        <w:tc>
          <w:tcPr>
            <w:tcW w:w="1035" w:type="dxa"/>
            <w:tcBorders>
              <w:top w:val="nil"/>
              <w:left w:val="nil"/>
              <w:bottom w:val="nil"/>
              <w:right w:val="nil"/>
              <w:tl2br w:val="nil"/>
              <w:tr2bl w:val="nil"/>
            </w:tcBorders>
            <w:shd w:val="clear" w:color="FFFFFF" w:fill="FFFFFF"/>
            <w:tcMar>
              <w:left w:w="101" w:type="dxa"/>
              <w:right w:w="101" w:type="dxa"/>
            </w:tcMar>
          </w:tcPr>
          <w:p w14:paraId="1793C121"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568</w:t>
            </w:r>
          </w:p>
        </w:tc>
        <w:tc>
          <w:tcPr>
            <w:tcW w:w="1035" w:type="dxa"/>
            <w:tcBorders>
              <w:top w:val="nil"/>
              <w:left w:val="nil"/>
              <w:bottom w:val="nil"/>
              <w:right w:val="nil"/>
              <w:tl2br w:val="nil"/>
              <w:tr2bl w:val="nil"/>
            </w:tcBorders>
            <w:shd w:val="clear" w:color="FFFFFF" w:fill="FFFFFF"/>
            <w:tcMar>
              <w:left w:w="101" w:type="dxa"/>
              <w:right w:w="101" w:type="dxa"/>
            </w:tcMar>
          </w:tcPr>
          <w:p w14:paraId="1A64BFD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568</w:t>
            </w:r>
          </w:p>
        </w:tc>
      </w:tr>
      <w:tr w:rsidR="007F5788" w14:paraId="78CCC67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AB9D22" w14:textId="704BD79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220</w:t>
            </w:r>
          </w:p>
        </w:tc>
        <w:tc>
          <w:tcPr>
            <w:tcW w:w="2385" w:type="dxa"/>
            <w:tcBorders>
              <w:top w:val="nil"/>
              <w:left w:val="nil"/>
              <w:bottom w:val="nil"/>
              <w:right w:val="nil"/>
              <w:tl2br w:val="nil"/>
              <w:tr2bl w:val="nil"/>
            </w:tcBorders>
            <w:shd w:val="clear" w:color="auto" w:fill="auto"/>
            <w:noWrap/>
            <w:tcMar>
              <w:left w:w="101" w:type="dxa"/>
              <w:right w:w="101" w:type="dxa"/>
            </w:tcMar>
          </w:tcPr>
          <w:p w14:paraId="7AB808D3"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13780F1" w14:textId="289A9C71"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214</w:t>
            </w:r>
          </w:p>
        </w:tc>
        <w:tc>
          <w:tcPr>
            <w:tcW w:w="1035" w:type="dxa"/>
            <w:tcBorders>
              <w:top w:val="nil"/>
              <w:left w:val="nil"/>
              <w:bottom w:val="nil"/>
              <w:right w:val="nil"/>
              <w:tl2br w:val="nil"/>
              <w:tr2bl w:val="nil"/>
            </w:tcBorders>
            <w:shd w:val="clear" w:color="FFFFFF" w:fill="FFFFFF"/>
            <w:tcMar>
              <w:left w:w="101" w:type="dxa"/>
              <w:right w:w="101" w:type="dxa"/>
            </w:tcMar>
          </w:tcPr>
          <w:p w14:paraId="495A3B72" w14:textId="4E7053C5"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350</w:t>
            </w:r>
          </w:p>
        </w:tc>
        <w:tc>
          <w:tcPr>
            <w:tcW w:w="600" w:type="dxa"/>
            <w:tcBorders>
              <w:top w:val="nil"/>
              <w:left w:val="nil"/>
              <w:bottom w:val="nil"/>
              <w:right w:val="nil"/>
              <w:tl2br w:val="nil"/>
              <w:tr2bl w:val="nil"/>
            </w:tcBorders>
            <w:shd w:val="clear" w:color="FFFFFF" w:fill="FFFFFF"/>
            <w:tcMar>
              <w:left w:w="101" w:type="dxa"/>
              <w:right w:w="101" w:type="dxa"/>
            </w:tcMar>
          </w:tcPr>
          <w:p w14:paraId="25A77077"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3924153" w14:textId="464A99A9"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474</w:t>
            </w:r>
          </w:p>
        </w:tc>
        <w:tc>
          <w:tcPr>
            <w:tcW w:w="1035" w:type="dxa"/>
            <w:tcBorders>
              <w:top w:val="nil"/>
              <w:left w:val="nil"/>
              <w:bottom w:val="nil"/>
              <w:right w:val="nil"/>
              <w:tl2br w:val="nil"/>
              <w:tr2bl w:val="nil"/>
            </w:tcBorders>
            <w:shd w:val="clear" w:color="FFFFFF" w:fill="FFFFFF"/>
            <w:tcMar>
              <w:left w:w="101" w:type="dxa"/>
              <w:right w:w="101" w:type="dxa"/>
            </w:tcMar>
          </w:tcPr>
          <w:p w14:paraId="3CE0DA8E" w14:textId="36F5D438"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608</w:t>
            </w:r>
          </w:p>
        </w:tc>
        <w:tc>
          <w:tcPr>
            <w:tcW w:w="1035" w:type="dxa"/>
            <w:tcBorders>
              <w:top w:val="nil"/>
              <w:left w:val="nil"/>
              <w:bottom w:val="nil"/>
              <w:right w:val="nil"/>
              <w:tl2br w:val="nil"/>
              <w:tr2bl w:val="nil"/>
            </w:tcBorders>
            <w:shd w:val="clear" w:color="FFFFFF" w:fill="FFFFFF"/>
            <w:tcMar>
              <w:left w:w="101" w:type="dxa"/>
              <w:right w:w="101" w:type="dxa"/>
            </w:tcMar>
          </w:tcPr>
          <w:p w14:paraId="192D456B" w14:textId="0FDB2A6F"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724</w:t>
            </w:r>
          </w:p>
        </w:tc>
      </w:tr>
      <w:tr w:rsidR="007F5788" w14:paraId="2461269D"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E62CE6"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190</w:t>
            </w:r>
          </w:p>
        </w:tc>
        <w:tc>
          <w:tcPr>
            <w:tcW w:w="2385" w:type="dxa"/>
            <w:tcBorders>
              <w:top w:val="nil"/>
              <w:left w:val="nil"/>
              <w:bottom w:val="nil"/>
              <w:right w:val="nil"/>
              <w:tl2br w:val="nil"/>
              <w:tr2bl w:val="nil"/>
            </w:tcBorders>
            <w:shd w:val="clear" w:color="auto" w:fill="auto"/>
            <w:noWrap/>
            <w:tcMar>
              <w:left w:w="101" w:type="dxa"/>
              <w:right w:w="101" w:type="dxa"/>
            </w:tcMar>
          </w:tcPr>
          <w:p w14:paraId="33556EF6"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6F8EB36C"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56</w:t>
            </w:r>
          </w:p>
        </w:tc>
        <w:tc>
          <w:tcPr>
            <w:tcW w:w="1035" w:type="dxa"/>
            <w:tcBorders>
              <w:top w:val="nil"/>
              <w:left w:val="nil"/>
              <w:bottom w:val="nil"/>
              <w:right w:val="nil"/>
              <w:tl2br w:val="nil"/>
              <w:tr2bl w:val="nil"/>
            </w:tcBorders>
            <w:shd w:val="clear" w:color="FFFFFF" w:fill="FFFFFF"/>
            <w:tcMar>
              <w:left w:w="101" w:type="dxa"/>
              <w:right w:w="101" w:type="dxa"/>
            </w:tcMar>
          </w:tcPr>
          <w:p w14:paraId="50863131"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61</w:t>
            </w:r>
          </w:p>
        </w:tc>
        <w:tc>
          <w:tcPr>
            <w:tcW w:w="600" w:type="dxa"/>
            <w:tcBorders>
              <w:top w:val="nil"/>
              <w:left w:val="nil"/>
              <w:bottom w:val="nil"/>
              <w:right w:val="nil"/>
              <w:tl2br w:val="nil"/>
              <w:tr2bl w:val="nil"/>
            </w:tcBorders>
            <w:shd w:val="clear" w:color="FFFFFF" w:fill="FFFFFF"/>
            <w:tcMar>
              <w:left w:w="101" w:type="dxa"/>
              <w:right w:w="101" w:type="dxa"/>
            </w:tcMar>
          </w:tcPr>
          <w:p w14:paraId="471A017D"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4BB7E656"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66</w:t>
            </w:r>
          </w:p>
        </w:tc>
        <w:tc>
          <w:tcPr>
            <w:tcW w:w="1035" w:type="dxa"/>
            <w:tcBorders>
              <w:top w:val="nil"/>
              <w:left w:val="nil"/>
              <w:bottom w:val="nil"/>
              <w:right w:val="nil"/>
              <w:tl2br w:val="nil"/>
              <w:tr2bl w:val="nil"/>
            </w:tcBorders>
            <w:shd w:val="clear" w:color="FFFFFF" w:fill="FFFFFF"/>
            <w:tcMar>
              <w:left w:w="101" w:type="dxa"/>
              <w:right w:w="101" w:type="dxa"/>
            </w:tcMar>
          </w:tcPr>
          <w:p w14:paraId="690C477C"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72</w:t>
            </w:r>
          </w:p>
        </w:tc>
        <w:tc>
          <w:tcPr>
            <w:tcW w:w="1035" w:type="dxa"/>
            <w:tcBorders>
              <w:top w:val="nil"/>
              <w:left w:val="nil"/>
              <w:bottom w:val="nil"/>
              <w:right w:val="nil"/>
              <w:tl2br w:val="nil"/>
              <w:tr2bl w:val="nil"/>
            </w:tcBorders>
            <w:shd w:val="clear" w:color="FFFFFF" w:fill="FFFFFF"/>
            <w:tcMar>
              <w:left w:w="101" w:type="dxa"/>
              <w:right w:w="101" w:type="dxa"/>
            </w:tcMar>
          </w:tcPr>
          <w:p w14:paraId="171F3C8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79</w:t>
            </w:r>
          </w:p>
        </w:tc>
      </w:tr>
      <w:tr w:rsidR="007F5788" w14:paraId="139F0A5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131147"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591</w:t>
            </w:r>
          </w:p>
        </w:tc>
        <w:tc>
          <w:tcPr>
            <w:tcW w:w="2385" w:type="dxa"/>
            <w:tcBorders>
              <w:top w:val="nil"/>
              <w:left w:val="nil"/>
              <w:bottom w:val="nil"/>
              <w:right w:val="nil"/>
              <w:tl2br w:val="nil"/>
              <w:tr2bl w:val="nil"/>
            </w:tcBorders>
            <w:shd w:val="clear" w:color="auto" w:fill="auto"/>
            <w:noWrap/>
            <w:tcMar>
              <w:left w:w="101" w:type="dxa"/>
              <w:right w:w="101" w:type="dxa"/>
            </w:tcMar>
          </w:tcPr>
          <w:p w14:paraId="7C8AAC21"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6EFA57EF"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614</w:t>
            </w:r>
          </w:p>
        </w:tc>
        <w:tc>
          <w:tcPr>
            <w:tcW w:w="1035" w:type="dxa"/>
            <w:tcBorders>
              <w:top w:val="nil"/>
              <w:left w:val="nil"/>
              <w:bottom w:val="nil"/>
              <w:right w:val="nil"/>
              <w:tl2br w:val="nil"/>
              <w:tr2bl w:val="nil"/>
            </w:tcBorders>
            <w:shd w:val="clear" w:color="FFFFFF" w:fill="FFFFFF"/>
            <w:tcMar>
              <w:left w:w="101" w:type="dxa"/>
              <w:right w:w="101" w:type="dxa"/>
            </w:tcMar>
          </w:tcPr>
          <w:p w14:paraId="150C6609"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615</w:t>
            </w:r>
          </w:p>
        </w:tc>
        <w:tc>
          <w:tcPr>
            <w:tcW w:w="600" w:type="dxa"/>
            <w:tcBorders>
              <w:top w:val="nil"/>
              <w:left w:val="nil"/>
              <w:bottom w:val="nil"/>
              <w:right w:val="nil"/>
              <w:tl2br w:val="nil"/>
              <w:tr2bl w:val="nil"/>
            </w:tcBorders>
            <w:shd w:val="clear" w:color="FFFFFF" w:fill="FFFFFF"/>
            <w:tcMar>
              <w:left w:w="101" w:type="dxa"/>
              <w:right w:w="101" w:type="dxa"/>
            </w:tcMar>
          </w:tcPr>
          <w:p w14:paraId="17B324A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E9151FD"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640</w:t>
            </w:r>
          </w:p>
        </w:tc>
        <w:tc>
          <w:tcPr>
            <w:tcW w:w="1035" w:type="dxa"/>
            <w:tcBorders>
              <w:top w:val="nil"/>
              <w:left w:val="nil"/>
              <w:bottom w:val="nil"/>
              <w:right w:val="nil"/>
              <w:tl2br w:val="nil"/>
              <w:tr2bl w:val="nil"/>
            </w:tcBorders>
            <w:shd w:val="clear" w:color="FFFFFF" w:fill="FFFFFF"/>
            <w:tcMar>
              <w:left w:w="101" w:type="dxa"/>
              <w:right w:w="101" w:type="dxa"/>
            </w:tcMar>
          </w:tcPr>
          <w:p w14:paraId="3803296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640</w:t>
            </w:r>
          </w:p>
        </w:tc>
        <w:tc>
          <w:tcPr>
            <w:tcW w:w="1035" w:type="dxa"/>
            <w:tcBorders>
              <w:top w:val="nil"/>
              <w:left w:val="nil"/>
              <w:bottom w:val="nil"/>
              <w:right w:val="nil"/>
              <w:tl2br w:val="nil"/>
              <w:tr2bl w:val="nil"/>
            </w:tcBorders>
            <w:shd w:val="clear" w:color="FFFFFF" w:fill="FFFFFF"/>
            <w:tcMar>
              <w:left w:w="101" w:type="dxa"/>
              <w:right w:w="101" w:type="dxa"/>
            </w:tcMar>
          </w:tcPr>
          <w:p w14:paraId="6C58541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640</w:t>
            </w:r>
          </w:p>
        </w:tc>
      </w:tr>
      <w:tr w:rsidR="007F5788" w14:paraId="15DABF8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5C7B8E" w14:textId="65F79FBE"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898</w:t>
            </w:r>
          </w:p>
        </w:tc>
        <w:tc>
          <w:tcPr>
            <w:tcW w:w="2385" w:type="dxa"/>
            <w:tcBorders>
              <w:top w:val="nil"/>
              <w:left w:val="nil"/>
              <w:bottom w:val="nil"/>
              <w:right w:val="nil"/>
              <w:tl2br w:val="nil"/>
              <w:tr2bl w:val="nil"/>
            </w:tcBorders>
            <w:shd w:val="clear" w:color="FFFFFF" w:fill="FFFFFF"/>
            <w:tcMar>
              <w:left w:w="101" w:type="dxa"/>
              <w:right w:w="101" w:type="dxa"/>
            </w:tcMar>
          </w:tcPr>
          <w:p w14:paraId="11FCC929"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9BDE3D1" w14:textId="67B8176F"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867</w:t>
            </w:r>
          </w:p>
        </w:tc>
        <w:tc>
          <w:tcPr>
            <w:tcW w:w="1035" w:type="dxa"/>
            <w:tcBorders>
              <w:top w:val="nil"/>
              <w:left w:val="nil"/>
              <w:bottom w:val="nil"/>
              <w:right w:val="nil"/>
              <w:tl2br w:val="nil"/>
              <w:tr2bl w:val="nil"/>
            </w:tcBorders>
            <w:shd w:val="clear" w:color="FFFFFF" w:fill="FFFFFF"/>
            <w:tcMar>
              <w:left w:w="101" w:type="dxa"/>
              <w:right w:w="101" w:type="dxa"/>
            </w:tcMar>
          </w:tcPr>
          <w:p w14:paraId="74D98C0F" w14:textId="1C67EE3E"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497</w:t>
            </w:r>
          </w:p>
        </w:tc>
        <w:tc>
          <w:tcPr>
            <w:tcW w:w="600" w:type="dxa"/>
            <w:tcBorders>
              <w:top w:val="nil"/>
              <w:left w:val="nil"/>
              <w:bottom w:val="nil"/>
              <w:right w:val="nil"/>
              <w:tl2br w:val="nil"/>
              <w:tr2bl w:val="nil"/>
            </w:tcBorders>
            <w:shd w:val="clear" w:color="FFFFFF" w:fill="FFFFFF"/>
            <w:tcMar>
              <w:left w:w="101" w:type="dxa"/>
              <w:right w:w="101" w:type="dxa"/>
            </w:tcMar>
          </w:tcPr>
          <w:p w14:paraId="58DF120F"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0C4B7F9" w14:textId="5A2B9019"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718</w:t>
            </w:r>
          </w:p>
        </w:tc>
        <w:tc>
          <w:tcPr>
            <w:tcW w:w="1035" w:type="dxa"/>
            <w:tcBorders>
              <w:top w:val="nil"/>
              <w:left w:val="nil"/>
              <w:bottom w:val="nil"/>
              <w:right w:val="nil"/>
              <w:tl2br w:val="nil"/>
              <w:tr2bl w:val="nil"/>
            </w:tcBorders>
            <w:shd w:val="clear" w:color="FFFFFF" w:fill="FFFFFF"/>
            <w:tcMar>
              <w:left w:w="101" w:type="dxa"/>
              <w:right w:w="101" w:type="dxa"/>
            </w:tcMar>
          </w:tcPr>
          <w:p w14:paraId="15D27BDD" w14:textId="5443E52C"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974</w:t>
            </w:r>
          </w:p>
        </w:tc>
        <w:tc>
          <w:tcPr>
            <w:tcW w:w="1035" w:type="dxa"/>
            <w:tcBorders>
              <w:top w:val="nil"/>
              <w:left w:val="nil"/>
              <w:bottom w:val="nil"/>
              <w:right w:val="nil"/>
              <w:tl2br w:val="nil"/>
              <w:tr2bl w:val="nil"/>
            </w:tcBorders>
            <w:shd w:val="clear" w:color="FFFFFF" w:fill="FFFFFF"/>
            <w:tcMar>
              <w:left w:w="101" w:type="dxa"/>
              <w:right w:w="101" w:type="dxa"/>
            </w:tcMar>
          </w:tcPr>
          <w:p w14:paraId="46E68DCD" w14:textId="4BBBBDDF"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10</w:t>
            </w:r>
            <w:r w:rsidR="00B23E3B">
              <w:rPr>
                <w:rFonts w:ascii="Calibri" w:eastAsia="Calibri" w:hAnsi="Calibri" w:cs="Calibri"/>
                <w:b/>
                <w:color w:val="000000"/>
                <w:sz w:val="18"/>
              </w:rPr>
              <w:t>,</w:t>
            </w:r>
            <w:r>
              <w:rPr>
                <w:rFonts w:ascii="Calibri" w:eastAsia="Calibri" w:hAnsi="Calibri" w:cs="Calibri"/>
                <w:b/>
                <w:color w:val="000000"/>
                <w:sz w:val="18"/>
              </w:rPr>
              <w:t>087</w:t>
            </w:r>
          </w:p>
        </w:tc>
      </w:tr>
      <w:tr w:rsidR="007F5788" w14:paraId="6F325B0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3F1D212"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F14A8F8" w14:textId="77777777" w:rsidR="007F5788" w:rsidRDefault="007F5788" w:rsidP="00B23E3B">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A32749"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26D24B"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5E589E"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7A8948"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F14780"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50EA1E" w14:textId="77777777" w:rsidR="007F5788" w:rsidRDefault="007F5788" w:rsidP="00B23E3B">
            <w:pPr>
              <w:pStyle w:val="Normal10"/>
              <w:rPr>
                <w:rFonts w:ascii="Calibri" w:eastAsia="Calibri" w:hAnsi="Calibri" w:cs="Calibri"/>
                <w:color w:val="000000"/>
                <w:sz w:val="18"/>
              </w:rPr>
            </w:pPr>
          </w:p>
        </w:tc>
      </w:tr>
      <w:tr w:rsidR="007F5788" w14:paraId="517D69D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DB55D0"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E77FBFA"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C0AA9EC"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257F34"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8DB7C6"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CFDE28"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8A52FC"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9E7F10" w14:textId="77777777" w:rsidR="007F5788" w:rsidRDefault="007F5788" w:rsidP="00B23E3B">
            <w:pPr>
              <w:pStyle w:val="Normal10"/>
              <w:rPr>
                <w:rFonts w:ascii="Calibri" w:eastAsia="Calibri" w:hAnsi="Calibri" w:cs="Calibri"/>
                <w:color w:val="000000"/>
                <w:sz w:val="18"/>
              </w:rPr>
            </w:pPr>
          </w:p>
        </w:tc>
      </w:tr>
      <w:tr w:rsidR="007F5788" w14:paraId="5F213BA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526600" w14:textId="7C6FFBA2"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w:t>
            </w:r>
            <w:r w:rsidR="00B23E3B">
              <w:rPr>
                <w:rFonts w:ascii="Calibri" w:eastAsia="Calibri" w:hAnsi="Calibri" w:cs="Calibri"/>
                <w:color w:val="000000"/>
                <w:sz w:val="18"/>
              </w:rPr>
              <w:t>,</w:t>
            </w:r>
            <w:r>
              <w:rPr>
                <w:rFonts w:ascii="Calibri" w:eastAsia="Calibri" w:hAnsi="Calibri" w:cs="Calibri"/>
                <w:color w:val="000000"/>
                <w:sz w:val="18"/>
              </w:rPr>
              <w:t>976</w:t>
            </w:r>
          </w:p>
        </w:tc>
        <w:tc>
          <w:tcPr>
            <w:tcW w:w="2385" w:type="dxa"/>
            <w:tcBorders>
              <w:top w:val="nil"/>
              <w:left w:val="nil"/>
              <w:bottom w:val="nil"/>
              <w:right w:val="nil"/>
              <w:tl2br w:val="nil"/>
              <w:tr2bl w:val="nil"/>
            </w:tcBorders>
            <w:shd w:val="clear" w:color="FFFFFF" w:fill="FFFFFF"/>
            <w:noWrap/>
            <w:tcMar>
              <w:left w:w="101" w:type="dxa"/>
              <w:right w:w="101" w:type="dxa"/>
            </w:tcMar>
          </w:tcPr>
          <w:p w14:paraId="1B1FE25F"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313C1E38" w14:textId="6F157E12"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772</w:t>
            </w:r>
          </w:p>
        </w:tc>
        <w:tc>
          <w:tcPr>
            <w:tcW w:w="1035" w:type="dxa"/>
            <w:tcBorders>
              <w:top w:val="nil"/>
              <w:left w:val="nil"/>
              <w:bottom w:val="nil"/>
              <w:right w:val="nil"/>
              <w:tl2br w:val="nil"/>
              <w:tr2bl w:val="nil"/>
            </w:tcBorders>
            <w:shd w:val="clear" w:color="FFFFFF" w:fill="FFFFFF"/>
            <w:tcMar>
              <w:left w:w="101" w:type="dxa"/>
              <w:right w:w="101" w:type="dxa"/>
            </w:tcMar>
          </w:tcPr>
          <w:p w14:paraId="6A601DA9" w14:textId="26925B12"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146</w:t>
            </w:r>
          </w:p>
        </w:tc>
        <w:tc>
          <w:tcPr>
            <w:tcW w:w="600" w:type="dxa"/>
            <w:tcBorders>
              <w:top w:val="nil"/>
              <w:left w:val="nil"/>
              <w:bottom w:val="nil"/>
              <w:right w:val="nil"/>
              <w:tl2br w:val="nil"/>
              <w:tr2bl w:val="nil"/>
            </w:tcBorders>
            <w:shd w:val="clear" w:color="FFFFFF" w:fill="FFFFFF"/>
            <w:tcMar>
              <w:left w:w="101" w:type="dxa"/>
              <w:right w:w="101" w:type="dxa"/>
            </w:tcMar>
          </w:tcPr>
          <w:p w14:paraId="045EDC00"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462AAC4A" w14:textId="57BC95FB"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296</w:t>
            </w:r>
          </w:p>
        </w:tc>
        <w:tc>
          <w:tcPr>
            <w:tcW w:w="1035" w:type="dxa"/>
            <w:tcBorders>
              <w:top w:val="nil"/>
              <w:left w:val="nil"/>
              <w:bottom w:val="nil"/>
              <w:right w:val="nil"/>
              <w:tl2br w:val="nil"/>
              <w:tr2bl w:val="nil"/>
            </w:tcBorders>
            <w:shd w:val="clear" w:color="FFFFFF" w:fill="FFFFFF"/>
            <w:tcMar>
              <w:left w:w="101" w:type="dxa"/>
              <w:right w:w="101" w:type="dxa"/>
            </w:tcMar>
          </w:tcPr>
          <w:p w14:paraId="6E2066E0" w14:textId="78D2B338"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384</w:t>
            </w:r>
          </w:p>
        </w:tc>
        <w:tc>
          <w:tcPr>
            <w:tcW w:w="1035" w:type="dxa"/>
            <w:tcBorders>
              <w:top w:val="nil"/>
              <w:left w:val="nil"/>
              <w:bottom w:val="nil"/>
              <w:right w:val="nil"/>
              <w:tl2br w:val="nil"/>
              <w:tr2bl w:val="nil"/>
            </w:tcBorders>
            <w:shd w:val="clear" w:color="FFFFFF" w:fill="FFFFFF"/>
            <w:tcMar>
              <w:left w:w="101" w:type="dxa"/>
              <w:right w:w="101" w:type="dxa"/>
            </w:tcMar>
          </w:tcPr>
          <w:p w14:paraId="6C1790F7" w14:textId="463260E8"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w:t>
            </w:r>
            <w:r w:rsidR="00B23E3B">
              <w:rPr>
                <w:rFonts w:ascii="Calibri" w:eastAsia="Calibri" w:hAnsi="Calibri" w:cs="Calibri"/>
                <w:color w:val="000000"/>
                <w:sz w:val="18"/>
              </w:rPr>
              <w:t>,</w:t>
            </w:r>
            <w:r>
              <w:rPr>
                <w:rFonts w:ascii="Calibri" w:eastAsia="Calibri" w:hAnsi="Calibri" w:cs="Calibri"/>
                <w:color w:val="000000"/>
                <w:sz w:val="18"/>
              </w:rPr>
              <w:t>467</w:t>
            </w:r>
          </w:p>
        </w:tc>
      </w:tr>
      <w:tr w:rsidR="007F5788" w14:paraId="66ED542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FA737A"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936</w:t>
            </w:r>
          </w:p>
        </w:tc>
        <w:tc>
          <w:tcPr>
            <w:tcW w:w="2385" w:type="dxa"/>
            <w:tcBorders>
              <w:top w:val="nil"/>
              <w:left w:val="nil"/>
              <w:bottom w:val="nil"/>
              <w:right w:val="nil"/>
              <w:tl2br w:val="nil"/>
              <w:tr2bl w:val="nil"/>
            </w:tcBorders>
            <w:shd w:val="clear" w:color="FFFFFF" w:fill="FFFFFF"/>
            <w:noWrap/>
            <w:tcMar>
              <w:left w:w="101" w:type="dxa"/>
              <w:right w:w="101" w:type="dxa"/>
            </w:tcMar>
          </w:tcPr>
          <w:p w14:paraId="5B2CC1D2"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5F147F76"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949</w:t>
            </w:r>
          </w:p>
        </w:tc>
        <w:tc>
          <w:tcPr>
            <w:tcW w:w="1035" w:type="dxa"/>
            <w:tcBorders>
              <w:top w:val="nil"/>
              <w:left w:val="nil"/>
              <w:bottom w:val="nil"/>
              <w:right w:val="nil"/>
              <w:tl2br w:val="nil"/>
              <w:tr2bl w:val="nil"/>
            </w:tcBorders>
            <w:shd w:val="clear" w:color="FFFFFF" w:fill="FFFFFF"/>
            <w:tcMar>
              <w:left w:w="101" w:type="dxa"/>
              <w:right w:w="101" w:type="dxa"/>
            </w:tcMar>
          </w:tcPr>
          <w:p w14:paraId="306ABA7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864</w:t>
            </w:r>
          </w:p>
        </w:tc>
        <w:tc>
          <w:tcPr>
            <w:tcW w:w="600" w:type="dxa"/>
            <w:tcBorders>
              <w:top w:val="nil"/>
              <w:left w:val="nil"/>
              <w:bottom w:val="nil"/>
              <w:right w:val="nil"/>
              <w:tl2br w:val="nil"/>
              <w:tr2bl w:val="nil"/>
            </w:tcBorders>
            <w:shd w:val="clear" w:color="FFFFFF" w:fill="FFFFFF"/>
            <w:tcMar>
              <w:left w:w="101" w:type="dxa"/>
              <w:right w:w="101" w:type="dxa"/>
            </w:tcMar>
          </w:tcPr>
          <w:p w14:paraId="098056F4"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1B947B7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852</w:t>
            </w:r>
          </w:p>
        </w:tc>
        <w:tc>
          <w:tcPr>
            <w:tcW w:w="1035" w:type="dxa"/>
            <w:tcBorders>
              <w:top w:val="nil"/>
              <w:left w:val="nil"/>
              <w:bottom w:val="nil"/>
              <w:right w:val="nil"/>
              <w:tl2br w:val="nil"/>
              <w:tr2bl w:val="nil"/>
            </w:tcBorders>
            <w:shd w:val="clear" w:color="FFFFFF" w:fill="FFFFFF"/>
            <w:tcMar>
              <w:left w:w="101" w:type="dxa"/>
              <w:right w:w="101" w:type="dxa"/>
            </w:tcMar>
          </w:tcPr>
          <w:p w14:paraId="2A50B615"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844</w:t>
            </w:r>
          </w:p>
        </w:tc>
        <w:tc>
          <w:tcPr>
            <w:tcW w:w="1035" w:type="dxa"/>
            <w:tcBorders>
              <w:top w:val="nil"/>
              <w:left w:val="nil"/>
              <w:bottom w:val="nil"/>
              <w:right w:val="nil"/>
              <w:tl2br w:val="nil"/>
              <w:tr2bl w:val="nil"/>
            </w:tcBorders>
            <w:shd w:val="clear" w:color="FFFFFF" w:fill="FFFFFF"/>
            <w:tcMar>
              <w:left w:w="101" w:type="dxa"/>
              <w:right w:w="101" w:type="dxa"/>
            </w:tcMar>
          </w:tcPr>
          <w:p w14:paraId="75660C2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837</w:t>
            </w:r>
          </w:p>
        </w:tc>
      </w:tr>
      <w:tr w:rsidR="007F5788" w14:paraId="73836A6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C1BB6D" w14:textId="15BC7DF9"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912</w:t>
            </w:r>
          </w:p>
        </w:tc>
        <w:tc>
          <w:tcPr>
            <w:tcW w:w="2385" w:type="dxa"/>
            <w:tcBorders>
              <w:top w:val="nil"/>
              <w:left w:val="nil"/>
              <w:bottom w:val="nil"/>
              <w:right w:val="nil"/>
              <w:tl2br w:val="nil"/>
              <w:tr2bl w:val="nil"/>
            </w:tcBorders>
            <w:shd w:val="clear" w:color="FFFFFF" w:fill="FFFFFF"/>
            <w:noWrap/>
            <w:tcMar>
              <w:left w:w="101" w:type="dxa"/>
              <w:right w:w="101" w:type="dxa"/>
            </w:tcMar>
          </w:tcPr>
          <w:p w14:paraId="58400FF9"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CB1B952" w14:textId="7B397D30"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483</w:t>
            </w:r>
          </w:p>
        </w:tc>
        <w:tc>
          <w:tcPr>
            <w:tcW w:w="1035" w:type="dxa"/>
            <w:tcBorders>
              <w:top w:val="nil"/>
              <w:left w:val="nil"/>
              <w:bottom w:val="nil"/>
              <w:right w:val="nil"/>
              <w:tl2br w:val="nil"/>
              <w:tr2bl w:val="nil"/>
            </w:tcBorders>
            <w:shd w:val="clear" w:color="FFFFFF" w:fill="FFFFFF"/>
            <w:tcMar>
              <w:left w:w="101" w:type="dxa"/>
              <w:right w:w="101" w:type="dxa"/>
            </w:tcMar>
          </w:tcPr>
          <w:p w14:paraId="391F4DEA" w14:textId="6784A26E"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702</w:t>
            </w:r>
          </w:p>
        </w:tc>
        <w:tc>
          <w:tcPr>
            <w:tcW w:w="600" w:type="dxa"/>
            <w:tcBorders>
              <w:top w:val="nil"/>
              <w:left w:val="nil"/>
              <w:bottom w:val="nil"/>
              <w:right w:val="nil"/>
              <w:tl2br w:val="nil"/>
              <w:tr2bl w:val="nil"/>
            </w:tcBorders>
            <w:shd w:val="clear" w:color="FFFFFF" w:fill="FFFFFF"/>
            <w:tcMar>
              <w:left w:w="101" w:type="dxa"/>
              <w:right w:w="101" w:type="dxa"/>
            </w:tcMar>
          </w:tcPr>
          <w:p w14:paraId="00FCDCA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7FA9D9EA" w14:textId="665849DF"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760</w:t>
            </w:r>
          </w:p>
        </w:tc>
        <w:tc>
          <w:tcPr>
            <w:tcW w:w="1035" w:type="dxa"/>
            <w:tcBorders>
              <w:top w:val="nil"/>
              <w:left w:val="nil"/>
              <w:bottom w:val="nil"/>
              <w:right w:val="nil"/>
              <w:tl2br w:val="nil"/>
              <w:tr2bl w:val="nil"/>
            </w:tcBorders>
            <w:shd w:val="clear" w:color="FFFFFF" w:fill="FFFFFF"/>
            <w:tcMar>
              <w:left w:w="101" w:type="dxa"/>
              <w:right w:w="101" w:type="dxa"/>
            </w:tcMar>
          </w:tcPr>
          <w:p w14:paraId="3219F1C0" w14:textId="6416F023"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805</w:t>
            </w:r>
          </w:p>
        </w:tc>
        <w:tc>
          <w:tcPr>
            <w:tcW w:w="1035" w:type="dxa"/>
            <w:tcBorders>
              <w:top w:val="nil"/>
              <w:left w:val="nil"/>
              <w:bottom w:val="nil"/>
              <w:right w:val="nil"/>
              <w:tl2br w:val="nil"/>
              <w:tr2bl w:val="nil"/>
            </w:tcBorders>
            <w:shd w:val="clear" w:color="FFFFFF" w:fill="FFFFFF"/>
            <w:tcMar>
              <w:left w:w="101" w:type="dxa"/>
              <w:right w:w="101" w:type="dxa"/>
            </w:tcMar>
          </w:tcPr>
          <w:p w14:paraId="285C2EFD" w14:textId="5F075FC8"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853</w:t>
            </w:r>
          </w:p>
        </w:tc>
      </w:tr>
      <w:tr w:rsidR="007F5788" w14:paraId="04E7B6E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9546F0"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574</w:t>
            </w:r>
          </w:p>
        </w:tc>
        <w:tc>
          <w:tcPr>
            <w:tcW w:w="2385" w:type="dxa"/>
            <w:tcBorders>
              <w:top w:val="nil"/>
              <w:left w:val="nil"/>
              <w:bottom w:val="nil"/>
              <w:right w:val="nil"/>
              <w:tl2br w:val="nil"/>
              <w:tr2bl w:val="nil"/>
            </w:tcBorders>
            <w:shd w:val="clear" w:color="FFFFFF" w:fill="FFFFFF"/>
            <w:noWrap/>
            <w:tcMar>
              <w:left w:w="101" w:type="dxa"/>
              <w:right w:w="101" w:type="dxa"/>
            </w:tcMar>
          </w:tcPr>
          <w:p w14:paraId="60CF191C"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040342A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621</w:t>
            </w:r>
          </w:p>
        </w:tc>
        <w:tc>
          <w:tcPr>
            <w:tcW w:w="1035" w:type="dxa"/>
            <w:tcBorders>
              <w:top w:val="nil"/>
              <w:left w:val="nil"/>
              <w:bottom w:val="nil"/>
              <w:right w:val="nil"/>
              <w:tl2br w:val="nil"/>
              <w:tr2bl w:val="nil"/>
            </w:tcBorders>
            <w:shd w:val="clear" w:color="FFFFFF" w:fill="FFFFFF"/>
            <w:tcMar>
              <w:left w:w="101" w:type="dxa"/>
              <w:right w:w="101" w:type="dxa"/>
            </w:tcMar>
          </w:tcPr>
          <w:p w14:paraId="0C20E7B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587</w:t>
            </w:r>
          </w:p>
        </w:tc>
        <w:tc>
          <w:tcPr>
            <w:tcW w:w="600" w:type="dxa"/>
            <w:tcBorders>
              <w:top w:val="nil"/>
              <w:left w:val="nil"/>
              <w:bottom w:val="nil"/>
              <w:right w:val="nil"/>
              <w:tl2br w:val="nil"/>
              <w:tr2bl w:val="nil"/>
            </w:tcBorders>
            <w:shd w:val="clear" w:color="FFFFFF" w:fill="FFFFFF"/>
            <w:tcMar>
              <w:left w:w="101" w:type="dxa"/>
              <w:right w:w="101" w:type="dxa"/>
            </w:tcMar>
          </w:tcPr>
          <w:p w14:paraId="6565682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7E58E3B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332433D4"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0EE511C7"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604</w:t>
            </w:r>
          </w:p>
        </w:tc>
      </w:tr>
      <w:tr w:rsidR="007F5788" w14:paraId="7C21D53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601A20" w14:textId="38F2592B"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398</w:t>
            </w:r>
          </w:p>
        </w:tc>
        <w:tc>
          <w:tcPr>
            <w:tcW w:w="2385" w:type="dxa"/>
            <w:tcBorders>
              <w:top w:val="nil"/>
              <w:left w:val="nil"/>
              <w:bottom w:val="nil"/>
              <w:right w:val="nil"/>
              <w:tl2br w:val="nil"/>
              <w:tr2bl w:val="nil"/>
            </w:tcBorders>
            <w:shd w:val="clear" w:color="FFFFFF" w:fill="FFFFFF"/>
            <w:tcMar>
              <w:left w:w="101" w:type="dxa"/>
              <w:right w:w="101" w:type="dxa"/>
            </w:tcMar>
          </w:tcPr>
          <w:p w14:paraId="29D71A8A"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C21DC9A" w14:textId="44539479"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825</w:t>
            </w:r>
          </w:p>
        </w:tc>
        <w:tc>
          <w:tcPr>
            <w:tcW w:w="1035" w:type="dxa"/>
            <w:tcBorders>
              <w:top w:val="nil"/>
              <w:left w:val="nil"/>
              <w:bottom w:val="nil"/>
              <w:right w:val="nil"/>
              <w:tl2br w:val="nil"/>
              <w:tr2bl w:val="nil"/>
            </w:tcBorders>
            <w:shd w:val="clear" w:color="FFFFFF" w:fill="FFFFFF"/>
            <w:tcMar>
              <w:left w:w="101" w:type="dxa"/>
              <w:right w:w="101" w:type="dxa"/>
            </w:tcMar>
          </w:tcPr>
          <w:p w14:paraId="7A18C9D2" w14:textId="5573B53B"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299</w:t>
            </w:r>
          </w:p>
        </w:tc>
        <w:tc>
          <w:tcPr>
            <w:tcW w:w="600" w:type="dxa"/>
            <w:tcBorders>
              <w:top w:val="nil"/>
              <w:left w:val="nil"/>
              <w:bottom w:val="nil"/>
              <w:right w:val="nil"/>
              <w:tl2br w:val="nil"/>
              <w:tr2bl w:val="nil"/>
            </w:tcBorders>
            <w:shd w:val="clear" w:color="FFFFFF" w:fill="FFFFFF"/>
            <w:tcMar>
              <w:left w:w="101" w:type="dxa"/>
              <w:right w:w="101" w:type="dxa"/>
            </w:tcMar>
          </w:tcPr>
          <w:p w14:paraId="2403813D"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581D60E" w14:textId="52FC7904"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512</w:t>
            </w:r>
          </w:p>
        </w:tc>
        <w:tc>
          <w:tcPr>
            <w:tcW w:w="1035" w:type="dxa"/>
            <w:tcBorders>
              <w:top w:val="nil"/>
              <w:left w:val="nil"/>
              <w:bottom w:val="nil"/>
              <w:right w:val="nil"/>
              <w:tl2br w:val="nil"/>
              <w:tr2bl w:val="nil"/>
            </w:tcBorders>
            <w:shd w:val="clear" w:color="FFFFFF" w:fill="FFFFFF"/>
            <w:tcMar>
              <w:left w:w="101" w:type="dxa"/>
              <w:right w:w="101" w:type="dxa"/>
            </w:tcMar>
          </w:tcPr>
          <w:p w14:paraId="50FDA935" w14:textId="3ABB6D76"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637</w:t>
            </w:r>
          </w:p>
        </w:tc>
        <w:tc>
          <w:tcPr>
            <w:tcW w:w="1035" w:type="dxa"/>
            <w:tcBorders>
              <w:top w:val="nil"/>
              <w:left w:val="nil"/>
              <w:bottom w:val="nil"/>
              <w:right w:val="nil"/>
              <w:tl2br w:val="nil"/>
              <w:tr2bl w:val="nil"/>
            </w:tcBorders>
            <w:shd w:val="clear" w:color="FFFFFF" w:fill="FFFFFF"/>
            <w:tcMar>
              <w:left w:w="101" w:type="dxa"/>
              <w:right w:w="101" w:type="dxa"/>
            </w:tcMar>
          </w:tcPr>
          <w:p w14:paraId="2E513317" w14:textId="43632DFF"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w:t>
            </w:r>
            <w:r w:rsidR="00B23E3B">
              <w:rPr>
                <w:rFonts w:ascii="Calibri" w:eastAsia="Calibri" w:hAnsi="Calibri" w:cs="Calibri"/>
                <w:b/>
                <w:color w:val="000000"/>
                <w:sz w:val="18"/>
              </w:rPr>
              <w:t>,</w:t>
            </w:r>
            <w:r>
              <w:rPr>
                <w:rFonts w:ascii="Calibri" w:eastAsia="Calibri" w:hAnsi="Calibri" w:cs="Calibri"/>
                <w:b/>
                <w:color w:val="000000"/>
                <w:sz w:val="18"/>
              </w:rPr>
              <w:t>761</w:t>
            </w:r>
          </w:p>
        </w:tc>
      </w:tr>
      <w:tr w:rsidR="007F5788" w14:paraId="148D393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8FD9358"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0A7440" w14:textId="77777777" w:rsidR="007F5788" w:rsidRDefault="007F5788" w:rsidP="00B23E3B">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1AC0EB"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67F95F"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3D6910D"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7438A"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36D83B"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1213C5" w14:textId="77777777" w:rsidR="007F5788" w:rsidRDefault="007F5788" w:rsidP="00B23E3B">
            <w:pPr>
              <w:pStyle w:val="Normal10"/>
              <w:rPr>
                <w:rFonts w:ascii="Calibri" w:eastAsia="Calibri" w:hAnsi="Calibri" w:cs="Calibri"/>
                <w:color w:val="000000"/>
                <w:sz w:val="18"/>
              </w:rPr>
            </w:pPr>
          </w:p>
        </w:tc>
      </w:tr>
      <w:tr w:rsidR="007F5788" w14:paraId="74DB823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D8EC38"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500</w:t>
            </w:r>
          </w:p>
        </w:tc>
        <w:tc>
          <w:tcPr>
            <w:tcW w:w="2385" w:type="dxa"/>
            <w:tcBorders>
              <w:top w:val="nil"/>
              <w:left w:val="nil"/>
              <w:bottom w:val="nil"/>
              <w:right w:val="nil"/>
              <w:tl2br w:val="nil"/>
              <w:tr2bl w:val="nil"/>
            </w:tcBorders>
            <w:shd w:val="clear" w:color="FFFFFF" w:fill="FFFFFF"/>
            <w:noWrap/>
            <w:tcMar>
              <w:left w:w="101" w:type="dxa"/>
              <w:right w:w="101" w:type="dxa"/>
            </w:tcMar>
          </w:tcPr>
          <w:p w14:paraId="04EACFC7"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F31B7F2"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42</w:t>
            </w:r>
          </w:p>
        </w:tc>
        <w:tc>
          <w:tcPr>
            <w:tcW w:w="1035" w:type="dxa"/>
            <w:tcBorders>
              <w:top w:val="nil"/>
              <w:left w:val="nil"/>
              <w:bottom w:val="nil"/>
              <w:right w:val="nil"/>
              <w:tl2br w:val="nil"/>
              <w:tr2bl w:val="nil"/>
            </w:tcBorders>
            <w:shd w:val="clear" w:color="FFFFFF" w:fill="FFFFFF"/>
            <w:tcMar>
              <w:left w:w="101" w:type="dxa"/>
              <w:right w:w="101" w:type="dxa"/>
            </w:tcMar>
          </w:tcPr>
          <w:p w14:paraId="716A90A8"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198</w:t>
            </w:r>
          </w:p>
        </w:tc>
        <w:tc>
          <w:tcPr>
            <w:tcW w:w="600" w:type="dxa"/>
            <w:tcBorders>
              <w:top w:val="nil"/>
              <w:left w:val="nil"/>
              <w:bottom w:val="nil"/>
              <w:right w:val="nil"/>
              <w:tl2br w:val="nil"/>
              <w:tr2bl w:val="nil"/>
            </w:tcBorders>
            <w:shd w:val="clear" w:color="FFFFFF" w:fill="FFFFFF"/>
            <w:tcMar>
              <w:left w:w="101" w:type="dxa"/>
              <w:right w:w="101" w:type="dxa"/>
            </w:tcMar>
          </w:tcPr>
          <w:p w14:paraId="203C83C1"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371 </w:t>
            </w:r>
          </w:p>
        </w:tc>
        <w:tc>
          <w:tcPr>
            <w:tcW w:w="1035" w:type="dxa"/>
            <w:tcBorders>
              <w:top w:val="nil"/>
              <w:left w:val="nil"/>
              <w:bottom w:val="nil"/>
              <w:right w:val="nil"/>
              <w:tl2br w:val="nil"/>
              <w:tr2bl w:val="nil"/>
            </w:tcBorders>
            <w:shd w:val="clear" w:color="FFFFFF" w:fill="FFFFFF"/>
            <w:tcMar>
              <w:left w:w="101" w:type="dxa"/>
              <w:right w:w="101" w:type="dxa"/>
            </w:tcMar>
          </w:tcPr>
          <w:p w14:paraId="4C974D5E"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206</w:t>
            </w:r>
          </w:p>
        </w:tc>
        <w:tc>
          <w:tcPr>
            <w:tcW w:w="1035" w:type="dxa"/>
            <w:tcBorders>
              <w:top w:val="nil"/>
              <w:left w:val="nil"/>
              <w:bottom w:val="nil"/>
              <w:right w:val="nil"/>
              <w:tl2br w:val="nil"/>
              <w:tr2bl w:val="nil"/>
            </w:tcBorders>
            <w:shd w:val="clear" w:color="FFFFFF" w:fill="FFFFFF"/>
            <w:tcMar>
              <w:left w:w="101" w:type="dxa"/>
              <w:right w:w="101" w:type="dxa"/>
            </w:tcMar>
          </w:tcPr>
          <w:p w14:paraId="637FE936"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337</w:t>
            </w:r>
          </w:p>
        </w:tc>
        <w:tc>
          <w:tcPr>
            <w:tcW w:w="1035" w:type="dxa"/>
            <w:tcBorders>
              <w:top w:val="nil"/>
              <w:left w:val="nil"/>
              <w:bottom w:val="nil"/>
              <w:right w:val="nil"/>
              <w:tl2br w:val="nil"/>
              <w:tr2bl w:val="nil"/>
            </w:tcBorders>
            <w:shd w:val="clear" w:color="FFFFFF" w:fill="FFFFFF"/>
            <w:tcMar>
              <w:left w:w="101" w:type="dxa"/>
              <w:right w:w="101" w:type="dxa"/>
            </w:tcMar>
          </w:tcPr>
          <w:p w14:paraId="3D22A332"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326</w:t>
            </w:r>
          </w:p>
        </w:tc>
      </w:tr>
      <w:tr w:rsidR="007F5788" w14:paraId="5C0C1BD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41E6127" w14:textId="77777777" w:rsidR="007F5788" w:rsidRDefault="007F5788" w:rsidP="00B23E3B">
            <w:pPr>
              <w:pStyle w:val="Normal10"/>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3C81D66E"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7F5788" w14:paraId="247F7ED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94034E"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44FB421"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0BE4C4C"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81F88A"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28CCC8"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44D7DF"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1A36DE"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B7A69C" w14:textId="77777777" w:rsidR="007F5788" w:rsidRDefault="007F5788" w:rsidP="00B23E3B">
            <w:pPr>
              <w:pStyle w:val="Normal10"/>
              <w:rPr>
                <w:rFonts w:ascii="Calibri" w:eastAsia="Calibri" w:hAnsi="Calibri" w:cs="Calibri"/>
                <w:color w:val="000000"/>
                <w:sz w:val="18"/>
              </w:rPr>
            </w:pPr>
          </w:p>
        </w:tc>
      </w:tr>
      <w:tr w:rsidR="007F5788" w14:paraId="618F9E9F"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320BF2"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900</w:t>
            </w:r>
          </w:p>
        </w:tc>
        <w:tc>
          <w:tcPr>
            <w:tcW w:w="2385" w:type="dxa"/>
            <w:tcBorders>
              <w:top w:val="nil"/>
              <w:left w:val="nil"/>
              <w:bottom w:val="nil"/>
              <w:right w:val="nil"/>
              <w:tl2br w:val="nil"/>
              <w:tr2bl w:val="nil"/>
            </w:tcBorders>
            <w:shd w:val="clear" w:color="FFFFFF" w:fill="FFFFFF"/>
            <w:noWrap/>
            <w:tcMar>
              <w:left w:w="101" w:type="dxa"/>
              <w:right w:w="101" w:type="dxa"/>
            </w:tcMar>
          </w:tcPr>
          <w:p w14:paraId="7D0116D5"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Proceeds from Sale/Maturity of 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2DD5D401" w14:textId="4EE8593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4</w:t>
            </w:r>
            <w:r w:rsidR="00B23E3B">
              <w:rPr>
                <w:rFonts w:ascii="Calibri" w:eastAsia="Calibri" w:hAnsi="Calibri" w:cs="Calibri"/>
                <w:color w:val="000000"/>
                <w:sz w:val="18"/>
              </w:rPr>
              <w:t>,</w:t>
            </w:r>
            <w:r>
              <w:rPr>
                <w:rFonts w:ascii="Calibri" w:eastAsia="Calibri" w:hAnsi="Calibri" w:cs="Calibri"/>
                <w:color w:val="000000"/>
                <w:sz w:val="18"/>
              </w:rPr>
              <w:t>152</w:t>
            </w:r>
          </w:p>
        </w:tc>
        <w:tc>
          <w:tcPr>
            <w:tcW w:w="1035" w:type="dxa"/>
            <w:tcBorders>
              <w:top w:val="nil"/>
              <w:left w:val="nil"/>
              <w:bottom w:val="nil"/>
              <w:right w:val="nil"/>
              <w:tl2br w:val="nil"/>
              <w:tr2bl w:val="nil"/>
            </w:tcBorders>
            <w:shd w:val="clear" w:color="FFFFFF" w:fill="FFFFFF"/>
            <w:tcMar>
              <w:left w:w="101" w:type="dxa"/>
              <w:right w:w="101" w:type="dxa"/>
            </w:tcMar>
          </w:tcPr>
          <w:p w14:paraId="7F32F01E" w14:textId="42B37B0E"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c>
          <w:tcPr>
            <w:tcW w:w="600" w:type="dxa"/>
            <w:tcBorders>
              <w:top w:val="nil"/>
              <w:left w:val="nil"/>
              <w:bottom w:val="nil"/>
              <w:right w:val="nil"/>
              <w:tl2br w:val="nil"/>
              <w:tr2bl w:val="nil"/>
            </w:tcBorders>
            <w:shd w:val="clear" w:color="FFFFFF" w:fill="FFFFFF"/>
            <w:tcMar>
              <w:left w:w="101" w:type="dxa"/>
              <w:right w:w="101" w:type="dxa"/>
            </w:tcMar>
          </w:tcPr>
          <w:p w14:paraId="6032B33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-75 </w:t>
            </w:r>
          </w:p>
        </w:tc>
        <w:tc>
          <w:tcPr>
            <w:tcW w:w="1035" w:type="dxa"/>
            <w:tcBorders>
              <w:top w:val="nil"/>
              <w:left w:val="nil"/>
              <w:bottom w:val="nil"/>
              <w:right w:val="nil"/>
              <w:tl2br w:val="nil"/>
              <w:tr2bl w:val="nil"/>
            </w:tcBorders>
            <w:shd w:val="clear" w:color="FFFFFF" w:fill="FFFFFF"/>
            <w:tcMar>
              <w:left w:w="101" w:type="dxa"/>
              <w:right w:w="101" w:type="dxa"/>
            </w:tcMar>
          </w:tcPr>
          <w:p w14:paraId="14126328" w14:textId="7A84AD63"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2072BA05" w14:textId="4EFC9EFB"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6C57060A" w14:textId="4C6BF24D"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r>
      <w:tr w:rsidR="007F5788" w14:paraId="784A649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C536AA"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900</w:t>
            </w:r>
          </w:p>
        </w:tc>
        <w:tc>
          <w:tcPr>
            <w:tcW w:w="2385" w:type="dxa"/>
            <w:tcBorders>
              <w:top w:val="nil"/>
              <w:left w:val="nil"/>
              <w:bottom w:val="nil"/>
              <w:right w:val="nil"/>
              <w:tl2br w:val="nil"/>
              <w:tr2bl w:val="nil"/>
            </w:tcBorders>
            <w:shd w:val="clear" w:color="FFFFFF" w:fill="FFFFFF"/>
            <w:tcMar>
              <w:left w:w="101" w:type="dxa"/>
              <w:right w:w="101" w:type="dxa"/>
            </w:tcMar>
          </w:tcPr>
          <w:p w14:paraId="71CF1017"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FA9379F" w14:textId="643B5C1F"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4</w:t>
            </w:r>
            <w:r w:rsidR="00B23E3B">
              <w:rPr>
                <w:rFonts w:ascii="Calibri" w:eastAsia="Calibri" w:hAnsi="Calibri" w:cs="Calibri"/>
                <w:b/>
                <w:color w:val="000000"/>
                <w:sz w:val="18"/>
              </w:rPr>
              <w:t>,</w:t>
            </w:r>
            <w:r>
              <w:rPr>
                <w:rFonts w:ascii="Calibri" w:eastAsia="Calibri" w:hAnsi="Calibri" w:cs="Calibri"/>
                <w:b/>
                <w:color w:val="000000"/>
                <w:sz w:val="18"/>
              </w:rPr>
              <w:t>152</w:t>
            </w:r>
          </w:p>
        </w:tc>
        <w:tc>
          <w:tcPr>
            <w:tcW w:w="1035" w:type="dxa"/>
            <w:tcBorders>
              <w:top w:val="nil"/>
              <w:left w:val="nil"/>
              <w:bottom w:val="nil"/>
              <w:right w:val="nil"/>
              <w:tl2br w:val="nil"/>
              <w:tr2bl w:val="nil"/>
            </w:tcBorders>
            <w:shd w:val="clear" w:color="FFFFFF" w:fill="FFFFFF"/>
            <w:tcMar>
              <w:left w:w="101" w:type="dxa"/>
              <w:right w:w="101" w:type="dxa"/>
            </w:tcMar>
          </w:tcPr>
          <w:p w14:paraId="09C78C95" w14:textId="5449FD88"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c>
          <w:tcPr>
            <w:tcW w:w="600" w:type="dxa"/>
            <w:tcBorders>
              <w:top w:val="nil"/>
              <w:left w:val="nil"/>
              <w:bottom w:val="nil"/>
              <w:right w:val="nil"/>
              <w:tl2br w:val="nil"/>
              <w:tr2bl w:val="nil"/>
            </w:tcBorders>
            <w:shd w:val="clear" w:color="FFFFFF" w:fill="FFFFFF"/>
            <w:tcMar>
              <w:left w:w="101" w:type="dxa"/>
              <w:right w:w="101" w:type="dxa"/>
            </w:tcMar>
          </w:tcPr>
          <w:p w14:paraId="4768DDFC"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-75 </w:t>
            </w:r>
          </w:p>
        </w:tc>
        <w:tc>
          <w:tcPr>
            <w:tcW w:w="1035" w:type="dxa"/>
            <w:tcBorders>
              <w:top w:val="nil"/>
              <w:left w:val="nil"/>
              <w:bottom w:val="nil"/>
              <w:right w:val="nil"/>
              <w:tl2br w:val="nil"/>
              <w:tr2bl w:val="nil"/>
            </w:tcBorders>
            <w:shd w:val="clear" w:color="FFFFFF" w:fill="FFFFFF"/>
            <w:tcMar>
              <w:left w:w="101" w:type="dxa"/>
              <w:right w:w="101" w:type="dxa"/>
            </w:tcMar>
          </w:tcPr>
          <w:p w14:paraId="1D18ECAF" w14:textId="3590364E"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603CAAC6" w14:textId="78801763"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1270466C" w14:textId="650E34FD"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r>
      <w:tr w:rsidR="007F5788" w14:paraId="7A3C2472"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900E584"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71E6E0"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B2E4C2"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FEC7F6"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49E7E8" w14:textId="77777777" w:rsidR="007F5788" w:rsidRDefault="007F5788" w:rsidP="00B23E3B">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528A52"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9139DE"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5B778" w14:textId="77777777" w:rsidR="007F5788" w:rsidRDefault="007F5788" w:rsidP="00B23E3B">
            <w:pPr>
              <w:pStyle w:val="Normal10"/>
              <w:rPr>
                <w:rFonts w:ascii="Calibri" w:eastAsia="Calibri" w:hAnsi="Calibri" w:cs="Calibri"/>
                <w:color w:val="000000"/>
                <w:sz w:val="18"/>
              </w:rPr>
            </w:pPr>
          </w:p>
        </w:tc>
      </w:tr>
      <w:tr w:rsidR="007F5788" w14:paraId="397F14E3"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4F2FE8"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8EDD949"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7B57EB1"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CA167C"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CD3FC8" w14:textId="77777777" w:rsidR="007F5788" w:rsidRDefault="007F5788" w:rsidP="00B23E3B">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149FFE"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4A9FED"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E619F7" w14:textId="77777777" w:rsidR="007F5788" w:rsidRDefault="007F5788" w:rsidP="00B23E3B">
            <w:pPr>
              <w:pStyle w:val="Normal10"/>
              <w:rPr>
                <w:rFonts w:ascii="Calibri" w:eastAsia="Calibri" w:hAnsi="Calibri" w:cs="Calibri"/>
                <w:color w:val="000000"/>
                <w:sz w:val="18"/>
              </w:rPr>
            </w:pPr>
          </w:p>
        </w:tc>
      </w:tr>
      <w:tr w:rsidR="007F5788" w14:paraId="3C802D8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51218E"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2811D4D"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3E4DEF36"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226</w:t>
            </w:r>
          </w:p>
        </w:tc>
        <w:tc>
          <w:tcPr>
            <w:tcW w:w="1035" w:type="dxa"/>
            <w:tcBorders>
              <w:top w:val="nil"/>
              <w:left w:val="nil"/>
              <w:bottom w:val="nil"/>
              <w:right w:val="nil"/>
              <w:tl2br w:val="nil"/>
              <w:tr2bl w:val="nil"/>
            </w:tcBorders>
            <w:shd w:val="clear" w:color="FFFFFF" w:fill="FFFFFF"/>
            <w:tcMar>
              <w:left w:w="101" w:type="dxa"/>
              <w:right w:w="101" w:type="dxa"/>
            </w:tcMar>
          </w:tcPr>
          <w:p w14:paraId="4EDEB518"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0D648B0"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7AF6227"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E554052"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7914E9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7F5788" w14:paraId="577FA554"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5E680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889</w:t>
            </w:r>
          </w:p>
        </w:tc>
        <w:tc>
          <w:tcPr>
            <w:tcW w:w="2385" w:type="dxa"/>
            <w:tcBorders>
              <w:top w:val="nil"/>
              <w:left w:val="nil"/>
              <w:bottom w:val="nil"/>
              <w:right w:val="nil"/>
              <w:tl2br w:val="nil"/>
              <w:tr2bl w:val="nil"/>
            </w:tcBorders>
            <w:shd w:val="clear" w:color="FFFFFF" w:fill="FFFFFF"/>
            <w:noWrap/>
            <w:tcMar>
              <w:left w:w="101" w:type="dxa"/>
              <w:right w:w="101" w:type="dxa"/>
            </w:tcMar>
          </w:tcPr>
          <w:p w14:paraId="6CC8ECC4" w14:textId="77777777" w:rsidR="007F5788" w:rsidRDefault="007F5788" w:rsidP="00B23E3B">
            <w:pPr>
              <w:pStyle w:val="Normal10"/>
              <w:rPr>
                <w:rFonts w:ascii="Calibri" w:eastAsia="Calibri" w:hAnsi="Calibri" w:cs="Calibri"/>
                <w:color w:val="000000"/>
                <w:sz w:val="18"/>
              </w:rPr>
            </w:pPr>
            <w:r>
              <w:rPr>
                <w:rFonts w:ascii="Calibri" w:eastAsia="Calibri" w:hAnsi="Calibri" w:cs="Calibri"/>
                <w:color w:val="000000"/>
                <w:sz w:val="18"/>
              </w:rPr>
              <w:t>Purchase of 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7330057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44DFC80" w14:textId="6D13A9D8"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c>
          <w:tcPr>
            <w:tcW w:w="600" w:type="dxa"/>
            <w:tcBorders>
              <w:top w:val="nil"/>
              <w:left w:val="nil"/>
              <w:bottom w:val="nil"/>
              <w:right w:val="nil"/>
              <w:tl2br w:val="nil"/>
              <w:tr2bl w:val="nil"/>
            </w:tcBorders>
            <w:shd w:val="clear" w:color="FFFFFF" w:fill="FFFFFF"/>
            <w:tcMar>
              <w:left w:w="101" w:type="dxa"/>
              <w:right w:w="101" w:type="dxa"/>
            </w:tcMar>
          </w:tcPr>
          <w:p w14:paraId="0EDC6763" w14:textId="77777777"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876ECE0" w14:textId="2667BECD"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456A11C9" w14:textId="750F97B6"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11391FA5" w14:textId="723C07C4" w:rsidR="007F5788" w:rsidRDefault="007F5788" w:rsidP="00B23E3B">
            <w:pPr>
              <w:pStyle w:val="Normal10"/>
              <w:jc w:val="right"/>
              <w:rPr>
                <w:rFonts w:ascii="Calibri" w:eastAsia="Calibri" w:hAnsi="Calibri" w:cs="Calibri"/>
                <w:color w:val="000000"/>
                <w:sz w:val="18"/>
              </w:rPr>
            </w:pPr>
            <w:r>
              <w:rPr>
                <w:rFonts w:ascii="Calibri" w:eastAsia="Calibri" w:hAnsi="Calibri" w:cs="Calibri"/>
                <w:color w:val="000000"/>
                <w:sz w:val="18"/>
              </w:rPr>
              <w:t>1</w:t>
            </w:r>
            <w:r w:rsidR="00B23E3B">
              <w:rPr>
                <w:rFonts w:ascii="Calibri" w:eastAsia="Calibri" w:hAnsi="Calibri" w:cs="Calibri"/>
                <w:color w:val="000000"/>
                <w:sz w:val="18"/>
              </w:rPr>
              <w:t>,</w:t>
            </w:r>
            <w:r>
              <w:rPr>
                <w:rFonts w:ascii="Calibri" w:eastAsia="Calibri" w:hAnsi="Calibri" w:cs="Calibri"/>
                <w:color w:val="000000"/>
                <w:sz w:val="18"/>
              </w:rPr>
              <w:t>049</w:t>
            </w:r>
          </w:p>
        </w:tc>
      </w:tr>
      <w:tr w:rsidR="007F5788" w14:paraId="34FDCA9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F65DAF"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889</w:t>
            </w:r>
          </w:p>
        </w:tc>
        <w:tc>
          <w:tcPr>
            <w:tcW w:w="2385" w:type="dxa"/>
            <w:tcBorders>
              <w:top w:val="nil"/>
              <w:left w:val="nil"/>
              <w:bottom w:val="nil"/>
              <w:right w:val="nil"/>
              <w:tl2br w:val="nil"/>
              <w:tr2bl w:val="nil"/>
            </w:tcBorders>
            <w:shd w:val="clear" w:color="FFFFFF" w:fill="FFFFFF"/>
            <w:tcMar>
              <w:left w:w="101" w:type="dxa"/>
              <w:right w:w="101" w:type="dxa"/>
            </w:tcMar>
          </w:tcPr>
          <w:p w14:paraId="4474D811"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5191E7AE"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226</w:t>
            </w:r>
          </w:p>
        </w:tc>
        <w:tc>
          <w:tcPr>
            <w:tcW w:w="1035" w:type="dxa"/>
            <w:tcBorders>
              <w:top w:val="nil"/>
              <w:left w:val="nil"/>
              <w:bottom w:val="nil"/>
              <w:right w:val="nil"/>
              <w:tl2br w:val="nil"/>
              <w:tr2bl w:val="nil"/>
            </w:tcBorders>
            <w:shd w:val="clear" w:color="FFFFFF" w:fill="FFFFFF"/>
            <w:tcMar>
              <w:left w:w="101" w:type="dxa"/>
              <w:right w:w="101" w:type="dxa"/>
            </w:tcMar>
          </w:tcPr>
          <w:p w14:paraId="6571E071" w14:textId="0402E4B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c>
          <w:tcPr>
            <w:tcW w:w="600" w:type="dxa"/>
            <w:tcBorders>
              <w:top w:val="nil"/>
              <w:left w:val="nil"/>
              <w:bottom w:val="nil"/>
              <w:right w:val="nil"/>
              <w:tl2br w:val="nil"/>
              <w:tr2bl w:val="nil"/>
            </w:tcBorders>
            <w:shd w:val="clear" w:color="FFFFFF" w:fill="FFFFFF"/>
            <w:tcMar>
              <w:left w:w="101" w:type="dxa"/>
              <w:right w:w="101" w:type="dxa"/>
            </w:tcMar>
          </w:tcPr>
          <w:p w14:paraId="5CBC2DE9"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364 </w:t>
            </w:r>
          </w:p>
        </w:tc>
        <w:tc>
          <w:tcPr>
            <w:tcW w:w="1035" w:type="dxa"/>
            <w:tcBorders>
              <w:top w:val="nil"/>
              <w:left w:val="nil"/>
              <w:bottom w:val="nil"/>
              <w:right w:val="nil"/>
              <w:tl2br w:val="nil"/>
              <w:tr2bl w:val="nil"/>
            </w:tcBorders>
            <w:shd w:val="clear" w:color="FFFFFF" w:fill="FFFFFF"/>
            <w:tcMar>
              <w:left w:w="101" w:type="dxa"/>
              <w:right w:w="101" w:type="dxa"/>
            </w:tcMar>
          </w:tcPr>
          <w:p w14:paraId="3A3A1BD6" w14:textId="7E0CF35A"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624AB290" w14:textId="51E0D0B6"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c>
          <w:tcPr>
            <w:tcW w:w="1035" w:type="dxa"/>
            <w:tcBorders>
              <w:top w:val="nil"/>
              <w:left w:val="nil"/>
              <w:bottom w:val="nil"/>
              <w:right w:val="nil"/>
              <w:tl2br w:val="nil"/>
              <w:tr2bl w:val="nil"/>
            </w:tcBorders>
            <w:shd w:val="clear" w:color="FFFFFF" w:fill="FFFFFF"/>
            <w:tcMar>
              <w:left w:w="101" w:type="dxa"/>
              <w:right w:w="101" w:type="dxa"/>
            </w:tcMar>
          </w:tcPr>
          <w:p w14:paraId="66B125A3" w14:textId="38B3AA43"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w:t>
            </w:r>
            <w:r w:rsidR="00B23E3B">
              <w:rPr>
                <w:rFonts w:ascii="Calibri" w:eastAsia="Calibri" w:hAnsi="Calibri" w:cs="Calibri"/>
                <w:b/>
                <w:color w:val="000000"/>
                <w:sz w:val="18"/>
              </w:rPr>
              <w:t>,</w:t>
            </w:r>
            <w:r>
              <w:rPr>
                <w:rFonts w:ascii="Calibri" w:eastAsia="Calibri" w:hAnsi="Calibri" w:cs="Calibri"/>
                <w:b/>
                <w:color w:val="000000"/>
                <w:sz w:val="18"/>
              </w:rPr>
              <w:t>049</w:t>
            </w:r>
          </w:p>
        </w:tc>
      </w:tr>
      <w:tr w:rsidR="007F5788" w14:paraId="5D75CCF0"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750C2D1"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04E90DC"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1825F6"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750045"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982FDB"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70C7C4"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AC7090"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670D4C" w14:textId="77777777" w:rsidR="007F5788" w:rsidRDefault="007F5788" w:rsidP="00B23E3B">
            <w:pPr>
              <w:pStyle w:val="Normal10"/>
              <w:rPr>
                <w:rFonts w:ascii="Calibri" w:eastAsia="Calibri" w:hAnsi="Calibri" w:cs="Calibri"/>
                <w:color w:val="000000"/>
                <w:sz w:val="18"/>
              </w:rPr>
            </w:pPr>
          </w:p>
        </w:tc>
      </w:tr>
      <w:tr w:rsidR="007F5788" w14:paraId="499A333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43F319"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11</w:t>
            </w:r>
          </w:p>
        </w:tc>
        <w:tc>
          <w:tcPr>
            <w:tcW w:w="2385" w:type="dxa"/>
            <w:tcBorders>
              <w:top w:val="nil"/>
              <w:left w:val="nil"/>
              <w:bottom w:val="nil"/>
              <w:right w:val="nil"/>
              <w:tl2br w:val="nil"/>
              <w:tr2bl w:val="nil"/>
            </w:tcBorders>
            <w:shd w:val="clear" w:color="FFFFFF" w:fill="FFFFFF"/>
            <w:noWrap/>
            <w:tcMar>
              <w:left w:w="101" w:type="dxa"/>
              <w:right w:w="101" w:type="dxa"/>
            </w:tcMar>
          </w:tcPr>
          <w:p w14:paraId="48D1CCBD" w14:textId="77777777" w:rsidR="007F5788" w:rsidRDefault="007F5788" w:rsidP="00B23E3B">
            <w:pPr>
              <w:pStyle w:val="Normal10"/>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3A85384" w14:textId="5F97A581"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3</w:t>
            </w:r>
            <w:r w:rsidR="00B23E3B">
              <w:rPr>
                <w:rFonts w:ascii="Calibri" w:eastAsia="Calibri" w:hAnsi="Calibri" w:cs="Calibri"/>
                <w:b/>
                <w:color w:val="000000"/>
                <w:sz w:val="18"/>
              </w:rPr>
              <w:t>,</w:t>
            </w:r>
            <w:r>
              <w:rPr>
                <w:rFonts w:ascii="Calibri" w:eastAsia="Calibri" w:hAnsi="Calibri" w:cs="Calibri"/>
                <w:b/>
                <w:color w:val="000000"/>
                <w:sz w:val="18"/>
              </w:rPr>
              <w:t>926</w:t>
            </w:r>
          </w:p>
        </w:tc>
        <w:tc>
          <w:tcPr>
            <w:tcW w:w="1035" w:type="dxa"/>
            <w:tcBorders>
              <w:top w:val="nil"/>
              <w:left w:val="nil"/>
              <w:bottom w:val="nil"/>
              <w:right w:val="nil"/>
              <w:tl2br w:val="nil"/>
              <w:tr2bl w:val="nil"/>
            </w:tcBorders>
            <w:shd w:val="clear" w:color="FFFFFF" w:fill="FFFFFF"/>
            <w:tcMar>
              <w:left w:w="101" w:type="dxa"/>
              <w:right w:w="101" w:type="dxa"/>
            </w:tcMar>
          </w:tcPr>
          <w:p w14:paraId="5B98B529"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C6AC74E"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76CB3E7"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3EAA71"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F1D7EE7" w14:textId="77777777" w:rsidR="007F5788" w:rsidRDefault="007F5788" w:rsidP="00B23E3B">
            <w:pPr>
              <w:pStyle w:val="Normal10"/>
              <w:jc w:val="right"/>
              <w:rPr>
                <w:rFonts w:ascii="Calibri" w:eastAsia="Calibri" w:hAnsi="Calibri" w:cs="Calibri"/>
                <w:b/>
                <w:color w:val="000000"/>
                <w:sz w:val="18"/>
              </w:rPr>
            </w:pPr>
            <w:r>
              <w:rPr>
                <w:rFonts w:ascii="Calibri" w:eastAsia="Calibri" w:hAnsi="Calibri" w:cs="Calibri"/>
                <w:b/>
                <w:color w:val="000000"/>
                <w:sz w:val="18"/>
              </w:rPr>
              <w:t>0</w:t>
            </w:r>
          </w:p>
        </w:tc>
      </w:tr>
      <w:tr w:rsidR="007F5788" w14:paraId="2B21BC1C"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BAABF62" w14:textId="77777777" w:rsidR="007F5788" w:rsidRDefault="007F5788" w:rsidP="00B23E3B">
            <w:pPr>
              <w:pStyle w:val="Normal10"/>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07CF19D"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44DD3CC"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8C3290D" w14:textId="77777777" w:rsidR="007F5788" w:rsidRDefault="007F5788" w:rsidP="00B23E3B">
            <w:pPr>
              <w:pStyle w:val="Normal10"/>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20ABFF3"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1729A28"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490B1F1" w14:textId="77777777" w:rsidR="007F5788" w:rsidRDefault="007F5788" w:rsidP="00B23E3B">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E075A57" w14:textId="77777777" w:rsidR="007F5788" w:rsidRDefault="007F5788" w:rsidP="00B23E3B">
            <w:pPr>
              <w:pStyle w:val="Normal10"/>
              <w:rPr>
                <w:rFonts w:ascii="Calibri" w:eastAsia="Calibri" w:hAnsi="Calibri" w:cs="Calibri"/>
                <w:color w:val="000000"/>
                <w:sz w:val="18"/>
              </w:rPr>
            </w:pPr>
          </w:p>
        </w:tc>
      </w:tr>
      <w:tr w:rsidR="007F5788" w14:paraId="27BA951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83A456E" w14:textId="77777777" w:rsidR="007F5788" w:rsidRDefault="007F5788" w:rsidP="00B23E3B">
            <w:pPr>
              <w:pStyle w:val="Normal10"/>
              <w:rPr>
                <w:rFonts w:ascii="Calibri" w:eastAsia="Calibri" w:hAnsi="Calibri" w:cs="Calibr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E865CD5" w14:textId="77777777" w:rsidR="007F5788" w:rsidRDefault="007F5788" w:rsidP="00B23E3B">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3A44959" w14:textId="77777777" w:rsidR="007F5788" w:rsidRDefault="007F5788" w:rsidP="00B23E3B">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09E9972" w14:textId="77777777" w:rsidR="007F5788" w:rsidRDefault="007F5788" w:rsidP="00B23E3B">
            <w:pPr>
              <w:pStyle w:val="Normal10"/>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F719A81" w14:textId="77777777" w:rsidR="007F5788" w:rsidRDefault="007F5788" w:rsidP="00B23E3B">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4413CDF" w14:textId="77777777" w:rsidR="007F5788" w:rsidRDefault="007F5788" w:rsidP="00B23E3B">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5C93A84" w14:textId="77777777" w:rsidR="007F5788" w:rsidRDefault="007F5788" w:rsidP="00B23E3B">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3D6850A" w14:textId="77777777" w:rsidR="007F5788" w:rsidRDefault="007F5788" w:rsidP="00B23E3B">
            <w:pPr>
              <w:pStyle w:val="Normal10"/>
              <w:rPr>
                <w:rFonts w:ascii="Calibri" w:eastAsia="Calibri" w:hAnsi="Calibri" w:cs="Calibri"/>
                <w:color w:val="000000"/>
                <w:sz w:val="18"/>
              </w:rPr>
            </w:pPr>
          </w:p>
        </w:tc>
      </w:tr>
    </w:tbl>
    <w:p w14:paraId="3BF77A7D" w14:textId="77777777" w:rsidR="007F5788" w:rsidRDefault="007F5788" w:rsidP="007F5788">
      <w:pPr>
        <w:pStyle w:val="Caption"/>
        <w:pageBreakBefore/>
        <w:pBdr>
          <w:top w:val="nil"/>
          <w:left w:val="nil"/>
          <w:bottom w:val="nil"/>
          <w:right w:val="nil"/>
          <w:between w:val="nil"/>
          <w:bar w:val="nil"/>
        </w:pBdr>
        <w:outlineLvl w:val="0"/>
        <w:rPr>
          <w:bdr w:val="nil"/>
        </w:rPr>
      </w:pPr>
      <w:r>
        <w:rPr>
          <w:bdr w:val="nil"/>
        </w:rPr>
        <w:lastRenderedPageBreak/>
        <w:t>Table 8: Public Trustee and Guardian: Cash Flow Statement (continued)</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7F5788" w14:paraId="4280CC7D" w14:textId="77777777" w:rsidTr="00B23E3B">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22D80A"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73C6CE2C" w14:textId="77777777" w:rsidR="007F5788" w:rsidRDefault="007F5788" w:rsidP="00B23E3B">
            <w:pPr>
              <w:pStyle w:val="Normal11"/>
              <w:jc w:val="right"/>
              <w:rPr>
                <w:rFonts w:ascii="Calibri" w:eastAsia="Calibri" w:hAnsi="Calibri" w:cs="Calibri"/>
                <w:b/>
                <w:color w:val="000000"/>
                <w:sz w:val="18"/>
              </w:rPr>
            </w:pPr>
          </w:p>
          <w:p w14:paraId="2CE06652"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7C226D7" w14:textId="77777777" w:rsidR="007F5788" w:rsidRDefault="007F5788" w:rsidP="00B23E3B">
            <w:pPr>
              <w:pStyle w:val="Normal1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58D1C9"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74D108"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3C83DE8C" w14:textId="77777777" w:rsidR="007F5788" w:rsidRDefault="007F5788" w:rsidP="00B23E3B">
            <w:pPr>
              <w:pStyle w:val="Normal11"/>
              <w:jc w:val="right"/>
              <w:rPr>
                <w:rFonts w:ascii="Calibri" w:eastAsia="Calibri" w:hAnsi="Calibri" w:cs="Calibri"/>
                <w:b/>
                <w:color w:val="000000"/>
                <w:sz w:val="18"/>
              </w:rPr>
            </w:pPr>
          </w:p>
          <w:p w14:paraId="29FD7501"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B7E8086"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Var </w:t>
            </w:r>
          </w:p>
          <w:p w14:paraId="3F159ABA"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ADDA9C3"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64C66FA9" w14:textId="77777777" w:rsidR="007F5788" w:rsidRDefault="007F5788" w:rsidP="00B23E3B">
            <w:pPr>
              <w:pStyle w:val="Normal11"/>
              <w:jc w:val="right"/>
              <w:rPr>
                <w:rFonts w:ascii="Calibri" w:eastAsia="Calibri" w:hAnsi="Calibri" w:cs="Calibri"/>
                <w:b/>
                <w:color w:val="000000"/>
                <w:sz w:val="18"/>
              </w:rPr>
            </w:pPr>
          </w:p>
          <w:p w14:paraId="2BB68DB9"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567B831"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4711FC4D" w14:textId="77777777" w:rsidR="007F5788" w:rsidRDefault="007F5788" w:rsidP="00B23E3B">
            <w:pPr>
              <w:pStyle w:val="Normal11"/>
              <w:jc w:val="right"/>
              <w:rPr>
                <w:rFonts w:ascii="Calibri" w:eastAsia="Calibri" w:hAnsi="Calibri" w:cs="Calibri"/>
                <w:b/>
                <w:color w:val="000000"/>
                <w:sz w:val="18"/>
              </w:rPr>
            </w:pPr>
          </w:p>
          <w:p w14:paraId="18090146"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82921A"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282BC7B6" w14:textId="77777777" w:rsidR="007F5788" w:rsidRDefault="007F5788" w:rsidP="00B23E3B">
            <w:pPr>
              <w:pStyle w:val="Normal11"/>
              <w:jc w:val="right"/>
              <w:rPr>
                <w:rFonts w:ascii="Calibri" w:eastAsia="Calibri" w:hAnsi="Calibri" w:cs="Calibri"/>
                <w:b/>
                <w:color w:val="000000"/>
                <w:sz w:val="18"/>
              </w:rPr>
            </w:pPr>
          </w:p>
          <w:p w14:paraId="329969E9"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7F5788" w14:paraId="1DF16C8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2319DC4" w14:textId="77777777" w:rsidR="007F5788" w:rsidRDefault="007F5788" w:rsidP="00B23E3B">
            <w:pPr>
              <w:pStyle w:val="Normal11"/>
              <w:rPr>
                <w:rFonts w:ascii="Calibri" w:eastAsia="Calibri" w:hAnsi="Calibri" w:cs="Calibri"/>
                <w:color w:val="000000"/>
                <w:sz w:val="18"/>
              </w:rPr>
            </w:pPr>
          </w:p>
        </w:tc>
        <w:tc>
          <w:tcPr>
            <w:tcW w:w="816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247E578C" w14:textId="77777777" w:rsidR="007F5788" w:rsidRDefault="007F5788" w:rsidP="00B23E3B">
            <w:pPr>
              <w:pStyle w:val="Normal11"/>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7F5788" w14:paraId="39D672A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DE3D21" w14:textId="77777777" w:rsidR="007F5788" w:rsidRDefault="007F5788" w:rsidP="00B23E3B">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5DC0802" w14:textId="77777777" w:rsidR="007F5788" w:rsidRDefault="007F5788" w:rsidP="00B23E3B">
            <w:pPr>
              <w:pStyle w:val="Normal11"/>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52C1994"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DE2F56" w14:textId="77777777" w:rsidR="007F5788" w:rsidRDefault="007F5788" w:rsidP="00B23E3B">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CAD7B9"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C2BA1C"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6A9F35"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6AA8B0" w14:textId="77777777" w:rsidR="007F5788" w:rsidRDefault="007F5788" w:rsidP="00B23E3B">
            <w:pPr>
              <w:pStyle w:val="Normal11"/>
              <w:rPr>
                <w:rFonts w:ascii="Calibri" w:eastAsia="Calibri" w:hAnsi="Calibri" w:cs="Calibri"/>
                <w:color w:val="000000"/>
                <w:sz w:val="18"/>
              </w:rPr>
            </w:pPr>
          </w:p>
        </w:tc>
      </w:tr>
      <w:tr w:rsidR="007F5788" w14:paraId="7CEDA6C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2F86CB7" w14:textId="77777777" w:rsidR="007F5788" w:rsidRDefault="007F5788" w:rsidP="00B23E3B">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F6FADB4"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67AABB"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0DA7B1" w14:textId="77777777" w:rsidR="007F5788" w:rsidRDefault="007F5788" w:rsidP="00B23E3B">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E71063"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6C6CB2"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92D47D"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EE8192" w14:textId="77777777" w:rsidR="007F5788" w:rsidRDefault="007F5788" w:rsidP="00B23E3B">
            <w:pPr>
              <w:pStyle w:val="Normal11"/>
              <w:rPr>
                <w:rFonts w:ascii="Calibri" w:eastAsia="Calibri" w:hAnsi="Calibri" w:cs="Calibri"/>
                <w:color w:val="000000"/>
                <w:sz w:val="18"/>
              </w:rPr>
            </w:pPr>
          </w:p>
        </w:tc>
      </w:tr>
      <w:tr w:rsidR="007F5788" w14:paraId="245F80B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246AD3" w14:textId="77777777" w:rsidR="007F5788" w:rsidRDefault="007F5788" w:rsidP="00B23E3B">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422F998" w14:textId="77777777" w:rsidR="007F5788" w:rsidRDefault="007F5788" w:rsidP="00B23E3B">
            <w:pPr>
              <w:pStyle w:val="Normal11"/>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CCE0700"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EF491D" w14:textId="77777777" w:rsidR="007F5788" w:rsidRDefault="007F5788" w:rsidP="00B23E3B">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D4CDA1"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E16923"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8B40C6"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40DCB3" w14:textId="77777777" w:rsidR="007F5788" w:rsidRDefault="007F5788" w:rsidP="00B23E3B">
            <w:pPr>
              <w:pStyle w:val="Normal11"/>
              <w:rPr>
                <w:rFonts w:ascii="Calibri" w:eastAsia="Calibri" w:hAnsi="Calibri" w:cs="Calibri"/>
                <w:color w:val="000000"/>
                <w:sz w:val="18"/>
              </w:rPr>
            </w:pPr>
          </w:p>
        </w:tc>
      </w:tr>
      <w:tr w:rsidR="007F5788" w14:paraId="477BE6C1"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DAB7F6" w14:textId="77777777" w:rsidR="007F5788" w:rsidRDefault="007F5788" w:rsidP="00B23E3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7D04863" w14:textId="77777777" w:rsidR="007F5788" w:rsidRDefault="007F5788" w:rsidP="00B23E3B">
            <w:pPr>
              <w:pStyle w:val="Normal11"/>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7C75C6B8" w14:textId="77777777" w:rsidR="007F5788" w:rsidRDefault="007F5788" w:rsidP="00B23E3B">
            <w:pPr>
              <w:pStyle w:val="Normal11"/>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4D5568FE" w14:textId="77777777" w:rsidR="007F5788" w:rsidRDefault="007F5788" w:rsidP="00B23E3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0A9C4B1" w14:textId="77777777" w:rsidR="007F5788" w:rsidRDefault="007F5788" w:rsidP="00B23E3B">
            <w:pPr>
              <w:pStyle w:val="Normal11"/>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BEBB422" w14:textId="77777777" w:rsidR="007F5788" w:rsidRDefault="007F5788" w:rsidP="00B23E3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6A6387" w14:textId="77777777" w:rsidR="007F5788" w:rsidRDefault="007F5788" w:rsidP="00B23E3B">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8791088" w14:textId="77777777" w:rsidR="007F5788" w:rsidRDefault="007F5788" w:rsidP="00B23E3B">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7F5788" w14:paraId="6D59BF5E"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50608A"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1947396" w14:textId="77777777" w:rsidR="007F5788" w:rsidRDefault="007F5788" w:rsidP="00B23E3B">
            <w:pPr>
              <w:pStyle w:val="Normal11"/>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1723193C"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388BE12C"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94A2EAC"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DED6695"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78543C2"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E855D51"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r>
      <w:tr w:rsidR="007F5788" w14:paraId="6FBA61FC"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70F7C46" w14:textId="77777777" w:rsidR="007F5788" w:rsidRDefault="007F5788" w:rsidP="00B23E3B">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81F5E7A"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782805"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A3F60C" w14:textId="77777777" w:rsidR="007F5788" w:rsidRDefault="007F5788" w:rsidP="00B23E3B">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F2306F9"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F456A"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A6CDE0"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34C019" w14:textId="77777777" w:rsidR="007F5788" w:rsidRDefault="007F5788" w:rsidP="00B23E3B">
            <w:pPr>
              <w:pStyle w:val="Normal11"/>
              <w:rPr>
                <w:rFonts w:ascii="Calibri" w:eastAsia="Calibri" w:hAnsi="Calibri" w:cs="Calibri"/>
                <w:color w:val="000000"/>
                <w:sz w:val="18"/>
              </w:rPr>
            </w:pPr>
          </w:p>
        </w:tc>
      </w:tr>
      <w:tr w:rsidR="007F5788" w14:paraId="2E04F21A"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4DF7C2"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626A704" w14:textId="77777777" w:rsidR="007F5788" w:rsidRDefault="007F5788" w:rsidP="00B23E3B">
            <w:pPr>
              <w:pStyle w:val="Normal11"/>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3E2209E"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150A10E9"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E37875F"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3512159"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794B5F"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A4D2EAF" w14:textId="77777777" w:rsidR="007F5788" w:rsidRDefault="007F5788" w:rsidP="00B23E3B">
            <w:pPr>
              <w:pStyle w:val="Normal11"/>
              <w:jc w:val="right"/>
              <w:rPr>
                <w:rFonts w:ascii="Calibri" w:eastAsia="Calibri" w:hAnsi="Calibri" w:cs="Calibri"/>
                <w:b/>
                <w:color w:val="000000"/>
                <w:sz w:val="18"/>
              </w:rPr>
            </w:pPr>
            <w:r>
              <w:rPr>
                <w:rFonts w:ascii="Calibri" w:eastAsia="Calibri" w:hAnsi="Calibri" w:cs="Calibri"/>
                <w:b/>
                <w:color w:val="000000"/>
                <w:sz w:val="18"/>
              </w:rPr>
              <w:t>0</w:t>
            </w:r>
          </w:p>
        </w:tc>
      </w:tr>
      <w:tr w:rsidR="007F5788" w14:paraId="53A74B9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C892F6" w14:textId="77777777" w:rsidR="007F5788" w:rsidRDefault="007F5788" w:rsidP="00B23E3B">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FBA8DBB"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DC18C5"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AF359B" w14:textId="77777777" w:rsidR="007F5788" w:rsidRDefault="007F5788" w:rsidP="00B23E3B">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A82E7C"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0C2736"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491197"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34B8ED" w14:textId="77777777" w:rsidR="007F5788" w:rsidRDefault="007F5788" w:rsidP="00B23E3B">
            <w:pPr>
              <w:pStyle w:val="Normal11"/>
              <w:rPr>
                <w:rFonts w:ascii="Calibri" w:eastAsia="Calibri" w:hAnsi="Calibri" w:cs="Calibri"/>
                <w:color w:val="000000"/>
                <w:sz w:val="18"/>
              </w:rPr>
            </w:pPr>
          </w:p>
        </w:tc>
      </w:tr>
      <w:tr w:rsidR="00B23E3B" w14:paraId="5BCBB3FC"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0BC47C"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511</w:t>
            </w:r>
          </w:p>
        </w:tc>
        <w:tc>
          <w:tcPr>
            <w:tcW w:w="2385" w:type="dxa"/>
            <w:tcBorders>
              <w:top w:val="nil"/>
              <w:left w:val="nil"/>
              <w:bottom w:val="nil"/>
              <w:right w:val="nil"/>
              <w:tl2br w:val="nil"/>
              <w:tr2bl w:val="nil"/>
            </w:tcBorders>
            <w:shd w:val="clear" w:color="FFFFFF" w:fill="FFFFFF"/>
            <w:noWrap/>
            <w:tcMar>
              <w:left w:w="101" w:type="dxa"/>
              <w:right w:w="101" w:type="dxa"/>
            </w:tcMar>
          </w:tcPr>
          <w:p w14:paraId="627DA0B6" w14:textId="77777777" w:rsidR="00B23E3B" w:rsidRDefault="00B23E3B" w:rsidP="00B23E3B">
            <w:pPr>
              <w:pStyle w:val="Normal11"/>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88B53E4" w14:textId="57B5258C" w:rsidR="00B23E3B" w:rsidRDefault="00B23E3B" w:rsidP="00B23E3B">
            <w:pPr>
              <w:pStyle w:val="Normal11"/>
              <w:jc w:val="right"/>
              <w:rPr>
                <w:rFonts w:ascii="Calibri" w:eastAsia="Calibri" w:hAnsi="Calibri" w:cs="Calibri"/>
                <w:b/>
                <w:color w:val="000000"/>
                <w:sz w:val="18"/>
              </w:rPr>
            </w:pPr>
            <w:r w:rsidRPr="005E3B44">
              <w:rPr>
                <w:rFonts w:asciiTheme="minorHAnsi" w:eastAsia="Calibri" w:hAnsiTheme="minorHAnsi" w:cstheme="minorHAnsi"/>
                <w:b/>
                <w:color w:val="000000"/>
                <w:sz w:val="18"/>
              </w:rPr>
              <w:t>3</w:t>
            </w:r>
            <w:r>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962</w:t>
            </w:r>
          </w:p>
        </w:tc>
        <w:tc>
          <w:tcPr>
            <w:tcW w:w="1035" w:type="dxa"/>
            <w:tcBorders>
              <w:top w:val="nil"/>
              <w:left w:val="nil"/>
              <w:bottom w:val="nil"/>
              <w:right w:val="nil"/>
              <w:tl2br w:val="nil"/>
              <w:tr2bl w:val="nil"/>
            </w:tcBorders>
            <w:shd w:val="clear" w:color="FFFFFF" w:fill="FFFFFF"/>
            <w:tcMar>
              <w:left w:w="101" w:type="dxa"/>
              <w:right w:w="101" w:type="dxa"/>
            </w:tcMar>
          </w:tcPr>
          <w:p w14:paraId="641E0946"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198</w:t>
            </w:r>
          </w:p>
        </w:tc>
        <w:tc>
          <w:tcPr>
            <w:tcW w:w="600" w:type="dxa"/>
            <w:tcBorders>
              <w:top w:val="nil"/>
              <w:left w:val="nil"/>
              <w:bottom w:val="nil"/>
              <w:right w:val="nil"/>
              <w:tl2br w:val="nil"/>
              <w:tr2bl w:val="nil"/>
            </w:tcBorders>
            <w:shd w:val="clear" w:color="FFFFFF" w:fill="FFFFFF"/>
            <w:tcMar>
              <w:left w:w="101" w:type="dxa"/>
              <w:right w:w="101" w:type="dxa"/>
            </w:tcMar>
          </w:tcPr>
          <w:p w14:paraId="6F56AC27"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-95 </w:t>
            </w:r>
          </w:p>
        </w:tc>
        <w:tc>
          <w:tcPr>
            <w:tcW w:w="1035" w:type="dxa"/>
            <w:tcBorders>
              <w:top w:val="nil"/>
              <w:left w:val="nil"/>
              <w:bottom w:val="nil"/>
              <w:right w:val="nil"/>
              <w:tl2br w:val="nil"/>
              <w:tr2bl w:val="nil"/>
            </w:tcBorders>
            <w:shd w:val="clear" w:color="FFFFFF" w:fill="FFFFFF"/>
            <w:tcMar>
              <w:left w:w="101" w:type="dxa"/>
              <w:right w:w="101" w:type="dxa"/>
            </w:tcMar>
          </w:tcPr>
          <w:p w14:paraId="6B173952"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206</w:t>
            </w:r>
          </w:p>
        </w:tc>
        <w:tc>
          <w:tcPr>
            <w:tcW w:w="1035" w:type="dxa"/>
            <w:tcBorders>
              <w:top w:val="nil"/>
              <w:left w:val="nil"/>
              <w:bottom w:val="nil"/>
              <w:right w:val="nil"/>
              <w:tl2br w:val="nil"/>
              <w:tr2bl w:val="nil"/>
            </w:tcBorders>
            <w:shd w:val="clear" w:color="FFFFFF" w:fill="FFFFFF"/>
            <w:tcMar>
              <w:left w:w="101" w:type="dxa"/>
              <w:right w:w="101" w:type="dxa"/>
            </w:tcMar>
          </w:tcPr>
          <w:p w14:paraId="74FEE104"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337</w:t>
            </w:r>
          </w:p>
        </w:tc>
        <w:tc>
          <w:tcPr>
            <w:tcW w:w="1035" w:type="dxa"/>
            <w:tcBorders>
              <w:top w:val="nil"/>
              <w:left w:val="nil"/>
              <w:bottom w:val="nil"/>
              <w:right w:val="nil"/>
              <w:tl2br w:val="nil"/>
              <w:tr2bl w:val="nil"/>
            </w:tcBorders>
            <w:shd w:val="clear" w:color="FFFFFF" w:fill="FFFFFF"/>
            <w:tcMar>
              <w:left w:w="101" w:type="dxa"/>
              <w:right w:w="101" w:type="dxa"/>
            </w:tcMar>
          </w:tcPr>
          <w:p w14:paraId="710B5BBF"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326</w:t>
            </w:r>
          </w:p>
        </w:tc>
      </w:tr>
      <w:tr w:rsidR="00B23E3B" w14:paraId="2209EAB8"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C49F4B" w14:textId="77777777" w:rsidR="00B23E3B" w:rsidRDefault="00B23E3B" w:rsidP="00B23E3B">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21FC46F"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BF950B"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C57BC0" w14:textId="77777777" w:rsidR="00B23E3B" w:rsidRDefault="00B23E3B" w:rsidP="00B23E3B">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293A6F"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B38B52"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F477D9"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A67602" w14:textId="77777777" w:rsidR="00B23E3B" w:rsidRDefault="00B23E3B" w:rsidP="00B23E3B">
            <w:pPr>
              <w:pStyle w:val="Normal11"/>
              <w:rPr>
                <w:rFonts w:ascii="Calibri" w:eastAsia="Calibri" w:hAnsi="Calibri" w:cs="Calibri"/>
                <w:color w:val="000000"/>
                <w:sz w:val="18"/>
              </w:rPr>
            </w:pPr>
          </w:p>
        </w:tc>
      </w:tr>
      <w:tr w:rsidR="00B23E3B" w14:paraId="650B1679"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7E4CF6" w14:textId="5B6E43F9" w:rsidR="00B23E3B" w:rsidRDefault="00B23E3B" w:rsidP="00B23E3B">
            <w:pPr>
              <w:pStyle w:val="Normal11"/>
              <w:jc w:val="right"/>
              <w:rPr>
                <w:rFonts w:ascii="Calibri" w:eastAsia="Calibri" w:hAnsi="Calibri" w:cs="Calibri"/>
                <w:b/>
                <w:color w:val="000000"/>
                <w:sz w:val="18"/>
              </w:rPr>
            </w:pPr>
            <w:r w:rsidRPr="005E3B44">
              <w:rPr>
                <w:rFonts w:asciiTheme="minorHAnsi" w:eastAsia="Calibri" w:hAnsiTheme="minorHAnsi" w:cstheme="minorHAnsi"/>
                <w:b/>
                <w:color w:val="000000"/>
                <w:sz w:val="18"/>
              </w:rPr>
              <w:t>1</w:t>
            </w:r>
            <w:r>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195</w:t>
            </w:r>
          </w:p>
        </w:tc>
        <w:tc>
          <w:tcPr>
            <w:tcW w:w="2385" w:type="dxa"/>
            <w:tcBorders>
              <w:top w:val="nil"/>
              <w:left w:val="nil"/>
              <w:bottom w:val="nil"/>
              <w:right w:val="nil"/>
              <w:tl2br w:val="nil"/>
              <w:tr2bl w:val="nil"/>
            </w:tcBorders>
            <w:shd w:val="clear" w:color="auto" w:fill="auto"/>
            <w:noWrap/>
            <w:tcMar>
              <w:left w:w="101" w:type="dxa"/>
              <w:right w:w="101" w:type="dxa"/>
            </w:tcMar>
          </w:tcPr>
          <w:p w14:paraId="155B7B72" w14:textId="77777777" w:rsidR="00B23E3B" w:rsidRDefault="00B23E3B" w:rsidP="00B23E3B">
            <w:pPr>
              <w:pStyle w:val="Normal11"/>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19B847A" w14:textId="303298AD" w:rsidR="00B23E3B" w:rsidRDefault="00B23E3B" w:rsidP="00B23E3B">
            <w:pPr>
              <w:pStyle w:val="Normal11"/>
              <w:jc w:val="right"/>
              <w:rPr>
                <w:rFonts w:ascii="Calibri" w:eastAsia="Calibri" w:hAnsi="Calibri" w:cs="Calibri"/>
                <w:b/>
                <w:color w:val="000000"/>
                <w:sz w:val="18"/>
              </w:rPr>
            </w:pPr>
            <w:r w:rsidRPr="005E3B44">
              <w:rPr>
                <w:rFonts w:asciiTheme="minorHAnsi" w:eastAsia="Calibri" w:hAnsiTheme="minorHAnsi" w:cstheme="minorHAnsi"/>
                <w:b/>
                <w:color w:val="000000"/>
                <w:sz w:val="18"/>
              </w:rPr>
              <w:t>1</w:t>
            </w:r>
            <w:r>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195</w:t>
            </w:r>
          </w:p>
        </w:tc>
        <w:tc>
          <w:tcPr>
            <w:tcW w:w="1035" w:type="dxa"/>
            <w:tcBorders>
              <w:top w:val="nil"/>
              <w:left w:val="nil"/>
              <w:bottom w:val="nil"/>
              <w:right w:val="nil"/>
              <w:tl2br w:val="nil"/>
              <w:tr2bl w:val="nil"/>
            </w:tcBorders>
            <w:shd w:val="clear" w:color="FFFFFF" w:fill="FFFFFF"/>
            <w:tcMar>
              <w:left w:w="101" w:type="dxa"/>
              <w:right w:w="101" w:type="dxa"/>
            </w:tcMar>
          </w:tcPr>
          <w:p w14:paraId="763621C5" w14:textId="2017E9EF"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5,157</w:t>
            </w:r>
          </w:p>
        </w:tc>
        <w:tc>
          <w:tcPr>
            <w:tcW w:w="600" w:type="dxa"/>
            <w:tcBorders>
              <w:top w:val="nil"/>
              <w:left w:val="nil"/>
              <w:bottom w:val="nil"/>
              <w:right w:val="nil"/>
              <w:tl2br w:val="nil"/>
              <w:tr2bl w:val="nil"/>
            </w:tcBorders>
            <w:shd w:val="clear" w:color="FFFFFF" w:fill="FFFFFF"/>
            <w:tcMar>
              <w:left w:w="101" w:type="dxa"/>
              <w:right w:w="101" w:type="dxa"/>
            </w:tcMar>
          </w:tcPr>
          <w:p w14:paraId="15BA80AC"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332 </w:t>
            </w:r>
          </w:p>
        </w:tc>
        <w:tc>
          <w:tcPr>
            <w:tcW w:w="1035" w:type="dxa"/>
            <w:tcBorders>
              <w:top w:val="nil"/>
              <w:left w:val="nil"/>
              <w:bottom w:val="nil"/>
              <w:right w:val="nil"/>
              <w:tl2br w:val="nil"/>
              <w:tr2bl w:val="nil"/>
            </w:tcBorders>
            <w:shd w:val="clear" w:color="FFFFFF" w:fill="FFFFFF"/>
            <w:tcMar>
              <w:left w:w="101" w:type="dxa"/>
              <w:right w:w="101" w:type="dxa"/>
            </w:tcMar>
          </w:tcPr>
          <w:p w14:paraId="2EE714F0" w14:textId="50763B6F"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5,355</w:t>
            </w:r>
          </w:p>
        </w:tc>
        <w:tc>
          <w:tcPr>
            <w:tcW w:w="1035" w:type="dxa"/>
            <w:tcBorders>
              <w:top w:val="nil"/>
              <w:left w:val="nil"/>
              <w:bottom w:val="nil"/>
              <w:right w:val="nil"/>
              <w:tl2br w:val="nil"/>
              <w:tr2bl w:val="nil"/>
            </w:tcBorders>
            <w:shd w:val="clear" w:color="FFFFFF" w:fill="FFFFFF"/>
            <w:tcMar>
              <w:left w:w="101" w:type="dxa"/>
              <w:right w:w="101" w:type="dxa"/>
            </w:tcMar>
          </w:tcPr>
          <w:p w14:paraId="721AF57B" w14:textId="62D2E159"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5,561</w:t>
            </w:r>
          </w:p>
        </w:tc>
        <w:tc>
          <w:tcPr>
            <w:tcW w:w="1035" w:type="dxa"/>
            <w:tcBorders>
              <w:top w:val="nil"/>
              <w:left w:val="nil"/>
              <w:bottom w:val="nil"/>
              <w:right w:val="nil"/>
              <w:tl2br w:val="nil"/>
              <w:tr2bl w:val="nil"/>
            </w:tcBorders>
            <w:shd w:val="clear" w:color="FFFFFF" w:fill="FFFFFF"/>
            <w:tcMar>
              <w:left w:w="101" w:type="dxa"/>
              <w:right w:w="101" w:type="dxa"/>
            </w:tcMar>
          </w:tcPr>
          <w:p w14:paraId="0F4855AA" w14:textId="4F1BECDF"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5,898</w:t>
            </w:r>
          </w:p>
        </w:tc>
      </w:tr>
      <w:tr w:rsidR="00B23E3B" w14:paraId="7F3B3497"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6A173D" w14:textId="77777777" w:rsidR="00B23E3B" w:rsidRDefault="00B23E3B" w:rsidP="00B23E3B">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020A85F6"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C1D926"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B47C24" w14:textId="77777777" w:rsidR="00B23E3B" w:rsidRDefault="00B23E3B" w:rsidP="00B23E3B">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0B7327"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4D8599"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0AFDBF" w14:textId="77777777" w:rsidR="00B23E3B" w:rsidRDefault="00B23E3B" w:rsidP="00B23E3B">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B566F2" w14:textId="77777777" w:rsidR="00B23E3B" w:rsidRDefault="00B23E3B" w:rsidP="00B23E3B">
            <w:pPr>
              <w:pStyle w:val="Normal11"/>
              <w:rPr>
                <w:rFonts w:ascii="Calibri" w:eastAsia="Calibri" w:hAnsi="Calibri" w:cs="Calibri"/>
                <w:color w:val="000000"/>
                <w:sz w:val="18"/>
              </w:rPr>
            </w:pPr>
          </w:p>
        </w:tc>
      </w:tr>
      <w:tr w:rsidR="00B23E3B" w14:paraId="225E49D5" w14:textId="77777777" w:rsidTr="00B2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5D8D87" w14:textId="7D5B032C" w:rsidR="00B23E3B" w:rsidRDefault="00B23E3B" w:rsidP="00B23E3B">
            <w:pPr>
              <w:pStyle w:val="Normal11"/>
              <w:jc w:val="right"/>
              <w:rPr>
                <w:rFonts w:ascii="Calibri" w:eastAsia="Calibri" w:hAnsi="Calibri" w:cs="Calibri"/>
                <w:b/>
                <w:color w:val="000000"/>
                <w:sz w:val="18"/>
              </w:rPr>
            </w:pPr>
            <w:r w:rsidRPr="005E3B44">
              <w:rPr>
                <w:rFonts w:asciiTheme="minorHAnsi" w:eastAsia="Calibri" w:hAnsiTheme="minorHAnsi" w:cstheme="minorHAnsi"/>
                <w:b/>
                <w:color w:val="000000"/>
                <w:sz w:val="18"/>
              </w:rPr>
              <w:t>1</w:t>
            </w:r>
            <w:r>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706</w:t>
            </w:r>
          </w:p>
        </w:tc>
        <w:tc>
          <w:tcPr>
            <w:tcW w:w="2385" w:type="dxa"/>
            <w:tcBorders>
              <w:top w:val="nil"/>
              <w:left w:val="nil"/>
              <w:bottom w:val="nil"/>
              <w:right w:val="nil"/>
              <w:tl2br w:val="nil"/>
              <w:tr2bl w:val="nil"/>
            </w:tcBorders>
            <w:shd w:val="clear" w:color="auto" w:fill="auto"/>
            <w:noWrap/>
            <w:tcMar>
              <w:left w:w="101" w:type="dxa"/>
              <w:right w:w="101" w:type="dxa"/>
            </w:tcMar>
          </w:tcPr>
          <w:p w14:paraId="290B3382" w14:textId="77777777" w:rsidR="00B23E3B" w:rsidRDefault="00B23E3B" w:rsidP="00B23E3B">
            <w:pPr>
              <w:pStyle w:val="Normal11"/>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2DC3D64C" w14:textId="279598DC" w:rsidR="00B23E3B" w:rsidRDefault="00B23E3B" w:rsidP="00B23E3B">
            <w:pPr>
              <w:pStyle w:val="Normal11"/>
              <w:jc w:val="right"/>
              <w:rPr>
                <w:rFonts w:ascii="Calibri" w:eastAsia="Calibri" w:hAnsi="Calibri" w:cs="Calibri"/>
                <w:b/>
                <w:color w:val="000000"/>
                <w:sz w:val="18"/>
              </w:rPr>
            </w:pPr>
            <w:r w:rsidRPr="005E3B44">
              <w:rPr>
                <w:rFonts w:asciiTheme="minorHAnsi" w:eastAsia="Calibri" w:hAnsiTheme="minorHAnsi" w:cstheme="minorHAnsi"/>
                <w:b/>
                <w:color w:val="000000"/>
                <w:sz w:val="18"/>
              </w:rPr>
              <w:t>5</w:t>
            </w:r>
            <w:r>
              <w:rPr>
                <w:rFonts w:asciiTheme="minorHAnsi" w:eastAsia="Calibri" w:hAnsiTheme="minorHAnsi" w:cstheme="minorHAnsi"/>
                <w:b/>
                <w:color w:val="000000"/>
                <w:sz w:val="18"/>
              </w:rPr>
              <w:t>,</w:t>
            </w:r>
            <w:r w:rsidRPr="005E3B44">
              <w:rPr>
                <w:rFonts w:asciiTheme="minorHAnsi" w:eastAsia="Calibri" w:hAnsiTheme="minorHAnsi" w:cstheme="minorHAnsi"/>
                <w:b/>
                <w:color w:val="000000"/>
                <w:sz w:val="18"/>
              </w:rPr>
              <w:t>157</w:t>
            </w:r>
          </w:p>
        </w:tc>
        <w:tc>
          <w:tcPr>
            <w:tcW w:w="1035" w:type="dxa"/>
            <w:tcBorders>
              <w:top w:val="nil"/>
              <w:left w:val="nil"/>
              <w:bottom w:val="nil"/>
              <w:right w:val="nil"/>
              <w:tl2br w:val="nil"/>
              <w:tr2bl w:val="nil"/>
            </w:tcBorders>
            <w:shd w:val="clear" w:color="FFFFFF" w:fill="FFFFFF"/>
            <w:tcMar>
              <w:left w:w="101" w:type="dxa"/>
              <w:right w:w="101" w:type="dxa"/>
            </w:tcMar>
          </w:tcPr>
          <w:p w14:paraId="4D00F3CE" w14:textId="3115FCBA"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5,355</w:t>
            </w:r>
          </w:p>
        </w:tc>
        <w:tc>
          <w:tcPr>
            <w:tcW w:w="600" w:type="dxa"/>
            <w:tcBorders>
              <w:top w:val="nil"/>
              <w:left w:val="nil"/>
              <w:bottom w:val="nil"/>
              <w:right w:val="nil"/>
              <w:tl2br w:val="nil"/>
              <w:tr2bl w:val="nil"/>
            </w:tcBorders>
            <w:shd w:val="clear" w:color="FFFFFF" w:fill="FFFFFF"/>
            <w:tcMar>
              <w:left w:w="101" w:type="dxa"/>
              <w:right w:w="101" w:type="dxa"/>
            </w:tcMar>
          </w:tcPr>
          <w:p w14:paraId="389609A4" w14:textId="77777777"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6EFCB051" w14:textId="338D2604"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5,561</w:t>
            </w:r>
          </w:p>
        </w:tc>
        <w:tc>
          <w:tcPr>
            <w:tcW w:w="1035" w:type="dxa"/>
            <w:tcBorders>
              <w:top w:val="nil"/>
              <w:left w:val="nil"/>
              <w:bottom w:val="nil"/>
              <w:right w:val="nil"/>
              <w:tl2br w:val="nil"/>
              <w:tr2bl w:val="nil"/>
            </w:tcBorders>
            <w:shd w:val="clear" w:color="FFFFFF" w:fill="FFFFFF"/>
            <w:tcMar>
              <w:left w:w="101" w:type="dxa"/>
              <w:right w:w="101" w:type="dxa"/>
            </w:tcMar>
          </w:tcPr>
          <w:p w14:paraId="6F050829" w14:textId="48F83501"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5,898</w:t>
            </w:r>
          </w:p>
        </w:tc>
        <w:tc>
          <w:tcPr>
            <w:tcW w:w="1035" w:type="dxa"/>
            <w:tcBorders>
              <w:top w:val="nil"/>
              <w:left w:val="nil"/>
              <w:bottom w:val="nil"/>
              <w:right w:val="nil"/>
              <w:tl2br w:val="nil"/>
              <w:tr2bl w:val="nil"/>
            </w:tcBorders>
            <w:shd w:val="clear" w:color="FFFFFF" w:fill="FFFFFF"/>
            <w:tcMar>
              <w:left w:w="101" w:type="dxa"/>
              <w:right w:w="101" w:type="dxa"/>
            </w:tcMar>
          </w:tcPr>
          <w:p w14:paraId="2F170D19" w14:textId="75164120" w:rsidR="00B23E3B" w:rsidRDefault="00B23E3B" w:rsidP="00B23E3B">
            <w:pPr>
              <w:pStyle w:val="Normal11"/>
              <w:jc w:val="right"/>
              <w:rPr>
                <w:rFonts w:ascii="Calibri" w:eastAsia="Calibri" w:hAnsi="Calibri" w:cs="Calibri"/>
                <w:b/>
                <w:color w:val="000000"/>
                <w:sz w:val="18"/>
              </w:rPr>
            </w:pPr>
            <w:r>
              <w:rPr>
                <w:rFonts w:ascii="Calibri" w:eastAsia="Calibri" w:hAnsi="Calibri" w:cs="Calibri"/>
                <w:b/>
                <w:color w:val="000000"/>
                <w:sz w:val="18"/>
              </w:rPr>
              <w:t>6,224</w:t>
            </w:r>
          </w:p>
        </w:tc>
      </w:tr>
      <w:tr w:rsidR="007F5788" w14:paraId="5BACA9DD" w14:textId="77777777" w:rsidTr="00944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16432A60" w14:textId="77777777" w:rsidR="007F5788" w:rsidRDefault="007F5788" w:rsidP="00B23E3B">
            <w:pPr>
              <w:pStyle w:val="Normal11"/>
              <w:rPr>
                <w:rFonts w:ascii="Calibri" w:eastAsia="Calibri" w:hAnsi="Calibri" w:cs="Calibri"/>
                <w:color w:val="000000"/>
                <w:sz w:val="18"/>
              </w:rPr>
            </w:pPr>
          </w:p>
        </w:tc>
        <w:tc>
          <w:tcPr>
            <w:tcW w:w="2385" w:type="dxa"/>
            <w:tcBorders>
              <w:top w:val="nil"/>
              <w:left w:val="nil"/>
              <w:bottom w:val="single" w:sz="4" w:space="0" w:color="auto"/>
              <w:right w:val="nil"/>
              <w:tl2br w:val="nil"/>
              <w:tr2bl w:val="nil"/>
            </w:tcBorders>
            <w:shd w:val="clear" w:color="FFFFFF" w:fill="FFFFFF"/>
            <w:tcMar>
              <w:left w:w="0" w:type="dxa"/>
              <w:right w:w="0" w:type="dxa"/>
            </w:tcMar>
          </w:tcPr>
          <w:p w14:paraId="29BD6EFB"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63575F4F"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29F04885" w14:textId="77777777" w:rsidR="007F5788" w:rsidRDefault="007F5788" w:rsidP="00B23E3B">
            <w:pPr>
              <w:pStyle w:val="Normal11"/>
              <w:rPr>
                <w:rFonts w:ascii="Calibri" w:eastAsia="Calibri" w:hAnsi="Calibri" w:cs="Calibri"/>
                <w:color w:val="000000"/>
                <w:sz w:val="18"/>
              </w:rPr>
            </w:pPr>
          </w:p>
        </w:tc>
        <w:tc>
          <w:tcPr>
            <w:tcW w:w="600" w:type="dxa"/>
            <w:tcBorders>
              <w:top w:val="nil"/>
              <w:left w:val="nil"/>
              <w:bottom w:val="single" w:sz="4" w:space="0" w:color="auto"/>
              <w:right w:val="nil"/>
              <w:tl2br w:val="nil"/>
              <w:tr2bl w:val="nil"/>
            </w:tcBorders>
            <w:shd w:val="clear" w:color="FFFFFF" w:fill="FFFFFF"/>
            <w:tcMar>
              <w:left w:w="0" w:type="dxa"/>
              <w:right w:w="0" w:type="dxa"/>
            </w:tcMar>
          </w:tcPr>
          <w:p w14:paraId="021AE299"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5C73B79C"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5E57C612" w14:textId="77777777" w:rsidR="007F5788" w:rsidRDefault="007F5788" w:rsidP="00B23E3B">
            <w:pPr>
              <w:pStyle w:val="Normal11"/>
              <w:rPr>
                <w:rFonts w:ascii="Calibri" w:eastAsia="Calibri" w:hAnsi="Calibri" w:cs="Calibri"/>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68568EAE" w14:textId="77777777" w:rsidR="007F5788" w:rsidRDefault="007F5788" w:rsidP="00B23E3B">
            <w:pPr>
              <w:pStyle w:val="Normal11"/>
              <w:rPr>
                <w:rFonts w:ascii="Calibri" w:eastAsia="Calibri" w:hAnsi="Calibri" w:cs="Calibri"/>
                <w:color w:val="000000"/>
                <w:sz w:val="18"/>
              </w:rPr>
            </w:pPr>
          </w:p>
        </w:tc>
      </w:tr>
      <w:tr w:rsidR="007F5788" w14:paraId="3E38C849" w14:textId="77777777" w:rsidTr="00944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09FD5868" w14:textId="77777777" w:rsidR="007F5788" w:rsidRDefault="007F5788" w:rsidP="00B23E3B">
            <w:pPr>
              <w:pStyle w:val="Normal11"/>
              <w:rPr>
                <w:rFonts w:ascii="Calibri" w:eastAsia="Calibri" w:hAnsi="Calibri" w:cs="Calibri"/>
                <w:color w:val="000000"/>
                <w:sz w:val="18"/>
              </w:rPr>
            </w:pPr>
          </w:p>
        </w:tc>
        <w:tc>
          <w:tcPr>
            <w:tcW w:w="2385" w:type="dxa"/>
            <w:tcBorders>
              <w:top w:val="single" w:sz="4" w:space="0" w:color="auto"/>
              <w:left w:val="nil"/>
              <w:bottom w:val="nil"/>
              <w:right w:val="nil"/>
              <w:tl2br w:val="nil"/>
              <w:tr2bl w:val="nil"/>
            </w:tcBorders>
            <w:shd w:val="clear" w:color="FFFFFF" w:fill="FFFFFF"/>
            <w:tcMar>
              <w:left w:w="0" w:type="dxa"/>
              <w:right w:w="0" w:type="dxa"/>
            </w:tcMar>
          </w:tcPr>
          <w:p w14:paraId="57354E71" w14:textId="77777777" w:rsidR="007F5788" w:rsidRDefault="007F5788" w:rsidP="00B23E3B">
            <w:pPr>
              <w:pStyle w:val="Normal1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330F3BE3" w14:textId="77777777" w:rsidR="007F5788" w:rsidRDefault="007F5788" w:rsidP="00B23E3B">
            <w:pPr>
              <w:pStyle w:val="Normal1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6A795073" w14:textId="77777777" w:rsidR="007F5788" w:rsidRDefault="007F5788" w:rsidP="00B23E3B">
            <w:pPr>
              <w:pStyle w:val="Normal11"/>
              <w:rPr>
                <w:rFonts w:ascii="Calibri" w:eastAsia="Calibri" w:hAnsi="Calibri" w:cs="Calibri"/>
                <w:color w:val="000000"/>
                <w:sz w:val="18"/>
              </w:rPr>
            </w:pPr>
          </w:p>
        </w:tc>
        <w:tc>
          <w:tcPr>
            <w:tcW w:w="600" w:type="dxa"/>
            <w:tcBorders>
              <w:top w:val="single" w:sz="4" w:space="0" w:color="auto"/>
              <w:left w:val="nil"/>
              <w:bottom w:val="nil"/>
              <w:right w:val="nil"/>
              <w:tl2br w:val="nil"/>
              <w:tr2bl w:val="nil"/>
            </w:tcBorders>
            <w:shd w:val="clear" w:color="FFFFFF" w:fill="FFFFFF"/>
            <w:tcMar>
              <w:left w:w="0" w:type="dxa"/>
              <w:right w:w="0" w:type="dxa"/>
            </w:tcMar>
          </w:tcPr>
          <w:p w14:paraId="4B103593" w14:textId="77777777" w:rsidR="007F5788" w:rsidRDefault="007F5788" w:rsidP="00B23E3B">
            <w:pPr>
              <w:pStyle w:val="Normal1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47E43486" w14:textId="77777777" w:rsidR="007F5788" w:rsidRDefault="007F5788" w:rsidP="00B23E3B">
            <w:pPr>
              <w:pStyle w:val="Normal1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18BFD6A4" w14:textId="77777777" w:rsidR="007F5788" w:rsidRDefault="007F5788" w:rsidP="00B23E3B">
            <w:pPr>
              <w:pStyle w:val="Normal1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129A22E1" w14:textId="77777777" w:rsidR="007F5788" w:rsidRDefault="007F5788" w:rsidP="00B23E3B">
            <w:pPr>
              <w:pStyle w:val="Normal11"/>
              <w:rPr>
                <w:rFonts w:ascii="Calibri" w:eastAsia="Calibri" w:hAnsi="Calibri" w:cs="Calibri"/>
                <w:color w:val="000000"/>
                <w:sz w:val="18"/>
              </w:rPr>
            </w:pPr>
          </w:p>
        </w:tc>
      </w:tr>
    </w:tbl>
    <w:p w14:paraId="23687B5A" w14:textId="77777777" w:rsidR="007F5788" w:rsidRDefault="007F5788" w:rsidP="007F5788">
      <w:pPr>
        <w:pStyle w:val="Heading32"/>
        <w:pageBreakBefore/>
        <w:pBdr>
          <w:top w:val="nil"/>
          <w:left w:val="nil"/>
          <w:bottom w:val="nil"/>
          <w:right w:val="nil"/>
          <w:between w:val="nil"/>
          <w:bar w:val="nil"/>
        </w:pBdr>
        <w:rPr>
          <w:bdr w:val="nil"/>
        </w:rPr>
      </w:pPr>
      <w:r>
        <w:rPr>
          <w:bdr w:val="nil"/>
        </w:rPr>
        <w:lastRenderedPageBreak/>
        <w:t>Notes to the Controlled Budget Statements</w:t>
      </w:r>
    </w:p>
    <w:p w14:paraId="7A50F592" w14:textId="77777777" w:rsidR="007F5788" w:rsidRDefault="007F5788" w:rsidP="007F5788">
      <w:pPr>
        <w:pStyle w:val="Normal9"/>
        <w:pBdr>
          <w:top w:val="nil"/>
          <w:left w:val="nil"/>
          <w:bottom w:val="nil"/>
          <w:right w:val="nil"/>
          <w:between w:val="nil"/>
          <w:bar w:val="nil"/>
        </w:pBdr>
        <w:spacing w:before="200" w:after="200"/>
        <w:rPr>
          <w:szCs w:val="20"/>
          <w:bdr w:val="nil"/>
        </w:rPr>
      </w:pPr>
      <w:r>
        <w:rPr>
          <w:rFonts w:ascii="Calibri" w:hAnsi="Calibri"/>
          <w:szCs w:val="20"/>
          <w:bdr w:val="nil"/>
          <w:lang w:eastAsia="en-US"/>
        </w:rPr>
        <w:t>Significant variations are as follows:</w:t>
      </w:r>
    </w:p>
    <w:p w14:paraId="0EE9E5FE" w14:textId="77777777" w:rsidR="007F5788" w:rsidRDefault="007F5788" w:rsidP="004C1875">
      <w:pPr>
        <w:pStyle w:val="Heading4"/>
        <w:rPr>
          <w:highlight w:val="yellow"/>
        </w:rPr>
      </w:pPr>
      <w:r>
        <w:t>Operating Statement</w:t>
      </w:r>
    </w:p>
    <w:p w14:paraId="3E28EFCE" w14:textId="77777777" w:rsidR="007F5788" w:rsidRDefault="007F5788" w:rsidP="00944FE9">
      <w:pPr>
        <w:pStyle w:val="BSbullet12"/>
        <w:numPr>
          <w:ilvl w:val="0"/>
          <w:numId w:val="100"/>
        </w:numPr>
        <w:pBdr>
          <w:top w:val="nil"/>
          <w:left w:val="nil"/>
          <w:bottom w:val="nil"/>
          <w:right w:val="nil"/>
          <w:between w:val="nil"/>
          <w:bar w:val="nil"/>
        </w:pBdr>
        <w:ind w:left="426" w:hanging="426"/>
        <w:rPr>
          <w:bdr w:val="nil"/>
        </w:rPr>
      </w:pPr>
      <w:r>
        <w:rPr>
          <w:bdr w:val="nil"/>
        </w:rPr>
        <w:t>Controlled Recurrent Payments:</w:t>
      </w:r>
    </w:p>
    <w:p w14:paraId="438483F5" w14:textId="77777777" w:rsidR="007F5788" w:rsidRDefault="007F5788" w:rsidP="00944FE9">
      <w:pPr>
        <w:pStyle w:val="BSbullet2"/>
        <w:numPr>
          <w:ilvl w:val="0"/>
          <w:numId w:val="101"/>
        </w:numPr>
        <w:pBdr>
          <w:top w:val="nil"/>
          <w:left w:val="nil"/>
          <w:bottom w:val="nil"/>
          <w:right w:val="nil"/>
          <w:between w:val="nil"/>
          <w:bar w:val="nil"/>
        </w:pBdr>
        <w:ind w:left="709" w:hanging="283"/>
        <w:jc w:val="both"/>
        <w:rPr>
          <w:bdr w:val="nil"/>
        </w:rPr>
      </w:pPr>
      <w:r>
        <w:rPr>
          <w:bdr w:val="nil"/>
        </w:rPr>
        <w:t xml:space="preserve">The decrease of $0.512 million in the 2021-22 Budget from the 2020-21 interim outcome is due to the transfer of the administration of the Official Visitor function to the Human Rights Commission. </w:t>
      </w:r>
    </w:p>
    <w:p w14:paraId="4DC72AD7" w14:textId="77777777" w:rsidR="007F5788" w:rsidRDefault="007F5788" w:rsidP="00944FE9">
      <w:pPr>
        <w:pStyle w:val="BSbullet12"/>
        <w:numPr>
          <w:ilvl w:val="0"/>
          <w:numId w:val="100"/>
        </w:numPr>
        <w:pBdr>
          <w:top w:val="nil"/>
          <w:left w:val="nil"/>
          <w:bottom w:val="nil"/>
          <w:right w:val="nil"/>
          <w:between w:val="nil"/>
          <w:bar w:val="nil"/>
        </w:pBdr>
        <w:ind w:left="426" w:hanging="426"/>
        <w:rPr>
          <w:bdr w:val="nil"/>
        </w:rPr>
      </w:pPr>
      <w:r>
        <w:rPr>
          <w:bdr w:val="nil"/>
        </w:rPr>
        <w:t>Grants and Contributions:</w:t>
      </w:r>
    </w:p>
    <w:p w14:paraId="6CC355F7" w14:textId="77777777" w:rsidR="007F5788" w:rsidRDefault="007F5788" w:rsidP="00944FE9">
      <w:pPr>
        <w:pStyle w:val="BSbullet2"/>
        <w:numPr>
          <w:ilvl w:val="0"/>
          <w:numId w:val="101"/>
        </w:numPr>
        <w:pBdr>
          <w:top w:val="nil"/>
          <w:left w:val="nil"/>
          <w:bottom w:val="nil"/>
          <w:right w:val="nil"/>
          <w:between w:val="nil"/>
          <w:bar w:val="nil"/>
        </w:pBdr>
        <w:ind w:left="709" w:hanging="283"/>
        <w:jc w:val="both"/>
        <w:rPr>
          <w:bdr w:val="nil"/>
        </w:rPr>
      </w:pPr>
      <w:r>
        <w:rPr>
          <w:bdr w:val="nil"/>
        </w:rPr>
        <w:t xml:space="preserve">The increase of $0.769 million in the 2020-21 interim outcome from the 2020-21 Budget is due to the one-off transfer of </w:t>
      </w:r>
      <w:r w:rsidRPr="00942F8A">
        <w:rPr>
          <w:bdr w:val="nil"/>
        </w:rPr>
        <w:t>PTG’s internally developed Cust</w:t>
      </w:r>
      <w:r>
        <w:rPr>
          <w:bdr w:val="nil"/>
        </w:rPr>
        <w:t xml:space="preserve">omer Relationship Manager </w:t>
      </w:r>
      <w:r w:rsidRPr="00942F8A">
        <w:rPr>
          <w:bdr w:val="nil"/>
        </w:rPr>
        <w:t>software, this was previously accounted for in PTG’s Trust account</w:t>
      </w:r>
      <w:r>
        <w:rPr>
          <w:bdr w:val="nil"/>
        </w:rPr>
        <w:t>.</w:t>
      </w:r>
    </w:p>
    <w:p w14:paraId="1CC5D919" w14:textId="77777777" w:rsidR="007F5788" w:rsidRDefault="007F5788" w:rsidP="00944FE9">
      <w:pPr>
        <w:pStyle w:val="BSbullet2"/>
        <w:numPr>
          <w:ilvl w:val="0"/>
          <w:numId w:val="101"/>
        </w:numPr>
        <w:pBdr>
          <w:top w:val="nil"/>
          <w:left w:val="nil"/>
          <w:bottom w:val="nil"/>
          <w:right w:val="nil"/>
          <w:between w:val="nil"/>
          <w:bar w:val="nil"/>
        </w:pBdr>
        <w:ind w:left="709" w:hanging="283"/>
        <w:jc w:val="both"/>
        <w:rPr>
          <w:bdr w:val="nil"/>
        </w:rPr>
      </w:pPr>
      <w:r>
        <w:rPr>
          <w:bdr w:val="nil"/>
        </w:rPr>
        <w:t xml:space="preserve">The decrease of $0.714 million in the 2021-22 Budget from the 2020-21 interim outcome is due the one-off transfer of </w:t>
      </w:r>
      <w:r w:rsidRPr="00942F8A">
        <w:rPr>
          <w:bdr w:val="nil"/>
        </w:rPr>
        <w:t>PTG’s internally developed Cust</w:t>
      </w:r>
      <w:r>
        <w:rPr>
          <w:bdr w:val="nil"/>
        </w:rPr>
        <w:t xml:space="preserve">omer Relationship Manager </w:t>
      </w:r>
      <w:r w:rsidRPr="00942F8A">
        <w:rPr>
          <w:bdr w:val="nil"/>
        </w:rPr>
        <w:t>software</w:t>
      </w:r>
      <w:r>
        <w:rPr>
          <w:bdr w:val="nil"/>
        </w:rPr>
        <w:t xml:space="preserve"> that occurred in the 2020-21 year this not expected to occur again.</w:t>
      </w:r>
    </w:p>
    <w:p w14:paraId="6D264B01" w14:textId="631F250E" w:rsidR="007F5788" w:rsidRDefault="007F5788" w:rsidP="00944FE9">
      <w:pPr>
        <w:pStyle w:val="BSbullet12"/>
        <w:numPr>
          <w:ilvl w:val="0"/>
          <w:numId w:val="100"/>
        </w:numPr>
        <w:pBdr>
          <w:top w:val="nil"/>
          <w:left w:val="nil"/>
          <w:bottom w:val="nil"/>
          <w:right w:val="nil"/>
          <w:between w:val="nil"/>
          <w:bar w:val="nil"/>
        </w:pBdr>
        <w:ind w:left="426" w:hanging="426"/>
        <w:rPr>
          <w:bdr w:val="nil"/>
        </w:rPr>
      </w:pPr>
      <w:r>
        <w:rPr>
          <w:bdr w:val="nil"/>
        </w:rPr>
        <w:t xml:space="preserve">Other </w:t>
      </w:r>
      <w:r w:rsidR="00944FE9">
        <w:rPr>
          <w:bdr w:val="nil"/>
        </w:rPr>
        <w:t>Revenue</w:t>
      </w:r>
      <w:r>
        <w:rPr>
          <w:bdr w:val="nil"/>
        </w:rPr>
        <w:t>:</w:t>
      </w:r>
    </w:p>
    <w:p w14:paraId="711844AB" w14:textId="77777777" w:rsidR="007F5788" w:rsidRDefault="007F5788" w:rsidP="00944FE9">
      <w:pPr>
        <w:pStyle w:val="BSbullet2"/>
        <w:numPr>
          <w:ilvl w:val="0"/>
          <w:numId w:val="102"/>
        </w:numPr>
        <w:pBdr>
          <w:top w:val="nil"/>
          <w:left w:val="nil"/>
          <w:bottom w:val="nil"/>
          <w:right w:val="nil"/>
          <w:between w:val="nil"/>
          <w:bar w:val="nil"/>
        </w:pBdr>
        <w:ind w:left="709" w:hanging="283"/>
        <w:rPr>
          <w:bdr w:val="nil"/>
        </w:rPr>
      </w:pPr>
      <w:r>
        <w:rPr>
          <w:bdr w:val="nil"/>
        </w:rPr>
        <w:t xml:space="preserve">The increase of $0.266 million in the 2020-21 interim outcome from the 2020-21 Budget is due to the write-back of a lease incentive liability under new AASB 16 Leases standard that removes lease incentive liabilities from the balance sheet as PTG does not hold any rental leases in its own name.   </w:t>
      </w:r>
    </w:p>
    <w:p w14:paraId="4B0F561F" w14:textId="77777777" w:rsidR="007F5788" w:rsidRDefault="007F5788" w:rsidP="00944FE9">
      <w:pPr>
        <w:pStyle w:val="BSbullet2"/>
        <w:numPr>
          <w:ilvl w:val="0"/>
          <w:numId w:val="102"/>
        </w:numPr>
        <w:pBdr>
          <w:top w:val="nil"/>
          <w:left w:val="nil"/>
          <w:bottom w:val="nil"/>
          <w:right w:val="nil"/>
          <w:between w:val="nil"/>
          <w:bar w:val="nil"/>
        </w:pBdr>
        <w:ind w:left="709" w:hanging="283"/>
        <w:jc w:val="both"/>
        <w:rPr>
          <w:bdr w:val="nil"/>
        </w:rPr>
      </w:pPr>
      <w:r>
        <w:rPr>
          <w:bdr w:val="nil"/>
        </w:rPr>
        <w:t>The decrease of $0.266 million in the 2021-22 Budget from the 2020-21 interim outcome is due to the write-back of a lease incentive liability in the 2020-21 year this is not expected to occur again.</w:t>
      </w:r>
    </w:p>
    <w:p w14:paraId="2667C2CC" w14:textId="77777777" w:rsidR="007F5788" w:rsidRDefault="007F5788" w:rsidP="00944FE9">
      <w:pPr>
        <w:pStyle w:val="BSbullet2"/>
        <w:numPr>
          <w:ilvl w:val="0"/>
          <w:numId w:val="100"/>
        </w:numPr>
        <w:pBdr>
          <w:top w:val="nil"/>
          <w:left w:val="nil"/>
          <w:bottom w:val="nil"/>
          <w:right w:val="nil"/>
          <w:between w:val="nil"/>
          <w:bar w:val="nil"/>
        </w:pBdr>
        <w:ind w:left="426" w:hanging="426"/>
        <w:jc w:val="both"/>
        <w:rPr>
          <w:bdr w:val="nil"/>
        </w:rPr>
      </w:pPr>
      <w:r>
        <w:rPr>
          <w:bdr w:val="nil"/>
        </w:rPr>
        <w:t xml:space="preserve">Employee Expenses: </w:t>
      </w:r>
    </w:p>
    <w:p w14:paraId="75A8D649" w14:textId="77777777" w:rsidR="007F5788" w:rsidRDefault="007F5788" w:rsidP="00944FE9">
      <w:pPr>
        <w:pStyle w:val="BSbullet2"/>
        <w:numPr>
          <w:ilvl w:val="0"/>
          <w:numId w:val="103"/>
        </w:numPr>
        <w:pBdr>
          <w:top w:val="nil"/>
          <w:left w:val="nil"/>
          <w:bottom w:val="nil"/>
          <w:right w:val="nil"/>
          <w:between w:val="nil"/>
          <w:bar w:val="nil"/>
        </w:pBdr>
        <w:ind w:left="709" w:hanging="283"/>
        <w:jc w:val="both"/>
        <w:rPr>
          <w:bdr w:val="nil"/>
        </w:rPr>
      </w:pPr>
      <w:r>
        <w:rPr>
          <w:bdr w:val="nil"/>
        </w:rPr>
        <w:t>The increase of $0.787 million in the 2020-21 interim outcome from the 2020-21 budget is due to:</w:t>
      </w:r>
    </w:p>
    <w:p w14:paraId="6931A7FA" w14:textId="77777777" w:rsidR="007F5788" w:rsidRDefault="007F5788" w:rsidP="00944FE9">
      <w:pPr>
        <w:pStyle w:val="BSbullet2"/>
        <w:numPr>
          <w:ilvl w:val="0"/>
          <w:numId w:val="104"/>
        </w:numPr>
        <w:pBdr>
          <w:top w:val="nil"/>
          <w:left w:val="nil"/>
          <w:bottom w:val="nil"/>
          <w:right w:val="nil"/>
          <w:between w:val="nil"/>
          <w:bar w:val="nil"/>
        </w:pBdr>
        <w:ind w:left="1134" w:hanging="425"/>
        <w:jc w:val="both"/>
        <w:rPr>
          <w:bdr w:val="nil"/>
        </w:rPr>
      </w:pPr>
      <w:r>
        <w:rPr>
          <w:bdr w:val="nil"/>
        </w:rPr>
        <w:t xml:space="preserve">An increase in the number of staff </w:t>
      </w:r>
      <w:proofErr w:type="gramStart"/>
      <w:r>
        <w:rPr>
          <w:bdr w:val="nil"/>
        </w:rPr>
        <w:t>employed,</w:t>
      </w:r>
      <w:proofErr w:type="gramEnd"/>
      <w:r>
        <w:rPr>
          <w:bdr w:val="nil"/>
        </w:rPr>
        <w:t xml:space="preserve"> 1.45 FTE’s higher; </w:t>
      </w:r>
    </w:p>
    <w:p w14:paraId="31060C98" w14:textId="77777777" w:rsidR="007F5788" w:rsidRDefault="007F5788" w:rsidP="00944FE9">
      <w:pPr>
        <w:pStyle w:val="BSbullet2"/>
        <w:numPr>
          <w:ilvl w:val="0"/>
          <w:numId w:val="104"/>
        </w:numPr>
        <w:pBdr>
          <w:top w:val="nil"/>
          <w:left w:val="nil"/>
          <w:bottom w:val="nil"/>
          <w:right w:val="nil"/>
          <w:between w:val="nil"/>
          <w:bar w:val="nil"/>
        </w:pBdr>
        <w:ind w:left="1134" w:hanging="425"/>
        <w:jc w:val="both"/>
        <w:rPr>
          <w:bdr w:val="nil"/>
        </w:rPr>
      </w:pPr>
      <w:r>
        <w:rPr>
          <w:bdr w:val="nil"/>
        </w:rPr>
        <w:t>A change in the way that Official Visitors are remunerated, previously these were categorised as Supplies and Services; and</w:t>
      </w:r>
    </w:p>
    <w:p w14:paraId="501DF6D7" w14:textId="77777777" w:rsidR="007F5788" w:rsidRDefault="007F5788" w:rsidP="00944FE9">
      <w:pPr>
        <w:pStyle w:val="BSbullet2"/>
        <w:numPr>
          <w:ilvl w:val="0"/>
          <w:numId w:val="104"/>
        </w:numPr>
        <w:pBdr>
          <w:top w:val="nil"/>
          <w:left w:val="nil"/>
          <w:bottom w:val="nil"/>
          <w:right w:val="nil"/>
          <w:between w:val="nil"/>
          <w:bar w:val="nil"/>
        </w:pBdr>
        <w:ind w:left="1134" w:hanging="425"/>
        <w:jc w:val="both"/>
        <w:rPr>
          <w:bdr w:val="nil"/>
        </w:rPr>
      </w:pPr>
      <w:r>
        <w:rPr>
          <w:bdr w:val="nil"/>
        </w:rPr>
        <w:t xml:space="preserve">An increase in annual leave expenses due to </w:t>
      </w:r>
      <w:proofErr w:type="gramStart"/>
      <w:r>
        <w:rPr>
          <w:bdr w:val="nil"/>
        </w:rPr>
        <w:t>a number of</w:t>
      </w:r>
      <w:proofErr w:type="gramEnd"/>
      <w:r>
        <w:rPr>
          <w:bdr w:val="nil"/>
        </w:rPr>
        <w:t xml:space="preserve"> staff foregoing leave with the uncertainty around the COVID-19 Pandemic. </w:t>
      </w:r>
    </w:p>
    <w:p w14:paraId="289364DB" w14:textId="77777777" w:rsidR="007F5788" w:rsidRDefault="007F5788" w:rsidP="00944FE9">
      <w:pPr>
        <w:pStyle w:val="BSbullet2"/>
        <w:numPr>
          <w:ilvl w:val="0"/>
          <w:numId w:val="103"/>
        </w:numPr>
        <w:pBdr>
          <w:top w:val="nil"/>
          <w:left w:val="nil"/>
          <w:bottom w:val="nil"/>
          <w:right w:val="nil"/>
          <w:between w:val="nil"/>
          <w:bar w:val="nil"/>
        </w:pBdr>
        <w:ind w:left="709" w:hanging="283"/>
        <w:jc w:val="both"/>
        <w:rPr>
          <w:bdr w:val="nil"/>
        </w:rPr>
      </w:pPr>
      <w:r>
        <w:rPr>
          <w:bdr w:val="nil"/>
        </w:rPr>
        <w:lastRenderedPageBreak/>
        <w:t>The decrease of $0.598 million in the 2021-22 Budget from the 2020-21 interim outcome is:</w:t>
      </w:r>
    </w:p>
    <w:p w14:paraId="3990FBBA" w14:textId="77777777" w:rsidR="007F5788" w:rsidRDefault="007F5788" w:rsidP="00944FE9">
      <w:pPr>
        <w:pStyle w:val="BSbullet2"/>
        <w:numPr>
          <w:ilvl w:val="0"/>
          <w:numId w:val="105"/>
        </w:numPr>
        <w:pBdr>
          <w:top w:val="nil"/>
          <w:left w:val="nil"/>
          <w:bottom w:val="nil"/>
          <w:right w:val="nil"/>
          <w:between w:val="nil"/>
          <w:bar w:val="nil"/>
        </w:pBdr>
        <w:ind w:left="1134" w:hanging="425"/>
        <w:jc w:val="both"/>
        <w:rPr>
          <w:bdr w:val="nil"/>
        </w:rPr>
      </w:pPr>
      <w:r>
        <w:rPr>
          <w:bdr w:val="nil"/>
        </w:rPr>
        <w:t>An expected decrease in the number of staff employed, due to temporary contractors finalising their projects; and</w:t>
      </w:r>
    </w:p>
    <w:p w14:paraId="0A15E411" w14:textId="77777777" w:rsidR="007F5788" w:rsidRDefault="007F5788" w:rsidP="00944FE9">
      <w:pPr>
        <w:pStyle w:val="BSbullet2"/>
        <w:numPr>
          <w:ilvl w:val="0"/>
          <w:numId w:val="105"/>
        </w:numPr>
        <w:pBdr>
          <w:top w:val="nil"/>
          <w:left w:val="nil"/>
          <w:bottom w:val="nil"/>
          <w:right w:val="nil"/>
          <w:between w:val="nil"/>
          <w:bar w:val="nil"/>
        </w:pBdr>
        <w:ind w:left="1134" w:hanging="425"/>
        <w:jc w:val="both"/>
        <w:rPr>
          <w:bdr w:val="nil"/>
        </w:rPr>
      </w:pPr>
      <w:r>
        <w:rPr>
          <w:bdr w:val="nil"/>
        </w:rPr>
        <w:t xml:space="preserve">The transfer of the administration of the Official Visitor function to the Human Rights Commission. </w:t>
      </w:r>
    </w:p>
    <w:p w14:paraId="04DB1D52" w14:textId="77777777" w:rsidR="007F5788" w:rsidRPr="004F626F" w:rsidRDefault="007F5788" w:rsidP="00944FE9">
      <w:pPr>
        <w:pStyle w:val="BSbullet2"/>
        <w:numPr>
          <w:ilvl w:val="0"/>
          <w:numId w:val="100"/>
        </w:numPr>
        <w:pBdr>
          <w:top w:val="nil"/>
          <w:left w:val="nil"/>
          <w:bottom w:val="nil"/>
          <w:right w:val="nil"/>
          <w:between w:val="nil"/>
          <w:bar w:val="nil"/>
        </w:pBdr>
        <w:ind w:left="426" w:hanging="426"/>
        <w:rPr>
          <w:bdr w:val="nil"/>
        </w:rPr>
      </w:pPr>
      <w:r>
        <w:rPr>
          <w:bdr w:val="nil"/>
        </w:rPr>
        <w:t>Supplies and Services</w:t>
      </w:r>
      <w:r w:rsidRPr="004F626F">
        <w:rPr>
          <w:bdr w:val="nil"/>
        </w:rPr>
        <w:t xml:space="preserve">: </w:t>
      </w:r>
    </w:p>
    <w:p w14:paraId="65008EA8" w14:textId="77777777" w:rsidR="007F5788" w:rsidRDefault="007F5788" w:rsidP="00944FE9">
      <w:pPr>
        <w:pStyle w:val="BSbullet2"/>
        <w:numPr>
          <w:ilvl w:val="0"/>
          <w:numId w:val="103"/>
        </w:numPr>
        <w:pBdr>
          <w:top w:val="nil"/>
          <w:left w:val="nil"/>
          <w:bottom w:val="nil"/>
          <w:right w:val="nil"/>
          <w:between w:val="nil"/>
          <w:bar w:val="nil"/>
        </w:pBdr>
        <w:ind w:left="709" w:hanging="283"/>
        <w:rPr>
          <w:bdr w:val="nil"/>
        </w:rPr>
      </w:pPr>
      <w:r>
        <w:rPr>
          <w:bdr w:val="nil"/>
        </w:rPr>
        <w:t>T</w:t>
      </w:r>
      <w:r w:rsidRPr="004F626F">
        <w:rPr>
          <w:bdr w:val="nil"/>
        </w:rPr>
        <w:t xml:space="preserve">he </w:t>
      </w:r>
      <w:r>
        <w:rPr>
          <w:bdr w:val="nil"/>
        </w:rPr>
        <w:t>de</w:t>
      </w:r>
      <w:r w:rsidRPr="004F626F">
        <w:rPr>
          <w:bdr w:val="nil"/>
        </w:rPr>
        <w:t>crease of $0.</w:t>
      </w:r>
      <w:r>
        <w:rPr>
          <w:bdr w:val="nil"/>
        </w:rPr>
        <w:t>482 million</w:t>
      </w:r>
      <w:r w:rsidRPr="004F626F">
        <w:rPr>
          <w:bdr w:val="nil"/>
        </w:rPr>
        <w:t xml:space="preserve"> in the 2020-21 interim outcome from the </w:t>
      </w:r>
      <w:r>
        <w:rPr>
          <w:bdr w:val="nil"/>
        </w:rPr>
        <w:t>2020-21</w:t>
      </w:r>
      <w:r w:rsidRPr="004F626F">
        <w:rPr>
          <w:bdr w:val="nil"/>
        </w:rPr>
        <w:t xml:space="preserve"> budget is due to</w:t>
      </w:r>
      <w:r w:rsidRPr="00B07D8B">
        <w:rPr>
          <w:bdr w:val="nil"/>
        </w:rPr>
        <w:t xml:space="preserve"> </w:t>
      </w:r>
      <w:r>
        <w:rPr>
          <w:bdr w:val="nil"/>
        </w:rPr>
        <w:t>a change in the way that Official Visitors are remunerated, these are now categorised under Employee Expenses.</w:t>
      </w:r>
    </w:p>
    <w:p w14:paraId="616DA1E4" w14:textId="77777777" w:rsidR="007F5788" w:rsidRDefault="007F5788" w:rsidP="00944FE9">
      <w:pPr>
        <w:pStyle w:val="BSbullet2"/>
        <w:numPr>
          <w:ilvl w:val="0"/>
          <w:numId w:val="103"/>
        </w:numPr>
        <w:pBdr>
          <w:top w:val="nil"/>
          <w:left w:val="nil"/>
          <w:bottom w:val="nil"/>
          <w:right w:val="nil"/>
          <w:between w:val="nil"/>
          <w:bar w:val="nil"/>
        </w:pBdr>
        <w:ind w:left="709" w:hanging="283"/>
        <w:rPr>
          <w:bdr w:val="nil"/>
        </w:rPr>
      </w:pPr>
      <w:r>
        <w:rPr>
          <w:bdr w:val="nil"/>
        </w:rPr>
        <w:t xml:space="preserve">The increase of $0.327 million in the 2021-22 budget from the 2020-21 interim outcome is </w:t>
      </w:r>
      <w:proofErr w:type="gramStart"/>
      <w:r>
        <w:rPr>
          <w:bdr w:val="nil"/>
        </w:rPr>
        <w:t>due to the effect</w:t>
      </w:r>
      <w:proofErr w:type="gramEnd"/>
      <w:r>
        <w:rPr>
          <w:bdr w:val="nil"/>
        </w:rPr>
        <w:t xml:space="preserve"> of rising costs of goods and services.</w:t>
      </w:r>
    </w:p>
    <w:p w14:paraId="45E88005" w14:textId="77777777" w:rsidR="007F5788" w:rsidRDefault="007F5788" w:rsidP="004C1875">
      <w:pPr>
        <w:pStyle w:val="Heading4"/>
      </w:pPr>
      <w:r>
        <w:t>Balance Sheet</w:t>
      </w:r>
    </w:p>
    <w:p w14:paraId="038411A4" w14:textId="77777777" w:rsidR="007F5788" w:rsidRDefault="007F5788" w:rsidP="00944FE9">
      <w:pPr>
        <w:pStyle w:val="BSbullet12"/>
        <w:numPr>
          <w:ilvl w:val="0"/>
          <w:numId w:val="100"/>
        </w:numPr>
        <w:pBdr>
          <w:top w:val="nil"/>
          <w:left w:val="nil"/>
          <w:bottom w:val="nil"/>
          <w:right w:val="nil"/>
          <w:between w:val="nil"/>
          <w:bar w:val="nil"/>
        </w:pBdr>
        <w:ind w:left="426" w:hanging="426"/>
        <w:rPr>
          <w:bdr w:val="nil"/>
        </w:rPr>
      </w:pPr>
      <w:r>
        <w:rPr>
          <w:bdr w:val="nil"/>
        </w:rPr>
        <w:t>Cash and Cash Equivalents:</w:t>
      </w:r>
    </w:p>
    <w:p w14:paraId="7CA5818A" w14:textId="77777777" w:rsidR="007F5788" w:rsidRDefault="007F5788" w:rsidP="00944FE9">
      <w:pPr>
        <w:pStyle w:val="BSbullet12"/>
        <w:numPr>
          <w:ilvl w:val="0"/>
          <w:numId w:val="106"/>
        </w:numPr>
        <w:pBdr>
          <w:top w:val="nil"/>
          <w:left w:val="nil"/>
          <w:bottom w:val="nil"/>
          <w:right w:val="nil"/>
          <w:between w:val="nil"/>
          <w:bar w:val="nil"/>
        </w:pBdr>
        <w:tabs>
          <w:tab w:val="left" w:pos="720"/>
        </w:tabs>
        <w:ind w:left="709" w:hanging="283"/>
        <w:rPr>
          <w:bdr w:val="nil"/>
        </w:rPr>
      </w:pPr>
      <w:r>
        <w:rPr>
          <w:bdr w:val="nil"/>
        </w:rPr>
        <w:t>The increase of $3.451 million in the 2020-21 interim outcome from the 2020-21 budget is due to a higher interest rate on credit balances in the bank account compared to term deposits.</w:t>
      </w:r>
    </w:p>
    <w:p w14:paraId="7467777A" w14:textId="77777777" w:rsidR="007F5788" w:rsidRDefault="007F5788" w:rsidP="00944FE9">
      <w:pPr>
        <w:pStyle w:val="BSbullet12"/>
        <w:numPr>
          <w:ilvl w:val="0"/>
          <w:numId w:val="100"/>
        </w:numPr>
        <w:pBdr>
          <w:top w:val="nil"/>
          <w:left w:val="nil"/>
          <w:bottom w:val="nil"/>
          <w:right w:val="nil"/>
          <w:between w:val="nil"/>
          <w:bar w:val="nil"/>
        </w:pBdr>
        <w:tabs>
          <w:tab w:val="left" w:pos="426"/>
        </w:tabs>
        <w:ind w:hanging="720"/>
        <w:rPr>
          <w:bdr w:val="nil"/>
        </w:rPr>
      </w:pPr>
      <w:r>
        <w:rPr>
          <w:bdr w:val="nil"/>
        </w:rPr>
        <w:t>Investments:</w:t>
      </w:r>
    </w:p>
    <w:p w14:paraId="405F7656" w14:textId="77777777" w:rsidR="007F5788" w:rsidRDefault="007F5788" w:rsidP="00944FE9">
      <w:pPr>
        <w:pStyle w:val="BSbullet12"/>
        <w:numPr>
          <w:ilvl w:val="0"/>
          <w:numId w:val="106"/>
        </w:numPr>
        <w:pBdr>
          <w:top w:val="nil"/>
          <w:left w:val="nil"/>
          <w:bottom w:val="nil"/>
          <w:right w:val="nil"/>
          <w:between w:val="nil"/>
          <w:bar w:val="nil"/>
        </w:pBdr>
        <w:tabs>
          <w:tab w:val="left" w:pos="720"/>
        </w:tabs>
        <w:ind w:left="709" w:hanging="283"/>
        <w:rPr>
          <w:bdr w:val="nil"/>
        </w:rPr>
      </w:pPr>
      <w:r>
        <w:rPr>
          <w:bdr w:val="nil"/>
        </w:rPr>
        <w:t>The decrease of $4.141 million in the 2020-21 interim outcome from the 2020-21 budget is due to a better return being available on the credit balances in cash and cash equivalents.</w:t>
      </w:r>
    </w:p>
    <w:p w14:paraId="294B9431" w14:textId="77777777" w:rsidR="007F5788" w:rsidRDefault="007F5788" w:rsidP="00944FE9">
      <w:pPr>
        <w:pStyle w:val="BSbullet12"/>
        <w:numPr>
          <w:ilvl w:val="0"/>
          <w:numId w:val="100"/>
        </w:numPr>
        <w:pBdr>
          <w:top w:val="nil"/>
          <w:left w:val="nil"/>
          <w:bottom w:val="nil"/>
          <w:right w:val="nil"/>
          <w:between w:val="nil"/>
          <w:bar w:val="nil"/>
        </w:pBdr>
        <w:tabs>
          <w:tab w:val="left" w:pos="426"/>
        </w:tabs>
        <w:ind w:hanging="720"/>
        <w:rPr>
          <w:bdr w:val="nil"/>
        </w:rPr>
      </w:pPr>
      <w:r>
        <w:rPr>
          <w:bdr w:val="nil"/>
        </w:rPr>
        <w:t>Property, Plant and Equipment:</w:t>
      </w:r>
    </w:p>
    <w:p w14:paraId="5380D233" w14:textId="1FE4C686" w:rsidR="007F5788" w:rsidRDefault="007F5788" w:rsidP="00944FE9">
      <w:pPr>
        <w:pStyle w:val="BSbullet2"/>
        <w:numPr>
          <w:ilvl w:val="0"/>
          <w:numId w:val="106"/>
        </w:numPr>
        <w:pBdr>
          <w:top w:val="nil"/>
          <w:left w:val="nil"/>
          <w:bottom w:val="nil"/>
          <w:right w:val="nil"/>
          <w:between w:val="nil"/>
          <w:bar w:val="nil"/>
        </w:pBdr>
        <w:tabs>
          <w:tab w:val="left" w:pos="720"/>
        </w:tabs>
        <w:ind w:left="709" w:hanging="283"/>
        <w:jc w:val="both"/>
        <w:rPr>
          <w:bdr w:val="nil"/>
        </w:rPr>
      </w:pPr>
      <w:r>
        <w:rPr>
          <w:bdr w:val="nil"/>
        </w:rPr>
        <w:t>The decrease of $0.3</w:t>
      </w:r>
      <w:r w:rsidR="00590BCA">
        <w:rPr>
          <w:bdr w:val="nil"/>
        </w:rPr>
        <w:t>55</w:t>
      </w:r>
      <w:r>
        <w:rPr>
          <w:bdr w:val="nil"/>
        </w:rPr>
        <w:t xml:space="preserve"> million in the 2021-22 Budget from the 2020-21 interim outcome is mainly due to the depreciation of the assets.</w:t>
      </w:r>
    </w:p>
    <w:p w14:paraId="100CC36D" w14:textId="77777777" w:rsidR="007F5788" w:rsidRDefault="007F5788" w:rsidP="00944FE9">
      <w:pPr>
        <w:pStyle w:val="BSbullet12"/>
        <w:numPr>
          <w:ilvl w:val="0"/>
          <w:numId w:val="100"/>
        </w:numPr>
        <w:pBdr>
          <w:top w:val="nil"/>
          <w:left w:val="nil"/>
          <w:bottom w:val="nil"/>
          <w:right w:val="nil"/>
          <w:between w:val="nil"/>
          <w:bar w:val="nil"/>
        </w:pBdr>
        <w:tabs>
          <w:tab w:val="left" w:pos="426"/>
        </w:tabs>
        <w:ind w:hanging="720"/>
        <w:rPr>
          <w:bdr w:val="nil"/>
        </w:rPr>
      </w:pPr>
      <w:r>
        <w:rPr>
          <w:bdr w:val="nil"/>
        </w:rPr>
        <w:t>Intangible Assets:</w:t>
      </w:r>
    </w:p>
    <w:p w14:paraId="54B1D85B" w14:textId="77777777" w:rsidR="007F5788" w:rsidRDefault="007F5788" w:rsidP="00944FE9">
      <w:pPr>
        <w:pStyle w:val="BSbullet12"/>
        <w:numPr>
          <w:ilvl w:val="0"/>
          <w:numId w:val="106"/>
        </w:numPr>
        <w:pBdr>
          <w:top w:val="nil"/>
          <w:left w:val="nil"/>
          <w:bottom w:val="nil"/>
          <w:right w:val="nil"/>
          <w:between w:val="nil"/>
          <w:bar w:val="nil"/>
        </w:pBdr>
        <w:tabs>
          <w:tab w:val="left" w:pos="720"/>
        </w:tabs>
        <w:ind w:left="709" w:hanging="283"/>
        <w:rPr>
          <w:bdr w:val="nil"/>
        </w:rPr>
      </w:pPr>
      <w:r>
        <w:rPr>
          <w:bdr w:val="nil"/>
        </w:rPr>
        <w:t>The increase of $0.777 million in the 2020-21 interim outcome from the 2020-21 budget is due</w:t>
      </w:r>
      <w:r w:rsidRPr="00942F8A">
        <w:rPr>
          <w:bdr w:val="nil"/>
        </w:rPr>
        <w:t xml:space="preserve"> </w:t>
      </w:r>
      <w:r>
        <w:rPr>
          <w:bdr w:val="nil"/>
        </w:rPr>
        <w:t xml:space="preserve">to the transfer of </w:t>
      </w:r>
      <w:r w:rsidRPr="00942F8A">
        <w:rPr>
          <w:bdr w:val="nil"/>
        </w:rPr>
        <w:t>PTG’s internally developed Cust</w:t>
      </w:r>
      <w:r>
        <w:rPr>
          <w:bdr w:val="nil"/>
        </w:rPr>
        <w:t xml:space="preserve">omer Relationship Manager </w:t>
      </w:r>
      <w:r w:rsidRPr="00942F8A">
        <w:rPr>
          <w:bdr w:val="nil"/>
        </w:rPr>
        <w:t>software, this was previously accounted for in PTG’s Trust account</w:t>
      </w:r>
      <w:r>
        <w:rPr>
          <w:bdr w:val="nil"/>
        </w:rPr>
        <w:t>.</w:t>
      </w:r>
    </w:p>
    <w:p w14:paraId="45C5F7E5" w14:textId="77777777" w:rsidR="007F5788" w:rsidRDefault="007F5788" w:rsidP="007F5788">
      <w:pPr>
        <w:pStyle w:val="Normal9"/>
        <w:keepNext/>
        <w:keepLines/>
        <w:pBdr>
          <w:top w:val="nil"/>
          <w:left w:val="nil"/>
          <w:bottom w:val="nil"/>
          <w:right w:val="nil"/>
          <w:between w:val="nil"/>
          <w:bar w:val="nil"/>
        </w:pBdr>
        <w:spacing w:before="240" w:after="120"/>
        <w:outlineLvl w:val="3"/>
        <w:rPr>
          <w:b/>
          <w:i/>
          <w:szCs w:val="20"/>
          <w:bdr w:val="nil"/>
        </w:rPr>
      </w:pPr>
      <w:r>
        <w:rPr>
          <w:rFonts w:ascii="Calibri" w:hAnsi="Calibri"/>
          <w:b/>
          <w:i/>
          <w:szCs w:val="20"/>
          <w:bdr w:val="nil"/>
          <w:lang w:eastAsia="en-US"/>
        </w:rPr>
        <w:t>Statement of Changes in Equity and Cash Flow Statement</w:t>
      </w:r>
    </w:p>
    <w:p w14:paraId="56C3E80D" w14:textId="77777777" w:rsidR="007F5788" w:rsidRPr="006A17C3" w:rsidRDefault="007F5788" w:rsidP="007F5788">
      <w:pPr>
        <w:pBdr>
          <w:top w:val="nil"/>
          <w:left w:val="nil"/>
          <w:bottom w:val="nil"/>
          <w:right w:val="nil"/>
          <w:between w:val="nil"/>
          <w:bar w:val="nil"/>
        </w:pBdr>
        <w:rPr>
          <w:bdr w:val="nil"/>
        </w:rPr>
      </w:pPr>
      <w:r>
        <w:rPr>
          <w:szCs w:val="24"/>
          <w:bdr w:val="nil"/>
        </w:rPr>
        <w:t>Variations in the statement are explained in the notes above.</w:t>
      </w:r>
    </w:p>
    <w:p w14:paraId="2C16F959" w14:textId="77777777" w:rsidR="00B55EED" w:rsidRPr="005E3B44" w:rsidRDefault="00B55EED" w:rsidP="00B55EED">
      <w:pPr>
        <w:rPr>
          <w:rFonts w:asciiTheme="minorHAnsi" w:hAnsiTheme="minorHAnsi" w:cstheme="minorHAnsi"/>
        </w:rPr>
      </w:pPr>
    </w:p>
    <w:p w14:paraId="242D3607" w14:textId="77777777" w:rsidR="00EC1190" w:rsidRPr="005E3B44" w:rsidRDefault="00EC1190">
      <w:pPr>
        <w:rPr>
          <w:rFonts w:asciiTheme="minorHAnsi" w:hAnsiTheme="minorHAnsi" w:cstheme="minorHAnsi"/>
        </w:rPr>
      </w:pPr>
    </w:p>
    <w:sectPr w:rsidR="00EC1190" w:rsidRPr="005E3B44" w:rsidSect="00122A3A">
      <w:headerReference w:type="even" r:id="rId66"/>
      <w:headerReference w:type="default" r:id="rId67"/>
      <w:footerReference w:type="even" r:id="rId68"/>
      <w:headerReference w:type="first" r:id="rId69"/>
      <w:footerReference w:type="first" r:id="rId70"/>
      <w:pgSz w:w="11906" w:h="16838"/>
      <w:pgMar w:top="1151" w:right="1440" w:bottom="1729" w:left="1440" w:header="720" w:footer="720"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5E998" w14:textId="77777777" w:rsidR="00727E05" w:rsidRDefault="00727E05">
      <w:pPr>
        <w:spacing w:before="0" w:after="0"/>
      </w:pPr>
      <w:r>
        <w:separator/>
      </w:r>
    </w:p>
  </w:endnote>
  <w:endnote w:type="continuationSeparator" w:id="0">
    <w:p w14:paraId="56CAA355" w14:textId="77777777" w:rsidR="00727E05" w:rsidRDefault="00727E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oboto-Light">
    <w:altName w:val="Roboto Light"/>
    <w:panose1 w:val="00000000000000000000"/>
    <w:charset w:val="4D"/>
    <w:family w:val="auto"/>
    <w:notTrueType/>
    <w:pitch w:val="default"/>
    <w:sig w:usb0="00000003" w:usb1="00000000" w:usb2="00000000" w:usb3="00000000" w:csb0="00000001" w:csb1="00000000"/>
  </w:font>
  <w:font w:name="Roboto-LightItalic">
    <w:altName w:val="Roboto Light Ital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7A92" w14:textId="77777777" w:rsidR="00DB52E2" w:rsidRPr="0004555B" w:rsidRDefault="00DB52E2" w:rsidP="005E3B44">
    <w:pPr>
      <w:pBdr>
        <w:top w:val="nil"/>
        <w:left w:val="nil"/>
        <w:bottom w:val="nil"/>
        <w:right w:val="nil"/>
        <w:between w:val="nil"/>
        <w:bar w:val="nil"/>
      </w:pBdr>
      <w:rPr>
        <w:rFonts w:eastAsia="TimesNewRomanPS-ItalicMT"/>
        <w:bdr w:val="ni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0D13" w14:textId="77777777"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Pr>
        <w:sz w:val="18"/>
        <w:szCs w:val="18"/>
        <w:bdr w:val="nil"/>
      </w:rPr>
      <w:tab/>
    </w:r>
    <w:r>
      <w:rPr>
        <w:bdr w:val="nil"/>
      </w:rPr>
      <w:t>Justice and Community Safety Directorate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670A" w14:textId="1FF90471"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Justice and Community Safety Directorate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EEFF" w14:textId="77777777" w:rsidR="00DB52E2" w:rsidRDefault="00DB52E2">
    <w:pPr>
      <w:pBdr>
        <w:top w:val="nil"/>
        <w:left w:val="nil"/>
        <w:bottom w:val="nil"/>
        <w:right w:val="nil"/>
        <w:between w:val="nil"/>
        <w:bar w:val="nil"/>
      </w:pBdr>
      <w:rPr>
        <w:bdr w:val="nil"/>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E088" w14:textId="77777777"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Pr>
        <w:sz w:val="18"/>
        <w:szCs w:val="18"/>
        <w:bdr w:val="nil"/>
      </w:rPr>
      <w:tab/>
    </w:r>
    <w:r>
      <w:rPr>
        <w:bdr w:val="nil"/>
      </w:rPr>
      <w:t>Justice and Community Safety Directorate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24A4" w14:textId="68E3B8EB"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Justice and Community Safety Directorate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69F1" w14:textId="77777777" w:rsidR="00DB52E2" w:rsidRDefault="00DB52E2">
    <w:pPr>
      <w:pBdr>
        <w:top w:val="nil"/>
        <w:left w:val="nil"/>
        <w:bottom w:val="nil"/>
        <w:right w:val="nil"/>
        <w:between w:val="nil"/>
        <w:bar w:val="nil"/>
      </w:pBdr>
      <w:rPr>
        <w:bdr w:val="ni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FBD9" w14:textId="77777777"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Pr>
        <w:sz w:val="18"/>
        <w:szCs w:val="18"/>
        <w:bdr w:val="nil"/>
      </w:rPr>
      <w:tab/>
    </w:r>
    <w:r>
      <w:rPr>
        <w:bdr w:val="nil"/>
      </w:rPr>
      <w:t>Justice and Community Safety Directorate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5C13" w14:textId="0339FECB"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Justice and Community Safety Directorate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06FD" w14:textId="77777777" w:rsidR="00DB52E2" w:rsidRDefault="00DB52E2">
    <w:pPr>
      <w:pBdr>
        <w:top w:val="nil"/>
        <w:left w:val="nil"/>
        <w:bottom w:val="nil"/>
        <w:right w:val="nil"/>
        <w:between w:val="nil"/>
        <w:bar w:val="nil"/>
      </w:pBdr>
      <w:rPr>
        <w:bdr w:val="nil"/>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6029" w14:textId="77777777" w:rsidR="00DB52E2" w:rsidRPr="004B1382" w:rsidRDefault="00DB52E2" w:rsidP="00122A3A">
    <w:pPr>
      <w:pStyle w:val="FooterBP"/>
      <w:pBdr>
        <w:left w:val="nil"/>
        <w:bottom w:val="nil"/>
        <w:right w:val="nil"/>
        <w:between w:val="nil"/>
        <w:bar w:val="nil"/>
      </w:pBdr>
      <w:rPr>
        <w:bdr w:val="nil"/>
      </w:rPr>
    </w:pPr>
    <w:r>
      <w:rPr>
        <w:bdr w:val="nil"/>
      </w:rPr>
      <w:t>2021-22 Budget Statements</w:t>
    </w:r>
    <w:r>
      <w:rPr>
        <w:bdr w:val="nil"/>
      </w:rPr>
      <w:tab/>
    </w:r>
    <w:r>
      <w:rPr>
        <w:sz w:val="18"/>
        <w:szCs w:val="18"/>
        <w:bdr w:val="nil"/>
      </w:rPr>
      <w:tab/>
    </w:r>
    <w:r>
      <w:rPr>
        <w:bdr w:val="nil"/>
      </w:rPr>
      <w:t>Justice and Community Safety Directorate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0481" w14:textId="77777777" w:rsidR="00DB52E2" w:rsidRPr="0004555B" w:rsidRDefault="00DB52E2" w:rsidP="005E3B44">
    <w:pPr>
      <w:pBdr>
        <w:top w:val="nil"/>
        <w:left w:val="nil"/>
        <w:bottom w:val="nil"/>
        <w:right w:val="nil"/>
        <w:between w:val="nil"/>
        <w:bar w:val="nil"/>
      </w:pBdr>
      <w:rPr>
        <w:rFonts w:eastAsia="TimesNewRomanPS-ItalicMT"/>
        <w:bdr w:val="ni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D617" w14:textId="27165676"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Justice and Community Safety Directorate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ACE4" w14:textId="77777777" w:rsidR="00DB52E2" w:rsidRDefault="00DB52E2">
    <w:pPr>
      <w:pBdr>
        <w:top w:val="nil"/>
        <w:left w:val="nil"/>
        <w:bottom w:val="nil"/>
        <w:right w:val="nil"/>
        <w:between w:val="nil"/>
        <w:bar w:val="nil"/>
      </w:pBdr>
      <w:rPr>
        <w:bdr w:val="nil"/>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0FA1" w14:textId="6AF632DB"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Legal Aid Commission (ACT)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1C31" w14:textId="62B4B618"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Public Trustee and Guardian</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54B6" w14:textId="77777777" w:rsidR="00DB52E2" w:rsidRPr="004B1382" w:rsidRDefault="00DB52E2" w:rsidP="00122A3A">
    <w:pPr>
      <w:pStyle w:val="FooterBP"/>
      <w:pBdr>
        <w:left w:val="nil"/>
        <w:bottom w:val="nil"/>
        <w:right w:val="nil"/>
        <w:between w:val="nil"/>
        <w:bar w:val="nil"/>
      </w:pBdr>
      <w:rPr>
        <w:bdr w:val="nil"/>
      </w:rPr>
    </w:pPr>
    <w:r>
      <w:rPr>
        <w:bdr w:val="nil"/>
      </w:rPr>
      <w:t>2021-22 Budget Statements</w:t>
    </w:r>
    <w:r>
      <w:rPr>
        <w:bdr w:val="nil"/>
      </w:rPr>
      <w:tab/>
    </w:r>
    <w:r>
      <w:rPr>
        <w:sz w:val="18"/>
        <w:szCs w:val="18"/>
        <w:bdr w:val="nil"/>
      </w:rPr>
      <w:tab/>
    </w:r>
    <w:r>
      <w:rPr>
        <w:bdr w:val="nil"/>
      </w:rPr>
      <w:t>Justice and Community Safety Directorate</w:t>
    </w:r>
  </w:p>
  <w:p w14:paraId="22BCFCF8" w14:textId="77777777" w:rsidR="00DB52E2" w:rsidRDefault="00DB52E2"/>
  <w:p w14:paraId="0D41943F" w14:textId="77777777" w:rsidR="00DB52E2" w:rsidRDefault="00DB52E2"/>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9130" w14:textId="77777777" w:rsidR="00DB52E2" w:rsidRDefault="00DB52E2">
    <w:pPr>
      <w:pBdr>
        <w:top w:val="nil"/>
        <w:left w:val="nil"/>
        <w:bottom w:val="nil"/>
        <w:right w:val="nil"/>
        <w:between w:val="nil"/>
        <w:bar w:val="nil"/>
      </w:pBdr>
      <w:rPr>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F1A6" w14:textId="77777777" w:rsidR="00DB52E2" w:rsidRDefault="00DB52E2">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4C17" w14:textId="77777777"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Pr>
        <w:sz w:val="18"/>
        <w:szCs w:val="18"/>
        <w:bdr w:val="nil"/>
      </w:rPr>
      <w:tab/>
    </w:r>
    <w:r>
      <w:rPr>
        <w:bdr w:val="nil"/>
      </w:rPr>
      <w:t>Justice and Community Safety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22C2" w14:textId="54EFFA06"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Justice and Community Safety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3D0B" w14:textId="77777777" w:rsidR="00DB52E2" w:rsidRDefault="00DB52E2">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7F4B" w14:textId="77777777"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Pr>
        <w:sz w:val="18"/>
        <w:szCs w:val="18"/>
        <w:bdr w:val="nil"/>
      </w:rPr>
      <w:tab/>
    </w:r>
    <w:r>
      <w:rPr>
        <w:bdr w:val="nil"/>
      </w:rPr>
      <w:t>Justice and Community Safety Directorate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605A" w14:textId="5B951AF8" w:rsidR="00DB52E2" w:rsidRPr="004B1382" w:rsidRDefault="00DB52E2" w:rsidP="005E3B44">
    <w:pPr>
      <w:pStyle w:val="FooterBP"/>
      <w:pBdr>
        <w:left w:val="nil"/>
        <w:bottom w:val="nil"/>
        <w:right w:val="nil"/>
        <w:between w:val="nil"/>
        <w:bar w:val="nil"/>
      </w:pBdr>
      <w:rPr>
        <w:bdr w:val="nil"/>
      </w:rPr>
    </w:pPr>
    <w:r>
      <w:rPr>
        <w:bdr w:val="nil"/>
      </w:rPr>
      <w:t>2021-22 Budget Statements</w:t>
    </w:r>
    <w:r>
      <w:rPr>
        <w:bdr w:val="nil"/>
      </w:rPr>
      <w:tab/>
    </w:r>
    <w:r w:rsidRPr="002F4741">
      <w:rPr>
        <w:bdr w:val="nil"/>
      </w:rPr>
      <w:fldChar w:fldCharType="begin"/>
    </w:r>
    <w:r w:rsidRPr="002F4741">
      <w:rPr>
        <w:bdr w:val="nil"/>
      </w:rPr>
      <w:instrText xml:space="preserve"> PAGE   \* MERGEFORMAT </w:instrText>
    </w:r>
    <w:r w:rsidRPr="002F4741">
      <w:rPr>
        <w:bdr w:val="nil"/>
      </w:rPr>
      <w:fldChar w:fldCharType="separate"/>
    </w:r>
    <w:r w:rsidRPr="002F4741">
      <w:rPr>
        <w:noProof/>
        <w:bdr w:val="nil"/>
      </w:rPr>
      <w:t>1</w:t>
    </w:r>
    <w:r w:rsidRPr="002F4741">
      <w:rPr>
        <w:noProof/>
        <w:bdr w:val="nil"/>
      </w:rPr>
      <w:fldChar w:fldCharType="end"/>
    </w:r>
    <w:r>
      <w:rPr>
        <w:sz w:val="18"/>
        <w:szCs w:val="18"/>
        <w:bdr w:val="nil"/>
      </w:rPr>
      <w:tab/>
    </w:r>
    <w:r>
      <w:rPr>
        <w:bdr w:val="nil"/>
      </w:rPr>
      <w:t>Justice and Community Safety Directorate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7CA5" w14:textId="77777777" w:rsidR="00DB52E2" w:rsidRDefault="00DB52E2">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FD44" w14:textId="77777777" w:rsidR="00727E05" w:rsidRDefault="00727E05">
      <w:pPr>
        <w:spacing w:before="0" w:after="0"/>
      </w:pPr>
      <w:r>
        <w:separator/>
      </w:r>
    </w:p>
  </w:footnote>
  <w:footnote w:type="continuationSeparator" w:id="0">
    <w:p w14:paraId="4F42603C" w14:textId="77777777" w:rsidR="00727E05" w:rsidRDefault="00727E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4231"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DB0A"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6503"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D8D4" w14:textId="77777777" w:rsidR="00DB52E2" w:rsidRDefault="00DB52E2">
    <w:pPr>
      <w:pBdr>
        <w:top w:val="nil"/>
        <w:left w:val="nil"/>
        <w:bottom w:val="nil"/>
        <w:right w:val="nil"/>
        <w:between w:val="nil"/>
        <w:bar w:val="nil"/>
      </w:pBdr>
      <w:rPr>
        <w:bdr w:val="ni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F277"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CB8F"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BBE4" w14:textId="77777777" w:rsidR="00DB52E2" w:rsidRDefault="00DB52E2">
    <w:pPr>
      <w:pBdr>
        <w:top w:val="nil"/>
        <w:left w:val="nil"/>
        <w:bottom w:val="nil"/>
        <w:right w:val="nil"/>
        <w:between w:val="nil"/>
        <w:bar w:val="nil"/>
      </w:pBdr>
      <w:rPr>
        <w:bdr w:val="ni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48A2"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B88F"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7102" w14:textId="77777777" w:rsidR="00DB52E2" w:rsidRDefault="00DB52E2">
    <w:pPr>
      <w:pBdr>
        <w:top w:val="nil"/>
        <w:left w:val="nil"/>
        <w:bottom w:val="nil"/>
        <w:right w:val="nil"/>
        <w:between w:val="nil"/>
        <w:bar w:val="nil"/>
      </w:pBdr>
      <w:rPr>
        <w:bdr w:val="ni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6BD3"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F5F5"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6226"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E412" w14:textId="77777777" w:rsidR="00DB52E2" w:rsidRDefault="00DB52E2">
    <w:pPr>
      <w:pBdr>
        <w:top w:val="nil"/>
        <w:left w:val="nil"/>
        <w:bottom w:val="nil"/>
        <w:right w:val="nil"/>
        <w:between w:val="nil"/>
        <w:bar w:val="nil"/>
      </w:pBdr>
      <w:rPr>
        <w:bdr w:val="ni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F515"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p w14:paraId="31358F89" w14:textId="77777777" w:rsidR="00DB52E2" w:rsidRDefault="00DB52E2"/>
  <w:p w14:paraId="1627A177" w14:textId="77777777" w:rsidR="00DB52E2" w:rsidRDefault="00DB52E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0022"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p w14:paraId="2D984329" w14:textId="77777777" w:rsidR="00DB52E2" w:rsidRDefault="00DB52E2"/>
  <w:p w14:paraId="699BA7E3" w14:textId="77777777" w:rsidR="00DB52E2" w:rsidRDefault="00DB52E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FD6A" w14:textId="77777777" w:rsidR="00DB52E2" w:rsidRDefault="00DB52E2">
    <w:pPr>
      <w:pBdr>
        <w:top w:val="nil"/>
        <w:left w:val="nil"/>
        <w:bottom w:val="nil"/>
        <w:right w:val="nil"/>
        <w:between w:val="nil"/>
        <w:bar w:val="nil"/>
      </w:pBdr>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756A" w14:textId="77777777" w:rsidR="00DB52E2" w:rsidRDefault="00DB52E2">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6553"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CDDF"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E5A1" w14:textId="77777777" w:rsidR="00DB52E2" w:rsidRDefault="00DB52E2">
    <w:pPr>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C1FA"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9695" w14:textId="77777777" w:rsidR="00DB52E2" w:rsidRDefault="00DB52E2">
    <w:pPr>
      <w:suppressLineNumbers/>
      <w:pBdr>
        <w:top w:val="nil"/>
        <w:left w:val="nil"/>
        <w:bottom w:val="nil"/>
        <w:right w:val="nil"/>
        <w:between w:val="nil"/>
        <w:bar w:val="nil"/>
      </w:pBdr>
      <w:spacing w:before="0" w:after="0" w:line="14" w:lineRule="exact"/>
      <w:contextualSpacing/>
      <w:rPr>
        <w:bdr w:val="ni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03BE" w14:textId="77777777" w:rsidR="00DB52E2" w:rsidRDefault="00DB52E2">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CA61E9E"/>
    <w:lvl w:ilvl="0" w:tplc="034836EE">
      <w:start w:val="1"/>
      <w:numFmt w:val="bullet"/>
      <w:pStyle w:val="BSbullet1"/>
      <w:lvlText w:val=""/>
      <w:lvlJc w:val="left"/>
      <w:pPr>
        <w:tabs>
          <w:tab w:val="num" w:pos="360"/>
        </w:tabs>
        <w:ind w:left="357" w:hanging="357"/>
      </w:pPr>
      <w:rPr>
        <w:rFonts w:ascii="Symbol" w:hAnsi="Symbol" w:hint="default"/>
        <w:sz w:val="24"/>
      </w:rPr>
    </w:lvl>
    <w:lvl w:ilvl="1" w:tplc="D33EAAD6">
      <w:start w:val="1"/>
      <w:numFmt w:val="bullet"/>
      <w:lvlText w:val="o"/>
      <w:lvlJc w:val="left"/>
      <w:pPr>
        <w:tabs>
          <w:tab w:val="num" w:pos="1800"/>
        </w:tabs>
        <w:ind w:left="1800" w:hanging="360"/>
      </w:pPr>
      <w:rPr>
        <w:rFonts w:ascii="Courier New" w:hAnsi="Courier New" w:hint="default"/>
      </w:rPr>
    </w:lvl>
    <w:lvl w:ilvl="2" w:tplc="3FF4FA9C">
      <w:start w:val="1"/>
      <w:numFmt w:val="bullet"/>
      <w:lvlText w:val=""/>
      <w:lvlJc w:val="left"/>
      <w:pPr>
        <w:tabs>
          <w:tab w:val="num" w:pos="2520"/>
        </w:tabs>
        <w:ind w:left="2520" w:hanging="360"/>
      </w:pPr>
      <w:rPr>
        <w:rFonts w:ascii="Wingdings" w:hAnsi="Wingdings" w:hint="default"/>
      </w:rPr>
    </w:lvl>
    <w:lvl w:ilvl="3" w:tplc="FC7471F8">
      <w:start w:val="1"/>
      <w:numFmt w:val="bullet"/>
      <w:lvlText w:val=""/>
      <w:lvlJc w:val="left"/>
      <w:pPr>
        <w:tabs>
          <w:tab w:val="num" w:pos="3240"/>
        </w:tabs>
        <w:ind w:left="3240" w:hanging="360"/>
      </w:pPr>
      <w:rPr>
        <w:rFonts w:ascii="Symbol" w:hAnsi="Symbol" w:hint="default"/>
      </w:rPr>
    </w:lvl>
    <w:lvl w:ilvl="4" w:tplc="939656A8">
      <w:start w:val="1"/>
      <w:numFmt w:val="bullet"/>
      <w:lvlText w:val="o"/>
      <w:lvlJc w:val="left"/>
      <w:pPr>
        <w:tabs>
          <w:tab w:val="num" w:pos="3960"/>
        </w:tabs>
        <w:ind w:left="3960" w:hanging="360"/>
      </w:pPr>
      <w:rPr>
        <w:rFonts w:ascii="Courier New" w:hAnsi="Courier New" w:hint="default"/>
      </w:rPr>
    </w:lvl>
    <w:lvl w:ilvl="5" w:tplc="F998E66E">
      <w:start w:val="1"/>
      <w:numFmt w:val="bullet"/>
      <w:lvlText w:val=""/>
      <w:lvlJc w:val="left"/>
      <w:pPr>
        <w:tabs>
          <w:tab w:val="num" w:pos="4680"/>
        </w:tabs>
        <w:ind w:left="4680" w:hanging="360"/>
      </w:pPr>
      <w:rPr>
        <w:rFonts w:ascii="Wingdings" w:hAnsi="Wingdings" w:hint="default"/>
      </w:rPr>
    </w:lvl>
    <w:lvl w:ilvl="6" w:tplc="CA98DC4A">
      <w:start w:val="1"/>
      <w:numFmt w:val="bullet"/>
      <w:lvlText w:val=""/>
      <w:lvlJc w:val="left"/>
      <w:pPr>
        <w:tabs>
          <w:tab w:val="num" w:pos="5400"/>
        </w:tabs>
        <w:ind w:left="5400" w:hanging="360"/>
      </w:pPr>
      <w:rPr>
        <w:rFonts w:ascii="Symbol" w:hAnsi="Symbol" w:hint="default"/>
      </w:rPr>
    </w:lvl>
    <w:lvl w:ilvl="7" w:tplc="A8708058">
      <w:start w:val="1"/>
      <w:numFmt w:val="bullet"/>
      <w:lvlText w:val="o"/>
      <w:lvlJc w:val="left"/>
      <w:pPr>
        <w:tabs>
          <w:tab w:val="num" w:pos="6120"/>
        </w:tabs>
        <w:ind w:left="6120" w:hanging="360"/>
      </w:pPr>
      <w:rPr>
        <w:rFonts w:ascii="Courier New" w:hAnsi="Courier New" w:hint="default"/>
      </w:rPr>
    </w:lvl>
    <w:lvl w:ilvl="8" w:tplc="2F52A28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747AF816"/>
    <w:lvl w:ilvl="0" w:tplc="CDDE5442">
      <w:start w:val="1"/>
      <w:numFmt w:val="bullet"/>
      <w:pStyle w:val="BodyTextIndent"/>
      <w:lvlText w:val=""/>
      <w:lvlJc w:val="left"/>
      <w:pPr>
        <w:tabs>
          <w:tab w:val="num" w:pos="360"/>
        </w:tabs>
        <w:ind w:left="360" w:hanging="360"/>
      </w:pPr>
      <w:rPr>
        <w:rFonts w:ascii="Symbol" w:hAnsi="Symbol" w:cs="Times New Roman" w:hint="default"/>
      </w:rPr>
    </w:lvl>
    <w:lvl w:ilvl="1" w:tplc="CA4693FE">
      <w:start w:val="1"/>
      <w:numFmt w:val="bullet"/>
      <w:lvlText w:val="o"/>
      <w:lvlJc w:val="left"/>
      <w:pPr>
        <w:tabs>
          <w:tab w:val="num" w:pos="360"/>
        </w:tabs>
        <w:ind w:left="360" w:hanging="360"/>
      </w:pPr>
      <w:rPr>
        <w:rFonts w:ascii="Courier New" w:hAnsi="Courier New" w:hint="default"/>
      </w:rPr>
    </w:lvl>
    <w:lvl w:ilvl="2" w:tplc="E21C07C8" w:tentative="1">
      <w:start w:val="1"/>
      <w:numFmt w:val="bullet"/>
      <w:lvlText w:val=""/>
      <w:lvlJc w:val="left"/>
      <w:pPr>
        <w:tabs>
          <w:tab w:val="num" w:pos="1080"/>
        </w:tabs>
        <w:ind w:left="1080" w:hanging="360"/>
      </w:pPr>
      <w:rPr>
        <w:rFonts w:ascii="Wingdings" w:hAnsi="Wingdings" w:hint="default"/>
      </w:rPr>
    </w:lvl>
    <w:lvl w:ilvl="3" w:tplc="F4866266" w:tentative="1">
      <w:start w:val="1"/>
      <w:numFmt w:val="bullet"/>
      <w:lvlText w:val=""/>
      <w:lvlJc w:val="left"/>
      <w:pPr>
        <w:tabs>
          <w:tab w:val="num" w:pos="1800"/>
        </w:tabs>
        <w:ind w:left="1800" w:hanging="360"/>
      </w:pPr>
      <w:rPr>
        <w:rFonts w:ascii="Symbol" w:hAnsi="Symbol" w:hint="default"/>
      </w:rPr>
    </w:lvl>
    <w:lvl w:ilvl="4" w:tplc="7ED08370" w:tentative="1">
      <w:start w:val="1"/>
      <w:numFmt w:val="bullet"/>
      <w:lvlText w:val="o"/>
      <w:lvlJc w:val="left"/>
      <w:pPr>
        <w:tabs>
          <w:tab w:val="num" w:pos="2520"/>
        </w:tabs>
        <w:ind w:left="2520" w:hanging="360"/>
      </w:pPr>
      <w:rPr>
        <w:rFonts w:ascii="Courier New" w:hAnsi="Courier New" w:hint="default"/>
      </w:rPr>
    </w:lvl>
    <w:lvl w:ilvl="5" w:tplc="DA9E82A0" w:tentative="1">
      <w:start w:val="1"/>
      <w:numFmt w:val="bullet"/>
      <w:lvlText w:val=""/>
      <w:lvlJc w:val="left"/>
      <w:pPr>
        <w:tabs>
          <w:tab w:val="num" w:pos="3240"/>
        </w:tabs>
        <w:ind w:left="3240" w:hanging="360"/>
      </w:pPr>
      <w:rPr>
        <w:rFonts w:ascii="Wingdings" w:hAnsi="Wingdings" w:hint="default"/>
      </w:rPr>
    </w:lvl>
    <w:lvl w:ilvl="6" w:tplc="AE72BB18" w:tentative="1">
      <w:start w:val="1"/>
      <w:numFmt w:val="bullet"/>
      <w:lvlText w:val=""/>
      <w:lvlJc w:val="left"/>
      <w:pPr>
        <w:tabs>
          <w:tab w:val="num" w:pos="3960"/>
        </w:tabs>
        <w:ind w:left="3960" w:hanging="360"/>
      </w:pPr>
      <w:rPr>
        <w:rFonts w:ascii="Symbol" w:hAnsi="Symbol" w:hint="default"/>
      </w:rPr>
    </w:lvl>
    <w:lvl w:ilvl="7" w:tplc="2B40A156" w:tentative="1">
      <w:start w:val="1"/>
      <w:numFmt w:val="bullet"/>
      <w:lvlText w:val="o"/>
      <w:lvlJc w:val="left"/>
      <w:pPr>
        <w:tabs>
          <w:tab w:val="num" w:pos="4680"/>
        </w:tabs>
        <w:ind w:left="4680" w:hanging="360"/>
      </w:pPr>
      <w:rPr>
        <w:rFonts w:ascii="Courier New" w:hAnsi="Courier New" w:hint="default"/>
      </w:rPr>
    </w:lvl>
    <w:lvl w:ilvl="8" w:tplc="C88C582C"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0000003"/>
    <w:multiLevelType w:val="hybridMultilevel"/>
    <w:tmpl w:val="A2BCB066"/>
    <w:lvl w:ilvl="0" w:tplc="E17A9A98">
      <w:numFmt w:val="decimal"/>
      <w:lvlText w:val=""/>
      <w:lvlJc w:val="left"/>
      <w:pPr>
        <w:ind w:left="360" w:hanging="360"/>
      </w:pPr>
      <w:rPr>
        <w:rFonts w:ascii="Symbol" w:hAnsi="Symbol" w:hint="default"/>
      </w:rPr>
    </w:lvl>
    <w:lvl w:ilvl="1" w:tplc="2D4E5414">
      <w:start w:val="1"/>
      <w:numFmt w:val="decimal"/>
      <w:lvlText w:val="%2."/>
      <w:lvlJc w:val="left"/>
      <w:pPr>
        <w:tabs>
          <w:tab w:val="num" w:pos="1440"/>
        </w:tabs>
        <w:ind w:left="1440" w:hanging="360"/>
      </w:pPr>
    </w:lvl>
    <w:lvl w:ilvl="2" w:tplc="0DE2E0EA">
      <w:start w:val="1"/>
      <w:numFmt w:val="decimal"/>
      <w:lvlText w:val="%3."/>
      <w:lvlJc w:val="left"/>
      <w:pPr>
        <w:tabs>
          <w:tab w:val="num" w:pos="2160"/>
        </w:tabs>
        <w:ind w:left="2160" w:hanging="360"/>
      </w:pPr>
    </w:lvl>
    <w:lvl w:ilvl="3" w:tplc="FBA6B0CC">
      <w:start w:val="1"/>
      <w:numFmt w:val="decimal"/>
      <w:lvlText w:val="%4."/>
      <w:lvlJc w:val="left"/>
      <w:pPr>
        <w:tabs>
          <w:tab w:val="num" w:pos="2880"/>
        </w:tabs>
        <w:ind w:left="2880" w:hanging="360"/>
      </w:pPr>
    </w:lvl>
    <w:lvl w:ilvl="4" w:tplc="EE0E54A8">
      <w:start w:val="1"/>
      <w:numFmt w:val="decimal"/>
      <w:lvlText w:val="%5."/>
      <w:lvlJc w:val="left"/>
      <w:pPr>
        <w:tabs>
          <w:tab w:val="num" w:pos="3600"/>
        </w:tabs>
        <w:ind w:left="3600" w:hanging="360"/>
      </w:pPr>
    </w:lvl>
    <w:lvl w:ilvl="5" w:tplc="4CD4F8C0">
      <w:start w:val="1"/>
      <w:numFmt w:val="decimal"/>
      <w:lvlText w:val="%6."/>
      <w:lvlJc w:val="left"/>
      <w:pPr>
        <w:tabs>
          <w:tab w:val="num" w:pos="4320"/>
        </w:tabs>
        <w:ind w:left="4320" w:hanging="360"/>
      </w:pPr>
    </w:lvl>
    <w:lvl w:ilvl="6" w:tplc="6AF6BCF4">
      <w:start w:val="1"/>
      <w:numFmt w:val="decimal"/>
      <w:lvlText w:val="%7."/>
      <w:lvlJc w:val="left"/>
      <w:pPr>
        <w:tabs>
          <w:tab w:val="num" w:pos="5040"/>
        </w:tabs>
        <w:ind w:left="5040" w:hanging="360"/>
      </w:pPr>
    </w:lvl>
    <w:lvl w:ilvl="7" w:tplc="8F900082">
      <w:start w:val="1"/>
      <w:numFmt w:val="decimal"/>
      <w:lvlText w:val="%8."/>
      <w:lvlJc w:val="left"/>
      <w:pPr>
        <w:tabs>
          <w:tab w:val="num" w:pos="5760"/>
        </w:tabs>
        <w:ind w:left="5760" w:hanging="360"/>
      </w:pPr>
    </w:lvl>
    <w:lvl w:ilvl="8" w:tplc="EAF68620">
      <w:start w:val="1"/>
      <w:numFmt w:val="decimal"/>
      <w:lvlText w:val="%9."/>
      <w:lvlJc w:val="left"/>
      <w:pPr>
        <w:tabs>
          <w:tab w:val="num" w:pos="6480"/>
        </w:tabs>
        <w:ind w:left="6480" w:hanging="360"/>
      </w:pPr>
    </w:lvl>
  </w:abstractNum>
  <w:abstractNum w:abstractNumId="3" w15:restartNumberingAfterBreak="0">
    <w:nsid w:val="00000004"/>
    <w:multiLevelType w:val="hybridMultilevel"/>
    <w:tmpl w:val="B7FE3A86"/>
    <w:lvl w:ilvl="0" w:tplc="404ABF68">
      <w:start w:val="1"/>
      <w:numFmt w:val="bullet"/>
      <w:lvlText w:val=""/>
      <w:lvlJc w:val="left"/>
      <w:pPr>
        <w:ind w:left="720" w:hanging="360"/>
      </w:pPr>
      <w:rPr>
        <w:rFonts w:ascii="Symbol" w:hAnsi="Symbol" w:hint="default"/>
      </w:rPr>
    </w:lvl>
    <w:lvl w:ilvl="1" w:tplc="AA5E523C">
      <w:start w:val="2"/>
      <w:numFmt w:val="bullet"/>
      <w:lvlText w:val="-"/>
      <w:lvlJc w:val="left"/>
      <w:pPr>
        <w:ind w:left="1440" w:hanging="360"/>
      </w:pPr>
      <w:rPr>
        <w:rFonts w:ascii="Calibri" w:eastAsia="Calibri" w:hAnsi="Calibri" w:cs="Calibri" w:hint="default"/>
      </w:rPr>
    </w:lvl>
    <w:lvl w:ilvl="2" w:tplc="378C7ECA">
      <w:start w:val="1"/>
      <w:numFmt w:val="bullet"/>
      <w:lvlText w:val=""/>
      <w:lvlJc w:val="left"/>
      <w:pPr>
        <w:ind w:left="2160" w:hanging="360"/>
      </w:pPr>
      <w:rPr>
        <w:rFonts w:ascii="Wingdings" w:hAnsi="Wingdings" w:hint="default"/>
      </w:rPr>
    </w:lvl>
    <w:lvl w:ilvl="3" w:tplc="982E8F0C">
      <w:start w:val="1"/>
      <w:numFmt w:val="bullet"/>
      <w:lvlText w:val=""/>
      <w:lvlJc w:val="left"/>
      <w:pPr>
        <w:ind w:left="2880" w:hanging="360"/>
      </w:pPr>
      <w:rPr>
        <w:rFonts w:ascii="Symbol" w:hAnsi="Symbol" w:hint="default"/>
      </w:rPr>
    </w:lvl>
    <w:lvl w:ilvl="4" w:tplc="4CBE9F8C">
      <w:start w:val="1"/>
      <w:numFmt w:val="bullet"/>
      <w:lvlText w:val="o"/>
      <w:lvlJc w:val="left"/>
      <w:pPr>
        <w:ind w:left="3600" w:hanging="360"/>
      </w:pPr>
      <w:rPr>
        <w:rFonts w:ascii="Courier New" w:hAnsi="Courier New" w:cs="Courier New" w:hint="default"/>
      </w:rPr>
    </w:lvl>
    <w:lvl w:ilvl="5" w:tplc="388CB630">
      <w:start w:val="1"/>
      <w:numFmt w:val="bullet"/>
      <w:lvlText w:val=""/>
      <w:lvlJc w:val="left"/>
      <w:pPr>
        <w:ind w:left="4320" w:hanging="360"/>
      </w:pPr>
      <w:rPr>
        <w:rFonts w:ascii="Wingdings" w:hAnsi="Wingdings" w:hint="default"/>
      </w:rPr>
    </w:lvl>
    <w:lvl w:ilvl="6" w:tplc="C5669782">
      <w:start w:val="1"/>
      <w:numFmt w:val="bullet"/>
      <w:lvlText w:val=""/>
      <w:lvlJc w:val="left"/>
      <w:pPr>
        <w:ind w:left="5040" w:hanging="360"/>
      </w:pPr>
      <w:rPr>
        <w:rFonts w:ascii="Symbol" w:hAnsi="Symbol" w:hint="default"/>
      </w:rPr>
    </w:lvl>
    <w:lvl w:ilvl="7" w:tplc="C85635E0">
      <w:start w:val="1"/>
      <w:numFmt w:val="bullet"/>
      <w:lvlText w:val="o"/>
      <w:lvlJc w:val="left"/>
      <w:pPr>
        <w:ind w:left="5760" w:hanging="360"/>
      </w:pPr>
      <w:rPr>
        <w:rFonts w:ascii="Courier New" w:hAnsi="Courier New" w:cs="Courier New" w:hint="default"/>
      </w:rPr>
    </w:lvl>
    <w:lvl w:ilvl="8" w:tplc="4B520E86">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DB083B02"/>
    <w:lvl w:ilvl="0" w:tplc="080C13B2">
      <w:start w:val="2"/>
      <w:numFmt w:val="bullet"/>
      <w:lvlText w:val="-"/>
      <w:lvlJc w:val="left"/>
      <w:pPr>
        <w:ind w:left="1440" w:hanging="360"/>
      </w:pPr>
      <w:rPr>
        <w:rFonts w:ascii="Calibri" w:eastAsia="Calibri" w:hAnsi="Calibri" w:cs="Calibri" w:hint="default"/>
      </w:rPr>
    </w:lvl>
    <w:lvl w:ilvl="1" w:tplc="FD846EDE">
      <w:start w:val="2"/>
      <w:numFmt w:val="bullet"/>
      <w:lvlText w:val="-"/>
      <w:lvlJc w:val="left"/>
      <w:pPr>
        <w:ind w:left="2160" w:hanging="360"/>
      </w:pPr>
      <w:rPr>
        <w:rFonts w:ascii="Calibri" w:eastAsia="Calibri" w:hAnsi="Calibri" w:cs="Calibri" w:hint="default"/>
      </w:rPr>
    </w:lvl>
    <w:lvl w:ilvl="2" w:tplc="AF3E7D72">
      <w:start w:val="1"/>
      <w:numFmt w:val="bullet"/>
      <w:lvlText w:val=""/>
      <w:lvlJc w:val="left"/>
      <w:pPr>
        <w:ind w:left="2880" w:hanging="360"/>
      </w:pPr>
      <w:rPr>
        <w:rFonts w:ascii="Wingdings" w:hAnsi="Wingdings" w:hint="default"/>
      </w:rPr>
    </w:lvl>
    <w:lvl w:ilvl="3" w:tplc="00E84068">
      <w:start w:val="1"/>
      <w:numFmt w:val="bullet"/>
      <w:lvlText w:val=""/>
      <w:lvlJc w:val="left"/>
      <w:pPr>
        <w:ind w:left="3600" w:hanging="360"/>
      </w:pPr>
      <w:rPr>
        <w:rFonts w:ascii="Symbol" w:hAnsi="Symbol" w:hint="default"/>
      </w:rPr>
    </w:lvl>
    <w:lvl w:ilvl="4" w:tplc="59023092">
      <w:start w:val="1"/>
      <w:numFmt w:val="bullet"/>
      <w:lvlText w:val="o"/>
      <w:lvlJc w:val="left"/>
      <w:pPr>
        <w:ind w:left="4320" w:hanging="360"/>
      </w:pPr>
      <w:rPr>
        <w:rFonts w:ascii="Courier New" w:hAnsi="Courier New" w:cs="Courier New" w:hint="default"/>
      </w:rPr>
    </w:lvl>
    <w:lvl w:ilvl="5" w:tplc="DE4233E6">
      <w:start w:val="1"/>
      <w:numFmt w:val="bullet"/>
      <w:lvlText w:val=""/>
      <w:lvlJc w:val="left"/>
      <w:pPr>
        <w:ind w:left="5040" w:hanging="360"/>
      </w:pPr>
      <w:rPr>
        <w:rFonts w:ascii="Wingdings" w:hAnsi="Wingdings" w:hint="default"/>
      </w:rPr>
    </w:lvl>
    <w:lvl w:ilvl="6" w:tplc="6DE450CC">
      <w:start w:val="1"/>
      <w:numFmt w:val="bullet"/>
      <w:lvlText w:val=""/>
      <w:lvlJc w:val="left"/>
      <w:pPr>
        <w:ind w:left="5760" w:hanging="360"/>
      </w:pPr>
      <w:rPr>
        <w:rFonts w:ascii="Symbol" w:hAnsi="Symbol" w:hint="default"/>
      </w:rPr>
    </w:lvl>
    <w:lvl w:ilvl="7" w:tplc="263A0CB2">
      <w:start w:val="1"/>
      <w:numFmt w:val="bullet"/>
      <w:lvlText w:val="o"/>
      <w:lvlJc w:val="left"/>
      <w:pPr>
        <w:ind w:left="6480" w:hanging="360"/>
      </w:pPr>
      <w:rPr>
        <w:rFonts w:ascii="Courier New" w:hAnsi="Courier New" w:cs="Courier New" w:hint="default"/>
      </w:rPr>
    </w:lvl>
    <w:lvl w:ilvl="8" w:tplc="6D28FD18">
      <w:start w:val="1"/>
      <w:numFmt w:val="bullet"/>
      <w:lvlText w:val=""/>
      <w:lvlJc w:val="left"/>
      <w:pPr>
        <w:ind w:left="7200" w:hanging="360"/>
      </w:pPr>
      <w:rPr>
        <w:rFonts w:ascii="Wingdings" w:hAnsi="Wingdings" w:hint="default"/>
      </w:rPr>
    </w:lvl>
  </w:abstractNum>
  <w:abstractNum w:abstractNumId="5" w15:restartNumberingAfterBreak="0">
    <w:nsid w:val="00000006"/>
    <w:multiLevelType w:val="hybridMultilevel"/>
    <w:tmpl w:val="CF58F870"/>
    <w:lvl w:ilvl="0" w:tplc="4AEE1B5C">
      <w:start w:val="1"/>
      <w:numFmt w:val="bullet"/>
      <w:lvlText w:val=""/>
      <w:lvlJc w:val="left"/>
      <w:pPr>
        <w:ind w:left="720" w:hanging="360"/>
      </w:pPr>
      <w:rPr>
        <w:rFonts w:ascii="Symbol" w:hAnsi="Symbol" w:hint="default"/>
      </w:rPr>
    </w:lvl>
    <w:lvl w:ilvl="1" w:tplc="F9CA61C6">
      <w:start w:val="1"/>
      <w:numFmt w:val="bullet"/>
      <w:lvlText w:val="o"/>
      <w:lvlJc w:val="left"/>
      <w:pPr>
        <w:ind w:left="1440" w:hanging="360"/>
      </w:pPr>
      <w:rPr>
        <w:rFonts w:ascii="Courier New" w:hAnsi="Courier New" w:cs="Courier New" w:hint="default"/>
      </w:rPr>
    </w:lvl>
    <w:lvl w:ilvl="2" w:tplc="4F26F106">
      <w:start w:val="1"/>
      <w:numFmt w:val="bullet"/>
      <w:lvlText w:val=""/>
      <w:lvlJc w:val="left"/>
      <w:pPr>
        <w:ind w:left="2160" w:hanging="360"/>
      </w:pPr>
      <w:rPr>
        <w:rFonts w:ascii="Wingdings" w:hAnsi="Wingdings" w:hint="default"/>
      </w:rPr>
    </w:lvl>
    <w:lvl w:ilvl="3" w:tplc="F78EB1F0">
      <w:start w:val="1"/>
      <w:numFmt w:val="bullet"/>
      <w:lvlText w:val=""/>
      <w:lvlJc w:val="left"/>
      <w:pPr>
        <w:ind w:left="2880" w:hanging="360"/>
      </w:pPr>
      <w:rPr>
        <w:rFonts w:ascii="Symbol" w:hAnsi="Symbol" w:hint="default"/>
      </w:rPr>
    </w:lvl>
    <w:lvl w:ilvl="4" w:tplc="F7FACE98">
      <w:start w:val="1"/>
      <w:numFmt w:val="bullet"/>
      <w:lvlText w:val="o"/>
      <w:lvlJc w:val="left"/>
      <w:pPr>
        <w:ind w:left="3600" w:hanging="360"/>
      </w:pPr>
      <w:rPr>
        <w:rFonts w:ascii="Courier New" w:hAnsi="Courier New" w:cs="Courier New" w:hint="default"/>
      </w:rPr>
    </w:lvl>
    <w:lvl w:ilvl="5" w:tplc="1F4E760C">
      <w:start w:val="1"/>
      <w:numFmt w:val="bullet"/>
      <w:lvlText w:val=""/>
      <w:lvlJc w:val="left"/>
      <w:pPr>
        <w:ind w:left="4320" w:hanging="360"/>
      </w:pPr>
      <w:rPr>
        <w:rFonts w:ascii="Wingdings" w:hAnsi="Wingdings" w:hint="default"/>
      </w:rPr>
    </w:lvl>
    <w:lvl w:ilvl="6" w:tplc="225C8B06">
      <w:start w:val="1"/>
      <w:numFmt w:val="bullet"/>
      <w:lvlText w:val=""/>
      <w:lvlJc w:val="left"/>
      <w:pPr>
        <w:ind w:left="5040" w:hanging="360"/>
      </w:pPr>
      <w:rPr>
        <w:rFonts w:ascii="Symbol" w:hAnsi="Symbol" w:hint="default"/>
      </w:rPr>
    </w:lvl>
    <w:lvl w:ilvl="7" w:tplc="0CBA9A4A">
      <w:start w:val="1"/>
      <w:numFmt w:val="bullet"/>
      <w:lvlText w:val="o"/>
      <w:lvlJc w:val="left"/>
      <w:pPr>
        <w:ind w:left="5760" w:hanging="360"/>
      </w:pPr>
      <w:rPr>
        <w:rFonts w:ascii="Courier New" w:hAnsi="Courier New" w:cs="Courier New" w:hint="default"/>
      </w:rPr>
    </w:lvl>
    <w:lvl w:ilvl="8" w:tplc="8D50E13C">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3DA6AC2"/>
    <w:lvl w:ilvl="0" w:tplc="B29A34A4">
      <w:start w:val="1"/>
      <w:numFmt w:val="bullet"/>
      <w:lvlText w:val=""/>
      <w:lvlJc w:val="left"/>
      <w:pPr>
        <w:ind w:left="720" w:hanging="360"/>
      </w:pPr>
      <w:rPr>
        <w:rFonts w:ascii="Symbol" w:hAnsi="Symbol" w:hint="default"/>
      </w:rPr>
    </w:lvl>
    <w:lvl w:ilvl="1" w:tplc="C3623716">
      <w:start w:val="2"/>
      <w:numFmt w:val="bullet"/>
      <w:lvlText w:val="-"/>
      <w:lvlJc w:val="left"/>
      <w:pPr>
        <w:ind w:left="1440" w:hanging="360"/>
      </w:pPr>
      <w:rPr>
        <w:rFonts w:ascii="Calibri" w:eastAsia="Calibri" w:hAnsi="Calibri" w:cs="Calibri" w:hint="default"/>
      </w:rPr>
    </w:lvl>
    <w:lvl w:ilvl="2" w:tplc="B0789408">
      <w:start w:val="1"/>
      <w:numFmt w:val="bullet"/>
      <w:lvlText w:val=""/>
      <w:lvlJc w:val="left"/>
      <w:pPr>
        <w:ind w:left="2160" w:hanging="360"/>
      </w:pPr>
      <w:rPr>
        <w:rFonts w:ascii="Wingdings" w:hAnsi="Wingdings" w:hint="default"/>
      </w:rPr>
    </w:lvl>
    <w:lvl w:ilvl="3" w:tplc="8E7A5F82">
      <w:start w:val="1"/>
      <w:numFmt w:val="bullet"/>
      <w:lvlText w:val=""/>
      <w:lvlJc w:val="left"/>
      <w:pPr>
        <w:ind w:left="2880" w:hanging="360"/>
      </w:pPr>
      <w:rPr>
        <w:rFonts w:ascii="Symbol" w:hAnsi="Symbol" w:hint="default"/>
      </w:rPr>
    </w:lvl>
    <w:lvl w:ilvl="4" w:tplc="5D141D72">
      <w:start w:val="1"/>
      <w:numFmt w:val="bullet"/>
      <w:lvlText w:val="o"/>
      <w:lvlJc w:val="left"/>
      <w:pPr>
        <w:ind w:left="3600" w:hanging="360"/>
      </w:pPr>
      <w:rPr>
        <w:rFonts w:ascii="Courier New" w:hAnsi="Courier New" w:cs="Courier New" w:hint="default"/>
      </w:rPr>
    </w:lvl>
    <w:lvl w:ilvl="5" w:tplc="2102C38A">
      <w:start w:val="1"/>
      <w:numFmt w:val="bullet"/>
      <w:lvlText w:val=""/>
      <w:lvlJc w:val="left"/>
      <w:pPr>
        <w:ind w:left="4320" w:hanging="360"/>
      </w:pPr>
      <w:rPr>
        <w:rFonts w:ascii="Wingdings" w:hAnsi="Wingdings" w:hint="default"/>
      </w:rPr>
    </w:lvl>
    <w:lvl w:ilvl="6" w:tplc="2DE299E0">
      <w:start w:val="1"/>
      <w:numFmt w:val="bullet"/>
      <w:lvlText w:val=""/>
      <w:lvlJc w:val="left"/>
      <w:pPr>
        <w:ind w:left="5040" w:hanging="360"/>
      </w:pPr>
      <w:rPr>
        <w:rFonts w:ascii="Symbol" w:hAnsi="Symbol" w:hint="default"/>
      </w:rPr>
    </w:lvl>
    <w:lvl w:ilvl="7" w:tplc="A950EFDA">
      <w:start w:val="1"/>
      <w:numFmt w:val="bullet"/>
      <w:lvlText w:val="o"/>
      <w:lvlJc w:val="left"/>
      <w:pPr>
        <w:ind w:left="5760" w:hanging="360"/>
      </w:pPr>
      <w:rPr>
        <w:rFonts w:ascii="Courier New" w:hAnsi="Courier New" w:cs="Courier New" w:hint="default"/>
      </w:rPr>
    </w:lvl>
    <w:lvl w:ilvl="8" w:tplc="2F24D6AE">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A56249D4"/>
    <w:lvl w:ilvl="0" w:tplc="111A7012">
      <w:start w:val="1"/>
      <w:numFmt w:val="bullet"/>
      <w:lvlText w:val=""/>
      <w:lvlJc w:val="left"/>
      <w:pPr>
        <w:ind w:left="1440" w:hanging="360"/>
      </w:pPr>
      <w:rPr>
        <w:rFonts w:ascii="Symbol" w:hAnsi="Symbol" w:hint="default"/>
      </w:rPr>
    </w:lvl>
    <w:lvl w:ilvl="1" w:tplc="EAD0C006">
      <w:start w:val="1"/>
      <w:numFmt w:val="bullet"/>
      <w:lvlText w:val=""/>
      <w:lvlJc w:val="left"/>
      <w:pPr>
        <w:ind w:left="1440" w:hanging="360"/>
      </w:pPr>
      <w:rPr>
        <w:rFonts w:ascii="Symbol" w:hAnsi="Symbol" w:hint="default"/>
      </w:rPr>
    </w:lvl>
    <w:lvl w:ilvl="2" w:tplc="47060D46">
      <w:start w:val="1"/>
      <w:numFmt w:val="bullet"/>
      <w:lvlText w:val="o"/>
      <w:lvlJc w:val="left"/>
      <w:pPr>
        <w:ind w:left="2160" w:hanging="360"/>
      </w:pPr>
      <w:rPr>
        <w:rFonts w:ascii="Courier New" w:hAnsi="Courier New" w:cs="Courier New" w:hint="default"/>
      </w:rPr>
    </w:lvl>
    <w:lvl w:ilvl="3" w:tplc="B8066938">
      <w:start w:val="1"/>
      <w:numFmt w:val="bullet"/>
      <w:lvlText w:val=""/>
      <w:lvlJc w:val="left"/>
      <w:pPr>
        <w:ind w:left="2880" w:hanging="360"/>
      </w:pPr>
      <w:rPr>
        <w:rFonts w:ascii="Symbol" w:hAnsi="Symbol" w:hint="default"/>
      </w:rPr>
    </w:lvl>
    <w:lvl w:ilvl="4" w:tplc="0786E2B4">
      <w:start w:val="1"/>
      <w:numFmt w:val="bullet"/>
      <w:lvlText w:val="o"/>
      <w:lvlJc w:val="left"/>
      <w:pPr>
        <w:ind w:left="3600" w:hanging="360"/>
      </w:pPr>
      <w:rPr>
        <w:rFonts w:ascii="Courier New" w:hAnsi="Courier New" w:cs="Courier New" w:hint="default"/>
      </w:rPr>
    </w:lvl>
    <w:lvl w:ilvl="5" w:tplc="AC66587C">
      <w:start w:val="1"/>
      <w:numFmt w:val="bullet"/>
      <w:lvlText w:val=""/>
      <w:lvlJc w:val="left"/>
      <w:pPr>
        <w:ind w:left="4320" w:hanging="360"/>
      </w:pPr>
      <w:rPr>
        <w:rFonts w:ascii="Wingdings" w:hAnsi="Wingdings" w:hint="default"/>
      </w:rPr>
    </w:lvl>
    <w:lvl w:ilvl="6" w:tplc="1C5E8120">
      <w:start w:val="1"/>
      <w:numFmt w:val="bullet"/>
      <w:lvlText w:val=""/>
      <w:lvlJc w:val="left"/>
      <w:pPr>
        <w:ind w:left="5040" w:hanging="360"/>
      </w:pPr>
      <w:rPr>
        <w:rFonts w:ascii="Symbol" w:hAnsi="Symbol" w:hint="default"/>
      </w:rPr>
    </w:lvl>
    <w:lvl w:ilvl="7" w:tplc="4BCADB5E">
      <w:start w:val="1"/>
      <w:numFmt w:val="bullet"/>
      <w:lvlText w:val="o"/>
      <w:lvlJc w:val="left"/>
      <w:pPr>
        <w:ind w:left="5760" w:hanging="360"/>
      </w:pPr>
      <w:rPr>
        <w:rFonts w:ascii="Courier New" w:hAnsi="Courier New" w:cs="Courier New" w:hint="default"/>
      </w:rPr>
    </w:lvl>
    <w:lvl w:ilvl="8" w:tplc="56429BB2">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FE023704"/>
    <w:lvl w:ilvl="0" w:tplc="F4C264A4">
      <w:start w:val="1"/>
      <w:numFmt w:val="bullet"/>
      <w:lvlText w:val=""/>
      <w:lvlJc w:val="left"/>
      <w:pPr>
        <w:ind w:left="1440" w:hanging="360"/>
      </w:pPr>
      <w:rPr>
        <w:rFonts w:ascii="Symbol" w:hAnsi="Symbol" w:hint="default"/>
      </w:rPr>
    </w:lvl>
    <w:lvl w:ilvl="1" w:tplc="46A6B216">
      <w:start w:val="1"/>
      <w:numFmt w:val="bullet"/>
      <w:lvlText w:val=""/>
      <w:lvlJc w:val="left"/>
      <w:pPr>
        <w:ind w:left="1440" w:hanging="360"/>
      </w:pPr>
      <w:rPr>
        <w:rFonts w:ascii="Symbol" w:hAnsi="Symbol" w:hint="default"/>
      </w:rPr>
    </w:lvl>
    <w:lvl w:ilvl="2" w:tplc="762E5312">
      <w:start w:val="2"/>
      <w:numFmt w:val="bullet"/>
      <w:lvlText w:val="-"/>
      <w:lvlJc w:val="left"/>
      <w:pPr>
        <w:ind w:left="2160" w:hanging="360"/>
      </w:pPr>
      <w:rPr>
        <w:rFonts w:ascii="Calibri" w:eastAsia="Calibri" w:hAnsi="Calibri" w:cs="Calibri" w:hint="default"/>
      </w:rPr>
    </w:lvl>
    <w:lvl w:ilvl="3" w:tplc="6D247DDE">
      <w:start w:val="1"/>
      <w:numFmt w:val="bullet"/>
      <w:lvlText w:val=""/>
      <w:lvlJc w:val="left"/>
      <w:pPr>
        <w:ind w:left="2880" w:hanging="360"/>
      </w:pPr>
      <w:rPr>
        <w:rFonts w:ascii="Symbol" w:hAnsi="Symbol" w:hint="default"/>
      </w:rPr>
    </w:lvl>
    <w:lvl w:ilvl="4" w:tplc="43207F6E">
      <w:start w:val="1"/>
      <w:numFmt w:val="bullet"/>
      <w:lvlText w:val="o"/>
      <w:lvlJc w:val="left"/>
      <w:pPr>
        <w:ind w:left="3600" w:hanging="360"/>
      </w:pPr>
      <w:rPr>
        <w:rFonts w:ascii="Courier New" w:hAnsi="Courier New" w:cs="Courier New" w:hint="default"/>
      </w:rPr>
    </w:lvl>
    <w:lvl w:ilvl="5" w:tplc="FE966796">
      <w:start w:val="1"/>
      <w:numFmt w:val="bullet"/>
      <w:lvlText w:val=""/>
      <w:lvlJc w:val="left"/>
      <w:pPr>
        <w:ind w:left="4320" w:hanging="360"/>
      </w:pPr>
      <w:rPr>
        <w:rFonts w:ascii="Wingdings" w:hAnsi="Wingdings" w:hint="default"/>
      </w:rPr>
    </w:lvl>
    <w:lvl w:ilvl="6" w:tplc="611613DA">
      <w:start w:val="1"/>
      <w:numFmt w:val="bullet"/>
      <w:lvlText w:val=""/>
      <w:lvlJc w:val="left"/>
      <w:pPr>
        <w:ind w:left="5040" w:hanging="360"/>
      </w:pPr>
      <w:rPr>
        <w:rFonts w:ascii="Symbol" w:hAnsi="Symbol" w:hint="default"/>
      </w:rPr>
    </w:lvl>
    <w:lvl w:ilvl="7" w:tplc="13502B96">
      <w:start w:val="1"/>
      <w:numFmt w:val="bullet"/>
      <w:lvlText w:val="o"/>
      <w:lvlJc w:val="left"/>
      <w:pPr>
        <w:ind w:left="5760" w:hanging="360"/>
      </w:pPr>
      <w:rPr>
        <w:rFonts w:ascii="Courier New" w:hAnsi="Courier New" w:cs="Courier New" w:hint="default"/>
      </w:rPr>
    </w:lvl>
    <w:lvl w:ilvl="8" w:tplc="99889474">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A3DA6AC2"/>
    <w:lvl w:ilvl="0" w:tplc="C1788DC8">
      <w:start w:val="1"/>
      <w:numFmt w:val="bullet"/>
      <w:lvlText w:val=""/>
      <w:lvlJc w:val="left"/>
      <w:pPr>
        <w:ind w:left="720" w:hanging="360"/>
      </w:pPr>
      <w:rPr>
        <w:rFonts w:ascii="Symbol" w:hAnsi="Symbol" w:hint="default"/>
      </w:rPr>
    </w:lvl>
    <w:lvl w:ilvl="1" w:tplc="B12EC1DE">
      <w:start w:val="2"/>
      <w:numFmt w:val="bullet"/>
      <w:lvlText w:val="-"/>
      <w:lvlJc w:val="left"/>
      <w:pPr>
        <w:ind w:left="1440" w:hanging="360"/>
      </w:pPr>
      <w:rPr>
        <w:rFonts w:ascii="Calibri" w:eastAsia="Calibri" w:hAnsi="Calibri" w:cs="Calibri" w:hint="default"/>
      </w:rPr>
    </w:lvl>
    <w:lvl w:ilvl="2" w:tplc="05AE647C">
      <w:start w:val="1"/>
      <w:numFmt w:val="bullet"/>
      <w:lvlText w:val=""/>
      <w:lvlJc w:val="left"/>
      <w:pPr>
        <w:ind w:left="2160" w:hanging="360"/>
      </w:pPr>
      <w:rPr>
        <w:rFonts w:ascii="Wingdings" w:hAnsi="Wingdings" w:hint="default"/>
      </w:rPr>
    </w:lvl>
    <w:lvl w:ilvl="3" w:tplc="691EFE62">
      <w:start w:val="1"/>
      <w:numFmt w:val="bullet"/>
      <w:lvlText w:val=""/>
      <w:lvlJc w:val="left"/>
      <w:pPr>
        <w:ind w:left="2880" w:hanging="360"/>
      </w:pPr>
      <w:rPr>
        <w:rFonts w:ascii="Symbol" w:hAnsi="Symbol" w:hint="default"/>
      </w:rPr>
    </w:lvl>
    <w:lvl w:ilvl="4" w:tplc="97EA5938">
      <w:start w:val="1"/>
      <w:numFmt w:val="bullet"/>
      <w:lvlText w:val="o"/>
      <w:lvlJc w:val="left"/>
      <w:pPr>
        <w:ind w:left="3600" w:hanging="360"/>
      </w:pPr>
      <w:rPr>
        <w:rFonts w:ascii="Courier New" w:hAnsi="Courier New" w:cs="Courier New" w:hint="default"/>
      </w:rPr>
    </w:lvl>
    <w:lvl w:ilvl="5" w:tplc="2808FDF6">
      <w:start w:val="1"/>
      <w:numFmt w:val="bullet"/>
      <w:lvlText w:val=""/>
      <w:lvlJc w:val="left"/>
      <w:pPr>
        <w:ind w:left="4320" w:hanging="360"/>
      </w:pPr>
      <w:rPr>
        <w:rFonts w:ascii="Wingdings" w:hAnsi="Wingdings" w:hint="default"/>
      </w:rPr>
    </w:lvl>
    <w:lvl w:ilvl="6" w:tplc="7452EE06">
      <w:start w:val="1"/>
      <w:numFmt w:val="bullet"/>
      <w:lvlText w:val=""/>
      <w:lvlJc w:val="left"/>
      <w:pPr>
        <w:ind w:left="5040" w:hanging="360"/>
      </w:pPr>
      <w:rPr>
        <w:rFonts w:ascii="Symbol" w:hAnsi="Symbol" w:hint="default"/>
      </w:rPr>
    </w:lvl>
    <w:lvl w:ilvl="7" w:tplc="1E5C31A2">
      <w:start w:val="1"/>
      <w:numFmt w:val="bullet"/>
      <w:lvlText w:val="o"/>
      <w:lvlJc w:val="left"/>
      <w:pPr>
        <w:ind w:left="5760" w:hanging="360"/>
      </w:pPr>
      <w:rPr>
        <w:rFonts w:ascii="Courier New" w:hAnsi="Courier New" w:cs="Courier New" w:hint="default"/>
      </w:rPr>
    </w:lvl>
    <w:lvl w:ilvl="8" w:tplc="91504896">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56249D4"/>
    <w:lvl w:ilvl="0" w:tplc="8312CC96">
      <w:start w:val="1"/>
      <w:numFmt w:val="bullet"/>
      <w:lvlText w:val=""/>
      <w:lvlJc w:val="left"/>
      <w:pPr>
        <w:ind w:left="1440" w:hanging="360"/>
      </w:pPr>
      <w:rPr>
        <w:rFonts w:ascii="Symbol" w:hAnsi="Symbol" w:hint="default"/>
      </w:rPr>
    </w:lvl>
    <w:lvl w:ilvl="1" w:tplc="3580FFBC">
      <w:start w:val="1"/>
      <w:numFmt w:val="bullet"/>
      <w:lvlText w:val=""/>
      <w:lvlJc w:val="left"/>
      <w:pPr>
        <w:ind w:left="1440" w:hanging="360"/>
      </w:pPr>
      <w:rPr>
        <w:rFonts w:ascii="Symbol" w:hAnsi="Symbol" w:hint="default"/>
      </w:rPr>
    </w:lvl>
    <w:lvl w:ilvl="2" w:tplc="8F1C9182">
      <w:start w:val="1"/>
      <w:numFmt w:val="bullet"/>
      <w:lvlText w:val="o"/>
      <w:lvlJc w:val="left"/>
      <w:pPr>
        <w:ind w:left="2160" w:hanging="360"/>
      </w:pPr>
      <w:rPr>
        <w:rFonts w:ascii="Courier New" w:hAnsi="Courier New" w:cs="Courier New" w:hint="default"/>
      </w:rPr>
    </w:lvl>
    <w:lvl w:ilvl="3" w:tplc="A34AB9D6">
      <w:start w:val="1"/>
      <w:numFmt w:val="bullet"/>
      <w:lvlText w:val=""/>
      <w:lvlJc w:val="left"/>
      <w:pPr>
        <w:ind w:left="2880" w:hanging="360"/>
      </w:pPr>
      <w:rPr>
        <w:rFonts w:ascii="Symbol" w:hAnsi="Symbol" w:hint="default"/>
      </w:rPr>
    </w:lvl>
    <w:lvl w:ilvl="4" w:tplc="D6449CE6">
      <w:start w:val="1"/>
      <w:numFmt w:val="bullet"/>
      <w:lvlText w:val="o"/>
      <w:lvlJc w:val="left"/>
      <w:pPr>
        <w:ind w:left="3600" w:hanging="360"/>
      </w:pPr>
      <w:rPr>
        <w:rFonts w:ascii="Courier New" w:hAnsi="Courier New" w:cs="Courier New" w:hint="default"/>
      </w:rPr>
    </w:lvl>
    <w:lvl w:ilvl="5" w:tplc="A9BC05AC">
      <w:start w:val="1"/>
      <w:numFmt w:val="bullet"/>
      <w:lvlText w:val=""/>
      <w:lvlJc w:val="left"/>
      <w:pPr>
        <w:ind w:left="4320" w:hanging="360"/>
      </w:pPr>
      <w:rPr>
        <w:rFonts w:ascii="Wingdings" w:hAnsi="Wingdings" w:hint="default"/>
      </w:rPr>
    </w:lvl>
    <w:lvl w:ilvl="6" w:tplc="E18671B2">
      <w:start w:val="1"/>
      <w:numFmt w:val="bullet"/>
      <w:lvlText w:val=""/>
      <w:lvlJc w:val="left"/>
      <w:pPr>
        <w:ind w:left="5040" w:hanging="360"/>
      </w:pPr>
      <w:rPr>
        <w:rFonts w:ascii="Symbol" w:hAnsi="Symbol" w:hint="default"/>
      </w:rPr>
    </w:lvl>
    <w:lvl w:ilvl="7" w:tplc="288C044E">
      <w:start w:val="1"/>
      <w:numFmt w:val="bullet"/>
      <w:lvlText w:val="o"/>
      <w:lvlJc w:val="left"/>
      <w:pPr>
        <w:ind w:left="5760" w:hanging="360"/>
      </w:pPr>
      <w:rPr>
        <w:rFonts w:ascii="Courier New" w:hAnsi="Courier New" w:cs="Courier New" w:hint="default"/>
      </w:rPr>
    </w:lvl>
    <w:lvl w:ilvl="8" w:tplc="9E406A16">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6D2455A2"/>
    <w:lvl w:ilvl="0" w:tplc="857E93C6">
      <w:start w:val="1"/>
      <w:numFmt w:val="decimal"/>
      <w:pStyle w:val="BSnoteslist"/>
      <w:lvlText w:val="%1."/>
      <w:lvlJc w:val="left"/>
      <w:pPr>
        <w:ind w:left="360" w:hanging="360"/>
      </w:pPr>
    </w:lvl>
    <w:lvl w:ilvl="1" w:tplc="7D9EBEC4" w:tentative="1">
      <w:start w:val="1"/>
      <w:numFmt w:val="lowerLetter"/>
      <w:lvlText w:val="%2."/>
      <w:lvlJc w:val="left"/>
      <w:pPr>
        <w:ind w:left="1080" w:hanging="360"/>
      </w:pPr>
    </w:lvl>
    <w:lvl w:ilvl="2" w:tplc="0DD4F78C" w:tentative="1">
      <w:start w:val="1"/>
      <w:numFmt w:val="lowerRoman"/>
      <w:lvlText w:val="%3."/>
      <w:lvlJc w:val="right"/>
      <w:pPr>
        <w:ind w:left="1800" w:hanging="180"/>
      </w:pPr>
    </w:lvl>
    <w:lvl w:ilvl="3" w:tplc="6722F502" w:tentative="1">
      <w:start w:val="1"/>
      <w:numFmt w:val="decimal"/>
      <w:lvlText w:val="%4."/>
      <w:lvlJc w:val="left"/>
      <w:pPr>
        <w:ind w:left="2520" w:hanging="360"/>
      </w:pPr>
    </w:lvl>
    <w:lvl w:ilvl="4" w:tplc="124088F6" w:tentative="1">
      <w:start w:val="1"/>
      <w:numFmt w:val="lowerLetter"/>
      <w:lvlText w:val="%5."/>
      <w:lvlJc w:val="left"/>
      <w:pPr>
        <w:ind w:left="3240" w:hanging="360"/>
      </w:pPr>
    </w:lvl>
    <w:lvl w:ilvl="5" w:tplc="B34C036C" w:tentative="1">
      <w:start w:val="1"/>
      <w:numFmt w:val="lowerRoman"/>
      <w:lvlText w:val="%6."/>
      <w:lvlJc w:val="right"/>
      <w:pPr>
        <w:ind w:left="3960" w:hanging="180"/>
      </w:pPr>
    </w:lvl>
    <w:lvl w:ilvl="6" w:tplc="80887C96" w:tentative="1">
      <w:start w:val="1"/>
      <w:numFmt w:val="decimal"/>
      <w:lvlText w:val="%7."/>
      <w:lvlJc w:val="left"/>
      <w:pPr>
        <w:ind w:left="4680" w:hanging="360"/>
      </w:pPr>
    </w:lvl>
    <w:lvl w:ilvl="7" w:tplc="FE246B52" w:tentative="1">
      <w:start w:val="1"/>
      <w:numFmt w:val="lowerLetter"/>
      <w:lvlText w:val="%8."/>
      <w:lvlJc w:val="left"/>
      <w:pPr>
        <w:ind w:left="5400" w:hanging="360"/>
      </w:pPr>
    </w:lvl>
    <w:lvl w:ilvl="8" w:tplc="B776A88E" w:tentative="1">
      <w:start w:val="1"/>
      <w:numFmt w:val="lowerRoman"/>
      <w:lvlText w:val="%9."/>
      <w:lvlJc w:val="right"/>
      <w:pPr>
        <w:ind w:left="6120" w:hanging="180"/>
      </w:pPr>
    </w:lvl>
  </w:abstractNum>
  <w:abstractNum w:abstractNumId="12" w15:restartNumberingAfterBreak="0">
    <w:nsid w:val="0000000D"/>
    <w:multiLevelType w:val="hybridMultilevel"/>
    <w:tmpl w:val="63D67E68"/>
    <w:lvl w:ilvl="0" w:tplc="2EF261E2">
      <w:start w:val="1"/>
      <w:numFmt w:val="decimal"/>
      <w:pStyle w:val="Alnotes"/>
      <w:lvlText w:val="%1."/>
      <w:lvlJc w:val="left"/>
      <w:pPr>
        <w:ind w:left="360" w:hanging="360"/>
      </w:pPr>
      <w:rPr>
        <w:rFonts w:hint="default"/>
      </w:rPr>
    </w:lvl>
    <w:lvl w:ilvl="1" w:tplc="A4AE437C" w:tentative="1">
      <w:start w:val="1"/>
      <w:numFmt w:val="lowerLetter"/>
      <w:lvlText w:val="%2."/>
      <w:lvlJc w:val="left"/>
      <w:pPr>
        <w:ind w:left="1080" w:hanging="360"/>
      </w:pPr>
    </w:lvl>
    <w:lvl w:ilvl="2" w:tplc="5FDC0042" w:tentative="1">
      <w:start w:val="1"/>
      <w:numFmt w:val="lowerRoman"/>
      <w:lvlText w:val="%3."/>
      <w:lvlJc w:val="right"/>
      <w:pPr>
        <w:ind w:left="1800" w:hanging="180"/>
      </w:pPr>
    </w:lvl>
    <w:lvl w:ilvl="3" w:tplc="4F468CA2" w:tentative="1">
      <w:start w:val="1"/>
      <w:numFmt w:val="decimal"/>
      <w:lvlText w:val="%4."/>
      <w:lvlJc w:val="left"/>
      <w:pPr>
        <w:ind w:left="2520" w:hanging="360"/>
      </w:pPr>
    </w:lvl>
    <w:lvl w:ilvl="4" w:tplc="8EEEA878" w:tentative="1">
      <w:start w:val="1"/>
      <w:numFmt w:val="lowerLetter"/>
      <w:lvlText w:val="%5."/>
      <w:lvlJc w:val="left"/>
      <w:pPr>
        <w:ind w:left="3240" w:hanging="360"/>
      </w:pPr>
    </w:lvl>
    <w:lvl w:ilvl="5" w:tplc="B38EC502" w:tentative="1">
      <w:start w:val="1"/>
      <w:numFmt w:val="lowerRoman"/>
      <w:lvlText w:val="%6."/>
      <w:lvlJc w:val="right"/>
      <w:pPr>
        <w:ind w:left="3960" w:hanging="180"/>
      </w:pPr>
    </w:lvl>
    <w:lvl w:ilvl="6" w:tplc="54580A12" w:tentative="1">
      <w:start w:val="1"/>
      <w:numFmt w:val="decimal"/>
      <w:lvlText w:val="%7."/>
      <w:lvlJc w:val="left"/>
      <w:pPr>
        <w:ind w:left="4680" w:hanging="360"/>
      </w:pPr>
    </w:lvl>
    <w:lvl w:ilvl="7" w:tplc="942006C2" w:tentative="1">
      <w:start w:val="1"/>
      <w:numFmt w:val="lowerLetter"/>
      <w:lvlText w:val="%8."/>
      <w:lvlJc w:val="left"/>
      <w:pPr>
        <w:ind w:left="5400" w:hanging="360"/>
      </w:pPr>
    </w:lvl>
    <w:lvl w:ilvl="8" w:tplc="79C4E8BE" w:tentative="1">
      <w:start w:val="1"/>
      <w:numFmt w:val="lowerRoman"/>
      <w:lvlText w:val="%9."/>
      <w:lvlJc w:val="right"/>
      <w:pPr>
        <w:ind w:left="6120" w:hanging="180"/>
      </w:pPr>
    </w:lvl>
  </w:abstractNum>
  <w:abstractNum w:abstractNumId="13" w15:restartNumberingAfterBreak="0">
    <w:nsid w:val="0000000E"/>
    <w:multiLevelType w:val="hybridMultilevel"/>
    <w:tmpl w:val="6D2455A2"/>
    <w:lvl w:ilvl="0" w:tplc="0A3C1F98">
      <w:start w:val="1"/>
      <w:numFmt w:val="decimal"/>
      <w:lvlText w:val="%1."/>
      <w:lvlJc w:val="left"/>
      <w:pPr>
        <w:ind w:left="360" w:hanging="360"/>
      </w:pPr>
    </w:lvl>
    <w:lvl w:ilvl="1" w:tplc="71149E96">
      <w:start w:val="1"/>
      <w:numFmt w:val="lowerLetter"/>
      <w:lvlText w:val="%2."/>
      <w:lvlJc w:val="left"/>
      <w:pPr>
        <w:ind w:left="1080" w:hanging="360"/>
      </w:pPr>
    </w:lvl>
    <w:lvl w:ilvl="2" w:tplc="74B0E7DE">
      <w:start w:val="1"/>
      <w:numFmt w:val="lowerRoman"/>
      <w:lvlText w:val="%3."/>
      <w:lvlJc w:val="right"/>
      <w:pPr>
        <w:ind w:left="1800" w:hanging="180"/>
      </w:pPr>
    </w:lvl>
    <w:lvl w:ilvl="3" w:tplc="B7C6D62A">
      <w:start w:val="1"/>
      <w:numFmt w:val="decimal"/>
      <w:lvlText w:val="%4."/>
      <w:lvlJc w:val="left"/>
      <w:pPr>
        <w:ind w:left="2520" w:hanging="360"/>
      </w:pPr>
    </w:lvl>
    <w:lvl w:ilvl="4" w:tplc="C8920976">
      <w:start w:val="1"/>
      <w:numFmt w:val="lowerLetter"/>
      <w:lvlText w:val="%5."/>
      <w:lvlJc w:val="left"/>
      <w:pPr>
        <w:ind w:left="3240" w:hanging="360"/>
      </w:pPr>
    </w:lvl>
    <w:lvl w:ilvl="5" w:tplc="6FD6F2E2">
      <w:start w:val="1"/>
      <w:numFmt w:val="lowerRoman"/>
      <w:lvlText w:val="%6."/>
      <w:lvlJc w:val="right"/>
      <w:pPr>
        <w:ind w:left="3960" w:hanging="180"/>
      </w:pPr>
    </w:lvl>
    <w:lvl w:ilvl="6" w:tplc="58D2D31E">
      <w:start w:val="1"/>
      <w:numFmt w:val="decimal"/>
      <w:lvlText w:val="%7."/>
      <w:lvlJc w:val="left"/>
      <w:pPr>
        <w:ind w:left="4680" w:hanging="360"/>
      </w:pPr>
    </w:lvl>
    <w:lvl w:ilvl="7" w:tplc="DB7E13F0">
      <w:start w:val="1"/>
      <w:numFmt w:val="lowerLetter"/>
      <w:lvlText w:val="%8."/>
      <w:lvlJc w:val="left"/>
      <w:pPr>
        <w:ind w:left="5400" w:hanging="360"/>
      </w:pPr>
    </w:lvl>
    <w:lvl w:ilvl="8" w:tplc="28C21DE8">
      <w:start w:val="1"/>
      <w:numFmt w:val="lowerRoman"/>
      <w:lvlText w:val="%9."/>
      <w:lvlJc w:val="right"/>
      <w:pPr>
        <w:ind w:left="6120" w:hanging="180"/>
      </w:pPr>
    </w:lvl>
  </w:abstractNum>
  <w:abstractNum w:abstractNumId="14" w15:restartNumberingAfterBreak="0">
    <w:nsid w:val="0000000F"/>
    <w:multiLevelType w:val="hybridMultilevel"/>
    <w:tmpl w:val="A530A2EA"/>
    <w:lvl w:ilvl="0" w:tplc="4C6431A0">
      <w:start w:val="1"/>
      <w:numFmt w:val="lowerLetter"/>
      <w:lvlText w:val="%1."/>
      <w:lvlJc w:val="left"/>
      <w:pPr>
        <w:ind w:left="720" w:hanging="360"/>
      </w:pPr>
    </w:lvl>
    <w:lvl w:ilvl="1" w:tplc="36328B52">
      <w:start w:val="1"/>
      <w:numFmt w:val="lowerLetter"/>
      <w:lvlText w:val="%2."/>
      <w:lvlJc w:val="left"/>
      <w:pPr>
        <w:ind w:left="1440" w:hanging="360"/>
      </w:pPr>
    </w:lvl>
    <w:lvl w:ilvl="2" w:tplc="41C0AF18">
      <w:start w:val="1"/>
      <w:numFmt w:val="lowerRoman"/>
      <w:lvlText w:val="%3."/>
      <w:lvlJc w:val="right"/>
      <w:pPr>
        <w:ind w:left="2160" w:hanging="180"/>
      </w:pPr>
    </w:lvl>
    <w:lvl w:ilvl="3" w:tplc="C520F9EC">
      <w:start w:val="1"/>
      <w:numFmt w:val="decimal"/>
      <w:lvlText w:val="%4."/>
      <w:lvlJc w:val="left"/>
      <w:pPr>
        <w:ind w:left="2880" w:hanging="360"/>
      </w:pPr>
    </w:lvl>
    <w:lvl w:ilvl="4" w:tplc="6234C596">
      <w:start w:val="1"/>
      <w:numFmt w:val="lowerLetter"/>
      <w:lvlText w:val="%5."/>
      <w:lvlJc w:val="left"/>
      <w:pPr>
        <w:ind w:left="3600" w:hanging="360"/>
      </w:pPr>
    </w:lvl>
    <w:lvl w:ilvl="5" w:tplc="C76AE804">
      <w:start w:val="1"/>
      <w:numFmt w:val="lowerRoman"/>
      <w:lvlText w:val="%6."/>
      <w:lvlJc w:val="right"/>
      <w:pPr>
        <w:ind w:left="4320" w:hanging="180"/>
      </w:pPr>
    </w:lvl>
    <w:lvl w:ilvl="6" w:tplc="5F52428C">
      <w:start w:val="1"/>
      <w:numFmt w:val="decimal"/>
      <w:lvlText w:val="%7."/>
      <w:lvlJc w:val="left"/>
      <w:pPr>
        <w:ind w:left="5040" w:hanging="360"/>
      </w:pPr>
    </w:lvl>
    <w:lvl w:ilvl="7" w:tplc="695C8832">
      <w:start w:val="1"/>
      <w:numFmt w:val="lowerLetter"/>
      <w:lvlText w:val="%8."/>
      <w:lvlJc w:val="left"/>
      <w:pPr>
        <w:ind w:left="5760" w:hanging="360"/>
      </w:pPr>
    </w:lvl>
    <w:lvl w:ilvl="8" w:tplc="66C29E98">
      <w:start w:val="1"/>
      <w:numFmt w:val="lowerRoman"/>
      <w:lvlText w:val="%9."/>
      <w:lvlJc w:val="right"/>
      <w:pPr>
        <w:ind w:left="6480" w:hanging="180"/>
      </w:pPr>
    </w:lvl>
  </w:abstractNum>
  <w:abstractNum w:abstractNumId="15" w15:restartNumberingAfterBreak="0">
    <w:nsid w:val="00000010"/>
    <w:multiLevelType w:val="hybridMultilevel"/>
    <w:tmpl w:val="ED5ECB36"/>
    <w:lvl w:ilvl="0" w:tplc="0128C16C">
      <w:start w:val="1"/>
      <w:numFmt w:val="lowerLetter"/>
      <w:lvlText w:val="%1."/>
      <w:lvlJc w:val="left"/>
      <w:pPr>
        <w:ind w:left="720" w:hanging="360"/>
      </w:pPr>
    </w:lvl>
    <w:lvl w:ilvl="1" w:tplc="CF7AF1CA">
      <w:start w:val="1"/>
      <w:numFmt w:val="lowerLetter"/>
      <w:lvlText w:val="%2."/>
      <w:lvlJc w:val="left"/>
      <w:pPr>
        <w:ind w:left="1440" w:hanging="360"/>
      </w:pPr>
    </w:lvl>
    <w:lvl w:ilvl="2" w:tplc="8D58D0D4">
      <w:start w:val="1"/>
      <w:numFmt w:val="lowerRoman"/>
      <w:lvlText w:val="%3."/>
      <w:lvlJc w:val="right"/>
      <w:pPr>
        <w:ind w:left="2160" w:hanging="180"/>
      </w:pPr>
    </w:lvl>
    <w:lvl w:ilvl="3" w:tplc="F21E0CD4">
      <w:start w:val="1"/>
      <w:numFmt w:val="decimal"/>
      <w:lvlText w:val="%4."/>
      <w:lvlJc w:val="left"/>
      <w:pPr>
        <w:ind w:left="2880" w:hanging="360"/>
      </w:pPr>
    </w:lvl>
    <w:lvl w:ilvl="4" w:tplc="69E8644A">
      <w:start w:val="1"/>
      <w:numFmt w:val="lowerLetter"/>
      <w:lvlText w:val="%5."/>
      <w:lvlJc w:val="left"/>
      <w:pPr>
        <w:ind w:left="3600" w:hanging="360"/>
      </w:pPr>
    </w:lvl>
    <w:lvl w:ilvl="5" w:tplc="04408C3A">
      <w:start w:val="1"/>
      <w:numFmt w:val="lowerRoman"/>
      <w:lvlText w:val="%6."/>
      <w:lvlJc w:val="right"/>
      <w:pPr>
        <w:ind w:left="4320" w:hanging="180"/>
      </w:pPr>
    </w:lvl>
    <w:lvl w:ilvl="6" w:tplc="310628C4">
      <w:start w:val="1"/>
      <w:numFmt w:val="decimal"/>
      <w:lvlText w:val="%7."/>
      <w:lvlJc w:val="left"/>
      <w:pPr>
        <w:ind w:left="5040" w:hanging="360"/>
      </w:pPr>
    </w:lvl>
    <w:lvl w:ilvl="7" w:tplc="5B041AE8">
      <w:start w:val="1"/>
      <w:numFmt w:val="lowerLetter"/>
      <w:lvlText w:val="%8."/>
      <w:lvlJc w:val="left"/>
      <w:pPr>
        <w:ind w:left="5760" w:hanging="360"/>
      </w:pPr>
    </w:lvl>
    <w:lvl w:ilvl="8" w:tplc="7F0A0904">
      <w:start w:val="1"/>
      <w:numFmt w:val="lowerRoman"/>
      <w:lvlText w:val="%9."/>
      <w:lvlJc w:val="right"/>
      <w:pPr>
        <w:ind w:left="6480" w:hanging="180"/>
      </w:pPr>
    </w:lvl>
  </w:abstractNum>
  <w:abstractNum w:abstractNumId="16" w15:restartNumberingAfterBreak="0">
    <w:nsid w:val="00000011"/>
    <w:multiLevelType w:val="hybridMultilevel"/>
    <w:tmpl w:val="6D2455A2"/>
    <w:lvl w:ilvl="0" w:tplc="A28097D4">
      <w:start w:val="1"/>
      <w:numFmt w:val="decimal"/>
      <w:pStyle w:val="BSnoteslist0"/>
      <w:lvlText w:val="%1."/>
      <w:lvlJc w:val="left"/>
      <w:pPr>
        <w:ind w:left="360" w:hanging="360"/>
      </w:pPr>
    </w:lvl>
    <w:lvl w:ilvl="1" w:tplc="04DE390E">
      <w:start w:val="1"/>
      <w:numFmt w:val="lowerLetter"/>
      <w:lvlText w:val="%2."/>
      <w:lvlJc w:val="left"/>
      <w:pPr>
        <w:ind w:left="1080" w:hanging="360"/>
      </w:pPr>
    </w:lvl>
    <w:lvl w:ilvl="2" w:tplc="61080C42">
      <w:start w:val="1"/>
      <w:numFmt w:val="lowerRoman"/>
      <w:lvlText w:val="%3."/>
      <w:lvlJc w:val="right"/>
      <w:pPr>
        <w:ind w:left="1800" w:hanging="180"/>
      </w:pPr>
    </w:lvl>
    <w:lvl w:ilvl="3" w:tplc="79DA15AE">
      <w:start w:val="1"/>
      <w:numFmt w:val="decimal"/>
      <w:lvlText w:val="%4."/>
      <w:lvlJc w:val="left"/>
      <w:pPr>
        <w:ind w:left="2520" w:hanging="360"/>
      </w:pPr>
    </w:lvl>
    <w:lvl w:ilvl="4" w:tplc="263EA60C">
      <w:start w:val="1"/>
      <w:numFmt w:val="lowerLetter"/>
      <w:lvlText w:val="%5."/>
      <w:lvlJc w:val="left"/>
      <w:pPr>
        <w:ind w:left="3240" w:hanging="360"/>
      </w:pPr>
    </w:lvl>
    <w:lvl w:ilvl="5" w:tplc="C64C0A16">
      <w:start w:val="1"/>
      <w:numFmt w:val="lowerRoman"/>
      <w:lvlText w:val="%6."/>
      <w:lvlJc w:val="right"/>
      <w:pPr>
        <w:ind w:left="3960" w:hanging="180"/>
      </w:pPr>
    </w:lvl>
    <w:lvl w:ilvl="6" w:tplc="36B4266E">
      <w:start w:val="1"/>
      <w:numFmt w:val="decimal"/>
      <w:lvlText w:val="%7."/>
      <w:lvlJc w:val="left"/>
      <w:pPr>
        <w:ind w:left="4680" w:hanging="360"/>
      </w:pPr>
    </w:lvl>
    <w:lvl w:ilvl="7" w:tplc="BCC21286">
      <w:start w:val="1"/>
      <w:numFmt w:val="lowerLetter"/>
      <w:lvlText w:val="%8."/>
      <w:lvlJc w:val="left"/>
      <w:pPr>
        <w:ind w:left="5400" w:hanging="360"/>
      </w:pPr>
    </w:lvl>
    <w:lvl w:ilvl="8" w:tplc="1002705C">
      <w:start w:val="1"/>
      <w:numFmt w:val="lowerRoman"/>
      <w:lvlText w:val="%9."/>
      <w:lvlJc w:val="right"/>
      <w:pPr>
        <w:ind w:left="6120" w:hanging="180"/>
      </w:pPr>
    </w:lvl>
  </w:abstractNum>
  <w:abstractNum w:abstractNumId="17" w15:restartNumberingAfterBreak="0">
    <w:nsid w:val="00000012"/>
    <w:multiLevelType w:val="hybridMultilevel"/>
    <w:tmpl w:val="0C72EEAC"/>
    <w:lvl w:ilvl="0" w:tplc="4EB62DCA">
      <w:start w:val="1"/>
      <w:numFmt w:val="lowerLetter"/>
      <w:lvlText w:val="%1."/>
      <w:lvlJc w:val="left"/>
      <w:pPr>
        <w:ind w:left="720" w:hanging="360"/>
      </w:pPr>
    </w:lvl>
    <w:lvl w:ilvl="1" w:tplc="F7760E0C" w:tentative="1">
      <w:start w:val="1"/>
      <w:numFmt w:val="lowerLetter"/>
      <w:lvlText w:val="%2."/>
      <w:lvlJc w:val="left"/>
      <w:pPr>
        <w:ind w:left="1440" w:hanging="360"/>
      </w:pPr>
    </w:lvl>
    <w:lvl w:ilvl="2" w:tplc="3D54098C" w:tentative="1">
      <w:start w:val="1"/>
      <w:numFmt w:val="lowerRoman"/>
      <w:lvlText w:val="%3."/>
      <w:lvlJc w:val="right"/>
      <w:pPr>
        <w:ind w:left="2160" w:hanging="180"/>
      </w:pPr>
    </w:lvl>
    <w:lvl w:ilvl="3" w:tplc="97EA5892" w:tentative="1">
      <w:start w:val="1"/>
      <w:numFmt w:val="decimal"/>
      <w:lvlText w:val="%4."/>
      <w:lvlJc w:val="left"/>
      <w:pPr>
        <w:ind w:left="2880" w:hanging="360"/>
      </w:pPr>
    </w:lvl>
    <w:lvl w:ilvl="4" w:tplc="6C1E4F94" w:tentative="1">
      <w:start w:val="1"/>
      <w:numFmt w:val="lowerLetter"/>
      <w:lvlText w:val="%5."/>
      <w:lvlJc w:val="left"/>
      <w:pPr>
        <w:ind w:left="3600" w:hanging="360"/>
      </w:pPr>
    </w:lvl>
    <w:lvl w:ilvl="5" w:tplc="703C369C" w:tentative="1">
      <w:start w:val="1"/>
      <w:numFmt w:val="lowerRoman"/>
      <w:lvlText w:val="%6."/>
      <w:lvlJc w:val="right"/>
      <w:pPr>
        <w:ind w:left="4320" w:hanging="180"/>
      </w:pPr>
    </w:lvl>
    <w:lvl w:ilvl="6" w:tplc="622C966E" w:tentative="1">
      <w:start w:val="1"/>
      <w:numFmt w:val="decimal"/>
      <w:lvlText w:val="%7."/>
      <w:lvlJc w:val="left"/>
      <w:pPr>
        <w:ind w:left="5040" w:hanging="360"/>
      </w:pPr>
    </w:lvl>
    <w:lvl w:ilvl="7" w:tplc="817E4590" w:tentative="1">
      <w:start w:val="1"/>
      <w:numFmt w:val="lowerLetter"/>
      <w:lvlText w:val="%8."/>
      <w:lvlJc w:val="left"/>
      <w:pPr>
        <w:ind w:left="5760" w:hanging="360"/>
      </w:pPr>
    </w:lvl>
    <w:lvl w:ilvl="8" w:tplc="14D6CE4E" w:tentative="1">
      <w:start w:val="1"/>
      <w:numFmt w:val="lowerRoman"/>
      <w:lvlText w:val="%9."/>
      <w:lvlJc w:val="right"/>
      <w:pPr>
        <w:ind w:left="6480" w:hanging="180"/>
      </w:pPr>
    </w:lvl>
  </w:abstractNum>
  <w:abstractNum w:abstractNumId="18" w15:restartNumberingAfterBreak="0">
    <w:nsid w:val="00000013"/>
    <w:multiLevelType w:val="hybridMultilevel"/>
    <w:tmpl w:val="3B50FD64"/>
    <w:lvl w:ilvl="0" w:tplc="BF0006DE">
      <w:start w:val="1"/>
      <w:numFmt w:val="decimal"/>
      <w:lvlText w:val="%1."/>
      <w:lvlJc w:val="left"/>
      <w:pPr>
        <w:ind w:left="360" w:hanging="360"/>
      </w:pPr>
    </w:lvl>
    <w:lvl w:ilvl="1" w:tplc="B9D472D0" w:tentative="1">
      <w:start w:val="1"/>
      <w:numFmt w:val="lowerLetter"/>
      <w:lvlText w:val="%2."/>
      <w:lvlJc w:val="left"/>
      <w:pPr>
        <w:ind w:left="1080" w:hanging="360"/>
      </w:pPr>
    </w:lvl>
    <w:lvl w:ilvl="2" w:tplc="1F08D576" w:tentative="1">
      <w:start w:val="1"/>
      <w:numFmt w:val="lowerRoman"/>
      <w:lvlText w:val="%3."/>
      <w:lvlJc w:val="right"/>
      <w:pPr>
        <w:ind w:left="1800" w:hanging="180"/>
      </w:pPr>
    </w:lvl>
    <w:lvl w:ilvl="3" w:tplc="AC52731E" w:tentative="1">
      <w:start w:val="1"/>
      <w:numFmt w:val="decimal"/>
      <w:lvlText w:val="%4."/>
      <w:lvlJc w:val="left"/>
      <w:pPr>
        <w:ind w:left="2520" w:hanging="360"/>
      </w:pPr>
    </w:lvl>
    <w:lvl w:ilvl="4" w:tplc="D5745DD0" w:tentative="1">
      <w:start w:val="1"/>
      <w:numFmt w:val="lowerLetter"/>
      <w:lvlText w:val="%5."/>
      <w:lvlJc w:val="left"/>
      <w:pPr>
        <w:ind w:left="3240" w:hanging="360"/>
      </w:pPr>
    </w:lvl>
    <w:lvl w:ilvl="5" w:tplc="73DAFCF6" w:tentative="1">
      <w:start w:val="1"/>
      <w:numFmt w:val="lowerRoman"/>
      <w:lvlText w:val="%6."/>
      <w:lvlJc w:val="right"/>
      <w:pPr>
        <w:ind w:left="3960" w:hanging="180"/>
      </w:pPr>
    </w:lvl>
    <w:lvl w:ilvl="6" w:tplc="18FE42DE" w:tentative="1">
      <w:start w:val="1"/>
      <w:numFmt w:val="decimal"/>
      <w:lvlText w:val="%7."/>
      <w:lvlJc w:val="left"/>
      <w:pPr>
        <w:ind w:left="4680" w:hanging="360"/>
      </w:pPr>
    </w:lvl>
    <w:lvl w:ilvl="7" w:tplc="BECAEC98" w:tentative="1">
      <w:start w:val="1"/>
      <w:numFmt w:val="lowerLetter"/>
      <w:lvlText w:val="%8."/>
      <w:lvlJc w:val="left"/>
      <w:pPr>
        <w:ind w:left="5400" w:hanging="360"/>
      </w:pPr>
    </w:lvl>
    <w:lvl w:ilvl="8" w:tplc="44FE4CD8" w:tentative="1">
      <w:start w:val="1"/>
      <w:numFmt w:val="lowerRoman"/>
      <w:lvlText w:val="%9."/>
      <w:lvlJc w:val="right"/>
      <w:pPr>
        <w:ind w:left="6120" w:hanging="180"/>
      </w:pPr>
    </w:lvl>
  </w:abstractNum>
  <w:abstractNum w:abstractNumId="19" w15:restartNumberingAfterBreak="0">
    <w:nsid w:val="00000014"/>
    <w:multiLevelType w:val="hybridMultilevel"/>
    <w:tmpl w:val="E5662592"/>
    <w:lvl w:ilvl="0" w:tplc="94982F54">
      <w:start w:val="1"/>
      <w:numFmt w:val="decimal"/>
      <w:lvlText w:val="%1."/>
      <w:lvlJc w:val="left"/>
      <w:pPr>
        <w:ind w:left="360" w:hanging="360"/>
      </w:pPr>
    </w:lvl>
    <w:lvl w:ilvl="1" w:tplc="0740A39E">
      <w:start w:val="1"/>
      <w:numFmt w:val="decimal"/>
      <w:lvlText w:val="%2."/>
      <w:lvlJc w:val="left"/>
      <w:pPr>
        <w:tabs>
          <w:tab w:val="num" w:pos="1440"/>
        </w:tabs>
        <w:ind w:left="1440" w:hanging="360"/>
      </w:pPr>
    </w:lvl>
    <w:lvl w:ilvl="2" w:tplc="92F8D6A8">
      <w:start w:val="1"/>
      <w:numFmt w:val="decimal"/>
      <w:lvlText w:val="%3."/>
      <w:lvlJc w:val="left"/>
      <w:pPr>
        <w:tabs>
          <w:tab w:val="num" w:pos="2160"/>
        </w:tabs>
        <w:ind w:left="2160" w:hanging="360"/>
      </w:pPr>
    </w:lvl>
    <w:lvl w:ilvl="3" w:tplc="A38E0FAA">
      <w:start w:val="1"/>
      <w:numFmt w:val="decimal"/>
      <w:lvlText w:val="%4."/>
      <w:lvlJc w:val="left"/>
      <w:pPr>
        <w:tabs>
          <w:tab w:val="num" w:pos="2880"/>
        </w:tabs>
        <w:ind w:left="2880" w:hanging="360"/>
      </w:pPr>
    </w:lvl>
    <w:lvl w:ilvl="4" w:tplc="69E60FFA">
      <w:start w:val="1"/>
      <w:numFmt w:val="decimal"/>
      <w:lvlText w:val="%5."/>
      <w:lvlJc w:val="left"/>
      <w:pPr>
        <w:tabs>
          <w:tab w:val="num" w:pos="3600"/>
        </w:tabs>
        <w:ind w:left="3600" w:hanging="360"/>
      </w:pPr>
    </w:lvl>
    <w:lvl w:ilvl="5" w:tplc="3D4E2B68">
      <w:start w:val="1"/>
      <w:numFmt w:val="decimal"/>
      <w:lvlText w:val="%6."/>
      <w:lvlJc w:val="left"/>
      <w:pPr>
        <w:tabs>
          <w:tab w:val="num" w:pos="4320"/>
        </w:tabs>
        <w:ind w:left="4320" w:hanging="360"/>
      </w:pPr>
    </w:lvl>
    <w:lvl w:ilvl="6" w:tplc="AF2CD52E">
      <w:start w:val="1"/>
      <w:numFmt w:val="decimal"/>
      <w:lvlText w:val="%7."/>
      <w:lvlJc w:val="left"/>
      <w:pPr>
        <w:tabs>
          <w:tab w:val="num" w:pos="5040"/>
        </w:tabs>
        <w:ind w:left="5040" w:hanging="360"/>
      </w:pPr>
    </w:lvl>
    <w:lvl w:ilvl="7" w:tplc="D7F454CA">
      <w:start w:val="1"/>
      <w:numFmt w:val="decimal"/>
      <w:lvlText w:val="%8."/>
      <w:lvlJc w:val="left"/>
      <w:pPr>
        <w:tabs>
          <w:tab w:val="num" w:pos="5760"/>
        </w:tabs>
        <w:ind w:left="5760" w:hanging="360"/>
      </w:pPr>
    </w:lvl>
    <w:lvl w:ilvl="8" w:tplc="26B09B98">
      <w:start w:val="1"/>
      <w:numFmt w:val="decimal"/>
      <w:lvlText w:val="%9."/>
      <w:lvlJc w:val="left"/>
      <w:pPr>
        <w:tabs>
          <w:tab w:val="num" w:pos="6480"/>
        </w:tabs>
        <w:ind w:left="6480" w:hanging="360"/>
      </w:pPr>
    </w:lvl>
  </w:abstractNum>
  <w:abstractNum w:abstractNumId="20" w15:restartNumberingAfterBreak="0">
    <w:nsid w:val="00000015"/>
    <w:multiLevelType w:val="hybridMultilevel"/>
    <w:tmpl w:val="EC143888"/>
    <w:lvl w:ilvl="0" w:tplc="B8367BE2">
      <w:start w:val="1"/>
      <w:numFmt w:val="lowerLetter"/>
      <w:pStyle w:val="BStablelist"/>
      <w:lvlText w:val="%1."/>
      <w:lvlJc w:val="left"/>
      <w:pPr>
        <w:ind w:left="360" w:hanging="360"/>
      </w:pPr>
      <w:rPr>
        <w:rFonts w:hint="default"/>
      </w:rPr>
    </w:lvl>
    <w:lvl w:ilvl="1" w:tplc="FED86BDA" w:tentative="1">
      <w:start w:val="1"/>
      <w:numFmt w:val="lowerLetter"/>
      <w:lvlText w:val="%2."/>
      <w:lvlJc w:val="left"/>
      <w:pPr>
        <w:tabs>
          <w:tab w:val="num" w:pos="1080"/>
        </w:tabs>
        <w:ind w:left="1080" w:hanging="360"/>
      </w:pPr>
      <w:rPr>
        <w:rFonts w:cs="Times New Roman"/>
      </w:rPr>
    </w:lvl>
    <w:lvl w:ilvl="2" w:tplc="013A8A9E" w:tentative="1">
      <w:start w:val="1"/>
      <w:numFmt w:val="lowerRoman"/>
      <w:lvlText w:val="%3."/>
      <w:lvlJc w:val="right"/>
      <w:pPr>
        <w:tabs>
          <w:tab w:val="num" w:pos="1800"/>
        </w:tabs>
        <w:ind w:left="1800" w:hanging="180"/>
      </w:pPr>
      <w:rPr>
        <w:rFonts w:cs="Times New Roman"/>
      </w:rPr>
    </w:lvl>
    <w:lvl w:ilvl="3" w:tplc="416A0940" w:tentative="1">
      <w:start w:val="1"/>
      <w:numFmt w:val="decimal"/>
      <w:lvlText w:val="%4."/>
      <w:lvlJc w:val="left"/>
      <w:pPr>
        <w:tabs>
          <w:tab w:val="num" w:pos="2520"/>
        </w:tabs>
        <w:ind w:left="2520" w:hanging="360"/>
      </w:pPr>
      <w:rPr>
        <w:rFonts w:cs="Times New Roman"/>
      </w:rPr>
    </w:lvl>
    <w:lvl w:ilvl="4" w:tplc="2E96779C" w:tentative="1">
      <w:start w:val="1"/>
      <w:numFmt w:val="lowerLetter"/>
      <w:lvlText w:val="%5."/>
      <w:lvlJc w:val="left"/>
      <w:pPr>
        <w:tabs>
          <w:tab w:val="num" w:pos="3240"/>
        </w:tabs>
        <w:ind w:left="3240" w:hanging="360"/>
      </w:pPr>
      <w:rPr>
        <w:rFonts w:cs="Times New Roman"/>
      </w:rPr>
    </w:lvl>
    <w:lvl w:ilvl="5" w:tplc="1398041C" w:tentative="1">
      <w:start w:val="1"/>
      <w:numFmt w:val="lowerRoman"/>
      <w:lvlText w:val="%6."/>
      <w:lvlJc w:val="right"/>
      <w:pPr>
        <w:tabs>
          <w:tab w:val="num" w:pos="3960"/>
        </w:tabs>
        <w:ind w:left="3960" w:hanging="180"/>
      </w:pPr>
      <w:rPr>
        <w:rFonts w:cs="Times New Roman"/>
      </w:rPr>
    </w:lvl>
    <w:lvl w:ilvl="6" w:tplc="039026C4" w:tentative="1">
      <w:start w:val="1"/>
      <w:numFmt w:val="decimal"/>
      <w:lvlText w:val="%7."/>
      <w:lvlJc w:val="left"/>
      <w:pPr>
        <w:tabs>
          <w:tab w:val="num" w:pos="4680"/>
        </w:tabs>
        <w:ind w:left="4680" w:hanging="360"/>
      </w:pPr>
      <w:rPr>
        <w:rFonts w:cs="Times New Roman"/>
      </w:rPr>
    </w:lvl>
    <w:lvl w:ilvl="7" w:tplc="A822C90E" w:tentative="1">
      <w:start w:val="1"/>
      <w:numFmt w:val="lowerLetter"/>
      <w:lvlText w:val="%8."/>
      <w:lvlJc w:val="left"/>
      <w:pPr>
        <w:tabs>
          <w:tab w:val="num" w:pos="5400"/>
        </w:tabs>
        <w:ind w:left="5400" w:hanging="360"/>
      </w:pPr>
      <w:rPr>
        <w:rFonts w:cs="Times New Roman"/>
      </w:rPr>
    </w:lvl>
    <w:lvl w:ilvl="8" w:tplc="A7866584" w:tentative="1">
      <w:start w:val="1"/>
      <w:numFmt w:val="lowerRoman"/>
      <w:lvlText w:val="%9."/>
      <w:lvlJc w:val="right"/>
      <w:pPr>
        <w:tabs>
          <w:tab w:val="num" w:pos="6120"/>
        </w:tabs>
        <w:ind w:left="6120" w:hanging="180"/>
      </w:pPr>
      <w:rPr>
        <w:rFonts w:cs="Times New Roman"/>
      </w:rPr>
    </w:lvl>
  </w:abstractNum>
  <w:abstractNum w:abstractNumId="21" w15:restartNumberingAfterBreak="0">
    <w:nsid w:val="00000016"/>
    <w:multiLevelType w:val="hybridMultilevel"/>
    <w:tmpl w:val="3AF096E2"/>
    <w:lvl w:ilvl="0" w:tplc="905A37B4">
      <w:start w:val="1"/>
      <w:numFmt w:val="lowerLetter"/>
      <w:lvlText w:val="%1."/>
      <w:lvlJc w:val="left"/>
      <w:pPr>
        <w:ind w:left="360" w:hanging="360"/>
      </w:pPr>
    </w:lvl>
    <w:lvl w:ilvl="1" w:tplc="734A8024">
      <w:start w:val="1"/>
      <w:numFmt w:val="lowerLetter"/>
      <w:lvlText w:val="%2."/>
      <w:lvlJc w:val="left"/>
      <w:pPr>
        <w:tabs>
          <w:tab w:val="num" w:pos="1080"/>
        </w:tabs>
        <w:ind w:left="1080" w:hanging="360"/>
      </w:pPr>
      <w:rPr>
        <w:rFonts w:cs="Times New Roman"/>
      </w:rPr>
    </w:lvl>
    <w:lvl w:ilvl="2" w:tplc="83282932">
      <w:start w:val="1"/>
      <w:numFmt w:val="lowerRoman"/>
      <w:lvlText w:val="%3."/>
      <w:lvlJc w:val="right"/>
      <w:pPr>
        <w:tabs>
          <w:tab w:val="num" w:pos="1800"/>
        </w:tabs>
        <w:ind w:left="1800" w:hanging="180"/>
      </w:pPr>
      <w:rPr>
        <w:rFonts w:cs="Times New Roman"/>
      </w:rPr>
    </w:lvl>
    <w:lvl w:ilvl="3" w:tplc="E4EE3C06">
      <w:start w:val="1"/>
      <w:numFmt w:val="decimal"/>
      <w:lvlText w:val="%4."/>
      <w:lvlJc w:val="left"/>
      <w:pPr>
        <w:tabs>
          <w:tab w:val="num" w:pos="2520"/>
        </w:tabs>
        <w:ind w:left="2520" w:hanging="360"/>
      </w:pPr>
      <w:rPr>
        <w:rFonts w:cs="Times New Roman"/>
      </w:rPr>
    </w:lvl>
    <w:lvl w:ilvl="4" w:tplc="25BA9F7A">
      <w:start w:val="1"/>
      <w:numFmt w:val="lowerLetter"/>
      <w:lvlText w:val="%5."/>
      <w:lvlJc w:val="left"/>
      <w:pPr>
        <w:tabs>
          <w:tab w:val="num" w:pos="3240"/>
        </w:tabs>
        <w:ind w:left="3240" w:hanging="360"/>
      </w:pPr>
      <w:rPr>
        <w:rFonts w:cs="Times New Roman"/>
      </w:rPr>
    </w:lvl>
    <w:lvl w:ilvl="5" w:tplc="95EE656A">
      <w:start w:val="1"/>
      <w:numFmt w:val="lowerRoman"/>
      <w:lvlText w:val="%6."/>
      <w:lvlJc w:val="right"/>
      <w:pPr>
        <w:tabs>
          <w:tab w:val="num" w:pos="3960"/>
        </w:tabs>
        <w:ind w:left="3960" w:hanging="180"/>
      </w:pPr>
      <w:rPr>
        <w:rFonts w:cs="Times New Roman"/>
      </w:rPr>
    </w:lvl>
    <w:lvl w:ilvl="6" w:tplc="184433B2">
      <w:start w:val="1"/>
      <w:numFmt w:val="decimal"/>
      <w:lvlText w:val="%7."/>
      <w:lvlJc w:val="left"/>
      <w:pPr>
        <w:tabs>
          <w:tab w:val="num" w:pos="4680"/>
        </w:tabs>
        <w:ind w:left="4680" w:hanging="360"/>
      </w:pPr>
      <w:rPr>
        <w:rFonts w:cs="Times New Roman"/>
      </w:rPr>
    </w:lvl>
    <w:lvl w:ilvl="7" w:tplc="8278AE7C">
      <w:start w:val="1"/>
      <w:numFmt w:val="lowerLetter"/>
      <w:lvlText w:val="%8."/>
      <w:lvlJc w:val="left"/>
      <w:pPr>
        <w:tabs>
          <w:tab w:val="num" w:pos="5400"/>
        </w:tabs>
        <w:ind w:left="5400" w:hanging="360"/>
      </w:pPr>
      <w:rPr>
        <w:rFonts w:cs="Times New Roman"/>
      </w:rPr>
    </w:lvl>
    <w:lvl w:ilvl="8" w:tplc="3BB2829E">
      <w:start w:val="1"/>
      <w:numFmt w:val="lowerRoman"/>
      <w:lvlText w:val="%9."/>
      <w:lvlJc w:val="right"/>
      <w:pPr>
        <w:tabs>
          <w:tab w:val="num" w:pos="6120"/>
        </w:tabs>
        <w:ind w:left="6120" w:hanging="180"/>
      </w:pPr>
      <w:rPr>
        <w:rFonts w:cs="Times New Roman"/>
      </w:rPr>
    </w:lvl>
  </w:abstractNum>
  <w:abstractNum w:abstractNumId="22" w15:restartNumberingAfterBreak="0">
    <w:nsid w:val="00000017"/>
    <w:multiLevelType w:val="hybridMultilevel"/>
    <w:tmpl w:val="EF4CD83A"/>
    <w:lvl w:ilvl="0" w:tplc="8D7656A6">
      <w:start w:val="1"/>
      <w:numFmt w:val="decimal"/>
      <w:pStyle w:val="BSnoteslist2"/>
      <w:lvlText w:val="%1."/>
      <w:lvlJc w:val="left"/>
      <w:pPr>
        <w:ind w:left="786" w:hanging="360"/>
      </w:pPr>
      <w:rPr>
        <w:rFonts w:ascii="Calibri" w:hAnsi="Calibri" w:cs="Times New Roman" w:hint="default"/>
        <w:sz w:val="18"/>
      </w:rPr>
    </w:lvl>
    <w:lvl w:ilvl="1" w:tplc="7C9A8EA0">
      <w:start w:val="1"/>
      <w:numFmt w:val="lowerLetter"/>
      <w:lvlText w:val="%2."/>
      <w:lvlJc w:val="left"/>
      <w:pPr>
        <w:ind w:left="1080" w:hanging="360"/>
      </w:pPr>
    </w:lvl>
    <w:lvl w:ilvl="2" w:tplc="2D58E632">
      <w:start w:val="1"/>
      <w:numFmt w:val="lowerRoman"/>
      <w:lvlText w:val="%3."/>
      <w:lvlJc w:val="right"/>
      <w:pPr>
        <w:ind w:left="1800" w:hanging="180"/>
      </w:pPr>
    </w:lvl>
    <w:lvl w:ilvl="3" w:tplc="A790CF84">
      <w:start w:val="1"/>
      <w:numFmt w:val="decimal"/>
      <w:lvlText w:val="%4."/>
      <w:lvlJc w:val="left"/>
      <w:pPr>
        <w:ind w:left="2520" w:hanging="360"/>
      </w:pPr>
      <w:rPr>
        <w:sz w:val="18"/>
      </w:rPr>
    </w:lvl>
    <w:lvl w:ilvl="4" w:tplc="83FA97CE">
      <w:start w:val="1"/>
      <w:numFmt w:val="lowerLetter"/>
      <w:lvlText w:val="%5."/>
      <w:lvlJc w:val="left"/>
      <w:pPr>
        <w:ind w:left="3240" w:hanging="360"/>
      </w:pPr>
    </w:lvl>
    <w:lvl w:ilvl="5" w:tplc="33F25332">
      <w:start w:val="1"/>
      <w:numFmt w:val="lowerRoman"/>
      <w:lvlText w:val="%6."/>
      <w:lvlJc w:val="right"/>
      <w:pPr>
        <w:ind w:left="3960" w:hanging="180"/>
      </w:pPr>
    </w:lvl>
    <w:lvl w:ilvl="6" w:tplc="094ABEB0">
      <w:start w:val="1"/>
      <w:numFmt w:val="decimal"/>
      <w:lvlText w:val="%7."/>
      <w:lvlJc w:val="left"/>
      <w:pPr>
        <w:ind w:left="4680" w:hanging="360"/>
      </w:pPr>
    </w:lvl>
    <w:lvl w:ilvl="7" w:tplc="F3C8C1FE">
      <w:start w:val="1"/>
      <w:numFmt w:val="lowerLetter"/>
      <w:lvlText w:val="%8."/>
      <w:lvlJc w:val="left"/>
      <w:pPr>
        <w:ind w:left="5400" w:hanging="360"/>
      </w:pPr>
    </w:lvl>
    <w:lvl w:ilvl="8" w:tplc="CC6E2D00">
      <w:start w:val="1"/>
      <w:numFmt w:val="lowerRoman"/>
      <w:lvlText w:val="%9."/>
      <w:lvlJc w:val="right"/>
      <w:pPr>
        <w:ind w:left="6120" w:hanging="180"/>
      </w:pPr>
    </w:lvl>
  </w:abstractNum>
  <w:abstractNum w:abstractNumId="23" w15:restartNumberingAfterBreak="0">
    <w:nsid w:val="00000018"/>
    <w:multiLevelType w:val="hybridMultilevel"/>
    <w:tmpl w:val="ADC87AEA"/>
    <w:lvl w:ilvl="0" w:tplc="CFD6C88C">
      <w:start w:val="1"/>
      <w:numFmt w:val="lowerLetter"/>
      <w:lvlText w:val="%1."/>
      <w:lvlJc w:val="left"/>
      <w:pPr>
        <w:ind w:left="360" w:hanging="360"/>
      </w:pPr>
      <w:rPr>
        <w:b w:val="0"/>
        <w:bCs/>
      </w:rPr>
    </w:lvl>
    <w:lvl w:ilvl="1" w:tplc="26F6235A">
      <w:start w:val="1"/>
      <w:numFmt w:val="lowerLetter"/>
      <w:lvlText w:val="%2."/>
      <w:lvlJc w:val="left"/>
      <w:pPr>
        <w:ind w:left="1080" w:hanging="360"/>
      </w:pPr>
    </w:lvl>
    <w:lvl w:ilvl="2" w:tplc="76BA1A4C">
      <w:start w:val="1"/>
      <w:numFmt w:val="lowerRoman"/>
      <w:lvlText w:val="%3."/>
      <w:lvlJc w:val="right"/>
      <w:pPr>
        <w:ind w:left="1800" w:hanging="180"/>
      </w:pPr>
    </w:lvl>
    <w:lvl w:ilvl="3" w:tplc="264EFCD4">
      <w:start w:val="1"/>
      <w:numFmt w:val="decimal"/>
      <w:lvlText w:val="%4."/>
      <w:lvlJc w:val="left"/>
      <w:pPr>
        <w:ind w:left="2520" w:hanging="360"/>
      </w:pPr>
    </w:lvl>
    <w:lvl w:ilvl="4" w:tplc="FFA645B4">
      <w:start w:val="1"/>
      <w:numFmt w:val="lowerLetter"/>
      <w:lvlText w:val="%5."/>
      <w:lvlJc w:val="left"/>
      <w:pPr>
        <w:ind w:left="3240" w:hanging="360"/>
      </w:pPr>
    </w:lvl>
    <w:lvl w:ilvl="5" w:tplc="6138208E">
      <w:start w:val="1"/>
      <w:numFmt w:val="lowerRoman"/>
      <w:lvlText w:val="%6."/>
      <w:lvlJc w:val="right"/>
      <w:pPr>
        <w:ind w:left="3960" w:hanging="180"/>
      </w:pPr>
    </w:lvl>
    <w:lvl w:ilvl="6" w:tplc="590CA71C">
      <w:start w:val="1"/>
      <w:numFmt w:val="decimal"/>
      <w:lvlText w:val="%7."/>
      <w:lvlJc w:val="left"/>
      <w:pPr>
        <w:ind w:left="4680" w:hanging="360"/>
      </w:pPr>
    </w:lvl>
    <w:lvl w:ilvl="7" w:tplc="832CADD6">
      <w:start w:val="1"/>
      <w:numFmt w:val="lowerLetter"/>
      <w:lvlText w:val="%8."/>
      <w:lvlJc w:val="left"/>
      <w:pPr>
        <w:ind w:left="5400" w:hanging="360"/>
      </w:pPr>
    </w:lvl>
    <w:lvl w:ilvl="8" w:tplc="710AE66E">
      <w:start w:val="1"/>
      <w:numFmt w:val="lowerRoman"/>
      <w:lvlText w:val="%9."/>
      <w:lvlJc w:val="right"/>
      <w:pPr>
        <w:ind w:left="6120" w:hanging="180"/>
      </w:pPr>
    </w:lvl>
  </w:abstractNum>
  <w:abstractNum w:abstractNumId="24" w15:restartNumberingAfterBreak="0">
    <w:nsid w:val="00000019"/>
    <w:multiLevelType w:val="hybridMultilevel"/>
    <w:tmpl w:val="81923878"/>
    <w:lvl w:ilvl="0" w:tplc="AE50DFF0">
      <w:start w:val="1"/>
      <w:numFmt w:val="lowerLetter"/>
      <w:lvlText w:val="%1."/>
      <w:lvlJc w:val="left"/>
      <w:pPr>
        <w:ind w:left="720" w:hanging="360"/>
      </w:pPr>
    </w:lvl>
    <w:lvl w:ilvl="1" w:tplc="BF8CE710" w:tentative="1">
      <w:start w:val="1"/>
      <w:numFmt w:val="lowerLetter"/>
      <w:lvlText w:val="%2."/>
      <w:lvlJc w:val="left"/>
      <w:pPr>
        <w:ind w:left="1440" w:hanging="360"/>
      </w:pPr>
    </w:lvl>
    <w:lvl w:ilvl="2" w:tplc="107496C6" w:tentative="1">
      <w:start w:val="1"/>
      <w:numFmt w:val="lowerRoman"/>
      <w:lvlText w:val="%3."/>
      <w:lvlJc w:val="right"/>
      <w:pPr>
        <w:ind w:left="2160" w:hanging="180"/>
      </w:pPr>
    </w:lvl>
    <w:lvl w:ilvl="3" w:tplc="D67CCFBA" w:tentative="1">
      <w:start w:val="1"/>
      <w:numFmt w:val="decimal"/>
      <w:lvlText w:val="%4."/>
      <w:lvlJc w:val="left"/>
      <w:pPr>
        <w:ind w:left="2880" w:hanging="360"/>
      </w:pPr>
    </w:lvl>
    <w:lvl w:ilvl="4" w:tplc="9DC28F84" w:tentative="1">
      <w:start w:val="1"/>
      <w:numFmt w:val="lowerLetter"/>
      <w:lvlText w:val="%5."/>
      <w:lvlJc w:val="left"/>
      <w:pPr>
        <w:ind w:left="3600" w:hanging="360"/>
      </w:pPr>
    </w:lvl>
    <w:lvl w:ilvl="5" w:tplc="23445102" w:tentative="1">
      <w:start w:val="1"/>
      <w:numFmt w:val="lowerRoman"/>
      <w:lvlText w:val="%6."/>
      <w:lvlJc w:val="right"/>
      <w:pPr>
        <w:ind w:left="4320" w:hanging="180"/>
      </w:pPr>
    </w:lvl>
    <w:lvl w:ilvl="6" w:tplc="155A64B4" w:tentative="1">
      <w:start w:val="1"/>
      <w:numFmt w:val="decimal"/>
      <w:lvlText w:val="%7."/>
      <w:lvlJc w:val="left"/>
      <w:pPr>
        <w:ind w:left="5040" w:hanging="360"/>
      </w:pPr>
    </w:lvl>
    <w:lvl w:ilvl="7" w:tplc="D24656A6" w:tentative="1">
      <w:start w:val="1"/>
      <w:numFmt w:val="lowerLetter"/>
      <w:lvlText w:val="%8."/>
      <w:lvlJc w:val="left"/>
      <w:pPr>
        <w:ind w:left="5760" w:hanging="360"/>
      </w:pPr>
    </w:lvl>
    <w:lvl w:ilvl="8" w:tplc="AE42B2E2" w:tentative="1">
      <w:start w:val="1"/>
      <w:numFmt w:val="lowerRoman"/>
      <w:lvlText w:val="%9."/>
      <w:lvlJc w:val="right"/>
      <w:pPr>
        <w:ind w:left="6480" w:hanging="180"/>
      </w:pPr>
    </w:lvl>
  </w:abstractNum>
  <w:abstractNum w:abstractNumId="25" w15:restartNumberingAfterBreak="0">
    <w:nsid w:val="0000001A"/>
    <w:multiLevelType w:val="hybridMultilevel"/>
    <w:tmpl w:val="D9BA5906"/>
    <w:lvl w:ilvl="0" w:tplc="A4A004E6">
      <w:start w:val="1"/>
      <w:numFmt w:val="lowerLetter"/>
      <w:lvlText w:val="%1."/>
      <w:lvlJc w:val="left"/>
      <w:pPr>
        <w:ind w:left="720" w:hanging="360"/>
      </w:pPr>
      <w:rPr>
        <w:rFonts w:hint="default"/>
      </w:rPr>
    </w:lvl>
    <w:lvl w:ilvl="1" w:tplc="3C04CA02" w:tentative="1">
      <w:start w:val="1"/>
      <w:numFmt w:val="lowerLetter"/>
      <w:lvlText w:val="%2."/>
      <w:lvlJc w:val="left"/>
      <w:pPr>
        <w:ind w:left="1440" w:hanging="360"/>
      </w:pPr>
    </w:lvl>
    <w:lvl w:ilvl="2" w:tplc="5C7A06A8" w:tentative="1">
      <w:start w:val="1"/>
      <w:numFmt w:val="lowerRoman"/>
      <w:lvlText w:val="%3."/>
      <w:lvlJc w:val="right"/>
      <w:pPr>
        <w:ind w:left="2160" w:hanging="180"/>
      </w:pPr>
    </w:lvl>
    <w:lvl w:ilvl="3" w:tplc="A31C0F62" w:tentative="1">
      <w:start w:val="1"/>
      <w:numFmt w:val="decimal"/>
      <w:lvlText w:val="%4."/>
      <w:lvlJc w:val="left"/>
      <w:pPr>
        <w:ind w:left="2880" w:hanging="360"/>
      </w:pPr>
    </w:lvl>
    <w:lvl w:ilvl="4" w:tplc="6818E92E" w:tentative="1">
      <w:start w:val="1"/>
      <w:numFmt w:val="lowerLetter"/>
      <w:lvlText w:val="%5."/>
      <w:lvlJc w:val="left"/>
      <w:pPr>
        <w:ind w:left="3600" w:hanging="360"/>
      </w:pPr>
    </w:lvl>
    <w:lvl w:ilvl="5" w:tplc="36AAA3E6" w:tentative="1">
      <w:start w:val="1"/>
      <w:numFmt w:val="lowerRoman"/>
      <w:lvlText w:val="%6."/>
      <w:lvlJc w:val="right"/>
      <w:pPr>
        <w:ind w:left="4320" w:hanging="180"/>
      </w:pPr>
    </w:lvl>
    <w:lvl w:ilvl="6" w:tplc="26B2FCC4" w:tentative="1">
      <w:start w:val="1"/>
      <w:numFmt w:val="decimal"/>
      <w:lvlText w:val="%7."/>
      <w:lvlJc w:val="left"/>
      <w:pPr>
        <w:ind w:left="5040" w:hanging="360"/>
      </w:pPr>
    </w:lvl>
    <w:lvl w:ilvl="7" w:tplc="B61CC256" w:tentative="1">
      <w:start w:val="1"/>
      <w:numFmt w:val="lowerLetter"/>
      <w:lvlText w:val="%8."/>
      <w:lvlJc w:val="left"/>
      <w:pPr>
        <w:ind w:left="5760" w:hanging="360"/>
      </w:pPr>
    </w:lvl>
    <w:lvl w:ilvl="8" w:tplc="D4E4BFEE" w:tentative="1">
      <w:start w:val="1"/>
      <w:numFmt w:val="lowerRoman"/>
      <w:lvlText w:val="%9."/>
      <w:lvlJc w:val="right"/>
      <w:pPr>
        <w:ind w:left="6480" w:hanging="180"/>
      </w:pPr>
    </w:lvl>
  </w:abstractNum>
  <w:abstractNum w:abstractNumId="26" w15:restartNumberingAfterBreak="0">
    <w:nsid w:val="0000001B"/>
    <w:multiLevelType w:val="hybridMultilevel"/>
    <w:tmpl w:val="3EFCB34A"/>
    <w:lvl w:ilvl="0" w:tplc="A9B639CC">
      <w:start w:val="1"/>
      <w:numFmt w:val="lowerLetter"/>
      <w:lvlText w:val="%1."/>
      <w:lvlJc w:val="left"/>
      <w:pPr>
        <w:ind w:left="720" w:hanging="360"/>
      </w:pPr>
    </w:lvl>
    <w:lvl w:ilvl="1" w:tplc="D16A5C94" w:tentative="1">
      <w:start w:val="1"/>
      <w:numFmt w:val="lowerLetter"/>
      <w:lvlText w:val="%2."/>
      <w:lvlJc w:val="left"/>
      <w:pPr>
        <w:ind w:left="1440" w:hanging="360"/>
      </w:pPr>
    </w:lvl>
    <w:lvl w:ilvl="2" w:tplc="300E18E2" w:tentative="1">
      <w:start w:val="1"/>
      <w:numFmt w:val="lowerRoman"/>
      <w:lvlText w:val="%3."/>
      <w:lvlJc w:val="right"/>
      <w:pPr>
        <w:ind w:left="2160" w:hanging="180"/>
      </w:pPr>
    </w:lvl>
    <w:lvl w:ilvl="3" w:tplc="E09670A4" w:tentative="1">
      <w:start w:val="1"/>
      <w:numFmt w:val="decimal"/>
      <w:lvlText w:val="%4."/>
      <w:lvlJc w:val="left"/>
      <w:pPr>
        <w:ind w:left="2880" w:hanging="360"/>
      </w:pPr>
    </w:lvl>
    <w:lvl w:ilvl="4" w:tplc="D626FDDC" w:tentative="1">
      <w:start w:val="1"/>
      <w:numFmt w:val="lowerLetter"/>
      <w:lvlText w:val="%5."/>
      <w:lvlJc w:val="left"/>
      <w:pPr>
        <w:ind w:left="3600" w:hanging="360"/>
      </w:pPr>
    </w:lvl>
    <w:lvl w:ilvl="5" w:tplc="77325482" w:tentative="1">
      <w:start w:val="1"/>
      <w:numFmt w:val="lowerRoman"/>
      <w:lvlText w:val="%6."/>
      <w:lvlJc w:val="right"/>
      <w:pPr>
        <w:ind w:left="4320" w:hanging="180"/>
      </w:pPr>
    </w:lvl>
    <w:lvl w:ilvl="6" w:tplc="4EE61F9A" w:tentative="1">
      <w:start w:val="1"/>
      <w:numFmt w:val="decimal"/>
      <w:lvlText w:val="%7."/>
      <w:lvlJc w:val="left"/>
      <w:pPr>
        <w:ind w:left="5040" w:hanging="360"/>
      </w:pPr>
    </w:lvl>
    <w:lvl w:ilvl="7" w:tplc="D41E22C6" w:tentative="1">
      <w:start w:val="1"/>
      <w:numFmt w:val="lowerLetter"/>
      <w:lvlText w:val="%8."/>
      <w:lvlJc w:val="left"/>
      <w:pPr>
        <w:ind w:left="5760" w:hanging="360"/>
      </w:pPr>
    </w:lvl>
    <w:lvl w:ilvl="8" w:tplc="73F4E272" w:tentative="1">
      <w:start w:val="1"/>
      <w:numFmt w:val="lowerRoman"/>
      <w:lvlText w:val="%9."/>
      <w:lvlJc w:val="right"/>
      <w:pPr>
        <w:ind w:left="6480" w:hanging="180"/>
      </w:pPr>
    </w:lvl>
  </w:abstractNum>
  <w:abstractNum w:abstractNumId="27" w15:restartNumberingAfterBreak="0">
    <w:nsid w:val="0000001C"/>
    <w:multiLevelType w:val="hybridMultilevel"/>
    <w:tmpl w:val="DCD687B2"/>
    <w:lvl w:ilvl="0" w:tplc="F314EAD4">
      <w:numFmt w:val="bullet"/>
      <w:lvlText w:val="-"/>
      <w:lvlJc w:val="left"/>
      <w:pPr>
        <w:ind w:left="786" w:hanging="360"/>
      </w:pPr>
      <w:rPr>
        <w:rFonts w:ascii="Calibri" w:eastAsia="Times New Roman" w:hAnsi="Calibri" w:cs="Calibri" w:hint="default"/>
      </w:rPr>
    </w:lvl>
    <w:lvl w:ilvl="1" w:tplc="46B6229C" w:tentative="1">
      <w:start w:val="1"/>
      <w:numFmt w:val="bullet"/>
      <w:lvlText w:val="o"/>
      <w:lvlJc w:val="left"/>
      <w:pPr>
        <w:ind w:left="1506" w:hanging="360"/>
      </w:pPr>
      <w:rPr>
        <w:rFonts w:ascii="Courier New" w:hAnsi="Courier New" w:cs="Courier New" w:hint="default"/>
      </w:rPr>
    </w:lvl>
    <w:lvl w:ilvl="2" w:tplc="3B162754" w:tentative="1">
      <w:start w:val="1"/>
      <w:numFmt w:val="bullet"/>
      <w:lvlText w:val=""/>
      <w:lvlJc w:val="left"/>
      <w:pPr>
        <w:ind w:left="2226" w:hanging="360"/>
      </w:pPr>
      <w:rPr>
        <w:rFonts w:ascii="Wingdings" w:hAnsi="Wingdings" w:hint="default"/>
      </w:rPr>
    </w:lvl>
    <w:lvl w:ilvl="3" w:tplc="127EE6D2" w:tentative="1">
      <w:start w:val="1"/>
      <w:numFmt w:val="bullet"/>
      <w:lvlText w:val=""/>
      <w:lvlJc w:val="left"/>
      <w:pPr>
        <w:ind w:left="2946" w:hanging="360"/>
      </w:pPr>
      <w:rPr>
        <w:rFonts w:ascii="Symbol" w:hAnsi="Symbol" w:hint="default"/>
      </w:rPr>
    </w:lvl>
    <w:lvl w:ilvl="4" w:tplc="8A186088" w:tentative="1">
      <w:start w:val="1"/>
      <w:numFmt w:val="bullet"/>
      <w:lvlText w:val="o"/>
      <w:lvlJc w:val="left"/>
      <w:pPr>
        <w:ind w:left="3666" w:hanging="360"/>
      </w:pPr>
      <w:rPr>
        <w:rFonts w:ascii="Courier New" w:hAnsi="Courier New" w:cs="Courier New" w:hint="default"/>
      </w:rPr>
    </w:lvl>
    <w:lvl w:ilvl="5" w:tplc="9C060474" w:tentative="1">
      <w:start w:val="1"/>
      <w:numFmt w:val="bullet"/>
      <w:lvlText w:val=""/>
      <w:lvlJc w:val="left"/>
      <w:pPr>
        <w:ind w:left="4386" w:hanging="360"/>
      </w:pPr>
      <w:rPr>
        <w:rFonts w:ascii="Wingdings" w:hAnsi="Wingdings" w:hint="default"/>
      </w:rPr>
    </w:lvl>
    <w:lvl w:ilvl="6" w:tplc="38E63E9A" w:tentative="1">
      <w:start w:val="1"/>
      <w:numFmt w:val="bullet"/>
      <w:lvlText w:val=""/>
      <w:lvlJc w:val="left"/>
      <w:pPr>
        <w:ind w:left="5106" w:hanging="360"/>
      </w:pPr>
      <w:rPr>
        <w:rFonts w:ascii="Symbol" w:hAnsi="Symbol" w:hint="default"/>
      </w:rPr>
    </w:lvl>
    <w:lvl w:ilvl="7" w:tplc="16703D2E" w:tentative="1">
      <w:start w:val="1"/>
      <w:numFmt w:val="bullet"/>
      <w:lvlText w:val="o"/>
      <w:lvlJc w:val="left"/>
      <w:pPr>
        <w:ind w:left="5826" w:hanging="360"/>
      </w:pPr>
      <w:rPr>
        <w:rFonts w:ascii="Courier New" w:hAnsi="Courier New" w:cs="Courier New" w:hint="default"/>
      </w:rPr>
    </w:lvl>
    <w:lvl w:ilvl="8" w:tplc="793ECC80" w:tentative="1">
      <w:start w:val="1"/>
      <w:numFmt w:val="bullet"/>
      <w:lvlText w:val=""/>
      <w:lvlJc w:val="left"/>
      <w:pPr>
        <w:ind w:left="6546" w:hanging="360"/>
      </w:pPr>
      <w:rPr>
        <w:rFonts w:ascii="Wingdings" w:hAnsi="Wingdings" w:hint="default"/>
      </w:rPr>
    </w:lvl>
  </w:abstractNum>
  <w:abstractNum w:abstractNumId="28" w15:restartNumberingAfterBreak="0">
    <w:nsid w:val="0000001D"/>
    <w:multiLevelType w:val="hybridMultilevel"/>
    <w:tmpl w:val="9EE2E28A"/>
    <w:lvl w:ilvl="0" w:tplc="2DDE0C36">
      <w:start w:val="2016"/>
      <w:numFmt w:val="bullet"/>
      <w:lvlText w:val="-"/>
      <w:lvlJc w:val="left"/>
      <w:pPr>
        <w:ind w:left="720" w:hanging="360"/>
      </w:pPr>
      <w:rPr>
        <w:rFonts w:ascii="Calibri" w:eastAsia="Calibri" w:hAnsi="Calibri" w:cs="Times New Roman" w:hint="default"/>
      </w:rPr>
    </w:lvl>
    <w:lvl w:ilvl="1" w:tplc="D2EA077A">
      <w:start w:val="1"/>
      <w:numFmt w:val="bullet"/>
      <w:lvlText w:val="o"/>
      <w:lvlJc w:val="left"/>
      <w:pPr>
        <w:ind w:left="1440" w:hanging="360"/>
      </w:pPr>
      <w:rPr>
        <w:rFonts w:ascii="Courier New" w:hAnsi="Courier New" w:cs="Courier New" w:hint="default"/>
      </w:rPr>
    </w:lvl>
    <w:lvl w:ilvl="2" w:tplc="31D63D04">
      <w:start w:val="1"/>
      <w:numFmt w:val="bullet"/>
      <w:lvlText w:val=""/>
      <w:lvlJc w:val="left"/>
      <w:pPr>
        <w:ind w:left="2160" w:hanging="360"/>
      </w:pPr>
      <w:rPr>
        <w:rFonts w:ascii="Wingdings" w:hAnsi="Wingdings" w:hint="default"/>
      </w:rPr>
    </w:lvl>
    <w:lvl w:ilvl="3" w:tplc="294CAAB2">
      <w:start w:val="1"/>
      <w:numFmt w:val="bullet"/>
      <w:lvlText w:val=""/>
      <w:lvlJc w:val="left"/>
      <w:pPr>
        <w:ind w:left="2880" w:hanging="360"/>
      </w:pPr>
      <w:rPr>
        <w:rFonts w:ascii="Symbol" w:hAnsi="Symbol" w:hint="default"/>
      </w:rPr>
    </w:lvl>
    <w:lvl w:ilvl="4" w:tplc="0F4AF896">
      <w:start w:val="1"/>
      <w:numFmt w:val="bullet"/>
      <w:lvlText w:val="o"/>
      <w:lvlJc w:val="left"/>
      <w:pPr>
        <w:ind w:left="3600" w:hanging="360"/>
      </w:pPr>
      <w:rPr>
        <w:rFonts w:ascii="Courier New" w:hAnsi="Courier New" w:cs="Courier New" w:hint="default"/>
      </w:rPr>
    </w:lvl>
    <w:lvl w:ilvl="5" w:tplc="337C9EA4">
      <w:start w:val="1"/>
      <w:numFmt w:val="bullet"/>
      <w:lvlText w:val=""/>
      <w:lvlJc w:val="left"/>
      <w:pPr>
        <w:ind w:left="4320" w:hanging="360"/>
      </w:pPr>
      <w:rPr>
        <w:rFonts w:ascii="Wingdings" w:hAnsi="Wingdings" w:hint="default"/>
      </w:rPr>
    </w:lvl>
    <w:lvl w:ilvl="6" w:tplc="A87633FA">
      <w:start w:val="1"/>
      <w:numFmt w:val="bullet"/>
      <w:lvlText w:val=""/>
      <w:lvlJc w:val="left"/>
      <w:pPr>
        <w:ind w:left="5040" w:hanging="360"/>
      </w:pPr>
      <w:rPr>
        <w:rFonts w:ascii="Symbol" w:hAnsi="Symbol" w:hint="default"/>
      </w:rPr>
    </w:lvl>
    <w:lvl w:ilvl="7" w:tplc="80DAC5DA">
      <w:start w:val="1"/>
      <w:numFmt w:val="bullet"/>
      <w:lvlText w:val="o"/>
      <w:lvlJc w:val="left"/>
      <w:pPr>
        <w:ind w:left="5760" w:hanging="360"/>
      </w:pPr>
      <w:rPr>
        <w:rFonts w:ascii="Courier New" w:hAnsi="Courier New" w:cs="Courier New" w:hint="default"/>
      </w:rPr>
    </w:lvl>
    <w:lvl w:ilvl="8" w:tplc="C6AC4508">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5C14FC88"/>
    <w:lvl w:ilvl="0" w:tplc="26980C74">
      <w:start w:val="1"/>
      <w:numFmt w:val="lowerLetter"/>
      <w:lvlText w:val="%1."/>
      <w:lvlJc w:val="left"/>
      <w:pPr>
        <w:ind w:left="720" w:hanging="360"/>
      </w:pPr>
      <w:rPr>
        <w:rFonts w:hint="default"/>
      </w:rPr>
    </w:lvl>
    <w:lvl w:ilvl="1" w:tplc="0448C148" w:tentative="1">
      <w:start w:val="1"/>
      <w:numFmt w:val="lowerLetter"/>
      <w:lvlText w:val="%2."/>
      <w:lvlJc w:val="left"/>
      <w:pPr>
        <w:ind w:left="1440" w:hanging="360"/>
      </w:pPr>
    </w:lvl>
    <w:lvl w:ilvl="2" w:tplc="63342438" w:tentative="1">
      <w:start w:val="1"/>
      <w:numFmt w:val="lowerRoman"/>
      <w:lvlText w:val="%3."/>
      <w:lvlJc w:val="right"/>
      <w:pPr>
        <w:ind w:left="2160" w:hanging="180"/>
      </w:pPr>
    </w:lvl>
    <w:lvl w:ilvl="3" w:tplc="0480F0F4" w:tentative="1">
      <w:start w:val="1"/>
      <w:numFmt w:val="decimal"/>
      <w:lvlText w:val="%4."/>
      <w:lvlJc w:val="left"/>
      <w:pPr>
        <w:ind w:left="2880" w:hanging="360"/>
      </w:pPr>
    </w:lvl>
    <w:lvl w:ilvl="4" w:tplc="5E6E0652" w:tentative="1">
      <w:start w:val="1"/>
      <w:numFmt w:val="lowerLetter"/>
      <w:lvlText w:val="%5."/>
      <w:lvlJc w:val="left"/>
      <w:pPr>
        <w:ind w:left="3600" w:hanging="360"/>
      </w:pPr>
    </w:lvl>
    <w:lvl w:ilvl="5" w:tplc="B7ACD95A" w:tentative="1">
      <w:start w:val="1"/>
      <w:numFmt w:val="lowerRoman"/>
      <w:lvlText w:val="%6."/>
      <w:lvlJc w:val="right"/>
      <w:pPr>
        <w:ind w:left="4320" w:hanging="180"/>
      </w:pPr>
    </w:lvl>
    <w:lvl w:ilvl="6" w:tplc="01F67814" w:tentative="1">
      <w:start w:val="1"/>
      <w:numFmt w:val="decimal"/>
      <w:lvlText w:val="%7."/>
      <w:lvlJc w:val="left"/>
      <w:pPr>
        <w:ind w:left="5040" w:hanging="360"/>
      </w:pPr>
    </w:lvl>
    <w:lvl w:ilvl="7" w:tplc="F7CCF942" w:tentative="1">
      <w:start w:val="1"/>
      <w:numFmt w:val="lowerLetter"/>
      <w:lvlText w:val="%8."/>
      <w:lvlJc w:val="left"/>
      <w:pPr>
        <w:ind w:left="5760" w:hanging="360"/>
      </w:pPr>
    </w:lvl>
    <w:lvl w:ilvl="8" w:tplc="15105E4C" w:tentative="1">
      <w:start w:val="1"/>
      <w:numFmt w:val="lowerRoman"/>
      <w:lvlText w:val="%9."/>
      <w:lvlJc w:val="right"/>
      <w:pPr>
        <w:ind w:left="6480" w:hanging="180"/>
      </w:pPr>
    </w:lvl>
  </w:abstractNum>
  <w:abstractNum w:abstractNumId="30" w15:restartNumberingAfterBreak="0">
    <w:nsid w:val="0000001F"/>
    <w:multiLevelType w:val="hybridMultilevel"/>
    <w:tmpl w:val="1CA8C718"/>
    <w:lvl w:ilvl="0" w:tplc="A27CFE6E">
      <w:start w:val="1"/>
      <w:numFmt w:val="lowerLetter"/>
      <w:lvlText w:val="%1."/>
      <w:lvlJc w:val="left"/>
      <w:pPr>
        <w:ind w:left="360" w:hanging="360"/>
      </w:pPr>
      <w:rPr>
        <w:rFonts w:cs="Times New Roman"/>
      </w:rPr>
    </w:lvl>
    <w:lvl w:ilvl="1" w:tplc="4EA0C8AA">
      <w:start w:val="1"/>
      <w:numFmt w:val="decimal"/>
      <w:lvlText w:val="%2."/>
      <w:lvlJc w:val="left"/>
      <w:pPr>
        <w:tabs>
          <w:tab w:val="num" w:pos="1440"/>
        </w:tabs>
        <w:ind w:left="1440" w:hanging="360"/>
      </w:pPr>
    </w:lvl>
    <w:lvl w:ilvl="2" w:tplc="AB823930">
      <w:start w:val="1"/>
      <w:numFmt w:val="decimal"/>
      <w:lvlText w:val="%3."/>
      <w:lvlJc w:val="left"/>
      <w:pPr>
        <w:tabs>
          <w:tab w:val="num" w:pos="2160"/>
        </w:tabs>
        <w:ind w:left="2160" w:hanging="360"/>
      </w:pPr>
    </w:lvl>
    <w:lvl w:ilvl="3" w:tplc="748A3446">
      <w:start w:val="1"/>
      <w:numFmt w:val="decimal"/>
      <w:lvlText w:val="%4."/>
      <w:lvlJc w:val="left"/>
      <w:pPr>
        <w:tabs>
          <w:tab w:val="num" w:pos="2880"/>
        </w:tabs>
        <w:ind w:left="2880" w:hanging="360"/>
      </w:pPr>
    </w:lvl>
    <w:lvl w:ilvl="4" w:tplc="DB7CD89C">
      <w:start w:val="1"/>
      <w:numFmt w:val="decimal"/>
      <w:lvlText w:val="%5."/>
      <w:lvlJc w:val="left"/>
      <w:pPr>
        <w:tabs>
          <w:tab w:val="num" w:pos="3600"/>
        </w:tabs>
        <w:ind w:left="3600" w:hanging="360"/>
      </w:pPr>
    </w:lvl>
    <w:lvl w:ilvl="5" w:tplc="901859B8">
      <w:start w:val="1"/>
      <w:numFmt w:val="decimal"/>
      <w:lvlText w:val="%6."/>
      <w:lvlJc w:val="left"/>
      <w:pPr>
        <w:tabs>
          <w:tab w:val="num" w:pos="4320"/>
        </w:tabs>
        <w:ind w:left="4320" w:hanging="360"/>
      </w:pPr>
    </w:lvl>
    <w:lvl w:ilvl="6" w:tplc="7538716E">
      <w:start w:val="1"/>
      <w:numFmt w:val="decimal"/>
      <w:lvlText w:val="%7."/>
      <w:lvlJc w:val="left"/>
      <w:pPr>
        <w:tabs>
          <w:tab w:val="num" w:pos="5040"/>
        </w:tabs>
        <w:ind w:left="5040" w:hanging="360"/>
      </w:pPr>
    </w:lvl>
    <w:lvl w:ilvl="7" w:tplc="08B42324">
      <w:start w:val="1"/>
      <w:numFmt w:val="decimal"/>
      <w:lvlText w:val="%8."/>
      <w:lvlJc w:val="left"/>
      <w:pPr>
        <w:tabs>
          <w:tab w:val="num" w:pos="5760"/>
        </w:tabs>
        <w:ind w:left="5760" w:hanging="360"/>
      </w:pPr>
    </w:lvl>
    <w:lvl w:ilvl="8" w:tplc="64E40056">
      <w:start w:val="1"/>
      <w:numFmt w:val="decimal"/>
      <w:lvlText w:val="%9."/>
      <w:lvlJc w:val="left"/>
      <w:pPr>
        <w:tabs>
          <w:tab w:val="num" w:pos="6480"/>
        </w:tabs>
        <w:ind w:left="6480" w:hanging="360"/>
      </w:pPr>
    </w:lvl>
  </w:abstractNum>
  <w:abstractNum w:abstractNumId="31" w15:restartNumberingAfterBreak="0">
    <w:nsid w:val="00000020"/>
    <w:multiLevelType w:val="hybridMultilevel"/>
    <w:tmpl w:val="8534C530"/>
    <w:lvl w:ilvl="0" w:tplc="542ED1FA">
      <w:start w:val="1"/>
      <w:numFmt w:val="lowerLetter"/>
      <w:lvlText w:val="%1."/>
      <w:lvlJc w:val="left"/>
      <w:pPr>
        <w:ind w:left="786" w:hanging="360"/>
      </w:pPr>
      <w:rPr>
        <w:rFonts w:hint="default"/>
      </w:rPr>
    </w:lvl>
    <w:lvl w:ilvl="1" w:tplc="E93AD46A" w:tentative="1">
      <w:start w:val="1"/>
      <w:numFmt w:val="lowerLetter"/>
      <w:lvlText w:val="%2."/>
      <w:lvlJc w:val="left"/>
      <w:pPr>
        <w:ind w:left="1506" w:hanging="360"/>
      </w:pPr>
    </w:lvl>
    <w:lvl w:ilvl="2" w:tplc="A57CF616" w:tentative="1">
      <w:start w:val="1"/>
      <w:numFmt w:val="lowerRoman"/>
      <w:lvlText w:val="%3."/>
      <w:lvlJc w:val="right"/>
      <w:pPr>
        <w:ind w:left="2226" w:hanging="180"/>
      </w:pPr>
    </w:lvl>
    <w:lvl w:ilvl="3" w:tplc="6FAA51A2" w:tentative="1">
      <w:start w:val="1"/>
      <w:numFmt w:val="decimal"/>
      <w:lvlText w:val="%4."/>
      <w:lvlJc w:val="left"/>
      <w:pPr>
        <w:ind w:left="2946" w:hanging="360"/>
      </w:pPr>
    </w:lvl>
    <w:lvl w:ilvl="4" w:tplc="34C276EE" w:tentative="1">
      <w:start w:val="1"/>
      <w:numFmt w:val="lowerLetter"/>
      <w:lvlText w:val="%5."/>
      <w:lvlJc w:val="left"/>
      <w:pPr>
        <w:ind w:left="3666" w:hanging="360"/>
      </w:pPr>
    </w:lvl>
    <w:lvl w:ilvl="5" w:tplc="2ABCE80E" w:tentative="1">
      <w:start w:val="1"/>
      <w:numFmt w:val="lowerRoman"/>
      <w:lvlText w:val="%6."/>
      <w:lvlJc w:val="right"/>
      <w:pPr>
        <w:ind w:left="4386" w:hanging="180"/>
      </w:pPr>
    </w:lvl>
    <w:lvl w:ilvl="6" w:tplc="10C23F98" w:tentative="1">
      <w:start w:val="1"/>
      <w:numFmt w:val="decimal"/>
      <w:lvlText w:val="%7."/>
      <w:lvlJc w:val="left"/>
      <w:pPr>
        <w:ind w:left="5106" w:hanging="360"/>
      </w:pPr>
    </w:lvl>
    <w:lvl w:ilvl="7" w:tplc="252207E4" w:tentative="1">
      <w:start w:val="1"/>
      <w:numFmt w:val="lowerLetter"/>
      <w:lvlText w:val="%8."/>
      <w:lvlJc w:val="left"/>
      <w:pPr>
        <w:ind w:left="5826" w:hanging="360"/>
      </w:pPr>
    </w:lvl>
    <w:lvl w:ilvl="8" w:tplc="157A45C0" w:tentative="1">
      <w:start w:val="1"/>
      <w:numFmt w:val="lowerRoman"/>
      <w:lvlText w:val="%9."/>
      <w:lvlJc w:val="right"/>
      <w:pPr>
        <w:ind w:left="6546" w:hanging="180"/>
      </w:pPr>
    </w:lvl>
  </w:abstractNum>
  <w:abstractNum w:abstractNumId="32" w15:restartNumberingAfterBreak="0">
    <w:nsid w:val="00000021"/>
    <w:multiLevelType w:val="hybridMultilevel"/>
    <w:tmpl w:val="D4A43DA8"/>
    <w:lvl w:ilvl="0" w:tplc="F1363E6A">
      <w:start w:val="1"/>
      <w:numFmt w:val="decimal"/>
      <w:lvlText w:val="%1."/>
      <w:lvlJc w:val="left"/>
      <w:pPr>
        <w:ind w:left="360" w:hanging="360"/>
      </w:pPr>
      <w:rPr>
        <w:b w:val="0"/>
        <w:bCs/>
      </w:rPr>
    </w:lvl>
    <w:lvl w:ilvl="1" w:tplc="FB56C328">
      <w:start w:val="1"/>
      <w:numFmt w:val="lowerLetter"/>
      <w:lvlText w:val="%2."/>
      <w:lvlJc w:val="left"/>
      <w:pPr>
        <w:ind w:left="1080" w:hanging="360"/>
      </w:pPr>
    </w:lvl>
    <w:lvl w:ilvl="2" w:tplc="593E168A">
      <w:start w:val="1"/>
      <w:numFmt w:val="lowerRoman"/>
      <w:lvlText w:val="%3."/>
      <w:lvlJc w:val="right"/>
      <w:pPr>
        <w:ind w:left="1800" w:hanging="180"/>
      </w:pPr>
    </w:lvl>
    <w:lvl w:ilvl="3" w:tplc="116CAF94">
      <w:start w:val="1"/>
      <w:numFmt w:val="decimal"/>
      <w:lvlText w:val="%4."/>
      <w:lvlJc w:val="left"/>
      <w:pPr>
        <w:ind w:left="2520" w:hanging="360"/>
      </w:pPr>
    </w:lvl>
    <w:lvl w:ilvl="4" w:tplc="5268E4C0">
      <w:start w:val="1"/>
      <w:numFmt w:val="lowerLetter"/>
      <w:lvlText w:val="%5."/>
      <w:lvlJc w:val="left"/>
      <w:pPr>
        <w:ind w:left="3240" w:hanging="360"/>
      </w:pPr>
    </w:lvl>
    <w:lvl w:ilvl="5" w:tplc="3788DDE6">
      <w:start w:val="1"/>
      <w:numFmt w:val="lowerRoman"/>
      <w:lvlText w:val="%6."/>
      <w:lvlJc w:val="right"/>
      <w:pPr>
        <w:ind w:left="3960" w:hanging="180"/>
      </w:pPr>
    </w:lvl>
    <w:lvl w:ilvl="6" w:tplc="4218E0AC">
      <w:start w:val="1"/>
      <w:numFmt w:val="decimal"/>
      <w:lvlText w:val="%7."/>
      <w:lvlJc w:val="left"/>
      <w:pPr>
        <w:ind w:left="4680" w:hanging="360"/>
      </w:pPr>
    </w:lvl>
    <w:lvl w:ilvl="7" w:tplc="E21A8D6E">
      <w:start w:val="1"/>
      <w:numFmt w:val="lowerLetter"/>
      <w:lvlText w:val="%8."/>
      <w:lvlJc w:val="left"/>
      <w:pPr>
        <w:ind w:left="5400" w:hanging="360"/>
      </w:pPr>
    </w:lvl>
    <w:lvl w:ilvl="8" w:tplc="37E48ED4">
      <w:start w:val="1"/>
      <w:numFmt w:val="lowerRoman"/>
      <w:lvlText w:val="%9."/>
      <w:lvlJc w:val="right"/>
      <w:pPr>
        <w:ind w:left="6120" w:hanging="180"/>
      </w:pPr>
    </w:lvl>
  </w:abstractNum>
  <w:abstractNum w:abstractNumId="33" w15:restartNumberingAfterBreak="0">
    <w:nsid w:val="00000022"/>
    <w:multiLevelType w:val="hybridMultilevel"/>
    <w:tmpl w:val="0122C38E"/>
    <w:lvl w:ilvl="0" w:tplc="548A9524">
      <w:start w:val="1"/>
      <w:numFmt w:val="lowerLetter"/>
      <w:lvlText w:val="%1."/>
      <w:lvlJc w:val="left"/>
      <w:pPr>
        <w:ind w:left="720" w:hanging="360"/>
      </w:pPr>
    </w:lvl>
    <w:lvl w:ilvl="1" w:tplc="20385E38" w:tentative="1">
      <w:start w:val="1"/>
      <w:numFmt w:val="lowerLetter"/>
      <w:lvlText w:val="%2."/>
      <w:lvlJc w:val="left"/>
      <w:pPr>
        <w:ind w:left="1440" w:hanging="360"/>
      </w:pPr>
    </w:lvl>
    <w:lvl w:ilvl="2" w:tplc="F53A326C" w:tentative="1">
      <w:start w:val="1"/>
      <w:numFmt w:val="lowerRoman"/>
      <w:lvlText w:val="%3."/>
      <w:lvlJc w:val="right"/>
      <w:pPr>
        <w:ind w:left="2160" w:hanging="180"/>
      </w:pPr>
    </w:lvl>
    <w:lvl w:ilvl="3" w:tplc="E51C0876" w:tentative="1">
      <w:start w:val="1"/>
      <w:numFmt w:val="decimal"/>
      <w:lvlText w:val="%4."/>
      <w:lvlJc w:val="left"/>
      <w:pPr>
        <w:ind w:left="2880" w:hanging="360"/>
      </w:pPr>
    </w:lvl>
    <w:lvl w:ilvl="4" w:tplc="12B4F732" w:tentative="1">
      <w:start w:val="1"/>
      <w:numFmt w:val="lowerLetter"/>
      <w:lvlText w:val="%5."/>
      <w:lvlJc w:val="left"/>
      <w:pPr>
        <w:ind w:left="3600" w:hanging="360"/>
      </w:pPr>
    </w:lvl>
    <w:lvl w:ilvl="5" w:tplc="BB403870" w:tentative="1">
      <w:start w:val="1"/>
      <w:numFmt w:val="lowerRoman"/>
      <w:lvlText w:val="%6."/>
      <w:lvlJc w:val="right"/>
      <w:pPr>
        <w:ind w:left="4320" w:hanging="180"/>
      </w:pPr>
    </w:lvl>
    <w:lvl w:ilvl="6" w:tplc="8050FBAA" w:tentative="1">
      <w:start w:val="1"/>
      <w:numFmt w:val="decimal"/>
      <w:lvlText w:val="%7."/>
      <w:lvlJc w:val="left"/>
      <w:pPr>
        <w:ind w:left="5040" w:hanging="360"/>
      </w:pPr>
    </w:lvl>
    <w:lvl w:ilvl="7" w:tplc="3A4A777E" w:tentative="1">
      <w:start w:val="1"/>
      <w:numFmt w:val="lowerLetter"/>
      <w:lvlText w:val="%8."/>
      <w:lvlJc w:val="left"/>
      <w:pPr>
        <w:ind w:left="5760" w:hanging="360"/>
      </w:pPr>
    </w:lvl>
    <w:lvl w:ilvl="8" w:tplc="BB80B83E" w:tentative="1">
      <w:start w:val="1"/>
      <w:numFmt w:val="lowerRoman"/>
      <w:lvlText w:val="%9."/>
      <w:lvlJc w:val="right"/>
      <w:pPr>
        <w:ind w:left="6480" w:hanging="180"/>
      </w:pPr>
    </w:lvl>
  </w:abstractNum>
  <w:abstractNum w:abstractNumId="34" w15:restartNumberingAfterBreak="0">
    <w:nsid w:val="00000023"/>
    <w:multiLevelType w:val="hybridMultilevel"/>
    <w:tmpl w:val="18A242E6"/>
    <w:lvl w:ilvl="0" w:tplc="3432AE1E">
      <w:start w:val="1"/>
      <w:numFmt w:val="lowerLetter"/>
      <w:lvlText w:val="%1."/>
      <w:lvlJc w:val="left"/>
      <w:pPr>
        <w:ind w:left="720" w:hanging="360"/>
      </w:pPr>
      <w:rPr>
        <w:rFonts w:hint="default"/>
      </w:rPr>
    </w:lvl>
    <w:lvl w:ilvl="1" w:tplc="224634B2" w:tentative="1">
      <w:start w:val="1"/>
      <w:numFmt w:val="lowerLetter"/>
      <w:lvlText w:val="%2."/>
      <w:lvlJc w:val="left"/>
      <w:pPr>
        <w:ind w:left="1440" w:hanging="360"/>
      </w:pPr>
    </w:lvl>
    <w:lvl w:ilvl="2" w:tplc="FBB038B6" w:tentative="1">
      <w:start w:val="1"/>
      <w:numFmt w:val="lowerRoman"/>
      <w:lvlText w:val="%3."/>
      <w:lvlJc w:val="right"/>
      <w:pPr>
        <w:ind w:left="2160" w:hanging="180"/>
      </w:pPr>
    </w:lvl>
    <w:lvl w:ilvl="3" w:tplc="E6E456FC" w:tentative="1">
      <w:start w:val="1"/>
      <w:numFmt w:val="decimal"/>
      <w:lvlText w:val="%4."/>
      <w:lvlJc w:val="left"/>
      <w:pPr>
        <w:ind w:left="2880" w:hanging="360"/>
      </w:pPr>
    </w:lvl>
    <w:lvl w:ilvl="4" w:tplc="7C2C2042" w:tentative="1">
      <w:start w:val="1"/>
      <w:numFmt w:val="lowerLetter"/>
      <w:lvlText w:val="%5."/>
      <w:lvlJc w:val="left"/>
      <w:pPr>
        <w:ind w:left="3600" w:hanging="360"/>
      </w:pPr>
    </w:lvl>
    <w:lvl w:ilvl="5" w:tplc="F9B2C472" w:tentative="1">
      <w:start w:val="1"/>
      <w:numFmt w:val="lowerRoman"/>
      <w:lvlText w:val="%6."/>
      <w:lvlJc w:val="right"/>
      <w:pPr>
        <w:ind w:left="4320" w:hanging="180"/>
      </w:pPr>
    </w:lvl>
    <w:lvl w:ilvl="6" w:tplc="FD2E6A9E" w:tentative="1">
      <w:start w:val="1"/>
      <w:numFmt w:val="decimal"/>
      <w:lvlText w:val="%7."/>
      <w:lvlJc w:val="left"/>
      <w:pPr>
        <w:ind w:left="5040" w:hanging="360"/>
      </w:pPr>
    </w:lvl>
    <w:lvl w:ilvl="7" w:tplc="988EECBA" w:tentative="1">
      <w:start w:val="1"/>
      <w:numFmt w:val="lowerLetter"/>
      <w:lvlText w:val="%8."/>
      <w:lvlJc w:val="left"/>
      <w:pPr>
        <w:ind w:left="5760" w:hanging="360"/>
      </w:pPr>
    </w:lvl>
    <w:lvl w:ilvl="8" w:tplc="4462C19E" w:tentative="1">
      <w:start w:val="1"/>
      <w:numFmt w:val="lowerRoman"/>
      <w:lvlText w:val="%9."/>
      <w:lvlJc w:val="right"/>
      <w:pPr>
        <w:ind w:left="6480" w:hanging="180"/>
      </w:pPr>
    </w:lvl>
  </w:abstractNum>
  <w:abstractNum w:abstractNumId="35" w15:restartNumberingAfterBreak="0">
    <w:nsid w:val="00000024"/>
    <w:multiLevelType w:val="hybridMultilevel"/>
    <w:tmpl w:val="D4A43DA8"/>
    <w:lvl w:ilvl="0" w:tplc="02AE1D0C">
      <w:start w:val="1"/>
      <w:numFmt w:val="decimal"/>
      <w:lvlText w:val="%1."/>
      <w:lvlJc w:val="left"/>
      <w:pPr>
        <w:ind w:left="1145" w:hanging="360"/>
      </w:pPr>
      <w:rPr>
        <w:b w:val="0"/>
        <w:bCs/>
      </w:rPr>
    </w:lvl>
    <w:lvl w:ilvl="1" w:tplc="DA7A2F84">
      <w:start w:val="1"/>
      <w:numFmt w:val="lowerLetter"/>
      <w:lvlText w:val="%2."/>
      <w:lvlJc w:val="left"/>
      <w:pPr>
        <w:ind w:left="1865" w:hanging="360"/>
      </w:pPr>
    </w:lvl>
    <w:lvl w:ilvl="2" w:tplc="5A7A6C6E">
      <w:start w:val="1"/>
      <w:numFmt w:val="lowerRoman"/>
      <w:lvlText w:val="%3."/>
      <w:lvlJc w:val="right"/>
      <w:pPr>
        <w:ind w:left="2585" w:hanging="180"/>
      </w:pPr>
    </w:lvl>
    <w:lvl w:ilvl="3" w:tplc="56509942">
      <w:start w:val="1"/>
      <w:numFmt w:val="decimal"/>
      <w:lvlText w:val="%4."/>
      <w:lvlJc w:val="left"/>
      <w:pPr>
        <w:ind w:left="3305" w:hanging="360"/>
      </w:pPr>
    </w:lvl>
    <w:lvl w:ilvl="4" w:tplc="EADCBCCA">
      <w:start w:val="1"/>
      <w:numFmt w:val="lowerLetter"/>
      <w:lvlText w:val="%5."/>
      <w:lvlJc w:val="left"/>
      <w:pPr>
        <w:ind w:left="4025" w:hanging="360"/>
      </w:pPr>
    </w:lvl>
    <w:lvl w:ilvl="5" w:tplc="448893C2">
      <w:start w:val="1"/>
      <w:numFmt w:val="lowerRoman"/>
      <w:lvlText w:val="%6."/>
      <w:lvlJc w:val="right"/>
      <w:pPr>
        <w:ind w:left="4745" w:hanging="180"/>
      </w:pPr>
    </w:lvl>
    <w:lvl w:ilvl="6" w:tplc="E5C660D2">
      <w:start w:val="1"/>
      <w:numFmt w:val="decimal"/>
      <w:lvlText w:val="%7."/>
      <w:lvlJc w:val="left"/>
      <w:pPr>
        <w:ind w:left="5465" w:hanging="360"/>
      </w:pPr>
    </w:lvl>
    <w:lvl w:ilvl="7" w:tplc="ABCC6142">
      <w:start w:val="1"/>
      <w:numFmt w:val="lowerLetter"/>
      <w:lvlText w:val="%8."/>
      <w:lvlJc w:val="left"/>
      <w:pPr>
        <w:ind w:left="6185" w:hanging="360"/>
      </w:pPr>
    </w:lvl>
    <w:lvl w:ilvl="8" w:tplc="8E62C806">
      <w:start w:val="1"/>
      <w:numFmt w:val="lowerRoman"/>
      <w:lvlText w:val="%9."/>
      <w:lvlJc w:val="right"/>
      <w:pPr>
        <w:ind w:left="6905" w:hanging="180"/>
      </w:pPr>
    </w:lvl>
  </w:abstractNum>
  <w:abstractNum w:abstractNumId="36" w15:restartNumberingAfterBreak="0">
    <w:nsid w:val="00000025"/>
    <w:multiLevelType w:val="hybridMultilevel"/>
    <w:tmpl w:val="D4A43DA8"/>
    <w:lvl w:ilvl="0" w:tplc="8F2CF5AE">
      <w:start w:val="1"/>
      <w:numFmt w:val="decimal"/>
      <w:lvlText w:val="%1."/>
      <w:lvlJc w:val="left"/>
      <w:pPr>
        <w:ind w:left="1145" w:hanging="360"/>
      </w:pPr>
      <w:rPr>
        <w:b w:val="0"/>
        <w:bCs/>
      </w:rPr>
    </w:lvl>
    <w:lvl w:ilvl="1" w:tplc="AE381A78">
      <w:start w:val="1"/>
      <w:numFmt w:val="lowerLetter"/>
      <w:lvlText w:val="%2."/>
      <w:lvlJc w:val="left"/>
      <w:pPr>
        <w:ind w:left="1865" w:hanging="360"/>
      </w:pPr>
    </w:lvl>
    <w:lvl w:ilvl="2" w:tplc="CD82932A">
      <w:start w:val="1"/>
      <w:numFmt w:val="lowerRoman"/>
      <w:lvlText w:val="%3."/>
      <w:lvlJc w:val="right"/>
      <w:pPr>
        <w:ind w:left="2585" w:hanging="180"/>
      </w:pPr>
    </w:lvl>
    <w:lvl w:ilvl="3" w:tplc="29C48E46">
      <w:start w:val="1"/>
      <w:numFmt w:val="decimal"/>
      <w:lvlText w:val="%4."/>
      <w:lvlJc w:val="left"/>
      <w:pPr>
        <w:ind w:left="3305" w:hanging="360"/>
      </w:pPr>
    </w:lvl>
    <w:lvl w:ilvl="4" w:tplc="96B072A2">
      <w:start w:val="1"/>
      <w:numFmt w:val="lowerLetter"/>
      <w:lvlText w:val="%5."/>
      <w:lvlJc w:val="left"/>
      <w:pPr>
        <w:ind w:left="4025" w:hanging="360"/>
      </w:pPr>
    </w:lvl>
    <w:lvl w:ilvl="5" w:tplc="417CB2F0">
      <w:start w:val="1"/>
      <w:numFmt w:val="lowerRoman"/>
      <w:lvlText w:val="%6."/>
      <w:lvlJc w:val="right"/>
      <w:pPr>
        <w:ind w:left="4745" w:hanging="180"/>
      </w:pPr>
    </w:lvl>
    <w:lvl w:ilvl="6" w:tplc="4830BF18">
      <w:start w:val="1"/>
      <w:numFmt w:val="decimal"/>
      <w:lvlText w:val="%7."/>
      <w:lvlJc w:val="left"/>
      <w:pPr>
        <w:ind w:left="5465" w:hanging="360"/>
      </w:pPr>
    </w:lvl>
    <w:lvl w:ilvl="7" w:tplc="964A3BB2">
      <w:start w:val="1"/>
      <w:numFmt w:val="lowerLetter"/>
      <w:lvlText w:val="%8."/>
      <w:lvlJc w:val="left"/>
      <w:pPr>
        <w:ind w:left="6185" w:hanging="360"/>
      </w:pPr>
    </w:lvl>
    <w:lvl w:ilvl="8" w:tplc="83D4BC7A">
      <w:start w:val="1"/>
      <w:numFmt w:val="lowerRoman"/>
      <w:lvlText w:val="%9."/>
      <w:lvlJc w:val="right"/>
      <w:pPr>
        <w:ind w:left="6905" w:hanging="180"/>
      </w:pPr>
    </w:lvl>
  </w:abstractNum>
  <w:abstractNum w:abstractNumId="37" w15:restartNumberingAfterBreak="0">
    <w:nsid w:val="00000026"/>
    <w:multiLevelType w:val="hybridMultilevel"/>
    <w:tmpl w:val="D4A43DA8"/>
    <w:lvl w:ilvl="0" w:tplc="135E66B0">
      <w:start w:val="1"/>
      <w:numFmt w:val="decimal"/>
      <w:lvlText w:val="%1."/>
      <w:lvlJc w:val="left"/>
      <w:pPr>
        <w:ind w:left="1145" w:hanging="360"/>
      </w:pPr>
      <w:rPr>
        <w:b w:val="0"/>
        <w:bCs/>
      </w:rPr>
    </w:lvl>
    <w:lvl w:ilvl="1" w:tplc="C6868FC4">
      <w:start w:val="1"/>
      <w:numFmt w:val="lowerLetter"/>
      <w:lvlText w:val="%2."/>
      <w:lvlJc w:val="left"/>
      <w:pPr>
        <w:ind w:left="1865" w:hanging="360"/>
      </w:pPr>
    </w:lvl>
    <w:lvl w:ilvl="2" w:tplc="D4126D42">
      <w:start w:val="1"/>
      <w:numFmt w:val="lowerRoman"/>
      <w:lvlText w:val="%3."/>
      <w:lvlJc w:val="right"/>
      <w:pPr>
        <w:ind w:left="2585" w:hanging="180"/>
      </w:pPr>
    </w:lvl>
    <w:lvl w:ilvl="3" w:tplc="E452AF80">
      <w:start w:val="1"/>
      <w:numFmt w:val="decimal"/>
      <w:lvlText w:val="%4."/>
      <w:lvlJc w:val="left"/>
      <w:pPr>
        <w:ind w:left="3305" w:hanging="360"/>
      </w:pPr>
    </w:lvl>
    <w:lvl w:ilvl="4" w:tplc="42AC1586">
      <w:start w:val="1"/>
      <w:numFmt w:val="lowerLetter"/>
      <w:lvlText w:val="%5."/>
      <w:lvlJc w:val="left"/>
      <w:pPr>
        <w:ind w:left="4025" w:hanging="360"/>
      </w:pPr>
    </w:lvl>
    <w:lvl w:ilvl="5" w:tplc="2B4A2E8E">
      <w:start w:val="1"/>
      <w:numFmt w:val="lowerRoman"/>
      <w:lvlText w:val="%6."/>
      <w:lvlJc w:val="right"/>
      <w:pPr>
        <w:ind w:left="4745" w:hanging="180"/>
      </w:pPr>
    </w:lvl>
    <w:lvl w:ilvl="6" w:tplc="46D23758">
      <w:start w:val="1"/>
      <w:numFmt w:val="decimal"/>
      <w:lvlText w:val="%7."/>
      <w:lvlJc w:val="left"/>
      <w:pPr>
        <w:ind w:left="5465" w:hanging="360"/>
      </w:pPr>
    </w:lvl>
    <w:lvl w:ilvl="7" w:tplc="8ACC3FC6">
      <w:start w:val="1"/>
      <w:numFmt w:val="lowerLetter"/>
      <w:lvlText w:val="%8."/>
      <w:lvlJc w:val="left"/>
      <w:pPr>
        <w:ind w:left="6185" w:hanging="360"/>
      </w:pPr>
    </w:lvl>
    <w:lvl w:ilvl="8" w:tplc="E37CC4B6">
      <w:start w:val="1"/>
      <w:numFmt w:val="lowerRoman"/>
      <w:lvlText w:val="%9."/>
      <w:lvlJc w:val="right"/>
      <w:pPr>
        <w:ind w:left="6905" w:hanging="180"/>
      </w:pPr>
    </w:lvl>
  </w:abstractNum>
  <w:abstractNum w:abstractNumId="38" w15:restartNumberingAfterBreak="0">
    <w:nsid w:val="00000027"/>
    <w:multiLevelType w:val="hybridMultilevel"/>
    <w:tmpl w:val="0F382BCC"/>
    <w:lvl w:ilvl="0" w:tplc="BB227F58">
      <w:start w:val="1"/>
      <w:numFmt w:val="decimal"/>
      <w:lvlText w:val="%1."/>
      <w:lvlJc w:val="left"/>
      <w:pPr>
        <w:ind w:left="720" w:hanging="360"/>
      </w:pPr>
    </w:lvl>
    <w:lvl w:ilvl="1" w:tplc="D106488C">
      <w:start w:val="1"/>
      <w:numFmt w:val="lowerLetter"/>
      <w:lvlText w:val="%2."/>
      <w:lvlJc w:val="left"/>
      <w:pPr>
        <w:ind w:left="1440" w:hanging="360"/>
      </w:pPr>
    </w:lvl>
    <w:lvl w:ilvl="2" w:tplc="943E818C">
      <w:start w:val="1"/>
      <w:numFmt w:val="lowerRoman"/>
      <w:lvlText w:val="%3."/>
      <w:lvlJc w:val="right"/>
      <w:pPr>
        <w:ind w:left="2160" w:hanging="180"/>
      </w:pPr>
    </w:lvl>
    <w:lvl w:ilvl="3" w:tplc="6568B34A">
      <w:start w:val="1"/>
      <w:numFmt w:val="decimal"/>
      <w:lvlText w:val="%4."/>
      <w:lvlJc w:val="left"/>
      <w:pPr>
        <w:ind w:left="2880" w:hanging="360"/>
      </w:pPr>
    </w:lvl>
    <w:lvl w:ilvl="4" w:tplc="93247426">
      <w:start w:val="1"/>
      <w:numFmt w:val="lowerLetter"/>
      <w:lvlText w:val="%5."/>
      <w:lvlJc w:val="left"/>
      <w:pPr>
        <w:ind w:left="3600" w:hanging="360"/>
      </w:pPr>
    </w:lvl>
    <w:lvl w:ilvl="5" w:tplc="73B0C356">
      <w:start w:val="1"/>
      <w:numFmt w:val="lowerRoman"/>
      <w:lvlText w:val="%6."/>
      <w:lvlJc w:val="right"/>
      <w:pPr>
        <w:ind w:left="4320" w:hanging="180"/>
      </w:pPr>
    </w:lvl>
    <w:lvl w:ilvl="6" w:tplc="4B9E6F5C">
      <w:start w:val="1"/>
      <w:numFmt w:val="decimal"/>
      <w:lvlText w:val="%7."/>
      <w:lvlJc w:val="left"/>
      <w:pPr>
        <w:ind w:left="5040" w:hanging="360"/>
      </w:pPr>
    </w:lvl>
    <w:lvl w:ilvl="7" w:tplc="923C9AEC">
      <w:start w:val="1"/>
      <w:numFmt w:val="lowerLetter"/>
      <w:lvlText w:val="%8."/>
      <w:lvlJc w:val="left"/>
      <w:pPr>
        <w:ind w:left="5760" w:hanging="360"/>
      </w:pPr>
    </w:lvl>
    <w:lvl w:ilvl="8" w:tplc="FB14E4CC">
      <w:start w:val="1"/>
      <w:numFmt w:val="lowerRoman"/>
      <w:lvlText w:val="%9."/>
      <w:lvlJc w:val="right"/>
      <w:pPr>
        <w:ind w:left="6480" w:hanging="180"/>
      </w:pPr>
    </w:lvl>
  </w:abstractNum>
  <w:abstractNum w:abstractNumId="39" w15:restartNumberingAfterBreak="0">
    <w:nsid w:val="00000028"/>
    <w:multiLevelType w:val="hybridMultilevel"/>
    <w:tmpl w:val="22F43FC2"/>
    <w:lvl w:ilvl="0" w:tplc="47F6FBEC">
      <w:start w:val="1"/>
      <w:numFmt w:val="bullet"/>
      <w:lvlText w:val=""/>
      <w:lvlJc w:val="left"/>
      <w:pPr>
        <w:ind w:left="720" w:hanging="360"/>
      </w:pPr>
      <w:rPr>
        <w:rFonts w:ascii="Symbol" w:hAnsi="Symbol" w:hint="default"/>
      </w:rPr>
    </w:lvl>
    <w:lvl w:ilvl="1" w:tplc="14B82B22">
      <w:start w:val="1"/>
      <w:numFmt w:val="bullet"/>
      <w:lvlText w:val="o"/>
      <w:lvlJc w:val="left"/>
      <w:pPr>
        <w:ind w:left="1440" w:hanging="360"/>
      </w:pPr>
      <w:rPr>
        <w:rFonts w:ascii="Courier New" w:hAnsi="Courier New" w:cs="Courier New" w:hint="default"/>
      </w:rPr>
    </w:lvl>
    <w:lvl w:ilvl="2" w:tplc="15E43830">
      <w:start w:val="1"/>
      <w:numFmt w:val="bullet"/>
      <w:lvlText w:val=""/>
      <w:lvlJc w:val="left"/>
      <w:pPr>
        <w:ind w:left="2160" w:hanging="360"/>
      </w:pPr>
      <w:rPr>
        <w:rFonts w:ascii="Wingdings" w:hAnsi="Wingdings" w:hint="default"/>
      </w:rPr>
    </w:lvl>
    <w:lvl w:ilvl="3" w:tplc="E714A1B2">
      <w:start w:val="1"/>
      <w:numFmt w:val="bullet"/>
      <w:lvlText w:val=""/>
      <w:lvlJc w:val="left"/>
      <w:pPr>
        <w:ind w:left="2880" w:hanging="360"/>
      </w:pPr>
      <w:rPr>
        <w:rFonts w:ascii="Symbol" w:hAnsi="Symbol" w:hint="default"/>
      </w:rPr>
    </w:lvl>
    <w:lvl w:ilvl="4" w:tplc="B18E35D6">
      <w:start w:val="1"/>
      <w:numFmt w:val="bullet"/>
      <w:lvlText w:val="o"/>
      <w:lvlJc w:val="left"/>
      <w:pPr>
        <w:ind w:left="3600" w:hanging="360"/>
      </w:pPr>
      <w:rPr>
        <w:rFonts w:ascii="Courier New" w:hAnsi="Courier New" w:cs="Courier New" w:hint="default"/>
      </w:rPr>
    </w:lvl>
    <w:lvl w:ilvl="5" w:tplc="D62043F2">
      <w:start w:val="1"/>
      <w:numFmt w:val="bullet"/>
      <w:lvlText w:val=""/>
      <w:lvlJc w:val="left"/>
      <w:pPr>
        <w:ind w:left="4320" w:hanging="360"/>
      </w:pPr>
      <w:rPr>
        <w:rFonts w:ascii="Wingdings" w:hAnsi="Wingdings" w:hint="default"/>
      </w:rPr>
    </w:lvl>
    <w:lvl w:ilvl="6" w:tplc="24DA23EC">
      <w:start w:val="1"/>
      <w:numFmt w:val="bullet"/>
      <w:lvlText w:val=""/>
      <w:lvlJc w:val="left"/>
      <w:pPr>
        <w:ind w:left="5040" w:hanging="360"/>
      </w:pPr>
      <w:rPr>
        <w:rFonts w:ascii="Symbol" w:hAnsi="Symbol" w:hint="default"/>
      </w:rPr>
    </w:lvl>
    <w:lvl w:ilvl="7" w:tplc="6A26CD20">
      <w:start w:val="1"/>
      <w:numFmt w:val="bullet"/>
      <w:lvlText w:val="o"/>
      <w:lvlJc w:val="left"/>
      <w:pPr>
        <w:ind w:left="5760" w:hanging="360"/>
      </w:pPr>
      <w:rPr>
        <w:rFonts w:ascii="Courier New" w:hAnsi="Courier New" w:cs="Courier New" w:hint="default"/>
      </w:rPr>
    </w:lvl>
    <w:lvl w:ilvl="8" w:tplc="BB4A80A2">
      <w:start w:val="1"/>
      <w:numFmt w:val="bullet"/>
      <w:lvlText w:val=""/>
      <w:lvlJc w:val="left"/>
      <w:pPr>
        <w:ind w:left="6480" w:hanging="360"/>
      </w:pPr>
      <w:rPr>
        <w:rFonts w:ascii="Wingdings" w:hAnsi="Wingdings" w:hint="default"/>
      </w:rPr>
    </w:lvl>
  </w:abstractNum>
  <w:abstractNum w:abstractNumId="40" w15:restartNumberingAfterBreak="0">
    <w:nsid w:val="00000029"/>
    <w:multiLevelType w:val="hybridMultilevel"/>
    <w:tmpl w:val="4378AD72"/>
    <w:lvl w:ilvl="0" w:tplc="1802654E">
      <w:start w:val="2"/>
      <w:numFmt w:val="bullet"/>
      <w:lvlText w:val="-"/>
      <w:lvlJc w:val="left"/>
      <w:pPr>
        <w:ind w:left="1440" w:hanging="360"/>
      </w:pPr>
      <w:rPr>
        <w:rFonts w:ascii="Calibri" w:eastAsia="Calibri" w:hAnsi="Calibri" w:cs="Calibri" w:hint="default"/>
      </w:rPr>
    </w:lvl>
    <w:lvl w:ilvl="1" w:tplc="C1E29E3E" w:tentative="1">
      <w:start w:val="1"/>
      <w:numFmt w:val="bullet"/>
      <w:lvlText w:val="o"/>
      <w:lvlJc w:val="left"/>
      <w:pPr>
        <w:ind w:left="2160" w:hanging="360"/>
      </w:pPr>
      <w:rPr>
        <w:rFonts w:ascii="Courier New" w:hAnsi="Courier New" w:cs="Courier New" w:hint="default"/>
      </w:rPr>
    </w:lvl>
    <w:lvl w:ilvl="2" w:tplc="560A4B2E" w:tentative="1">
      <w:start w:val="1"/>
      <w:numFmt w:val="bullet"/>
      <w:lvlText w:val=""/>
      <w:lvlJc w:val="left"/>
      <w:pPr>
        <w:ind w:left="2880" w:hanging="360"/>
      </w:pPr>
      <w:rPr>
        <w:rFonts w:ascii="Wingdings" w:hAnsi="Wingdings" w:hint="default"/>
      </w:rPr>
    </w:lvl>
    <w:lvl w:ilvl="3" w:tplc="87F41F2C" w:tentative="1">
      <w:start w:val="1"/>
      <w:numFmt w:val="bullet"/>
      <w:lvlText w:val=""/>
      <w:lvlJc w:val="left"/>
      <w:pPr>
        <w:ind w:left="3600" w:hanging="360"/>
      </w:pPr>
      <w:rPr>
        <w:rFonts w:ascii="Symbol" w:hAnsi="Symbol" w:hint="default"/>
      </w:rPr>
    </w:lvl>
    <w:lvl w:ilvl="4" w:tplc="259EA5EC" w:tentative="1">
      <w:start w:val="1"/>
      <w:numFmt w:val="bullet"/>
      <w:lvlText w:val="o"/>
      <w:lvlJc w:val="left"/>
      <w:pPr>
        <w:ind w:left="4320" w:hanging="360"/>
      </w:pPr>
      <w:rPr>
        <w:rFonts w:ascii="Courier New" w:hAnsi="Courier New" w:cs="Courier New" w:hint="default"/>
      </w:rPr>
    </w:lvl>
    <w:lvl w:ilvl="5" w:tplc="BDA4C04C" w:tentative="1">
      <w:start w:val="1"/>
      <w:numFmt w:val="bullet"/>
      <w:lvlText w:val=""/>
      <w:lvlJc w:val="left"/>
      <w:pPr>
        <w:ind w:left="5040" w:hanging="360"/>
      </w:pPr>
      <w:rPr>
        <w:rFonts w:ascii="Wingdings" w:hAnsi="Wingdings" w:hint="default"/>
      </w:rPr>
    </w:lvl>
    <w:lvl w:ilvl="6" w:tplc="958818AE" w:tentative="1">
      <w:start w:val="1"/>
      <w:numFmt w:val="bullet"/>
      <w:lvlText w:val=""/>
      <w:lvlJc w:val="left"/>
      <w:pPr>
        <w:ind w:left="5760" w:hanging="360"/>
      </w:pPr>
      <w:rPr>
        <w:rFonts w:ascii="Symbol" w:hAnsi="Symbol" w:hint="default"/>
      </w:rPr>
    </w:lvl>
    <w:lvl w:ilvl="7" w:tplc="44B077AC" w:tentative="1">
      <w:start w:val="1"/>
      <w:numFmt w:val="bullet"/>
      <w:lvlText w:val="o"/>
      <w:lvlJc w:val="left"/>
      <w:pPr>
        <w:ind w:left="6480" w:hanging="360"/>
      </w:pPr>
      <w:rPr>
        <w:rFonts w:ascii="Courier New" w:hAnsi="Courier New" w:cs="Courier New" w:hint="default"/>
      </w:rPr>
    </w:lvl>
    <w:lvl w:ilvl="8" w:tplc="6F6870D8" w:tentative="1">
      <w:start w:val="1"/>
      <w:numFmt w:val="bullet"/>
      <w:lvlText w:val=""/>
      <w:lvlJc w:val="left"/>
      <w:pPr>
        <w:ind w:left="7200" w:hanging="360"/>
      </w:pPr>
      <w:rPr>
        <w:rFonts w:ascii="Wingdings" w:hAnsi="Wingdings" w:hint="default"/>
      </w:rPr>
    </w:lvl>
  </w:abstractNum>
  <w:abstractNum w:abstractNumId="41" w15:restartNumberingAfterBreak="0">
    <w:nsid w:val="0000002A"/>
    <w:multiLevelType w:val="hybridMultilevel"/>
    <w:tmpl w:val="5FD022AC"/>
    <w:lvl w:ilvl="0" w:tplc="1ECA771C">
      <w:start w:val="1"/>
      <w:numFmt w:val="bullet"/>
      <w:lvlText w:val=""/>
      <w:lvlJc w:val="left"/>
      <w:pPr>
        <w:ind w:left="720" w:hanging="360"/>
      </w:pPr>
      <w:rPr>
        <w:rFonts w:ascii="Symbol" w:hAnsi="Symbol" w:hint="default"/>
      </w:rPr>
    </w:lvl>
    <w:lvl w:ilvl="1" w:tplc="EACAC648">
      <w:start w:val="1"/>
      <w:numFmt w:val="bullet"/>
      <w:lvlText w:val="o"/>
      <w:lvlJc w:val="left"/>
      <w:pPr>
        <w:ind w:left="1440" w:hanging="360"/>
      </w:pPr>
      <w:rPr>
        <w:rFonts w:ascii="Courier New" w:hAnsi="Courier New" w:cs="Courier New" w:hint="default"/>
      </w:rPr>
    </w:lvl>
    <w:lvl w:ilvl="2" w:tplc="54FCB57C">
      <w:start w:val="1"/>
      <w:numFmt w:val="bullet"/>
      <w:lvlText w:val=""/>
      <w:lvlJc w:val="left"/>
      <w:pPr>
        <w:ind w:left="2160" w:hanging="360"/>
      </w:pPr>
      <w:rPr>
        <w:rFonts w:ascii="Wingdings" w:hAnsi="Wingdings" w:hint="default"/>
      </w:rPr>
    </w:lvl>
    <w:lvl w:ilvl="3" w:tplc="D86C56D0">
      <w:start w:val="1"/>
      <w:numFmt w:val="bullet"/>
      <w:lvlText w:val=""/>
      <w:lvlJc w:val="left"/>
      <w:pPr>
        <w:ind w:left="2880" w:hanging="360"/>
      </w:pPr>
      <w:rPr>
        <w:rFonts w:ascii="Symbol" w:hAnsi="Symbol" w:hint="default"/>
      </w:rPr>
    </w:lvl>
    <w:lvl w:ilvl="4" w:tplc="C5167E24">
      <w:start w:val="1"/>
      <w:numFmt w:val="bullet"/>
      <w:lvlText w:val="o"/>
      <w:lvlJc w:val="left"/>
      <w:pPr>
        <w:ind w:left="3600" w:hanging="360"/>
      </w:pPr>
      <w:rPr>
        <w:rFonts w:ascii="Courier New" w:hAnsi="Courier New" w:cs="Courier New" w:hint="default"/>
      </w:rPr>
    </w:lvl>
    <w:lvl w:ilvl="5" w:tplc="95E4F240">
      <w:start w:val="1"/>
      <w:numFmt w:val="bullet"/>
      <w:lvlText w:val=""/>
      <w:lvlJc w:val="left"/>
      <w:pPr>
        <w:ind w:left="4320" w:hanging="360"/>
      </w:pPr>
      <w:rPr>
        <w:rFonts w:ascii="Wingdings" w:hAnsi="Wingdings" w:hint="default"/>
      </w:rPr>
    </w:lvl>
    <w:lvl w:ilvl="6" w:tplc="2DEE6E2A">
      <w:start w:val="1"/>
      <w:numFmt w:val="bullet"/>
      <w:lvlText w:val=""/>
      <w:lvlJc w:val="left"/>
      <w:pPr>
        <w:ind w:left="5040" w:hanging="360"/>
      </w:pPr>
      <w:rPr>
        <w:rFonts w:ascii="Symbol" w:hAnsi="Symbol" w:hint="default"/>
      </w:rPr>
    </w:lvl>
    <w:lvl w:ilvl="7" w:tplc="B2A618D4">
      <w:start w:val="1"/>
      <w:numFmt w:val="bullet"/>
      <w:lvlText w:val="o"/>
      <w:lvlJc w:val="left"/>
      <w:pPr>
        <w:ind w:left="5760" w:hanging="360"/>
      </w:pPr>
      <w:rPr>
        <w:rFonts w:ascii="Courier New" w:hAnsi="Courier New" w:cs="Courier New" w:hint="default"/>
      </w:rPr>
    </w:lvl>
    <w:lvl w:ilvl="8" w:tplc="E688903C">
      <w:start w:val="1"/>
      <w:numFmt w:val="bullet"/>
      <w:lvlText w:val=""/>
      <w:lvlJc w:val="left"/>
      <w:pPr>
        <w:ind w:left="6480" w:hanging="360"/>
      </w:pPr>
      <w:rPr>
        <w:rFonts w:ascii="Wingdings" w:hAnsi="Wingdings" w:hint="default"/>
      </w:rPr>
    </w:lvl>
  </w:abstractNum>
  <w:abstractNum w:abstractNumId="42" w15:restartNumberingAfterBreak="0">
    <w:nsid w:val="0000002B"/>
    <w:multiLevelType w:val="hybridMultilevel"/>
    <w:tmpl w:val="C0F2A4F2"/>
    <w:lvl w:ilvl="0" w:tplc="CE9250AA">
      <w:start w:val="2"/>
      <w:numFmt w:val="bullet"/>
      <w:lvlText w:val="-"/>
      <w:lvlJc w:val="left"/>
      <w:pPr>
        <w:ind w:left="1440" w:hanging="360"/>
      </w:pPr>
      <w:rPr>
        <w:rFonts w:ascii="Calibri" w:eastAsia="Calibri" w:hAnsi="Calibri" w:cs="Calibri" w:hint="default"/>
      </w:rPr>
    </w:lvl>
    <w:lvl w:ilvl="1" w:tplc="DF488F62" w:tentative="1">
      <w:start w:val="1"/>
      <w:numFmt w:val="bullet"/>
      <w:lvlText w:val="o"/>
      <w:lvlJc w:val="left"/>
      <w:pPr>
        <w:ind w:left="2160" w:hanging="360"/>
      </w:pPr>
      <w:rPr>
        <w:rFonts w:ascii="Courier New" w:hAnsi="Courier New" w:cs="Courier New" w:hint="default"/>
      </w:rPr>
    </w:lvl>
    <w:lvl w:ilvl="2" w:tplc="25FEE164" w:tentative="1">
      <w:start w:val="1"/>
      <w:numFmt w:val="bullet"/>
      <w:lvlText w:val=""/>
      <w:lvlJc w:val="left"/>
      <w:pPr>
        <w:ind w:left="2880" w:hanging="360"/>
      </w:pPr>
      <w:rPr>
        <w:rFonts w:ascii="Wingdings" w:hAnsi="Wingdings" w:hint="default"/>
      </w:rPr>
    </w:lvl>
    <w:lvl w:ilvl="3" w:tplc="5A861D74" w:tentative="1">
      <w:start w:val="1"/>
      <w:numFmt w:val="bullet"/>
      <w:lvlText w:val=""/>
      <w:lvlJc w:val="left"/>
      <w:pPr>
        <w:ind w:left="3600" w:hanging="360"/>
      </w:pPr>
      <w:rPr>
        <w:rFonts w:ascii="Symbol" w:hAnsi="Symbol" w:hint="default"/>
      </w:rPr>
    </w:lvl>
    <w:lvl w:ilvl="4" w:tplc="55BEBBCE" w:tentative="1">
      <w:start w:val="1"/>
      <w:numFmt w:val="bullet"/>
      <w:lvlText w:val="o"/>
      <w:lvlJc w:val="left"/>
      <w:pPr>
        <w:ind w:left="4320" w:hanging="360"/>
      </w:pPr>
      <w:rPr>
        <w:rFonts w:ascii="Courier New" w:hAnsi="Courier New" w:cs="Courier New" w:hint="default"/>
      </w:rPr>
    </w:lvl>
    <w:lvl w:ilvl="5" w:tplc="429603DE" w:tentative="1">
      <w:start w:val="1"/>
      <w:numFmt w:val="bullet"/>
      <w:lvlText w:val=""/>
      <w:lvlJc w:val="left"/>
      <w:pPr>
        <w:ind w:left="5040" w:hanging="360"/>
      </w:pPr>
      <w:rPr>
        <w:rFonts w:ascii="Wingdings" w:hAnsi="Wingdings" w:hint="default"/>
      </w:rPr>
    </w:lvl>
    <w:lvl w:ilvl="6" w:tplc="B60A4E52" w:tentative="1">
      <w:start w:val="1"/>
      <w:numFmt w:val="bullet"/>
      <w:lvlText w:val=""/>
      <w:lvlJc w:val="left"/>
      <w:pPr>
        <w:ind w:left="5760" w:hanging="360"/>
      </w:pPr>
      <w:rPr>
        <w:rFonts w:ascii="Symbol" w:hAnsi="Symbol" w:hint="default"/>
      </w:rPr>
    </w:lvl>
    <w:lvl w:ilvl="7" w:tplc="2138DDAE" w:tentative="1">
      <w:start w:val="1"/>
      <w:numFmt w:val="bullet"/>
      <w:lvlText w:val="o"/>
      <w:lvlJc w:val="left"/>
      <w:pPr>
        <w:ind w:left="6480" w:hanging="360"/>
      </w:pPr>
      <w:rPr>
        <w:rFonts w:ascii="Courier New" w:hAnsi="Courier New" w:cs="Courier New" w:hint="default"/>
      </w:rPr>
    </w:lvl>
    <w:lvl w:ilvl="8" w:tplc="177E896E" w:tentative="1">
      <w:start w:val="1"/>
      <w:numFmt w:val="bullet"/>
      <w:lvlText w:val=""/>
      <w:lvlJc w:val="left"/>
      <w:pPr>
        <w:ind w:left="7200" w:hanging="360"/>
      </w:pPr>
      <w:rPr>
        <w:rFonts w:ascii="Wingdings" w:hAnsi="Wingdings" w:hint="default"/>
      </w:rPr>
    </w:lvl>
  </w:abstractNum>
  <w:abstractNum w:abstractNumId="43" w15:restartNumberingAfterBreak="0">
    <w:nsid w:val="0000002C"/>
    <w:multiLevelType w:val="hybridMultilevel"/>
    <w:tmpl w:val="1BF60DD6"/>
    <w:lvl w:ilvl="0" w:tplc="545CD10E">
      <w:start w:val="2"/>
      <w:numFmt w:val="bullet"/>
      <w:lvlText w:val="-"/>
      <w:lvlJc w:val="left"/>
      <w:pPr>
        <w:ind w:left="1440" w:hanging="360"/>
      </w:pPr>
      <w:rPr>
        <w:rFonts w:ascii="Calibri" w:eastAsia="Calibri" w:hAnsi="Calibri" w:cs="Calibri" w:hint="default"/>
      </w:rPr>
    </w:lvl>
    <w:lvl w:ilvl="1" w:tplc="AB3A466A" w:tentative="1">
      <w:start w:val="1"/>
      <w:numFmt w:val="bullet"/>
      <w:lvlText w:val="o"/>
      <w:lvlJc w:val="left"/>
      <w:pPr>
        <w:ind w:left="2160" w:hanging="360"/>
      </w:pPr>
      <w:rPr>
        <w:rFonts w:ascii="Courier New" w:hAnsi="Courier New" w:cs="Courier New" w:hint="default"/>
      </w:rPr>
    </w:lvl>
    <w:lvl w:ilvl="2" w:tplc="BDF0107E" w:tentative="1">
      <w:start w:val="1"/>
      <w:numFmt w:val="bullet"/>
      <w:lvlText w:val=""/>
      <w:lvlJc w:val="left"/>
      <w:pPr>
        <w:ind w:left="2880" w:hanging="360"/>
      </w:pPr>
      <w:rPr>
        <w:rFonts w:ascii="Wingdings" w:hAnsi="Wingdings" w:hint="default"/>
      </w:rPr>
    </w:lvl>
    <w:lvl w:ilvl="3" w:tplc="1C0436FE" w:tentative="1">
      <w:start w:val="1"/>
      <w:numFmt w:val="bullet"/>
      <w:lvlText w:val=""/>
      <w:lvlJc w:val="left"/>
      <w:pPr>
        <w:ind w:left="3600" w:hanging="360"/>
      </w:pPr>
      <w:rPr>
        <w:rFonts w:ascii="Symbol" w:hAnsi="Symbol" w:hint="default"/>
      </w:rPr>
    </w:lvl>
    <w:lvl w:ilvl="4" w:tplc="1304FEC2" w:tentative="1">
      <w:start w:val="1"/>
      <w:numFmt w:val="bullet"/>
      <w:lvlText w:val="o"/>
      <w:lvlJc w:val="left"/>
      <w:pPr>
        <w:ind w:left="4320" w:hanging="360"/>
      </w:pPr>
      <w:rPr>
        <w:rFonts w:ascii="Courier New" w:hAnsi="Courier New" w:cs="Courier New" w:hint="default"/>
      </w:rPr>
    </w:lvl>
    <w:lvl w:ilvl="5" w:tplc="E872022E" w:tentative="1">
      <w:start w:val="1"/>
      <w:numFmt w:val="bullet"/>
      <w:lvlText w:val=""/>
      <w:lvlJc w:val="left"/>
      <w:pPr>
        <w:ind w:left="5040" w:hanging="360"/>
      </w:pPr>
      <w:rPr>
        <w:rFonts w:ascii="Wingdings" w:hAnsi="Wingdings" w:hint="default"/>
      </w:rPr>
    </w:lvl>
    <w:lvl w:ilvl="6" w:tplc="DE620C22" w:tentative="1">
      <w:start w:val="1"/>
      <w:numFmt w:val="bullet"/>
      <w:lvlText w:val=""/>
      <w:lvlJc w:val="left"/>
      <w:pPr>
        <w:ind w:left="5760" w:hanging="360"/>
      </w:pPr>
      <w:rPr>
        <w:rFonts w:ascii="Symbol" w:hAnsi="Symbol" w:hint="default"/>
      </w:rPr>
    </w:lvl>
    <w:lvl w:ilvl="7" w:tplc="EDEADD04" w:tentative="1">
      <w:start w:val="1"/>
      <w:numFmt w:val="bullet"/>
      <w:lvlText w:val="o"/>
      <w:lvlJc w:val="left"/>
      <w:pPr>
        <w:ind w:left="6480" w:hanging="360"/>
      </w:pPr>
      <w:rPr>
        <w:rFonts w:ascii="Courier New" w:hAnsi="Courier New" w:cs="Courier New" w:hint="default"/>
      </w:rPr>
    </w:lvl>
    <w:lvl w:ilvl="8" w:tplc="A5343412" w:tentative="1">
      <w:start w:val="1"/>
      <w:numFmt w:val="bullet"/>
      <w:lvlText w:val=""/>
      <w:lvlJc w:val="left"/>
      <w:pPr>
        <w:ind w:left="7200" w:hanging="360"/>
      </w:pPr>
      <w:rPr>
        <w:rFonts w:ascii="Wingdings" w:hAnsi="Wingdings" w:hint="default"/>
      </w:rPr>
    </w:lvl>
  </w:abstractNum>
  <w:abstractNum w:abstractNumId="44" w15:restartNumberingAfterBreak="0">
    <w:nsid w:val="0000002D"/>
    <w:multiLevelType w:val="hybridMultilevel"/>
    <w:tmpl w:val="D9D675C2"/>
    <w:lvl w:ilvl="0" w:tplc="1368F2D4">
      <w:start w:val="1"/>
      <w:numFmt w:val="bullet"/>
      <w:lvlText w:val=""/>
      <w:lvlJc w:val="left"/>
      <w:pPr>
        <w:ind w:left="720" w:hanging="360"/>
      </w:pPr>
      <w:rPr>
        <w:rFonts w:ascii="Symbol" w:hAnsi="Symbol" w:hint="default"/>
      </w:rPr>
    </w:lvl>
    <w:lvl w:ilvl="1" w:tplc="42648230" w:tentative="1">
      <w:start w:val="1"/>
      <w:numFmt w:val="bullet"/>
      <w:lvlText w:val="o"/>
      <w:lvlJc w:val="left"/>
      <w:pPr>
        <w:ind w:left="1440" w:hanging="360"/>
      </w:pPr>
      <w:rPr>
        <w:rFonts w:ascii="Courier New" w:hAnsi="Courier New" w:cs="Courier New" w:hint="default"/>
      </w:rPr>
    </w:lvl>
    <w:lvl w:ilvl="2" w:tplc="F03CB7AA" w:tentative="1">
      <w:start w:val="1"/>
      <w:numFmt w:val="bullet"/>
      <w:lvlText w:val=""/>
      <w:lvlJc w:val="left"/>
      <w:pPr>
        <w:ind w:left="2160" w:hanging="360"/>
      </w:pPr>
      <w:rPr>
        <w:rFonts w:ascii="Wingdings" w:hAnsi="Wingdings" w:hint="default"/>
      </w:rPr>
    </w:lvl>
    <w:lvl w:ilvl="3" w:tplc="701A265A" w:tentative="1">
      <w:start w:val="1"/>
      <w:numFmt w:val="bullet"/>
      <w:lvlText w:val=""/>
      <w:lvlJc w:val="left"/>
      <w:pPr>
        <w:ind w:left="2880" w:hanging="360"/>
      </w:pPr>
      <w:rPr>
        <w:rFonts w:ascii="Symbol" w:hAnsi="Symbol" w:hint="default"/>
      </w:rPr>
    </w:lvl>
    <w:lvl w:ilvl="4" w:tplc="BFFA756A" w:tentative="1">
      <w:start w:val="1"/>
      <w:numFmt w:val="bullet"/>
      <w:lvlText w:val="o"/>
      <w:lvlJc w:val="left"/>
      <w:pPr>
        <w:ind w:left="3600" w:hanging="360"/>
      </w:pPr>
      <w:rPr>
        <w:rFonts w:ascii="Courier New" w:hAnsi="Courier New" w:cs="Courier New" w:hint="default"/>
      </w:rPr>
    </w:lvl>
    <w:lvl w:ilvl="5" w:tplc="CFBCEAF0" w:tentative="1">
      <w:start w:val="1"/>
      <w:numFmt w:val="bullet"/>
      <w:lvlText w:val=""/>
      <w:lvlJc w:val="left"/>
      <w:pPr>
        <w:ind w:left="4320" w:hanging="360"/>
      </w:pPr>
      <w:rPr>
        <w:rFonts w:ascii="Wingdings" w:hAnsi="Wingdings" w:hint="default"/>
      </w:rPr>
    </w:lvl>
    <w:lvl w:ilvl="6" w:tplc="8EA4CC9E" w:tentative="1">
      <w:start w:val="1"/>
      <w:numFmt w:val="bullet"/>
      <w:lvlText w:val=""/>
      <w:lvlJc w:val="left"/>
      <w:pPr>
        <w:ind w:left="5040" w:hanging="360"/>
      </w:pPr>
      <w:rPr>
        <w:rFonts w:ascii="Symbol" w:hAnsi="Symbol" w:hint="default"/>
      </w:rPr>
    </w:lvl>
    <w:lvl w:ilvl="7" w:tplc="6A1C0BB8" w:tentative="1">
      <w:start w:val="1"/>
      <w:numFmt w:val="bullet"/>
      <w:lvlText w:val="o"/>
      <w:lvlJc w:val="left"/>
      <w:pPr>
        <w:ind w:left="5760" w:hanging="360"/>
      </w:pPr>
      <w:rPr>
        <w:rFonts w:ascii="Courier New" w:hAnsi="Courier New" w:cs="Courier New" w:hint="default"/>
      </w:rPr>
    </w:lvl>
    <w:lvl w:ilvl="8" w:tplc="CC080DF0" w:tentative="1">
      <w:start w:val="1"/>
      <w:numFmt w:val="bullet"/>
      <w:lvlText w:val=""/>
      <w:lvlJc w:val="left"/>
      <w:pPr>
        <w:ind w:left="6480" w:hanging="360"/>
      </w:pPr>
      <w:rPr>
        <w:rFonts w:ascii="Wingdings" w:hAnsi="Wingdings" w:hint="default"/>
      </w:rPr>
    </w:lvl>
  </w:abstractNum>
  <w:abstractNum w:abstractNumId="45" w15:restartNumberingAfterBreak="0">
    <w:nsid w:val="0000002E"/>
    <w:multiLevelType w:val="hybridMultilevel"/>
    <w:tmpl w:val="7F4286BE"/>
    <w:lvl w:ilvl="0" w:tplc="760C443A">
      <w:start w:val="1"/>
      <w:numFmt w:val="bullet"/>
      <w:lvlText w:val=""/>
      <w:lvlJc w:val="left"/>
      <w:pPr>
        <w:ind w:left="720" w:hanging="360"/>
      </w:pPr>
      <w:rPr>
        <w:rFonts w:ascii="Symbol" w:hAnsi="Symbol" w:hint="default"/>
      </w:rPr>
    </w:lvl>
    <w:lvl w:ilvl="1" w:tplc="D578D33A">
      <w:start w:val="1"/>
      <w:numFmt w:val="bullet"/>
      <w:lvlText w:val="o"/>
      <w:lvlJc w:val="left"/>
      <w:pPr>
        <w:ind w:left="1440" w:hanging="360"/>
      </w:pPr>
      <w:rPr>
        <w:rFonts w:ascii="Courier New" w:hAnsi="Courier New" w:cs="Courier New" w:hint="default"/>
      </w:rPr>
    </w:lvl>
    <w:lvl w:ilvl="2" w:tplc="D3E81A0A">
      <w:start w:val="1"/>
      <w:numFmt w:val="bullet"/>
      <w:lvlText w:val=""/>
      <w:lvlJc w:val="left"/>
      <w:pPr>
        <w:ind w:left="2160" w:hanging="360"/>
      </w:pPr>
      <w:rPr>
        <w:rFonts w:ascii="Wingdings" w:hAnsi="Wingdings" w:hint="default"/>
      </w:rPr>
    </w:lvl>
    <w:lvl w:ilvl="3" w:tplc="511E4178">
      <w:start w:val="1"/>
      <w:numFmt w:val="bullet"/>
      <w:lvlText w:val=""/>
      <w:lvlJc w:val="left"/>
      <w:pPr>
        <w:ind w:left="2880" w:hanging="360"/>
      </w:pPr>
      <w:rPr>
        <w:rFonts w:ascii="Symbol" w:hAnsi="Symbol" w:hint="default"/>
      </w:rPr>
    </w:lvl>
    <w:lvl w:ilvl="4" w:tplc="1640ED68">
      <w:start w:val="1"/>
      <w:numFmt w:val="bullet"/>
      <w:lvlText w:val="o"/>
      <w:lvlJc w:val="left"/>
      <w:pPr>
        <w:ind w:left="3600" w:hanging="360"/>
      </w:pPr>
      <w:rPr>
        <w:rFonts w:ascii="Courier New" w:hAnsi="Courier New" w:cs="Courier New" w:hint="default"/>
      </w:rPr>
    </w:lvl>
    <w:lvl w:ilvl="5" w:tplc="7150A6FA">
      <w:start w:val="1"/>
      <w:numFmt w:val="bullet"/>
      <w:lvlText w:val=""/>
      <w:lvlJc w:val="left"/>
      <w:pPr>
        <w:ind w:left="4320" w:hanging="360"/>
      </w:pPr>
      <w:rPr>
        <w:rFonts w:ascii="Wingdings" w:hAnsi="Wingdings" w:hint="default"/>
      </w:rPr>
    </w:lvl>
    <w:lvl w:ilvl="6" w:tplc="2D8A5A10">
      <w:start w:val="1"/>
      <w:numFmt w:val="bullet"/>
      <w:lvlText w:val=""/>
      <w:lvlJc w:val="left"/>
      <w:pPr>
        <w:ind w:left="5040" w:hanging="360"/>
      </w:pPr>
      <w:rPr>
        <w:rFonts w:ascii="Symbol" w:hAnsi="Symbol" w:hint="default"/>
      </w:rPr>
    </w:lvl>
    <w:lvl w:ilvl="7" w:tplc="9052187C">
      <w:start w:val="1"/>
      <w:numFmt w:val="bullet"/>
      <w:lvlText w:val="o"/>
      <w:lvlJc w:val="left"/>
      <w:pPr>
        <w:ind w:left="5760" w:hanging="360"/>
      </w:pPr>
      <w:rPr>
        <w:rFonts w:ascii="Courier New" w:hAnsi="Courier New" w:cs="Courier New" w:hint="default"/>
      </w:rPr>
    </w:lvl>
    <w:lvl w:ilvl="8" w:tplc="A16A076A">
      <w:start w:val="1"/>
      <w:numFmt w:val="bullet"/>
      <w:lvlText w:val=""/>
      <w:lvlJc w:val="left"/>
      <w:pPr>
        <w:ind w:left="6480" w:hanging="360"/>
      </w:pPr>
      <w:rPr>
        <w:rFonts w:ascii="Wingdings" w:hAnsi="Wingdings" w:hint="default"/>
      </w:rPr>
    </w:lvl>
  </w:abstractNum>
  <w:abstractNum w:abstractNumId="46" w15:restartNumberingAfterBreak="0">
    <w:nsid w:val="0000002F"/>
    <w:multiLevelType w:val="hybridMultilevel"/>
    <w:tmpl w:val="F4A60C42"/>
    <w:lvl w:ilvl="0" w:tplc="776E3194">
      <w:start w:val="2"/>
      <w:numFmt w:val="bullet"/>
      <w:lvlText w:val="-"/>
      <w:lvlJc w:val="left"/>
      <w:pPr>
        <w:ind w:left="1440" w:hanging="360"/>
      </w:pPr>
      <w:rPr>
        <w:rFonts w:ascii="Calibri" w:eastAsia="Calibri" w:hAnsi="Calibri" w:cs="Calibri" w:hint="default"/>
      </w:rPr>
    </w:lvl>
    <w:lvl w:ilvl="1" w:tplc="57DC0CAA" w:tentative="1">
      <w:start w:val="1"/>
      <w:numFmt w:val="bullet"/>
      <w:lvlText w:val="o"/>
      <w:lvlJc w:val="left"/>
      <w:pPr>
        <w:ind w:left="2160" w:hanging="360"/>
      </w:pPr>
      <w:rPr>
        <w:rFonts w:ascii="Courier New" w:hAnsi="Courier New" w:cs="Courier New" w:hint="default"/>
      </w:rPr>
    </w:lvl>
    <w:lvl w:ilvl="2" w:tplc="50CAECE4" w:tentative="1">
      <w:start w:val="1"/>
      <w:numFmt w:val="bullet"/>
      <w:lvlText w:val=""/>
      <w:lvlJc w:val="left"/>
      <w:pPr>
        <w:ind w:left="2880" w:hanging="360"/>
      </w:pPr>
      <w:rPr>
        <w:rFonts w:ascii="Wingdings" w:hAnsi="Wingdings" w:hint="default"/>
      </w:rPr>
    </w:lvl>
    <w:lvl w:ilvl="3" w:tplc="66F416F2" w:tentative="1">
      <w:start w:val="1"/>
      <w:numFmt w:val="bullet"/>
      <w:lvlText w:val=""/>
      <w:lvlJc w:val="left"/>
      <w:pPr>
        <w:ind w:left="3600" w:hanging="360"/>
      </w:pPr>
      <w:rPr>
        <w:rFonts w:ascii="Symbol" w:hAnsi="Symbol" w:hint="default"/>
      </w:rPr>
    </w:lvl>
    <w:lvl w:ilvl="4" w:tplc="C9F66034" w:tentative="1">
      <w:start w:val="1"/>
      <w:numFmt w:val="bullet"/>
      <w:lvlText w:val="o"/>
      <w:lvlJc w:val="left"/>
      <w:pPr>
        <w:ind w:left="4320" w:hanging="360"/>
      </w:pPr>
      <w:rPr>
        <w:rFonts w:ascii="Courier New" w:hAnsi="Courier New" w:cs="Courier New" w:hint="default"/>
      </w:rPr>
    </w:lvl>
    <w:lvl w:ilvl="5" w:tplc="26BEC65E" w:tentative="1">
      <w:start w:val="1"/>
      <w:numFmt w:val="bullet"/>
      <w:lvlText w:val=""/>
      <w:lvlJc w:val="left"/>
      <w:pPr>
        <w:ind w:left="5040" w:hanging="360"/>
      </w:pPr>
      <w:rPr>
        <w:rFonts w:ascii="Wingdings" w:hAnsi="Wingdings" w:hint="default"/>
      </w:rPr>
    </w:lvl>
    <w:lvl w:ilvl="6" w:tplc="7F9A9AD0" w:tentative="1">
      <w:start w:val="1"/>
      <w:numFmt w:val="bullet"/>
      <w:lvlText w:val=""/>
      <w:lvlJc w:val="left"/>
      <w:pPr>
        <w:ind w:left="5760" w:hanging="360"/>
      </w:pPr>
      <w:rPr>
        <w:rFonts w:ascii="Symbol" w:hAnsi="Symbol" w:hint="default"/>
      </w:rPr>
    </w:lvl>
    <w:lvl w:ilvl="7" w:tplc="B73AAE50" w:tentative="1">
      <w:start w:val="1"/>
      <w:numFmt w:val="bullet"/>
      <w:lvlText w:val="o"/>
      <w:lvlJc w:val="left"/>
      <w:pPr>
        <w:ind w:left="6480" w:hanging="360"/>
      </w:pPr>
      <w:rPr>
        <w:rFonts w:ascii="Courier New" w:hAnsi="Courier New" w:cs="Courier New" w:hint="default"/>
      </w:rPr>
    </w:lvl>
    <w:lvl w:ilvl="8" w:tplc="B1524E7A" w:tentative="1">
      <w:start w:val="1"/>
      <w:numFmt w:val="bullet"/>
      <w:lvlText w:val=""/>
      <w:lvlJc w:val="left"/>
      <w:pPr>
        <w:ind w:left="7200" w:hanging="360"/>
      </w:pPr>
      <w:rPr>
        <w:rFonts w:ascii="Wingdings" w:hAnsi="Wingdings" w:hint="default"/>
      </w:rPr>
    </w:lvl>
  </w:abstractNum>
  <w:abstractNum w:abstractNumId="47" w15:restartNumberingAfterBreak="0">
    <w:nsid w:val="00000030"/>
    <w:multiLevelType w:val="hybridMultilevel"/>
    <w:tmpl w:val="641E6B04"/>
    <w:lvl w:ilvl="0" w:tplc="F3824A16">
      <w:start w:val="2"/>
      <w:numFmt w:val="bullet"/>
      <w:lvlText w:val="-"/>
      <w:lvlJc w:val="left"/>
      <w:pPr>
        <w:ind w:left="1440" w:hanging="360"/>
      </w:pPr>
      <w:rPr>
        <w:rFonts w:ascii="Calibri" w:eastAsia="Calibri" w:hAnsi="Calibri" w:cs="Calibri" w:hint="default"/>
      </w:rPr>
    </w:lvl>
    <w:lvl w:ilvl="1" w:tplc="BB206C90" w:tentative="1">
      <w:start w:val="1"/>
      <w:numFmt w:val="bullet"/>
      <w:lvlText w:val="o"/>
      <w:lvlJc w:val="left"/>
      <w:pPr>
        <w:ind w:left="2160" w:hanging="360"/>
      </w:pPr>
      <w:rPr>
        <w:rFonts w:ascii="Courier New" w:hAnsi="Courier New" w:cs="Courier New" w:hint="default"/>
      </w:rPr>
    </w:lvl>
    <w:lvl w:ilvl="2" w:tplc="657A96CC" w:tentative="1">
      <w:start w:val="1"/>
      <w:numFmt w:val="bullet"/>
      <w:lvlText w:val=""/>
      <w:lvlJc w:val="left"/>
      <w:pPr>
        <w:ind w:left="2880" w:hanging="360"/>
      </w:pPr>
      <w:rPr>
        <w:rFonts w:ascii="Wingdings" w:hAnsi="Wingdings" w:hint="default"/>
      </w:rPr>
    </w:lvl>
    <w:lvl w:ilvl="3" w:tplc="9C9EC334" w:tentative="1">
      <w:start w:val="1"/>
      <w:numFmt w:val="bullet"/>
      <w:lvlText w:val=""/>
      <w:lvlJc w:val="left"/>
      <w:pPr>
        <w:ind w:left="3600" w:hanging="360"/>
      </w:pPr>
      <w:rPr>
        <w:rFonts w:ascii="Symbol" w:hAnsi="Symbol" w:hint="default"/>
      </w:rPr>
    </w:lvl>
    <w:lvl w:ilvl="4" w:tplc="469400E8" w:tentative="1">
      <w:start w:val="1"/>
      <w:numFmt w:val="bullet"/>
      <w:lvlText w:val="o"/>
      <w:lvlJc w:val="left"/>
      <w:pPr>
        <w:ind w:left="4320" w:hanging="360"/>
      </w:pPr>
      <w:rPr>
        <w:rFonts w:ascii="Courier New" w:hAnsi="Courier New" w:cs="Courier New" w:hint="default"/>
      </w:rPr>
    </w:lvl>
    <w:lvl w:ilvl="5" w:tplc="148A5C86" w:tentative="1">
      <w:start w:val="1"/>
      <w:numFmt w:val="bullet"/>
      <w:lvlText w:val=""/>
      <w:lvlJc w:val="left"/>
      <w:pPr>
        <w:ind w:left="5040" w:hanging="360"/>
      </w:pPr>
      <w:rPr>
        <w:rFonts w:ascii="Wingdings" w:hAnsi="Wingdings" w:hint="default"/>
      </w:rPr>
    </w:lvl>
    <w:lvl w:ilvl="6" w:tplc="F478606C" w:tentative="1">
      <w:start w:val="1"/>
      <w:numFmt w:val="bullet"/>
      <w:lvlText w:val=""/>
      <w:lvlJc w:val="left"/>
      <w:pPr>
        <w:ind w:left="5760" w:hanging="360"/>
      </w:pPr>
      <w:rPr>
        <w:rFonts w:ascii="Symbol" w:hAnsi="Symbol" w:hint="default"/>
      </w:rPr>
    </w:lvl>
    <w:lvl w:ilvl="7" w:tplc="9962AD68" w:tentative="1">
      <w:start w:val="1"/>
      <w:numFmt w:val="bullet"/>
      <w:lvlText w:val="o"/>
      <w:lvlJc w:val="left"/>
      <w:pPr>
        <w:ind w:left="6480" w:hanging="360"/>
      </w:pPr>
      <w:rPr>
        <w:rFonts w:ascii="Courier New" w:hAnsi="Courier New" w:cs="Courier New" w:hint="default"/>
      </w:rPr>
    </w:lvl>
    <w:lvl w:ilvl="8" w:tplc="EEE0B944" w:tentative="1">
      <w:start w:val="1"/>
      <w:numFmt w:val="bullet"/>
      <w:lvlText w:val=""/>
      <w:lvlJc w:val="left"/>
      <w:pPr>
        <w:ind w:left="7200" w:hanging="360"/>
      </w:pPr>
      <w:rPr>
        <w:rFonts w:ascii="Wingdings" w:hAnsi="Wingdings" w:hint="default"/>
      </w:rPr>
    </w:lvl>
  </w:abstractNum>
  <w:abstractNum w:abstractNumId="48" w15:restartNumberingAfterBreak="0">
    <w:nsid w:val="00000031"/>
    <w:multiLevelType w:val="hybridMultilevel"/>
    <w:tmpl w:val="8AD2FAB4"/>
    <w:lvl w:ilvl="0" w:tplc="1CFC4D9E">
      <w:start w:val="1"/>
      <w:numFmt w:val="bullet"/>
      <w:pStyle w:val="BSbullet14"/>
      <w:lvlText w:val=""/>
      <w:lvlJc w:val="left"/>
      <w:pPr>
        <w:tabs>
          <w:tab w:val="num" w:pos="360"/>
        </w:tabs>
        <w:ind w:left="357" w:hanging="357"/>
      </w:pPr>
      <w:rPr>
        <w:rFonts w:ascii="Symbol" w:hAnsi="Symbol" w:hint="default"/>
        <w:sz w:val="24"/>
      </w:rPr>
    </w:lvl>
    <w:lvl w:ilvl="1" w:tplc="345AD5AA">
      <w:start w:val="2016"/>
      <w:numFmt w:val="bullet"/>
      <w:lvlText w:val="-"/>
      <w:lvlJc w:val="left"/>
      <w:pPr>
        <w:tabs>
          <w:tab w:val="num" w:pos="1800"/>
        </w:tabs>
        <w:ind w:left="1800" w:hanging="360"/>
      </w:pPr>
      <w:rPr>
        <w:rFonts w:ascii="Calibri" w:eastAsia="Calibri" w:hAnsi="Calibri" w:cs="Times New Roman" w:hint="default"/>
      </w:rPr>
    </w:lvl>
    <w:lvl w:ilvl="2" w:tplc="5476BFDE">
      <w:start w:val="1"/>
      <w:numFmt w:val="bullet"/>
      <w:lvlText w:val=""/>
      <w:lvlJc w:val="left"/>
      <w:pPr>
        <w:tabs>
          <w:tab w:val="num" w:pos="2520"/>
        </w:tabs>
        <w:ind w:left="2520" w:hanging="360"/>
      </w:pPr>
      <w:rPr>
        <w:rFonts w:ascii="Wingdings" w:hAnsi="Wingdings" w:hint="default"/>
      </w:rPr>
    </w:lvl>
    <w:lvl w:ilvl="3" w:tplc="208E4CCC">
      <w:start w:val="1"/>
      <w:numFmt w:val="bullet"/>
      <w:lvlText w:val=""/>
      <w:lvlJc w:val="left"/>
      <w:pPr>
        <w:tabs>
          <w:tab w:val="num" w:pos="3240"/>
        </w:tabs>
        <w:ind w:left="3240" w:hanging="360"/>
      </w:pPr>
      <w:rPr>
        <w:rFonts w:ascii="Symbol" w:hAnsi="Symbol" w:hint="default"/>
      </w:rPr>
    </w:lvl>
    <w:lvl w:ilvl="4" w:tplc="AC7C7F8C">
      <w:start w:val="1"/>
      <w:numFmt w:val="bullet"/>
      <w:lvlText w:val="o"/>
      <w:lvlJc w:val="left"/>
      <w:pPr>
        <w:tabs>
          <w:tab w:val="num" w:pos="3960"/>
        </w:tabs>
        <w:ind w:left="3960" w:hanging="360"/>
      </w:pPr>
      <w:rPr>
        <w:rFonts w:ascii="Courier New" w:hAnsi="Courier New" w:cs="Times New Roman" w:hint="default"/>
      </w:rPr>
    </w:lvl>
    <w:lvl w:ilvl="5" w:tplc="B6A468C6">
      <w:start w:val="1"/>
      <w:numFmt w:val="bullet"/>
      <w:lvlText w:val=""/>
      <w:lvlJc w:val="left"/>
      <w:pPr>
        <w:tabs>
          <w:tab w:val="num" w:pos="4680"/>
        </w:tabs>
        <w:ind w:left="4680" w:hanging="360"/>
      </w:pPr>
      <w:rPr>
        <w:rFonts w:ascii="Wingdings" w:hAnsi="Wingdings" w:hint="default"/>
      </w:rPr>
    </w:lvl>
    <w:lvl w:ilvl="6" w:tplc="D338A836">
      <w:start w:val="1"/>
      <w:numFmt w:val="bullet"/>
      <w:lvlText w:val=""/>
      <w:lvlJc w:val="left"/>
      <w:pPr>
        <w:tabs>
          <w:tab w:val="num" w:pos="5400"/>
        </w:tabs>
        <w:ind w:left="5400" w:hanging="360"/>
      </w:pPr>
      <w:rPr>
        <w:rFonts w:ascii="Symbol" w:hAnsi="Symbol" w:hint="default"/>
      </w:rPr>
    </w:lvl>
    <w:lvl w:ilvl="7" w:tplc="C728D19A">
      <w:start w:val="1"/>
      <w:numFmt w:val="bullet"/>
      <w:lvlText w:val="o"/>
      <w:lvlJc w:val="left"/>
      <w:pPr>
        <w:tabs>
          <w:tab w:val="num" w:pos="6120"/>
        </w:tabs>
        <w:ind w:left="6120" w:hanging="360"/>
      </w:pPr>
      <w:rPr>
        <w:rFonts w:ascii="Courier New" w:hAnsi="Courier New" w:cs="Times New Roman" w:hint="default"/>
      </w:rPr>
    </w:lvl>
    <w:lvl w:ilvl="8" w:tplc="B8D6706A">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0000032"/>
    <w:multiLevelType w:val="hybridMultilevel"/>
    <w:tmpl w:val="A914DF56"/>
    <w:lvl w:ilvl="0" w:tplc="6E309864">
      <w:start w:val="1"/>
      <w:numFmt w:val="bullet"/>
      <w:lvlText w:val=""/>
      <w:lvlJc w:val="left"/>
      <w:pPr>
        <w:tabs>
          <w:tab w:val="num" w:pos="360"/>
        </w:tabs>
        <w:ind w:left="357" w:hanging="357"/>
      </w:pPr>
      <w:rPr>
        <w:rFonts w:ascii="Symbol" w:hAnsi="Symbol" w:hint="default"/>
        <w:sz w:val="24"/>
      </w:rPr>
    </w:lvl>
    <w:lvl w:ilvl="1" w:tplc="B62677F6">
      <w:start w:val="2016"/>
      <w:numFmt w:val="bullet"/>
      <w:lvlText w:val="-"/>
      <w:lvlJc w:val="left"/>
      <w:pPr>
        <w:tabs>
          <w:tab w:val="num" w:pos="1800"/>
        </w:tabs>
        <w:ind w:left="1800" w:hanging="360"/>
      </w:pPr>
      <w:rPr>
        <w:rFonts w:ascii="Calibri" w:eastAsia="Calibri" w:hAnsi="Calibri" w:cs="Times New Roman" w:hint="default"/>
      </w:rPr>
    </w:lvl>
    <w:lvl w:ilvl="2" w:tplc="8DCC31BE">
      <w:start w:val="1"/>
      <w:numFmt w:val="bullet"/>
      <w:lvlText w:val=""/>
      <w:lvlJc w:val="left"/>
      <w:pPr>
        <w:tabs>
          <w:tab w:val="num" w:pos="2520"/>
        </w:tabs>
        <w:ind w:left="2520" w:hanging="360"/>
      </w:pPr>
      <w:rPr>
        <w:rFonts w:ascii="Wingdings" w:hAnsi="Wingdings" w:hint="default"/>
      </w:rPr>
    </w:lvl>
    <w:lvl w:ilvl="3" w:tplc="A0CC2DA2">
      <w:start w:val="1"/>
      <w:numFmt w:val="bullet"/>
      <w:lvlText w:val=""/>
      <w:lvlJc w:val="left"/>
      <w:pPr>
        <w:tabs>
          <w:tab w:val="num" w:pos="3240"/>
        </w:tabs>
        <w:ind w:left="3240" w:hanging="360"/>
      </w:pPr>
      <w:rPr>
        <w:rFonts w:ascii="Symbol" w:hAnsi="Symbol" w:hint="default"/>
      </w:rPr>
    </w:lvl>
    <w:lvl w:ilvl="4" w:tplc="177A0EB2">
      <w:start w:val="1"/>
      <w:numFmt w:val="bullet"/>
      <w:lvlText w:val="o"/>
      <w:lvlJc w:val="left"/>
      <w:pPr>
        <w:tabs>
          <w:tab w:val="num" w:pos="3960"/>
        </w:tabs>
        <w:ind w:left="3960" w:hanging="360"/>
      </w:pPr>
      <w:rPr>
        <w:rFonts w:ascii="Courier New" w:hAnsi="Courier New" w:cs="Times New Roman" w:hint="default"/>
      </w:rPr>
    </w:lvl>
    <w:lvl w:ilvl="5" w:tplc="3B408D4C">
      <w:start w:val="1"/>
      <w:numFmt w:val="bullet"/>
      <w:lvlText w:val=""/>
      <w:lvlJc w:val="left"/>
      <w:pPr>
        <w:tabs>
          <w:tab w:val="num" w:pos="4680"/>
        </w:tabs>
        <w:ind w:left="4680" w:hanging="360"/>
      </w:pPr>
      <w:rPr>
        <w:rFonts w:ascii="Wingdings" w:hAnsi="Wingdings" w:hint="default"/>
      </w:rPr>
    </w:lvl>
    <w:lvl w:ilvl="6" w:tplc="082A9924">
      <w:start w:val="1"/>
      <w:numFmt w:val="bullet"/>
      <w:lvlText w:val=""/>
      <w:lvlJc w:val="left"/>
      <w:pPr>
        <w:tabs>
          <w:tab w:val="num" w:pos="5400"/>
        </w:tabs>
        <w:ind w:left="5400" w:hanging="360"/>
      </w:pPr>
      <w:rPr>
        <w:rFonts w:ascii="Symbol" w:hAnsi="Symbol" w:hint="default"/>
      </w:rPr>
    </w:lvl>
    <w:lvl w:ilvl="7" w:tplc="88A00660">
      <w:start w:val="1"/>
      <w:numFmt w:val="bullet"/>
      <w:lvlText w:val="o"/>
      <w:lvlJc w:val="left"/>
      <w:pPr>
        <w:tabs>
          <w:tab w:val="num" w:pos="6120"/>
        </w:tabs>
        <w:ind w:left="6120" w:hanging="360"/>
      </w:pPr>
      <w:rPr>
        <w:rFonts w:ascii="Courier New" w:hAnsi="Courier New" w:cs="Times New Roman" w:hint="default"/>
      </w:rPr>
    </w:lvl>
    <w:lvl w:ilvl="8" w:tplc="01D21D20">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0000033"/>
    <w:multiLevelType w:val="hybridMultilevel"/>
    <w:tmpl w:val="BC4AD1F6"/>
    <w:lvl w:ilvl="0" w:tplc="1BA83CC0">
      <w:start w:val="1"/>
      <w:numFmt w:val="bullet"/>
      <w:lvlText w:val=""/>
      <w:lvlJc w:val="left"/>
      <w:pPr>
        <w:ind w:left="360" w:hanging="360"/>
      </w:pPr>
      <w:rPr>
        <w:rFonts w:ascii="Symbol" w:hAnsi="Symbol" w:hint="default"/>
      </w:rPr>
    </w:lvl>
    <w:lvl w:ilvl="1" w:tplc="1B0610D0">
      <w:start w:val="1"/>
      <w:numFmt w:val="bullet"/>
      <w:lvlText w:val="o"/>
      <w:lvlJc w:val="left"/>
      <w:pPr>
        <w:ind w:left="1080" w:hanging="360"/>
      </w:pPr>
      <w:rPr>
        <w:rFonts w:ascii="Courier New" w:hAnsi="Courier New" w:cs="Courier New" w:hint="default"/>
      </w:rPr>
    </w:lvl>
    <w:lvl w:ilvl="2" w:tplc="4A668780">
      <w:start w:val="1"/>
      <w:numFmt w:val="bullet"/>
      <w:lvlText w:val=""/>
      <w:lvlJc w:val="left"/>
      <w:pPr>
        <w:ind w:left="1800" w:hanging="360"/>
      </w:pPr>
      <w:rPr>
        <w:rFonts w:ascii="Wingdings" w:hAnsi="Wingdings" w:hint="default"/>
      </w:rPr>
    </w:lvl>
    <w:lvl w:ilvl="3" w:tplc="E2989AF6">
      <w:start w:val="1"/>
      <w:numFmt w:val="bullet"/>
      <w:lvlText w:val=""/>
      <w:lvlJc w:val="left"/>
      <w:pPr>
        <w:ind w:left="2520" w:hanging="360"/>
      </w:pPr>
      <w:rPr>
        <w:rFonts w:ascii="Symbol" w:hAnsi="Symbol" w:hint="default"/>
      </w:rPr>
    </w:lvl>
    <w:lvl w:ilvl="4" w:tplc="3D322732">
      <w:start w:val="1"/>
      <w:numFmt w:val="bullet"/>
      <w:lvlText w:val="o"/>
      <w:lvlJc w:val="left"/>
      <w:pPr>
        <w:ind w:left="3240" w:hanging="360"/>
      </w:pPr>
      <w:rPr>
        <w:rFonts w:ascii="Courier New" w:hAnsi="Courier New" w:cs="Courier New" w:hint="default"/>
      </w:rPr>
    </w:lvl>
    <w:lvl w:ilvl="5" w:tplc="263C5244">
      <w:start w:val="1"/>
      <w:numFmt w:val="bullet"/>
      <w:lvlText w:val=""/>
      <w:lvlJc w:val="left"/>
      <w:pPr>
        <w:ind w:left="3960" w:hanging="360"/>
      </w:pPr>
      <w:rPr>
        <w:rFonts w:ascii="Wingdings" w:hAnsi="Wingdings" w:hint="default"/>
      </w:rPr>
    </w:lvl>
    <w:lvl w:ilvl="6" w:tplc="8638A888">
      <w:start w:val="1"/>
      <w:numFmt w:val="bullet"/>
      <w:lvlText w:val=""/>
      <w:lvlJc w:val="left"/>
      <w:pPr>
        <w:ind w:left="4680" w:hanging="360"/>
      </w:pPr>
      <w:rPr>
        <w:rFonts w:ascii="Symbol" w:hAnsi="Symbol" w:hint="default"/>
      </w:rPr>
    </w:lvl>
    <w:lvl w:ilvl="7" w:tplc="F74E010E">
      <w:start w:val="1"/>
      <w:numFmt w:val="bullet"/>
      <w:lvlText w:val="o"/>
      <w:lvlJc w:val="left"/>
      <w:pPr>
        <w:ind w:left="5400" w:hanging="360"/>
      </w:pPr>
      <w:rPr>
        <w:rFonts w:ascii="Courier New" w:hAnsi="Courier New" w:cs="Courier New" w:hint="default"/>
      </w:rPr>
    </w:lvl>
    <w:lvl w:ilvl="8" w:tplc="D0BC7580">
      <w:start w:val="1"/>
      <w:numFmt w:val="bullet"/>
      <w:lvlText w:val=""/>
      <w:lvlJc w:val="left"/>
      <w:pPr>
        <w:ind w:left="6120" w:hanging="360"/>
      </w:pPr>
      <w:rPr>
        <w:rFonts w:ascii="Wingdings" w:hAnsi="Wingdings" w:hint="default"/>
      </w:rPr>
    </w:lvl>
  </w:abstractNum>
  <w:abstractNum w:abstractNumId="51" w15:restartNumberingAfterBreak="0">
    <w:nsid w:val="00000034"/>
    <w:multiLevelType w:val="hybridMultilevel"/>
    <w:tmpl w:val="767E3FBC"/>
    <w:lvl w:ilvl="0" w:tplc="2C7E465E">
      <w:start w:val="2016"/>
      <w:numFmt w:val="bullet"/>
      <w:lvlText w:val="-"/>
      <w:lvlJc w:val="left"/>
      <w:pPr>
        <w:ind w:left="1077" w:hanging="360"/>
      </w:pPr>
      <w:rPr>
        <w:rFonts w:ascii="Calibri" w:eastAsia="Calibri" w:hAnsi="Calibri" w:cs="Times New Roman" w:hint="default"/>
      </w:rPr>
    </w:lvl>
    <w:lvl w:ilvl="1" w:tplc="DB2CE470">
      <w:start w:val="1"/>
      <w:numFmt w:val="bullet"/>
      <w:lvlText w:val="o"/>
      <w:lvlJc w:val="left"/>
      <w:pPr>
        <w:ind w:left="1797" w:hanging="360"/>
      </w:pPr>
      <w:rPr>
        <w:rFonts w:ascii="Courier New" w:hAnsi="Courier New" w:cs="Courier New" w:hint="default"/>
      </w:rPr>
    </w:lvl>
    <w:lvl w:ilvl="2" w:tplc="609CDACC">
      <w:start w:val="1"/>
      <w:numFmt w:val="bullet"/>
      <w:lvlText w:val=""/>
      <w:lvlJc w:val="left"/>
      <w:pPr>
        <w:ind w:left="2517" w:hanging="360"/>
      </w:pPr>
      <w:rPr>
        <w:rFonts w:ascii="Wingdings" w:hAnsi="Wingdings" w:hint="default"/>
      </w:rPr>
    </w:lvl>
    <w:lvl w:ilvl="3" w:tplc="767E27AA">
      <w:start w:val="1"/>
      <w:numFmt w:val="bullet"/>
      <w:lvlText w:val=""/>
      <w:lvlJc w:val="left"/>
      <w:pPr>
        <w:ind w:left="3237" w:hanging="360"/>
      </w:pPr>
      <w:rPr>
        <w:rFonts w:ascii="Symbol" w:hAnsi="Symbol" w:hint="default"/>
      </w:rPr>
    </w:lvl>
    <w:lvl w:ilvl="4" w:tplc="1332A132">
      <w:start w:val="1"/>
      <w:numFmt w:val="bullet"/>
      <w:lvlText w:val="o"/>
      <w:lvlJc w:val="left"/>
      <w:pPr>
        <w:ind w:left="3957" w:hanging="360"/>
      </w:pPr>
      <w:rPr>
        <w:rFonts w:ascii="Courier New" w:hAnsi="Courier New" w:cs="Courier New" w:hint="default"/>
      </w:rPr>
    </w:lvl>
    <w:lvl w:ilvl="5" w:tplc="A0AA359E">
      <w:start w:val="1"/>
      <w:numFmt w:val="bullet"/>
      <w:lvlText w:val=""/>
      <w:lvlJc w:val="left"/>
      <w:pPr>
        <w:ind w:left="4677" w:hanging="360"/>
      </w:pPr>
      <w:rPr>
        <w:rFonts w:ascii="Wingdings" w:hAnsi="Wingdings" w:hint="default"/>
      </w:rPr>
    </w:lvl>
    <w:lvl w:ilvl="6" w:tplc="36420E56">
      <w:start w:val="1"/>
      <w:numFmt w:val="bullet"/>
      <w:lvlText w:val=""/>
      <w:lvlJc w:val="left"/>
      <w:pPr>
        <w:ind w:left="5397" w:hanging="360"/>
      </w:pPr>
      <w:rPr>
        <w:rFonts w:ascii="Symbol" w:hAnsi="Symbol" w:hint="default"/>
      </w:rPr>
    </w:lvl>
    <w:lvl w:ilvl="7" w:tplc="37CA99A8">
      <w:start w:val="1"/>
      <w:numFmt w:val="bullet"/>
      <w:lvlText w:val="o"/>
      <w:lvlJc w:val="left"/>
      <w:pPr>
        <w:ind w:left="6117" w:hanging="360"/>
      </w:pPr>
      <w:rPr>
        <w:rFonts w:ascii="Courier New" w:hAnsi="Courier New" w:cs="Courier New" w:hint="default"/>
      </w:rPr>
    </w:lvl>
    <w:lvl w:ilvl="8" w:tplc="63320CF6">
      <w:start w:val="1"/>
      <w:numFmt w:val="bullet"/>
      <w:lvlText w:val=""/>
      <w:lvlJc w:val="left"/>
      <w:pPr>
        <w:ind w:left="6837" w:hanging="360"/>
      </w:pPr>
      <w:rPr>
        <w:rFonts w:ascii="Wingdings" w:hAnsi="Wingdings" w:hint="default"/>
      </w:rPr>
    </w:lvl>
  </w:abstractNum>
  <w:abstractNum w:abstractNumId="52" w15:restartNumberingAfterBreak="0">
    <w:nsid w:val="024F4FDB"/>
    <w:multiLevelType w:val="hybridMultilevel"/>
    <w:tmpl w:val="A30A436E"/>
    <w:lvl w:ilvl="0" w:tplc="CE9E26A2">
      <w:numFmt w:val="decimal"/>
      <w:lvlText w:val="-"/>
      <w:lvlJc w:val="left"/>
      <w:pPr>
        <w:ind w:left="1077" w:hanging="360"/>
      </w:pPr>
      <w:rPr>
        <w:rFonts w:ascii="Calibri" w:hAnsi="Calibri" w:cs="Times New Roman" w:hint="default"/>
      </w:rPr>
    </w:lvl>
    <w:lvl w:ilvl="1" w:tplc="88D85FAE">
      <w:start w:val="1"/>
      <w:numFmt w:val="bullet"/>
      <w:lvlText w:val="o"/>
      <w:lvlJc w:val="left"/>
      <w:pPr>
        <w:ind w:left="1797" w:hanging="360"/>
      </w:pPr>
      <w:rPr>
        <w:rFonts w:ascii="Courier New" w:hAnsi="Courier New" w:cs="Times New Roman" w:hint="default"/>
      </w:rPr>
    </w:lvl>
    <w:lvl w:ilvl="2" w:tplc="2654DCB0">
      <w:start w:val="1"/>
      <w:numFmt w:val="bullet"/>
      <w:lvlText w:val=""/>
      <w:lvlJc w:val="left"/>
      <w:pPr>
        <w:ind w:left="2517" w:hanging="360"/>
      </w:pPr>
      <w:rPr>
        <w:rFonts w:ascii="Wingdings" w:hAnsi="Wingdings" w:hint="default"/>
      </w:rPr>
    </w:lvl>
    <w:lvl w:ilvl="3" w:tplc="D528E264">
      <w:start w:val="1"/>
      <w:numFmt w:val="bullet"/>
      <w:lvlText w:val=""/>
      <w:lvlJc w:val="left"/>
      <w:pPr>
        <w:ind w:left="3237" w:hanging="360"/>
      </w:pPr>
      <w:rPr>
        <w:rFonts w:ascii="Symbol" w:hAnsi="Symbol" w:hint="default"/>
      </w:rPr>
    </w:lvl>
    <w:lvl w:ilvl="4" w:tplc="CAD02C70">
      <w:start w:val="1"/>
      <w:numFmt w:val="bullet"/>
      <w:lvlText w:val="o"/>
      <w:lvlJc w:val="left"/>
      <w:pPr>
        <w:ind w:left="3957" w:hanging="360"/>
      </w:pPr>
      <w:rPr>
        <w:rFonts w:ascii="Courier New" w:hAnsi="Courier New" w:cs="Times New Roman" w:hint="default"/>
      </w:rPr>
    </w:lvl>
    <w:lvl w:ilvl="5" w:tplc="4412CDD2">
      <w:start w:val="1"/>
      <w:numFmt w:val="bullet"/>
      <w:lvlText w:val=""/>
      <w:lvlJc w:val="left"/>
      <w:pPr>
        <w:ind w:left="4677" w:hanging="360"/>
      </w:pPr>
      <w:rPr>
        <w:rFonts w:ascii="Wingdings" w:hAnsi="Wingdings" w:hint="default"/>
      </w:rPr>
    </w:lvl>
    <w:lvl w:ilvl="6" w:tplc="8AC40302">
      <w:start w:val="1"/>
      <w:numFmt w:val="bullet"/>
      <w:lvlText w:val=""/>
      <w:lvlJc w:val="left"/>
      <w:pPr>
        <w:ind w:left="5397" w:hanging="360"/>
      </w:pPr>
      <w:rPr>
        <w:rFonts w:ascii="Symbol" w:hAnsi="Symbol" w:hint="default"/>
      </w:rPr>
    </w:lvl>
    <w:lvl w:ilvl="7" w:tplc="C9BA722E">
      <w:start w:val="1"/>
      <w:numFmt w:val="bullet"/>
      <w:lvlText w:val="o"/>
      <w:lvlJc w:val="left"/>
      <w:pPr>
        <w:ind w:left="6117" w:hanging="360"/>
      </w:pPr>
      <w:rPr>
        <w:rFonts w:ascii="Courier New" w:hAnsi="Courier New" w:cs="Times New Roman" w:hint="default"/>
      </w:rPr>
    </w:lvl>
    <w:lvl w:ilvl="8" w:tplc="B9E62316">
      <w:start w:val="1"/>
      <w:numFmt w:val="bullet"/>
      <w:lvlText w:val=""/>
      <w:lvlJc w:val="left"/>
      <w:pPr>
        <w:ind w:left="6837" w:hanging="360"/>
      </w:pPr>
      <w:rPr>
        <w:rFonts w:ascii="Wingdings" w:hAnsi="Wingdings" w:hint="default"/>
      </w:rPr>
    </w:lvl>
  </w:abstractNum>
  <w:abstractNum w:abstractNumId="53" w15:restartNumberingAfterBreak="0">
    <w:nsid w:val="03B727F9"/>
    <w:multiLevelType w:val="hybridMultilevel"/>
    <w:tmpl w:val="747AF816"/>
    <w:lvl w:ilvl="0" w:tplc="3074172A">
      <w:numFmt w:val="decimal"/>
      <w:lvlText w:val=""/>
      <w:lvlJc w:val="left"/>
      <w:pPr>
        <w:tabs>
          <w:tab w:val="num" w:pos="360"/>
        </w:tabs>
        <w:ind w:left="360" w:hanging="360"/>
      </w:pPr>
      <w:rPr>
        <w:rFonts w:ascii="Symbol" w:hAnsi="Symbol" w:cs="Times New Roman" w:hint="default"/>
      </w:rPr>
    </w:lvl>
    <w:lvl w:ilvl="1" w:tplc="1BF4BE7C">
      <w:start w:val="1"/>
      <w:numFmt w:val="bullet"/>
      <w:lvlText w:val="o"/>
      <w:lvlJc w:val="left"/>
      <w:pPr>
        <w:tabs>
          <w:tab w:val="num" w:pos="360"/>
        </w:tabs>
        <w:ind w:left="360" w:hanging="360"/>
      </w:pPr>
      <w:rPr>
        <w:rFonts w:ascii="Courier New" w:hAnsi="Courier New" w:cs="Times New Roman" w:hint="default"/>
      </w:rPr>
    </w:lvl>
    <w:lvl w:ilvl="2" w:tplc="550C4980">
      <w:start w:val="1"/>
      <w:numFmt w:val="bullet"/>
      <w:lvlText w:val=""/>
      <w:lvlJc w:val="left"/>
      <w:pPr>
        <w:tabs>
          <w:tab w:val="num" w:pos="1080"/>
        </w:tabs>
        <w:ind w:left="1080" w:hanging="360"/>
      </w:pPr>
      <w:rPr>
        <w:rFonts w:ascii="Wingdings" w:hAnsi="Wingdings" w:hint="default"/>
      </w:rPr>
    </w:lvl>
    <w:lvl w:ilvl="3" w:tplc="2056EBB8">
      <w:start w:val="1"/>
      <w:numFmt w:val="bullet"/>
      <w:lvlText w:val=""/>
      <w:lvlJc w:val="left"/>
      <w:pPr>
        <w:tabs>
          <w:tab w:val="num" w:pos="1800"/>
        </w:tabs>
        <w:ind w:left="1800" w:hanging="360"/>
      </w:pPr>
      <w:rPr>
        <w:rFonts w:ascii="Symbol" w:hAnsi="Symbol" w:hint="default"/>
      </w:rPr>
    </w:lvl>
    <w:lvl w:ilvl="4" w:tplc="8A3E109E">
      <w:start w:val="1"/>
      <w:numFmt w:val="bullet"/>
      <w:lvlText w:val="o"/>
      <w:lvlJc w:val="left"/>
      <w:pPr>
        <w:tabs>
          <w:tab w:val="num" w:pos="2520"/>
        </w:tabs>
        <w:ind w:left="2520" w:hanging="360"/>
      </w:pPr>
      <w:rPr>
        <w:rFonts w:ascii="Courier New" w:hAnsi="Courier New" w:cs="Times New Roman" w:hint="default"/>
      </w:rPr>
    </w:lvl>
    <w:lvl w:ilvl="5" w:tplc="DCF41D8C">
      <w:start w:val="1"/>
      <w:numFmt w:val="bullet"/>
      <w:lvlText w:val=""/>
      <w:lvlJc w:val="left"/>
      <w:pPr>
        <w:tabs>
          <w:tab w:val="num" w:pos="3240"/>
        </w:tabs>
        <w:ind w:left="3240" w:hanging="360"/>
      </w:pPr>
      <w:rPr>
        <w:rFonts w:ascii="Wingdings" w:hAnsi="Wingdings" w:hint="default"/>
      </w:rPr>
    </w:lvl>
    <w:lvl w:ilvl="6" w:tplc="EFF884FC">
      <w:start w:val="1"/>
      <w:numFmt w:val="bullet"/>
      <w:lvlText w:val=""/>
      <w:lvlJc w:val="left"/>
      <w:pPr>
        <w:tabs>
          <w:tab w:val="num" w:pos="3960"/>
        </w:tabs>
        <w:ind w:left="3960" w:hanging="360"/>
      </w:pPr>
      <w:rPr>
        <w:rFonts w:ascii="Symbol" w:hAnsi="Symbol" w:hint="default"/>
      </w:rPr>
    </w:lvl>
    <w:lvl w:ilvl="7" w:tplc="4B08F048">
      <w:start w:val="1"/>
      <w:numFmt w:val="bullet"/>
      <w:lvlText w:val="o"/>
      <w:lvlJc w:val="left"/>
      <w:pPr>
        <w:tabs>
          <w:tab w:val="num" w:pos="4680"/>
        </w:tabs>
        <w:ind w:left="4680" w:hanging="360"/>
      </w:pPr>
      <w:rPr>
        <w:rFonts w:ascii="Courier New" w:hAnsi="Courier New" w:cs="Times New Roman" w:hint="default"/>
      </w:rPr>
    </w:lvl>
    <w:lvl w:ilvl="8" w:tplc="89A04560">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0541513F"/>
    <w:multiLevelType w:val="hybridMultilevel"/>
    <w:tmpl w:val="49662E32"/>
    <w:lvl w:ilvl="0" w:tplc="AA5E523C">
      <w:start w:val="2"/>
      <w:numFmt w:val="bullet"/>
      <w:lvlText w:val="-"/>
      <w:lvlJc w:val="left"/>
      <w:pPr>
        <w:ind w:left="1437" w:hanging="360"/>
      </w:pPr>
      <w:rPr>
        <w:rFonts w:ascii="Calibri" w:eastAsia="Calibr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5" w15:restartNumberingAfterBreak="0">
    <w:nsid w:val="05EE281A"/>
    <w:multiLevelType w:val="hybridMultilevel"/>
    <w:tmpl w:val="7D162C90"/>
    <w:lvl w:ilvl="0" w:tplc="AA5E523C">
      <w:start w:val="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6" w15:restartNumberingAfterBreak="0">
    <w:nsid w:val="0C327B0D"/>
    <w:multiLevelType w:val="hybridMultilevel"/>
    <w:tmpl w:val="0298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0EE80D38"/>
    <w:multiLevelType w:val="hybridMultilevel"/>
    <w:tmpl w:val="BCE0570E"/>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8" w15:restartNumberingAfterBreak="0">
    <w:nsid w:val="233F4F09"/>
    <w:multiLevelType w:val="hybridMultilevel"/>
    <w:tmpl w:val="A89E2FC6"/>
    <w:lvl w:ilvl="0" w:tplc="0C090003">
      <w:start w:val="1"/>
      <w:numFmt w:val="bullet"/>
      <w:lvlText w:val="o"/>
      <w:lvlJc w:val="left"/>
      <w:pPr>
        <w:ind w:left="1437" w:hanging="360"/>
      </w:pPr>
      <w:rPr>
        <w:rFonts w:ascii="Courier New" w:hAnsi="Courier New" w:cs="Courier New"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9" w15:restartNumberingAfterBreak="0">
    <w:nsid w:val="235E1804"/>
    <w:multiLevelType w:val="hybridMultilevel"/>
    <w:tmpl w:val="E4A4153E"/>
    <w:lvl w:ilvl="0" w:tplc="0C090003">
      <w:start w:val="1"/>
      <w:numFmt w:val="bullet"/>
      <w:lvlText w:val="o"/>
      <w:lvlJc w:val="left"/>
      <w:pPr>
        <w:ind w:left="1437" w:hanging="360"/>
      </w:pPr>
      <w:rPr>
        <w:rFonts w:ascii="Courier New" w:hAnsi="Courier New" w:cs="Courier New"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0" w15:restartNumberingAfterBreak="0">
    <w:nsid w:val="26095A02"/>
    <w:multiLevelType w:val="hybridMultilevel"/>
    <w:tmpl w:val="0E10F80A"/>
    <w:lvl w:ilvl="0" w:tplc="AA5E523C">
      <w:start w:val="2"/>
      <w:numFmt w:val="bullet"/>
      <w:lvlText w:val="-"/>
      <w:lvlJc w:val="left"/>
      <w:pPr>
        <w:ind w:left="1437" w:hanging="360"/>
      </w:pPr>
      <w:rPr>
        <w:rFonts w:ascii="Calibri" w:eastAsia="Calibr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1" w15:restartNumberingAfterBreak="0">
    <w:nsid w:val="34847B1B"/>
    <w:multiLevelType w:val="hybridMultilevel"/>
    <w:tmpl w:val="BD6C5434"/>
    <w:lvl w:ilvl="0" w:tplc="AA5E523C">
      <w:start w:val="2"/>
      <w:numFmt w:val="bullet"/>
      <w:lvlText w:val="-"/>
      <w:lvlJc w:val="left"/>
      <w:pPr>
        <w:ind w:left="1437" w:hanging="360"/>
      </w:pPr>
      <w:rPr>
        <w:rFonts w:ascii="Calibri" w:eastAsia="Calibr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2" w15:restartNumberingAfterBreak="0">
    <w:nsid w:val="38F7129F"/>
    <w:multiLevelType w:val="hybridMultilevel"/>
    <w:tmpl w:val="B1B6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4CB59C0"/>
    <w:multiLevelType w:val="hybridMultilevel"/>
    <w:tmpl w:val="C102F8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4" w15:restartNumberingAfterBreak="0">
    <w:nsid w:val="546A1D05"/>
    <w:multiLevelType w:val="hybridMultilevel"/>
    <w:tmpl w:val="1536F850"/>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5" w15:restartNumberingAfterBreak="0">
    <w:nsid w:val="557A7E55"/>
    <w:multiLevelType w:val="hybridMultilevel"/>
    <w:tmpl w:val="8412418C"/>
    <w:lvl w:ilvl="0" w:tplc="2DDE0C36">
      <w:start w:val="201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18D24E7"/>
    <w:multiLevelType w:val="hybridMultilevel"/>
    <w:tmpl w:val="A56249D4"/>
    <w:lvl w:ilvl="0" w:tplc="335A640A">
      <w:numFmt w:val="decimal"/>
      <w:lvlText w:val=""/>
      <w:lvlJc w:val="left"/>
      <w:pPr>
        <w:ind w:left="1440" w:hanging="360"/>
      </w:pPr>
      <w:rPr>
        <w:rFonts w:ascii="Symbol" w:hAnsi="Symbol" w:hint="default"/>
      </w:rPr>
    </w:lvl>
    <w:lvl w:ilvl="1" w:tplc="28F6AB18">
      <w:start w:val="1"/>
      <w:numFmt w:val="bullet"/>
      <w:lvlText w:val=""/>
      <w:lvlJc w:val="left"/>
      <w:pPr>
        <w:ind w:left="1440" w:hanging="360"/>
      </w:pPr>
      <w:rPr>
        <w:rFonts w:ascii="Symbol" w:hAnsi="Symbol" w:hint="default"/>
      </w:rPr>
    </w:lvl>
    <w:lvl w:ilvl="2" w:tplc="2DBAA330">
      <w:start w:val="1"/>
      <w:numFmt w:val="bullet"/>
      <w:lvlText w:val="o"/>
      <w:lvlJc w:val="left"/>
      <w:pPr>
        <w:ind w:left="2160" w:hanging="360"/>
      </w:pPr>
      <w:rPr>
        <w:rFonts w:ascii="Courier New" w:hAnsi="Courier New" w:cs="Courier New" w:hint="default"/>
      </w:rPr>
    </w:lvl>
    <w:lvl w:ilvl="3" w:tplc="E4B6A7F4">
      <w:start w:val="1"/>
      <w:numFmt w:val="bullet"/>
      <w:lvlText w:val=""/>
      <w:lvlJc w:val="left"/>
      <w:pPr>
        <w:ind w:left="2880" w:hanging="360"/>
      </w:pPr>
      <w:rPr>
        <w:rFonts w:ascii="Symbol" w:hAnsi="Symbol" w:hint="default"/>
      </w:rPr>
    </w:lvl>
    <w:lvl w:ilvl="4" w:tplc="EE561FCA">
      <w:start w:val="1"/>
      <w:numFmt w:val="bullet"/>
      <w:lvlText w:val="o"/>
      <w:lvlJc w:val="left"/>
      <w:pPr>
        <w:ind w:left="3600" w:hanging="360"/>
      </w:pPr>
      <w:rPr>
        <w:rFonts w:ascii="Courier New" w:hAnsi="Courier New" w:cs="Courier New" w:hint="default"/>
      </w:rPr>
    </w:lvl>
    <w:lvl w:ilvl="5" w:tplc="F36C28A0">
      <w:start w:val="1"/>
      <w:numFmt w:val="bullet"/>
      <w:lvlText w:val=""/>
      <w:lvlJc w:val="left"/>
      <w:pPr>
        <w:ind w:left="4320" w:hanging="360"/>
      </w:pPr>
      <w:rPr>
        <w:rFonts w:ascii="Wingdings" w:hAnsi="Wingdings" w:hint="default"/>
      </w:rPr>
    </w:lvl>
    <w:lvl w:ilvl="6" w:tplc="DC7AE25A">
      <w:start w:val="1"/>
      <w:numFmt w:val="bullet"/>
      <w:lvlText w:val=""/>
      <w:lvlJc w:val="left"/>
      <w:pPr>
        <w:ind w:left="5040" w:hanging="360"/>
      </w:pPr>
      <w:rPr>
        <w:rFonts w:ascii="Symbol" w:hAnsi="Symbol" w:hint="default"/>
      </w:rPr>
    </w:lvl>
    <w:lvl w:ilvl="7" w:tplc="56A0B206">
      <w:start w:val="1"/>
      <w:numFmt w:val="bullet"/>
      <w:lvlText w:val="o"/>
      <w:lvlJc w:val="left"/>
      <w:pPr>
        <w:ind w:left="5760" w:hanging="360"/>
      </w:pPr>
      <w:rPr>
        <w:rFonts w:ascii="Courier New" w:hAnsi="Courier New" w:cs="Courier New" w:hint="default"/>
      </w:rPr>
    </w:lvl>
    <w:lvl w:ilvl="8" w:tplc="190682EA">
      <w:start w:val="1"/>
      <w:numFmt w:val="bullet"/>
      <w:lvlText w:val=""/>
      <w:lvlJc w:val="left"/>
      <w:pPr>
        <w:ind w:left="6480" w:hanging="360"/>
      </w:pPr>
      <w:rPr>
        <w:rFonts w:ascii="Wingdings" w:hAnsi="Wingdings" w:hint="default"/>
      </w:rPr>
    </w:lvl>
  </w:abstractNum>
  <w:abstractNum w:abstractNumId="67" w15:restartNumberingAfterBreak="0">
    <w:nsid w:val="6903617C"/>
    <w:multiLevelType w:val="hybridMultilevel"/>
    <w:tmpl w:val="B7FE3A86"/>
    <w:lvl w:ilvl="0" w:tplc="E94C9F3E">
      <w:numFmt w:val="decimal"/>
      <w:lvlText w:val=""/>
      <w:lvlJc w:val="left"/>
      <w:pPr>
        <w:ind w:left="720" w:hanging="360"/>
      </w:pPr>
      <w:rPr>
        <w:rFonts w:ascii="Symbol" w:hAnsi="Symbol" w:hint="default"/>
      </w:rPr>
    </w:lvl>
    <w:lvl w:ilvl="1" w:tplc="BFC6B222">
      <w:start w:val="1"/>
      <w:numFmt w:val="decimal"/>
      <w:lvlText w:val="-"/>
      <w:lvlJc w:val="left"/>
      <w:pPr>
        <w:ind w:left="1440" w:hanging="360"/>
      </w:pPr>
      <w:rPr>
        <w:rFonts w:ascii="Calibri" w:eastAsia="Calibri" w:hAnsi="Calibri" w:cs="Calibri" w:hint="default"/>
      </w:rPr>
    </w:lvl>
    <w:lvl w:ilvl="2" w:tplc="3AF65C7A">
      <w:start w:val="1"/>
      <w:numFmt w:val="bullet"/>
      <w:lvlText w:val=""/>
      <w:lvlJc w:val="left"/>
      <w:pPr>
        <w:ind w:left="2160" w:hanging="360"/>
      </w:pPr>
      <w:rPr>
        <w:rFonts w:ascii="Wingdings" w:hAnsi="Wingdings" w:hint="default"/>
      </w:rPr>
    </w:lvl>
    <w:lvl w:ilvl="3" w:tplc="48927000">
      <w:start w:val="1"/>
      <w:numFmt w:val="bullet"/>
      <w:lvlText w:val=""/>
      <w:lvlJc w:val="left"/>
      <w:pPr>
        <w:ind w:left="2880" w:hanging="360"/>
      </w:pPr>
      <w:rPr>
        <w:rFonts w:ascii="Symbol" w:hAnsi="Symbol" w:hint="default"/>
      </w:rPr>
    </w:lvl>
    <w:lvl w:ilvl="4" w:tplc="0FD84E76">
      <w:start w:val="1"/>
      <w:numFmt w:val="bullet"/>
      <w:lvlText w:val="o"/>
      <w:lvlJc w:val="left"/>
      <w:pPr>
        <w:ind w:left="3600" w:hanging="360"/>
      </w:pPr>
      <w:rPr>
        <w:rFonts w:ascii="Courier New" w:hAnsi="Courier New" w:cs="Courier New" w:hint="default"/>
      </w:rPr>
    </w:lvl>
    <w:lvl w:ilvl="5" w:tplc="766EDA60">
      <w:start w:val="1"/>
      <w:numFmt w:val="bullet"/>
      <w:lvlText w:val=""/>
      <w:lvlJc w:val="left"/>
      <w:pPr>
        <w:ind w:left="4320" w:hanging="360"/>
      </w:pPr>
      <w:rPr>
        <w:rFonts w:ascii="Wingdings" w:hAnsi="Wingdings" w:hint="default"/>
      </w:rPr>
    </w:lvl>
    <w:lvl w:ilvl="6" w:tplc="0F50CF0E">
      <w:start w:val="1"/>
      <w:numFmt w:val="bullet"/>
      <w:lvlText w:val=""/>
      <w:lvlJc w:val="left"/>
      <w:pPr>
        <w:ind w:left="5040" w:hanging="360"/>
      </w:pPr>
      <w:rPr>
        <w:rFonts w:ascii="Symbol" w:hAnsi="Symbol" w:hint="default"/>
      </w:rPr>
    </w:lvl>
    <w:lvl w:ilvl="7" w:tplc="01B4BD30">
      <w:start w:val="1"/>
      <w:numFmt w:val="bullet"/>
      <w:lvlText w:val="o"/>
      <w:lvlJc w:val="left"/>
      <w:pPr>
        <w:ind w:left="5760" w:hanging="360"/>
      </w:pPr>
      <w:rPr>
        <w:rFonts w:ascii="Courier New" w:hAnsi="Courier New" w:cs="Courier New" w:hint="default"/>
      </w:rPr>
    </w:lvl>
    <w:lvl w:ilvl="8" w:tplc="6C5A3546">
      <w:start w:val="1"/>
      <w:numFmt w:val="bullet"/>
      <w:lvlText w:val=""/>
      <w:lvlJc w:val="left"/>
      <w:pPr>
        <w:ind w:left="6480" w:hanging="360"/>
      </w:pPr>
      <w:rPr>
        <w:rFonts w:ascii="Wingdings" w:hAnsi="Wingdings" w:hint="default"/>
      </w:rPr>
    </w:lvl>
  </w:abstractNum>
  <w:abstractNum w:abstractNumId="68" w15:restartNumberingAfterBreak="0">
    <w:nsid w:val="7B3730AE"/>
    <w:multiLevelType w:val="hybridMultilevel"/>
    <w:tmpl w:val="ECA61E9E"/>
    <w:lvl w:ilvl="0" w:tplc="409AB7B2">
      <w:start w:val="1"/>
      <w:numFmt w:val="bullet"/>
      <w:lvlText w:val=""/>
      <w:lvlJc w:val="left"/>
      <w:pPr>
        <w:tabs>
          <w:tab w:val="num" w:pos="360"/>
        </w:tabs>
        <w:ind w:left="357" w:hanging="357"/>
      </w:pPr>
      <w:rPr>
        <w:rFonts w:ascii="Symbol" w:hAnsi="Symbol" w:hint="default"/>
        <w:sz w:val="24"/>
      </w:rPr>
    </w:lvl>
    <w:lvl w:ilvl="1" w:tplc="D9727DB8">
      <w:start w:val="1"/>
      <w:numFmt w:val="bullet"/>
      <w:lvlText w:val="o"/>
      <w:lvlJc w:val="left"/>
      <w:pPr>
        <w:tabs>
          <w:tab w:val="num" w:pos="1800"/>
        </w:tabs>
        <w:ind w:left="1800" w:hanging="360"/>
      </w:pPr>
      <w:rPr>
        <w:rFonts w:ascii="Courier New" w:hAnsi="Courier New" w:cs="Times New Roman" w:hint="default"/>
      </w:rPr>
    </w:lvl>
    <w:lvl w:ilvl="2" w:tplc="6E1CBEFE">
      <w:start w:val="1"/>
      <w:numFmt w:val="bullet"/>
      <w:lvlText w:val=""/>
      <w:lvlJc w:val="left"/>
      <w:pPr>
        <w:tabs>
          <w:tab w:val="num" w:pos="2520"/>
        </w:tabs>
        <w:ind w:left="2520" w:hanging="360"/>
      </w:pPr>
      <w:rPr>
        <w:rFonts w:ascii="Wingdings" w:hAnsi="Wingdings" w:hint="default"/>
      </w:rPr>
    </w:lvl>
    <w:lvl w:ilvl="3" w:tplc="C30EAC22">
      <w:start w:val="1"/>
      <w:numFmt w:val="bullet"/>
      <w:lvlText w:val=""/>
      <w:lvlJc w:val="left"/>
      <w:pPr>
        <w:tabs>
          <w:tab w:val="num" w:pos="3240"/>
        </w:tabs>
        <w:ind w:left="3240" w:hanging="360"/>
      </w:pPr>
      <w:rPr>
        <w:rFonts w:ascii="Symbol" w:hAnsi="Symbol" w:hint="default"/>
      </w:rPr>
    </w:lvl>
    <w:lvl w:ilvl="4" w:tplc="045C9988">
      <w:start w:val="1"/>
      <w:numFmt w:val="bullet"/>
      <w:lvlText w:val="o"/>
      <w:lvlJc w:val="left"/>
      <w:pPr>
        <w:tabs>
          <w:tab w:val="num" w:pos="3960"/>
        </w:tabs>
        <w:ind w:left="3960" w:hanging="360"/>
      </w:pPr>
      <w:rPr>
        <w:rFonts w:ascii="Courier New" w:hAnsi="Courier New" w:cs="Times New Roman" w:hint="default"/>
      </w:rPr>
    </w:lvl>
    <w:lvl w:ilvl="5" w:tplc="87122BE6">
      <w:start w:val="1"/>
      <w:numFmt w:val="bullet"/>
      <w:lvlText w:val=""/>
      <w:lvlJc w:val="left"/>
      <w:pPr>
        <w:tabs>
          <w:tab w:val="num" w:pos="4680"/>
        </w:tabs>
        <w:ind w:left="4680" w:hanging="360"/>
      </w:pPr>
      <w:rPr>
        <w:rFonts w:ascii="Wingdings" w:hAnsi="Wingdings" w:hint="default"/>
      </w:rPr>
    </w:lvl>
    <w:lvl w:ilvl="6" w:tplc="957C6586">
      <w:start w:val="1"/>
      <w:numFmt w:val="bullet"/>
      <w:lvlText w:val=""/>
      <w:lvlJc w:val="left"/>
      <w:pPr>
        <w:tabs>
          <w:tab w:val="num" w:pos="5400"/>
        </w:tabs>
        <w:ind w:left="5400" w:hanging="360"/>
      </w:pPr>
      <w:rPr>
        <w:rFonts w:ascii="Symbol" w:hAnsi="Symbol" w:hint="default"/>
      </w:rPr>
    </w:lvl>
    <w:lvl w:ilvl="7" w:tplc="5DE8F0D0">
      <w:start w:val="1"/>
      <w:numFmt w:val="bullet"/>
      <w:lvlText w:val="o"/>
      <w:lvlJc w:val="left"/>
      <w:pPr>
        <w:tabs>
          <w:tab w:val="num" w:pos="6120"/>
        </w:tabs>
        <w:ind w:left="6120" w:hanging="360"/>
      </w:pPr>
      <w:rPr>
        <w:rFonts w:ascii="Courier New" w:hAnsi="Courier New" w:cs="Times New Roman" w:hint="default"/>
      </w:rPr>
    </w:lvl>
    <w:lvl w:ilvl="8" w:tplc="DBAAA176">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B3730AF"/>
    <w:multiLevelType w:val="hybridMultilevel"/>
    <w:tmpl w:val="C862F322"/>
    <w:lvl w:ilvl="0" w:tplc="ECBC9034">
      <w:start w:val="1"/>
      <w:numFmt w:val="bullet"/>
      <w:lvlText w:val=""/>
      <w:lvlJc w:val="left"/>
      <w:pPr>
        <w:ind w:left="360" w:hanging="360"/>
      </w:pPr>
      <w:rPr>
        <w:rFonts w:ascii="Symbol" w:hAnsi="Symbol" w:hint="default"/>
      </w:rPr>
    </w:lvl>
    <w:lvl w:ilvl="1" w:tplc="B64628A8">
      <w:start w:val="1"/>
      <w:numFmt w:val="bullet"/>
      <w:lvlText w:val="o"/>
      <w:lvlJc w:val="left"/>
      <w:pPr>
        <w:ind w:left="1080" w:hanging="360"/>
      </w:pPr>
      <w:rPr>
        <w:rFonts w:ascii="Courier New" w:hAnsi="Courier New" w:cs="Times New Roman" w:hint="default"/>
      </w:rPr>
    </w:lvl>
    <w:lvl w:ilvl="2" w:tplc="05F4D7C6">
      <w:start w:val="1"/>
      <w:numFmt w:val="bullet"/>
      <w:lvlText w:val=""/>
      <w:lvlJc w:val="left"/>
      <w:pPr>
        <w:ind w:left="1800" w:hanging="360"/>
      </w:pPr>
      <w:rPr>
        <w:rFonts w:ascii="Wingdings" w:hAnsi="Wingdings" w:hint="default"/>
      </w:rPr>
    </w:lvl>
    <w:lvl w:ilvl="3" w:tplc="4FEC62E0">
      <w:start w:val="1"/>
      <w:numFmt w:val="bullet"/>
      <w:lvlText w:val=""/>
      <w:lvlJc w:val="left"/>
      <w:pPr>
        <w:ind w:left="2520" w:hanging="360"/>
      </w:pPr>
      <w:rPr>
        <w:rFonts w:ascii="Symbol" w:hAnsi="Symbol" w:hint="default"/>
      </w:rPr>
    </w:lvl>
    <w:lvl w:ilvl="4" w:tplc="C242E794">
      <w:start w:val="1"/>
      <w:numFmt w:val="bullet"/>
      <w:lvlText w:val="o"/>
      <w:lvlJc w:val="left"/>
      <w:pPr>
        <w:ind w:left="3240" w:hanging="360"/>
      </w:pPr>
      <w:rPr>
        <w:rFonts w:ascii="Courier New" w:hAnsi="Courier New" w:cs="Times New Roman" w:hint="default"/>
      </w:rPr>
    </w:lvl>
    <w:lvl w:ilvl="5" w:tplc="9A009A00">
      <w:start w:val="1"/>
      <w:numFmt w:val="bullet"/>
      <w:lvlText w:val=""/>
      <w:lvlJc w:val="left"/>
      <w:pPr>
        <w:ind w:left="3960" w:hanging="360"/>
      </w:pPr>
      <w:rPr>
        <w:rFonts w:ascii="Wingdings" w:hAnsi="Wingdings" w:hint="default"/>
      </w:rPr>
    </w:lvl>
    <w:lvl w:ilvl="6" w:tplc="63E23034">
      <w:start w:val="1"/>
      <w:numFmt w:val="bullet"/>
      <w:lvlText w:val=""/>
      <w:lvlJc w:val="left"/>
      <w:pPr>
        <w:ind w:left="4680" w:hanging="360"/>
      </w:pPr>
      <w:rPr>
        <w:rFonts w:ascii="Symbol" w:hAnsi="Symbol" w:hint="default"/>
      </w:rPr>
    </w:lvl>
    <w:lvl w:ilvl="7" w:tplc="9E328FCC">
      <w:start w:val="1"/>
      <w:numFmt w:val="bullet"/>
      <w:lvlText w:val="o"/>
      <w:lvlJc w:val="left"/>
      <w:pPr>
        <w:ind w:left="5400" w:hanging="360"/>
      </w:pPr>
      <w:rPr>
        <w:rFonts w:ascii="Courier New" w:hAnsi="Courier New" w:cs="Times New Roman" w:hint="default"/>
      </w:rPr>
    </w:lvl>
    <w:lvl w:ilvl="8" w:tplc="19F40A64">
      <w:start w:val="1"/>
      <w:numFmt w:val="bullet"/>
      <w:lvlText w:val=""/>
      <w:lvlJc w:val="left"/>
      <w:pPr>
        <w:ind w:left="6120" w:hanging="360"/>
      </w:pPr>
      <w:rPr>
        <w:rFonts w:ascii="Wingdings" w:hAnsi="Wingdings" w:hint="default"/>
      </w:rPr>
    </w:lvl>
  </w:abstractNum>
  <w:abstractNum w:abstractNumId="70" w15:restartNumberingAfterBreak="0">
    <w:nsid w:val="7B3730B0"/>
    <w:multiLevelType w:val="hybridMultilevel"/>
    <w:tmpl w:val="ECA61E9E"/>
    <w:lvl w:ilvl="0" w:tplc="4516B6A6">
      <w:start w:val="1"/>
      <w:numFmt w:val="bullet"/>
      <w:lvlText w:val=""/>
      <w:lvlJc w:val="left"/>
      <w:pPr>
        <w:tabs>
          <w:tab w:val="num" w:pos="360"/>
        </w:tabs>
        <w:ind w:left="357" w:hanging="357"/>
      </w:pPr>
      <w:rPr>
        <w:rFonts w:ascii="Symbol" w:hAnsi="Symbol" w:hint="default"/>
        <w:sz w:val="24"/>
      </w:rPr>
    </w:lvl>
    <w:lvl w:ilvl="1" w:tplc="A0682988">
      <w:start w:val="1"/>
      <w:numFmt w:val="bullet"/>
      <w:lvlText w:val="o"/>
      <w:lvlJc w:val="left"/>
      <w:pPr>
        <w:tabs>
          <w:tab w:val="num" w:pos="1800"/>
        </w:tabs>
        <w:ind w:left="1800" w:hanging="360"/>
      </w:pPr>
      <w:rPr>
        <w:rFonts w:ascii="Courier New" w:hAnsi="Courier New" w:cs="Times New Roman" w:hint="default"/>
      </w:rPr>
    </w:lvl>
    <w:lvl w:ilvl="2" w:tplc="BB2AA9D6">
      <w:start w:val="1"/>
      <w:numFmt w:val="bullet"/>
      <w:lvlText w:val=""/>
      <w:lvlJc w:val="left"/>
      <w:pPr>
        <w:tabs>
          <w:tab w:val="num" w:pos="2520"/>
        </w:tabs>
        <w:ind w:left="2520" w:hanging="360"/>
      </w:pPr>
      <w:rPr>
        <w:rFonts w:ascii="Wingdings" w:hAnsi="Wingdings" w:hint="default"/>
      </w:rPr>
    </w:lvl>
    <w:lvl w:ilvl="3" w:tplc="1372482A">
      <w:start w:val="1"/>
      <w:numFmt w:val="bullet"/>
      <w:lvlText w:val=""/>
      <w:lvlJc w:val="left"/>
      <w:pPr>
        <w:tabs>
          <w:tab w:val="num" w:pos="3240"/>
        </w:tabs>
        <w:ind w:left="3240" w:hanging="360"/>
      </w:pPr>
      <w:rPr>
        <w:rFonts w:ascii="Symbol" w:hAnsi="Symbol" w:hint="default"/>
      </w:rPr>
    </w:lvl>
    <w:lvl w:ilvl="4" w:tplc="ECD07C96">
      <w:start w:val="1"/>
      <w:numFmt w:val="bullet"/>
      <w:lvlText w:val="o"/>
      <w:lvlJc w:val="left"/>
      <w:pPr>
        <w:tabs>
          <w:tab w:val="num" w:pos="3960"/>
        </w:tabs>
        <w:ind w:left="3960" w:hanging="360"/>
      </w:pPr>
      <w:rPr>
        <w:rFonts w:ascii="Courier New" w:hAnsi="Courier New" w:cs="Times New Roman" w:hint="default"/>
      </w:rPr>
    </w:lvl>
    <w:lvl w:ilvl="5" w:tplc="1B42FD76">
      <w:start w:val="1"/>
      <w:numFmt w:val="bullet"/>
      <w:lvlText w:val=""/>
      <w:lvlJc w:val="left"/>
      <w:pPr>
        <w:tabs>
          <w:tab w:val="num" w:pos="4680"/>
        </w:tabs>
        <w:ind w:left="4680" w:hanging="360"/>
      </w:pPr>
      <w:rPr>
        <w:rFonts w:ascii="Wingdings" w:hAnsi="Wingdings" w:hint="default"/>
      </w:rPr>
    </w:lvl>
    <w:lvl w:ilvl="6" w:tplc="55AE5584">
      <w:start w:val="1"/>
      <w:numFmt w:val="bullet"/>
      <w:lvlText w:val=""/>
      <w:lvlJc w:val="left"/>
      <w:pPr>
        <w:tabs>
          <w:tab w:val="num" w:pos="5400"/>
        </w:tabs>
        <w:ind w:left="5400" w:hanging="360"/>
      </w:pPr>
      <w:rPr>
        <w:rFonts w:ascii="Symbol" w:hAnsi="Symbol" w:hint="default"/>
      </w:rPr>
    </w:lvl>
    <w:lvl w:ilvl="7" w:tplc="0F209D2E">
      <w:start w:val="1"/>
      <w:numFmt w:val="bullet"/>
      <w:lvlText w:val="o"/>
      <w:lvlJc w:val="left"/>
      <w:pPr>
        <w:tabs>
          <w:tab w:val="num" w:pos="6120"/>
        </w:tabs>
        <w:ind w:left="6120" w:hanging="360"/>
      </w:pPr>
      <w:rPr>
        <w:rFonts w:ascii="Courier New" w:hAnsi="Courier New" w:cs="Times New Roman" w:hint="default"/>
      </w:rPr>
    </w:lvl>
    <w:lvl w:ilvl="8" w:tplc="72B889F0">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B3730B1"/>
    <w:multiLevelType w:val="hybridMultilevel"/>
    <w:tmpl w:val="6D2455A2"/>
    <w:lvl w:ilvl="0" w:tplc="C9D44726">
      <w:start w:val="1"/>
      <w:numFmt w:val="decimal"/>
      <w:lvlText w:val="%1."/>
      <w:lvlJc w:val="left"/>
      <w:pPr>
        <w:ind w:left="360" w:hanging="360"/>
      </w:pPr>
    </w:lvl>
    <w:lvl w:ilvl="1" w:tplc="CD667FBE">
      <w:start w:val="1"/>
      <w:numFmt w:val="lowerLetter"/>
      <w:lvlText w:val="%2."/>
      <w:lvlJc w:val="left"/>
      <w:pPr>
        <w:ind w:left="1080" w:hanging="360"/>
      </w:pPr>
    </w:lvl>
    <w:lvl w:ilvl="2" w:tplc="1262AAAA">
      <w:start w:val="1"/>
      <w:numFmt w:val="lowerRoman"/>
      <w:lvlText w:val="%3."/>
      <w:lvlJc w:val="right"/>
      <w:pPr>
        <w:ind w:left="1800" w:hanging="180"/>
      </w:pPr>
    </w:lvl>
    <w:lvl w:ilvl="3" w:tplc="B310F42E">
      <w:start w:val="1"/>
      <w:numFmt w:val="decimal"/>
      <w:lvlText w:val="%4."/>
      <w:lvlJc w:val="left"/>
      <w:pPr>
        <w:ind w:left="2520" w:hanging="360"/>
      </w:pPr>
    </w:lvl>
    <w:lvl w:ilvl="4" w:tplc="1EEC9854">
      <w:start w:val="1"/>
      <w:numFmt w:val="lowerLetter"/>
      <w:lvlText w:val="%5."/>
      <w:lvlJc w:val="left"/>
      <w:pPr>
        <w:ind w:left="3240" w:hanging="360"/>
      </w:pPr>
    </w:lvl>
    <w:lvl w:ilvl="5" w:tplc="5994EA1A">
      <w:start w:val="1"/>
      <w:numFmt w:val="lowerRoman"/>
      <w:lvlText w:val="%6."/>
      <w:lvlJc w:val="right"/>
      <w:pPr>
        <w:ind w:left="3960" w:hanging="180"/>
      </w:pPr>
    </w:lvl>
    <w:lvl w:ilvl="6" w:tplc="8B56F224">
      <w:start w:val="1"/>
      <w:numFmt w:val="decimal"/>
      <w:lvlText w:val="%7."/>
      <w:lvlJc w:val="left"/>
      <w:pPr>
        <w:ind w:left="4680" w:hanging="360"/>
      </w:pPr>
    </w:lvl>
    <w:lvl w:ilvl="7" w:tplc="D6284EC4">
      <w:start w:val="1"/>
      <w:numFmt w:val="lowerLetter"/>
      <w:lvlText w:val="%8."/>
      <w:lvlJc w:val="left"/>
      <w:pPr>
        <w:ind w:left="5400" w:hanging="360"/>
      </w:pPr>
    </w:lvl>
    <w:lvl w:ilvl="8" w:tplc="493CD2C6">
      <w:start w:val="1"/>
      <w:numFmt w:val="lowerRoman"/>
      <w:lvlText w:val="%9."/>
      <w:lvlJc w:val="right"/>
      <w:pPr>
        <w:ind w:left="6120" w:hanging="180"/>
      </w:pPr>
    </w:lvl>
  </w:abstractNum>
  <w:abstractNum w:abstractNumId="72" w15:restartNumberingAfterBreak="0">
    <w:nsid w:val="7B3730B3"/>
    <w:multiLevelType w:val="hybridMultilevel"/>
    <w:tmpl w:val="3B50FD64"/>
    <w:lvl w:ilvl="0" w:tplc="042EBC48">
      <w:start w:val="1"/>
      <w:numFmt w:val="decimal"/>
      <w:lvlText w:val="%1."/>
      <w:lvlJc w:val="left"/>
      <w:pPr>
        <w:ind w:left="360" w:hanging="360"/>
      </w:pPr>
    </w:lvl>
    <w:lvl w:ilvl="1" w:tplc="961415E8">
      <w:start w:val="1"/>
      <w:numFmt w:val="lowerLetter"/>
      <w:lvlText w:val="%2."/>
      <w:lvlJc w:val="left"/>
      <w:pPr>
        <w:ind w:left="1080" w:hanging="360"/>
      </w:pPr>
    </w:lvl>
    <w:lvl w:ilvl="2" w:tplc="B2E0C646">
      <w:start w:val="1"/>
      <w:numFmt w:val="lowerRoman"/>
      <w:lvlText w:val="%3."/>
      <w:lvlJc w:val="right"/>
      <w:pPr>
        <w:ind w:left="1800" w:hanging="180"/>
      </w:pPr>
    </w:lvl>
    <w:lvl w:ilvl="3" w:tplc="026064B4">
      <w:start w:val="1"/>
      <w:numFmt w:val="decimal"/>
      <w:lvlText w:val="%4."/>
      <w:lvlJc w:val="left"/>
      <w:pPr>
        <w:ind w:left="2520" w:hanging="360"/>
      </w:pPr>
    </w:lvl>
    <w:lvl w:ilvl="4" w:tplc="DBCA97E0">
      <w:start w:val="1"/>
      <w:numFmt w:val="lowerLetter"/>
      <w:lvlText w:val="%5."/>
      <w:lvlJc w:val="left"/>
      <w:pPr>
        <w:ind w:left="3240" w:hanging="360"/>
      </w:pPr>
    </w:lvl>
    <w:lvl w:ilvl="5" w:tplc="0E1CB34C">
      <w:start w:val="1"/>
      <w:numFmt w:val="lowerRoman"/>
      <w:lvlText w:val="%6."/>
      <w:lvlJc w:val="right"/>
      <w:pPr>
        <w:ind w:left="3960" w:hanging="180"/>
      </w:pPr>
    </w:lvl>
    <w:lvl w:ilvl="6" w:tplc="1DF469D8">
      <w:start w:val="1"/>
      <w:numFmt w:val="decimal"/>
      <w:lvlText w:val="%7."/>
      <w:lvlJc w:val="left"/>
      <w:pPr>
        <w:ind w:left="4680" w:hanging="360"/>
      </w:pPr>
    </w:lvl>
    <w:lvl w:ilvl="7" w:tplc="E730D1FA">
      <w:start w:val="1"/>
      <w:numFmt w:val="lowerLetter"/>
      <w:lvlText w:val="%8."/>
      <w:lvlJc w:val="left"/>
      <w:pPr>
        <w:ind w:left="5400" w:hanging="360"/>
      </w:pPr>
    </w:lvl>
    <w:lvl w:ilvl="8" w:tplc="060C39A8">
      <w:start w:val="1"/>
      <w:numFmt w:val="lowerRoman"/>
      <w:lvlText w:val="%9."/>
      <w:lvlJc w:val="right"/>
      <w:pPr>
        <w:ind w:left="6120" w:hanging="180"/>
      </w:pPr>
    </w:lvl>
  </w:abstractNum>
  <w:abstractNum w:abstractNumId="73" w15:restartNumberingAfterBreak="0">
    <w:nsid w:val="7B3730B4"/>
    <w:multiLevelType w:val="hybridMultilevel"/>
    <w:tmpl w:val="63D67E68"/>
    <w:lvl w:ilvl="0" w:tplc="EB8A9F90">
      <w:start w:val="1"/>
      <w:numFmt w:val="decimal"/>
      <w:pStyle w:val="Alnotes0"/>
      <w:lvlText w:val="%1."/>
      <w:lvlJc w:val="left"/>
      <w:pPr>
        <w:ind w:left="360" w:hanging="360"/>
      </w:pPr>
    </w:lvl>
    <w:lvl w:ilvl="1" w:tplc="FF2A96C8">
      <w:start w:val="1"/>
      <w:numFmt w:val="lowerLetter"/>
      <w:lvlText w:val="%2."/>
      <w:lvlJc w:val="left"/>
      <w:pPr>
        <w:ind w:left="1080" w:hanging="360"/>
      </w:pPr>
    </w:lvl>
    <w:lvl w:ilvl="2" w:tplc="10422926">
      <w:start w:val="1"/>
      <w:numFmt w:val="lowerRoman"/>
      <w:lvlText w:val="%3."/>
      <w:lvlJc w:val="right"/>
      <w:pPr>
        <w:ind w:left="1800" w:hanging="180"/>
      </w:pPr>
    </w:lvl>
    <w:lvl w:ilvl="3" w:tplc="ECF28718">
      <w:start w:val="1"/>
      <w:numFmt w:val="decimal"/>
      <w:lvlText w:val="%4."/>
      <w:lvlJc w:val="left"/>
      <w:pPr>
        <w:ind w:left="2520" w:hanging="360"/>
      </w:pPr>
    </w:lvl>
    <w:lvl w:ilvl="4" w:tplc="11FC6778">
      <w:start w:val="1"/>
      <w:numFmt w:val="lowerLetter"/>
      <w:lvlText w:val="%5."/>
      <w:lvlJc w:val="left"/>
      <w:pPr>
        <w:ind w:left="3240" w:hanging="360"/>
      </w:pPr>
    </w:lvl>
    <w:lvl w:ilvl="5" w:tplc="E7703474">
      <w:start w:val="1"/>
      <w:numFmt w:val="lowerRoman"/>
      <w:lvlText w:val="%6."/>
      <w:lvlJc w:val="right"/>
      <w:pPr>
        <w:ind w:left="3960" w:hanging="180"/>
      </w:pPr>
    </w:lvl>
    <w:lvl w:ilvl="6" w:tplc="CF8CEC3E">
      <w:start w:val="1"/>
      <w:numFmt w:val="decimal"/>
      <w:lvlText w:val="%7."/>
      <w:lvlJc w:val="left"/>
      <w:pPr>
        <w:ind w:left="4680" w:hanging="360"/>
      </w:pPr>
    </w:lvl>
    <w:lvl w:ilvl="7" w:tplc="C3900FE2">
      <w:start w:val="1"/>
      <w:numFmt w:val="lowerLetter"/>
      <w:lvlText w:val="%8."/>
      <w:lvlJc w:val="left"/>
      <w:pPr>
        <w:ind w:left="5400" w:hanging="360"/>
      </w:pPr>
    </w:lvl>
    <w:lvl w:ilvl="8" w:tplc="D2EAE468">
      <w:start w:val="1"/>
      <w:numFmt w:val="lowerRoman"/>
      <w:lvlText w:val="%9."/>
      <w:lvlJc w:val="right"/>
      <w:pPr>
        <w:ind w:left="6120" w:hanging="180"/>
      </w:pPr>
    </w:lvl>
  </w:abstractNum>
  <w:abstractNum w:abstractNumId="74" w15:restartNumberingAfterBreak="0">
    <w:nsid w:val="7B3730B6"/>
    <w:multiLevelType w:val="hybridMultilevel"/>
    <w:tmpl w:val="8BC2FDFE"/>
    <w:lvl w:ilvl="0" w:tplc="2B2827CC">
      <w:start w:val="1"/>
      <w:numFmt w:val="lowerLetter"/>
      <w:lvlText w:val="%1."/>
      <w:lvlJc w:val="left"/>
      <w:pPr>
        <w:ind w:left="360" w:hanging="360"/>
      </w:pPr>
    </w:lvl>
    <w:lvl w:ilvl="1" w:tplc="1CF064EC">
      <w:start w:val="1"/>
      <w:numFmt w:val="lowerLetter"/>
      <w:lvlText w:val="%2."/>
      <w:lvlJc w:val="left"/>
      <w:pPr>
        <w:ind w:left="1080" w:hanging="360"/>
      </w:pPr>
    </w:lvl>
    <w:lvl w:ilvl="2" w:tplc="12CEECBC">
      <w:start w:val="1"/>
      <w:numFmt w:val="lowerRoman"/>
      <w:lvlText w:val="%3."/>
      <w:lvlJc w:val="right"/>
      <w:pPr>
        <w:ind w:left="1800" w:hanging="180"/>
      </w:pPr>
    </w:lvl>
    <w:lvl w:ilvl="3" w:tplc="88EAF2A4">
      <w:start w:val="1"/>
      <w:numFmt w:val="decimal"/>
      <w:lvlText w:val="%4."/>
      <w:lvlJc w:val="left"/>
      <w:pPr>
        <w:ind w:left="2520" w:hanging="360"/>
      </w:pPr>
    </w:lvl>
    <w:lvl w:ilvl="4" w:tplc="09E4EC80">
      <w:start w:val="1"/>
      <w:numFmt w:val="lowerLetter"/>
      <w:lvlText w:val="%5."/>
      <w:lvlJc w:val="left"/>
      <w:pPr>
        <w:ind w:left="3240" w:hanging="360"/>
      </w:pPr>
    </w:lvl>
    <w:lvl w:ilvl="5" w:tplc="7088B2D4">
      <w:start w:val="1"/>
      <w:numFmt w:val="lowerRoman"/>
      <w:lvlText w:val="%6."/>
      <w:lvlJc w:val="right"/>
      <w:pPr>
        <w:ind w:left="3960" w:hanging="180"/>
      </w:pPr>
    </w:lvl>
    <w:lvl w:ilvl="6" w:tplc="24EE2D54">
      <w:start w:val="1"/>
      <w:numFmt w:val="decimal"/>
      <w:lvlText w:val="%7."/>
      <w:lvlJc w:val="left"/>
      <w:pPr>
        <w:ind w:left="4680" w:hanging="360"/>
      </w:pPr>
    </w:lvl>
    <w:lvl w:ilvl="7" w:tplc="59965AE2">
      <w:start w:val="1"/>
      <w:numFmt w:val="lowerLetter"/>
      <w:lvlText w:val="%8."/>
      <w:lvlJc w:val="left"/>
      <w:pPr>
        <w:ind w:left="5400" w:hanging="360"/>
      </w:pPr>
    </w:lvl>
    <w:lvl w:ilvl="8" w:tplc="FF9C9080">
      <w:start w:val="1"/>
      <w:numFmt w:val="lowerRoman"/>
      <w:lvlText w:val="%9."/>
      <w:lvlJc w:val="right"/>
      <w:pPr>
        <w:ind w:left="6120" w:hanging="180"/>
      </w:pPr>
    </w:lvl>
  </w:abstractNum>
  <w:abstractNum w:abstractNumId="75" w15:restartNumberingAfterBreak="0">
    <w:nsid w:val="7B3730B7"/>
    <w:multiLevelType w:val="hybridMultilevel"/>
    <w:tmpl w:val="6D2455A2"/>
    <w:lvl w:ilvl="0" w:tplc="6FBC1018">
      <w:start w:val="1"/>
      <w:numFmt w:val="decimal"/>
      <w:lvlText w:val="%1."/>
      <w:lvlJc w:val="left"/>
      <w:pPr>
        <w:ind w:left="360" w:hanging="360"/>
      </w:pPr>
      <w:rPr>
        <w:rFonts w:cs="Times New Roman"/>
      </w:rPr>
    </w:lvl>
    <w:lvl w:ilvl="1" w:tplc="C1567066">
      <w:start w:val="1"/>
      <w:numFmt w:val="lowerLetter"/>
      <w:lvlText w:val="%2."/>
      <w:lvlJc w:val="left"/>
      <w:pPr>
        <w:ind w:left="1080" w:hanging="360"/>
      </w:pPr>
      <w:rPr>
        <w:rFonts w:cs="Times New Roman"/>
      </w:rPr>
    </w:lvl>
    <w:lvl w:ilvl="2" w:tplc="545482E6">
      <w:start w:val="1"/>
      <w:numFmt w:val="lowerRoman"/>
      <w:lvlText w:val="%3."/>
      <w:lvlJc w:val="right"/>
      <w:pPr>
        <w:ind w:left="1800" w:hanging="180"/>
      </w:pPr>
      <w:rPr>
        <w:rFonts w:cs="Times New Roman"/>
      </w:rPr>
    </w:lvl>
    <w:lvl w:ilvl="3" w:tplc="1376FBA6">
      <w:start w:val="1"/>
      <w:numFmt w:val="decimal"/>
      <w:lvlText w:val="%4."/>
      <w:lvlJc w:val="left"/>
      <w:pPr>
        <w:ind w:left="2520" w:hanging="360"/>
      </w:pPr>
      <w:rPr>
        <w:rFonts w:cs="Times New Roman"/>
      </w:rPr>
    </w:lvl>
    <w:lvl w:ilvl="4" w:tplc="92D807C8">
      <w:start w:val="1"/>
      <w:numFmt w:val="lowerLetter"/>
      <w:lvlText w:val="%5."/>
      <w:lvlJc w:val="left"/>
      <w:pPr>
        <w:ind w:left="3240" w:hanging="360"/>
      </w:pPr>
      <w:rPr>
        <w:rFonts w:cs="Times New Roman"/>
      </w:rPr>
    </w:lvl>
    <w:lvl w:ilvl="5" w:tplc="BE02FED4">
      <w:start w:val="1"/>
      <w:numFmt w:val="lowerRoman"/>
      <w:lvlText w:val="%6."/>
      <w:lvlJc w:val="right"/>
      <w:pPr>
        <w:ind w:left="3960" w:hanging="180"/>
      </w:pPr>
      <w:rPr>
        <w:rFonts w:cs="Times New Roman"/>
      </w:rPr>
    </w:lvl>
    <w:lvl w:ilvl="6" w:tplc="BF129FBA">
      <w:start w:val="1"/>
      <w:numFmt w:val="decimal"/>
      <w:lvlText w:val="%7."/>
      <w:lvlJc w:val="left"/>
      <w:pPr>
        <w:ind w:left="4680" w:hanging="360"/>
      </w:pPr>
      <w:rPr>
        <w:rFonts w:cs="Times New Roman"/>
      </w:rPr>
    </w:lvl>
    <w:lvl w:ilvl="7" w:tplc="5366C9C8">
      <w:start w:val="1"/>
      <w:numFmt w:val="lowerLetter"/>
      <w:lvlText w:val="%8."/>
      <w:lvlJc w:val="left"/>
      <w:pPr>
        <w:ind w:left="5400" w:hanging="360"/>
      </w:pPr>
      <w:rPr>
        <w:rFonts w:cs="Times New Roman"/>
      </w:rPr>
    </w:lvl>
    <w:lvl w:ilvl="8" w:tplc="95A440C6">
      <w:start w:val="1"/>
      <w:numFmt w:val="lowerRoman"/>
      <w:lvlText w:val="%9."/>
      <w:lvlJc w:val="right"/>
      <w:pPr>
        <w:ind w:left="6120" w:hanging="180"/>
      </w:pPr>
      <w:rPr>
        <w:rFonts w:cs="Times New Roman"/>
      </w:rPr>
    </w:lvl>
  </w:abstractNum>
  <w:abstractNum w:abstractNumId="76" w15:restartNumberingAfterBreak="0">
    <w:nsid w:val="7B3730B8"/>
    <w:multiLevelType w:val="hybridMultilevel"/>
    <w:tmpl w:val="1DEC5026"/>
    <w:lvl w:ilvl="0" w:tplc="37A2C69E">
      <w:start w:val="1"/>
      <w:numFmt w:val="bullet"/>
      <w:lvlText w:val=""/>
      <w:lvlJc w:val="left"/>
      <w:pPr>
        <w:ind w:left="720" w:hanging="360"/>
      </w:pPr>
      <w:rPr>
        <w:rFonts w:ascii="Symbol" w:hAnsi="Symbol" w:hint="default"/>
      </w:rPr>
    </w:lvl>
    <w:lvl w:ilvl="1" w:tplc="3DB0EF8A">
      <w:start w:val="1"/>
      <w:numFmt w:val="bullet"/>
      <w:lvlText w:val="o"/>
      <w:lvlJc w:val="left"/>
      <w:pPr>
        <w:ind w:left="1440" w:hanging="360"/>
      </w:pPr>
      <w:rPr>
        <w:rFonts w:ascii="Courier New" w:hAnsi="Courier New" w:cs="Courier New" w:hint="default"/>
      </w:rPr>
    </w:lvl>
    <w:lvl w:ilvl="2" w:tplc="08D6338C">
      <w:start w:val="1"/>
      <w:numFmt w:val="bullet"/>
      <w:lvlText w:val=""/>
      <w:lvlJc w:val="left"/>
      <w:pPr>
        <w:ind w:left="2160" w:hanging="360"/>
      </w:pPr>
      <w:rPr>
        <w:rFonts w:ascii="Wingdings" w:hAnsi="Wingdings" w:hint="default"/>
      </w:rPr>
    </w:lvl>
    <w:lvl w:ilvl="3" w:tplc="D55E399A">
      <w:start w:val="1"/>
      <w:numFmt w:val="bullet"/>
      <w:lvlText w:val=""/>
      <w:lvlJc w:val="left"/>
      <w:pPr>
        <w:ind w:left="2880" w:hanging="360"/>
      </w:pPr>
      <w:rPr>
        <w:rFonts w:ascii="Symbol" w:hAnsi="Symbol" w:hint="default"/>
      </w:rPr>
    </w:lvl>
    <w:lvl w:ilvl="4" w:tplc="205AA7C6">
      <w:start w:val="1"/>
      <w:numFmt w:val="bullet"/>
      <w:lvlText w:val="o"/>
      <w:lvlJc w:val="left"/>
      <w:pPr>
        <w:ind w:left="3600" w:hanging="360"/>
      </w:pPr>
      <w:rPr>
        <w:rFonts w:ascii="Courier New" w:hAnsi="Courier New" w:cs="Courier New" w:hint="default"/>
      </w:rPr>
    </w:lvl>
    <w:lvl w:ilvl="5" w:tplc="E5E068B8">
      <w:start w:val="1"/>
      <w:numFmt w:val="bullet"/>
      <w:lvlText w:val=""/>
      <w:lvlJc w:val="left"/>
      <w:pPr>
        <w:ind w:left="4320" w:hanging="360"/>
      </w:pPr>
      <w:rPr>
        <w:rFonts w:ascii="Wingdings" w:hAnsi="Wingdings" w:hint="default"/>
      </w:rPr>
    </w:lvl>
    <w:lvl w:ilvl="6" w:tplc="EC8C5A7E">
      <w:start w:val="1"/>
      <w:numFmt w:val="bullet"/>
      <w:lvlText w:val=""/>
      <w:lvlJc w:val="left"/>
      <w:pPr>
        <w:ind w:left="5040" w:hanging="360"/>
      </w:pPr>
      <w:rPr>
        <w:rFonts w:ascii="Symbol" w:hAnsi="Symbol" w:hint="default"/>
      </w:rPr>
    </w:lvl>
    <w:lvl w:ilvl="7" w:tplc="F830F1F6">
      <w:start w:val="1"/>
      <w:numFmt w:val="bullet"/>
      <w:lvlText w:val="o"/>
      <w:lvlJc w:val="left"/>
      <w:pPr>
        <w:ind w:left="5760" w:hanging="360"/>
      </w:pPr>
      <w:rPr>
        <w:rFonts w:ascii="Courier New" w:hAnsi="Courier New" w:cs="Courier New" w:hint="default"/>
      </w:rPr>
    </w:lvl>
    <w:lvl w:ilvl="8" w:tplc="2D848800">
      <w:start w:val="1"/>
      <w:numFmt w:val="bullet"/>
      <w:lvlText w:val=""/>
      <w:lvlJc w:val="left"/>
      <w:pPr>
        <w:ind w:left="6480" w:hanging="360"/>
      </w:pPr>
      <w:rPr>
        <w:rFonts w:ascii="Wingdings" w:hAnsi="Wingdings" w:hint="default"/>
      </w:rPr>
    </w:lvl>
  </w:abstractNum>
  <w:abstractNum w:abstractNumId="77" w15:restartNumberingAfterBreak="0">
    <w:nsid w:val="7B3730B9"/>
    <w:multiLevelType w:val="hybridMultilevel"/>
    <w:tmpl w:val="CCAC62D4"/>
    <w:lvl w:ilvl="0" w:tplc="CAACC5BA">
      <w:start w:val="1"/>
      <w:numFmt w:val="lowerLetter"/>
      <w:lvlText w:val="%1)"/>
      <w:lvlJc w:val="left"/>
      <w:pPr>
        <w:ind w:left="720" w:hanging="360"/>
      </w:pPr>
    </w:lvl>
    <w:lvl w:ilvl="1" w:tplc="EFE49D74">
      <w:start w:val="1"/>
      <w:numFmt w:val="decimal"/>
      <w:lvlText w:val="%2."/>
      <w:lvlJc w:val="left"/>
      <w:pPr>
        <w:tabs>
          <w:tab w:val="num" w:pos="1440"/>
        </w:tabs>
        <w:ind w:left="1440" w:hanging="360"/>
      </w:pPr>
    </w:lvl>
    <w:lvl w:ilvl="2" w:tplc="E15E4E70">
      <w:start w:val="1"/>
      <w:numFmt w:val="decimal"/>
      <w:lvlText w:val="%3."/>
      <w:lvlJc w:val="left"/>
      <w:pPr>
        <w:tabs>
          <w:tab w:val="num" w:pos="2160"/>
        </w:tabs>
        <w:ind w:left="2160" w:hanging="360"/>
      </w:pPr>
    </w:lvl>
    <w:lvl w:ilvl="3" w:tplc="6EA298B0">
      <w:start w:val="1"/>
      <w:numFmt w:val="decimal"/>
      <w:lvlText w:val="%4."/>
      <w:lvlJc w:val="left"/>
      <w:pPr>
        <w:tabs>
          <w:tab w:val="num" w:pos="2880"/>
        </w:tabs>
        <w:ind w:left="2880" w:hanging="360"/>
      </w:pPr>
    </w:lvl>
    <w:lvl w:ilvl="4" w:tplc="27E857EC">
      <w:start w:val="1"/>
      <w:numFmt w:val="decimal"/>
      <w:lvlText w:val="%5."/>
      <w:lvlJc w:val="left"/>
      <w:pPr>
        <w:tabs>
          <w:tab w:val="num" w:pos="3600"/>
        </w:tabs>
        <w:ind w:left="3600" w:hanging="360"/>
      </w:pPr>
    </w:lvl>
    <w:lvl w:ilvl="5" w:tplc="835CC64A">
      <w:start w:val="1"/>
      <w:numFmt w:val="decimal"/>
      <w:lvlText w:val="%6."/>
      <w:lvlJc w:val="left"/>
      <w:pPr>
        <w:tabs>
          <w:tab w:val="num" w:pos="4320"/>
        </w:tabs>
        <w:ind w:left="4320" w:hanging="360"/>
      </w:pPr>
    </w:lvl>
    <w:lvl w:ilvl="6" w:tplc="ADAAF5FE">
      <w:start w:val="1"/>
      <w:numFmt w:val="decimal"/>
      <w:lvlText w:val="%7."/>
      <w:lvlJc w:val="left"/>
      <w:pPr>
        <w:tabs>
          <w:tab w:val="num" w:pos="5040"/>
        </w:tabs>
        <w:ind w:left="5040" w:hanging="360"/>
      </w:pPr>
    </w:lvl>
    <w:lvl w:ilvl="7" w:tplc="BC2C87EC">
      <w:start w:val="1"/>
      <w:numFmt w:val="decimal"/>
      <w:lvlText w:val="%8."/>
      <w:lvlJc w:val="left"/>
      <w:pPr>
        <w:tabs>
          <w:tab w:val="num" w:pos="5760"/>
        </w:tabs>
        <w:ind w:left="5760" w:hanging="360"/>
      </w:pPr>
    </w:lvl>
    <w:lvl w:ilvl="8" w:tplc="12DAA3AA">
      <w:start w:val="1"/>
      <w:numFmt w:val="decimal"/>
      <w:lvlText w:val="%9."/>
      <w:lvlJc w:val="left"/>
      <w:pPr>
        <w:tabs>
          <w:tab w:val="num" w:pos="6480"/>
        </w:tabs>
        <w:ind w:left="6480" w:hanging="360"/>
      </w:pPr>
    </w:lvl>
  </w:abstractNum>
  <w:abstractNum w:abstractNumId="78" w15:restartNumberingAfterBreak="0">
    <w:nsid w:val="7B3730BA"/>
    <w:multiLevelType w:val="hybridMultilevel"/>
    <w:tmpl w:val="4E7EACC2"/>
    <w:lvl w:ilvl="0" w:tplc="8B8AD0D8">
      <w:start w:val="1"/>
      <w:numFmt w:val="bullet"/>
      <w:pStyle w:val="BSbullet10"/>
      <w:lvlText w:val=""/>
      <w:lvlJc w:val="left"/>
      <w:pPr>
        <w:tabs>
          <w:tab w:val="num" w:pos="360"/>
        </w:tabs>
        <w:ind w:left="357" w:hanging="357"/>
      </w:pPr>
      <w:rPr>
        <w:rFonts w:ascii="Symbol" w:hAnsi="Symbol" w:hint="default"/>
        <w:sz w:val="24"/>
      </w:rPr>
    </w:lvl>
    <w:lvl w:ilvl="1" w:tplc="A16A0F98">
      <w:start w:val="1"/>
      <w:numFmt w:val="bullet"/>
      <w:lvlText w:val="o"/>
      <w:lvlJc w:val="left"/>
      <w:pPr>
        <w:tabs>
          <w:tab w:val="num" w:pos="1800"/>
        </w:tabs>
        <w:ind w:left="1800" w:hanging="360"/>
      </w:pPr>
      <w:rPr>
        <w:rFonts w:ascii="Courier New" w:hAnsi="Courier New" w:cs="Times New Roman" w:hint="default"/>
      </w:rPr>
    </w:lvl>
    <w:lvl w:ilvl="2" w:tplc="9D789366">
      <w:start w:val="1"/>
      <w:numFmt w:val="bullet"/>
      <w:lvlText w:val=""/>
      <w:lvlJc w:val="left"/>
      <w:pPr>
        <w:tabs>
          <w:tab w:val="num" w:pos="2520"/>
        </w:tabs>
        <w:ind w:left="2520" w:hanging="360"/>
      </w:pPr>
      <w:rPr>
        <w:rFonts w:ascii="Wingdings" w:hAnsi="Wingdings" w:hint="default"/>
      </w:rPr>
    </w:lvl>
    <w:lvl w:ilvl="3" w:tplc="303856D8">
      <w:start w:val="1"/>
      <w:numFmt w:val="bullet"/>
      <w:lvlText w:val=""/>
      <w:lvlJc w:val="left"/>
      <w:pPr>
        <w:tabs>
          <w:tab w:val="num" w:pos="3240"/>
        </w:tabs>
        <w:ind w:left="3240" w:hanging="360"/>
      </w:pPr>
      <w:rPr>
        <w:rFonts w:ascii="Symbol" w:hAnsi="Symbol" w:hint="default"/>
      </w:rPr>
    </w:lvl>
    <w:lvl w:ilvl="4" w:tplc="25B29F4E">
      <w:start w:val="1"/>
      <w:numFmt w:val="bullet"/>
      <w:lvlText w:val="o"/>
      <w:lvlJc w:val="left"/>
      <w:pPr>
        <w:tabs>
          <w:tab w:val="num" w:pos="3960"/>
        </w:tabs>
        <w:ind w:left="3960" w:hanging="360"/>
      </w:pPr>
      <w:rPr>
        <w:rFonts w:ascii="Courier New" w:hAnsi="Courier New" w:cs="Times New Roman" w:hint="default"/>
      </w:rPr>
    </w:lvl>
    <w:lvl w:ilvl="5" w:tplc="DF02E668">
      <w:start w:val="1"/>
      <w:numFmt w:val="bullet"/>
      <w:lvlText w:val=""/>
      <w:lvlJc w:val="left"/>
      <w:pPr>
        <w:tabs>
          <w:tab w:val="num" w:pos="4680"/>
        </w:tabs>
        <w:ind w:left="4680" w:hanging="360"/>
      </w:pPr>
      <w:rPr>
        <w:rFonts w:ascii="Wingdings" w:hAnsi="Wingdings" w:hint="default"/>
      </w:rPr>
    </w:lvl>
    <w:lvl w:ilvl="6" w:tplc="C674061A">
      <w:start w:val="1"/>
      <w:numFmt w:val="bullet"/>
      <w:lvlText w:val=""/>
      <w:lvlJc w:val="left"/>
      <w:pPr>
        <w:tabs>
          <w:tab w:val="num" w:pos="5400"/>
        </w:tabs>
        <w:ind w:left="5400" w:hanging="360"/>
      </w:pPr>
      <w:rPr>
        <w:rFonts w:ascii="Symbol" w:hAnsi="Symbol" w:hint="default"/>
      </w:rPr>
    </w:lvl>
    <w:lvl w:ilvl="7" w:tplc="62DCFA32">
      <w:start w:val="1"/>
      <w:numFmt w:val="bullet"/>
      <w:lvlText w:val="o"/>
      <w:lvlJc w:val="left"/>
      <w:pPr>
        <w:tabs>
          <w:tab w:val="num" w:pos="6120"/>
        </w:tabs>
        <w:ind w:left="6120" w:hanging="360"/>
      </w:pPr>
      <w:rPr>
        <w:rFonts w:ascii="Courier New" w:hAnsi="Courier New" w:cs="Times New Roman" w:hint="default"/>
      </w:rPr>
    </w:lvl>
    <w:lvl w:ilvl="8" w:tplc="DD48B4E8">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B3730BB"/>
    <w:multiLevelType w:val="hybridMultilevel"/>
    <w:tmpl w:val="7A66107E"/>
    <w:lvl w:ilvl="0" w:tplc="ED8816C8">
      <w:start w:val="1"/>
      <w:numFmt w:val="bullet"/>
      <w:pStyle w:val="BSbullet2"/>
      <w:lvlText w:val="-"/>
      <w:lvlJc w:val="left"/>
      <w:pPr>
        <w:ind w:left="1077" w:hanging="360"/>
      </w:pPr>
      <w:rPr>
        <w:rFonts w:ascii="Calibri" w:hAnsi="Calibri" w:cs="Times New Roman" w:hint="default"/>
      </w:rPr>
    </w:lvl>
    <w:lvl w:ilvl="1" w:tplc="4658FCF2">
      <w:start w:val="1"/>
      <w:numFmt w:val="bullet"/>
      <w:lvlText w:val="o"/>
      <w:lvlJc w:val="left"/>
      <w:pPr>
        <w:ind w:left="1797" w:hanging="360"/>
      </w:pPr>
      <w:rPr>
        <w:rFonts w:ascii="Courier New" w:hAnsi="Courier New" w:cs="Courier New" w:hint="default"/>
      </w:rPr>
    </w:lvl>
    <w:lvl w:ilvl="2" w:tplc="573ACF26">
      <w:start w:val="1"/>
      <w:numFmt w:val="bullet"/>
      <w:lvlText w:val=""/>
      <w:lvlJc w:val="left"/>
      <w:pPr>
        <w:ind w:left="2517" w:hanging="360"/>
      </w:pPr>
      <w:rPr>
        <w:rFonts w:ascii="Wingdings" w:hAnsi="Wingdings" w:hint="default"/>
      </w:rPr>
    </w:lvl>
    <w:lvl w:ilvl="3" w:tplc="60BA4704">
      <w:start w:val="1"/>
      <w:numFmt w:val="bullet"/>
      <w:lvlText w:val=""/>
      <w:lvlJc w:val="left"/>
      <w:pPr>
        <w:ind w:left="3237" w:hanging="360"/>
      </w:pPr>
      <w:rPr>
        <w:rFonts w:ascii="Symbol" w:hAnsi="Symbol" w:hint="default"/>
      </w:rPr>
    </w:lvl>
    <w:lvl w:ilvl="4" w:tplc="BC242418">
      <w:start w:val="1"/>
      <w:numFmt w:val="bullet"/>
      <w:lvlText w:val="o"/>
      <w:lvlJc w:val="left"/>
      <w:pPr>
        <w:ind w:left="3957" w:hanging="360"/>
      </w:pPr>
      <w:rPr>
        <w:rFonts w:ascii="Courier New" w:hAnsi="Courier New" w:cs="Courier New" w:hint="default"/>
      </w:rPr>
    </w:lvl>
    <w:lvl w:ilvl="5" w:tplc="213E9A40">
      <w:start w:val="1"/>
      <w:numFmt w:val="bullet"/>
      <w:lvlText w:val=""/>
      <w:lvlJc w:val="left"/>
      <w:pPr>
        <w:ind w:left="4677" w:hanging="360"/>
      </w:pPr>
      <w:rPr>
        <w:rFonts w:ascii="Wingdings" w:hAnsi="Wingdings" w:hint="default"/>
      </w:rPr>
    </w:lvl>
    <w:lvl w:ilvl="6" w:tplc="F08CAA8C">
      <w:start w:val="1"/>
      <w:numFmt w:val="bullet"/>
      <w:lvlText w:val=""/>
      <w:lvlJc w:val="left"/>
      <w:pPr>
        <w:ind w:left="5397" w:hanging="360"/>
      </w:pPr>
      <w:rPr>
        <w:rFonts w:ascii="Symbol" w:hAnsi="Symbol" w:hint="default"/>
      </w:rPr>
    </w:lvl>
    <w:lvl w:ilvl="7" w:tplc="654222B0">
      <w:start w:val="1"/>
      <w:numFmt w:val="bullet"/>
      <w:lvlText w:val="o"/>
      <w:lvlJc w:val="left"/>
      <w:pPr>
        <w:ind w:left="6117" w:hanging="360"/>
      </w:pPr>
      <w:rPr>
        <w:rFonts w:ascii="Courier New" w:hAnsi="Courier New" w:cs="Courier New" w:hint="default"/>
      </w:rPr>
    </w:lvl>
    <w:lvl w:ilvl="8" w:tplc="42EE18D4">
      <w:start w:val="1"/>
      <w:numFmt w:val="bullet"/>
      <w:lvlText w:val=""/>
      <w:lvlJc w:val="left"/>
      <w:pPr>
        <w:ind w:left="6837" w:hanging="360"/>
      </w:pPr>
      <w:rPr>
        <w:rFonts w:ascii="Wingdings" w:hAnsi="Wingdings" w:hint="default"/>
      </w:rPr>
    </w:lvl>
  </w:abstractNum>
  <w:abstractNum w:abstractNumId="80" w15:restartNumberingAfterBreak="0">
    <w:nsid w:val="7C854B13"/>
    <w:multiLevelType w:val="hybridMultilevel"/>
    <w:tmpl w:val="CBD6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EBF3150"/>
    <w:multiLevelType w:val="hybridMultilevel"/>
    <w:tmpl w:val="ECA61E9E"/>
    <w:lvl w:ilvl="0" w:tplc="9E36E5B4">
      <w:numFmt w:val="decimal"/>
      <w:lvlText w:val=""/>
      <w:lvlJc w:val="left"/>
      <w:pPr>
        <w:tabs>
          <w:tab w:val="num" w:pos="360"/>
        </w:tabs>
        <w:ind w:left="357" w:hanging="357"/>
      </w:pPr>
      <w:rPr>
        <w:rFonts w:ascii="Symbol" w:hAnsi="Symbol" w:hint="default"/>
        <w:sz w:val="24"/>
      </w:rPr>
    </w:lvl>
    <w:lvl w:ilvl="1" w:tplc="DCB49A1C">
      <w:start w:val="1"/>
      <w:numFmt w:val="bullet"/>
      <w:lvlText w:val="o"/>
      <w:lvlJc w:val="left"/>
      <w:pPr>
        <w:tabs>
          <w:tab w:val="num" w:pos="1800"/>
        </w:tabs>
        <w:ind w:left="1800" w:hanging="360"/>
      </w:pPr>
      <w:rPr>
        <w:rFonts w:ascii="Courier New" w:hAnsi="Courier New" w:cs="Times New Roman" w:hint="default"/>
      </w:rPr>
    </w:lvl>
    <w:lvl w:ilvl="2" w:tplc="D068BBBC">
      <w:start w:val="1"/>
      <w:numFmt w:val="bullet"/>
      <w:lvlText w:val=""/>
      <w:lvlJc w:val="left"/>
      <w:pPr>
        <w:tabs>
          <w:tab w:val="num" w:pos="2520"/>
        </w:tabs>
        <w:ind w:left="2520" w:hanging="360"/>
      </w:pPr>
      <w:rPr>
        <w:rFonts w:ascii="Wingdings" w:hAnsi="Wingdings" w:hint="default"/>
      </w:rPr>
    </w:lvl>
    <w:lvl w:ilvl="3" w:tplc="D2628410">
      <w:start w:val="1"/>
      <w:numFmt w:val="bullet"/>
      <w:lvlText w:val=""/>
      <w:lvlJc w:val="left"/>
      <w:pPr>
        <w:tabs>
          <w:tab w:val="num" w:pos="3240"/>
        </w:tabs>
        <w:ind w:left="3240" w:hanging="360"/>
      </w:pPr>
      <w:rPr>
        <w:rFonts w:ascii="Symbol" w:hAnsi="Symbol" w:hint="default"/>
      </w:rPr>
    </w:lvl>
    <w:lvl w:ilvl="4" w:tplc="F24AA852">
      <w:start w:val="1"/>
      <w:numFmt w:val="bullet"/>
      <w:lvlText w:val="o"/>
      <w:lvlJc w:val="left"/>
      <w:pPr>
        <w:tabs>
          <w:tab w:val="num" w:pos="3960"/>
        </w:tabs>
        <w:ind w:left="3960" w:hanging="360"/>
      </w:pPr>
      <w:rPr>
        <w:rFonts w:ascii="Courier New" w:hAnsi="Courier New" w:cs="Times New Roman" w:hint="default"/>
      </w:rPr>
    </w:lvl>
    <w:lvl w:ilvl="5" w:tplc="C79411F4">
      <w:start w:val="1"/>
      <w:numFmt w:val="bullet"/>
      <w:lvlText w:val=""/>
      <w:lvlJc w:val="left"/>
      <w:pPr>
        <w:tabs>
          <w:tab w:val="num" w:pos="4680"/>
        </w:tabs>
        <w:ind w:left="4680" w:hanging="360"/>
      </w:pPr>
      <w:rPr>
        <w:rFonts w:ascii="Wingdings" w:hAnsi="Wingdings" w:hint="default"/>
      </w:rPr>
    </w:lvl>
    <w:lvl w:ilvl="6" w:tplc="45D43996">
      <w:start w:val="1"/>
      <w:numFmt w:val="bullet"/>
      <w:lvlText w:val=""/>
      <w:lvlJc w:val="left"/>
      <w:pPr>
        <w:tabs>
          <w:tab w:val="num" w:pos="5400"/>
        </w:tabs>
        <w:ind w:left="5400" w:hanging="360"/>
      </w:pPr>
      <w:rPr>
        <w:rFonts w:ascii="Symbol" w:hAnsi="Symbol" w:hint="default"/>
      </w:rPr>
    </w:lvl>
    <w:lvl w:ilvl="7" w:tplc="7D28F700">
      <w:start w:val="1"/>
      <w:numFmt w:val="bullet"/>
      <w:lvlText w:val="o"/>
      <w:lvlJc w:val="left"/>
      <w:pPr>
        <w:tabs>
          <w:tab w:val="num" w:pos="6120"/>
        </w:tabs>
        <w:ind w:left="6120" w:hanging="360"/>
      </w:pPr>
      <w:rPr>
        <w:rFonts w:ascii="Courier New" w:hAnsi="Courier New" w:cs="Times New Roman" w:hint="default"/>
      </w:rPr>
    </w:lvl>
    <w:lvl w:ilvl="8" w:tplc="643813DE">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78"/>
  </w:num>
  <w:num w:numId="59">
    <w:abstractNumId w:val="78"/>
  </w:num>
  <w:num w:numId="60">
    <w:abstractNumId w:val="79"/>
  </w:num>
  <w:num w:numId="61">
    <w:abstractNumId w:val="79"/>
  </w:num>
  <w:num w:numId="62">
    <w:abstractNumId w:val="68"/>
  </w:num>
  <w:num w:numId="63">
    <w:abstractNumId w:val="69"/>
  </w:num>
  <w:num w:numId="64">
    <w:abstractNumId w:val="70"/>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num>
  <w:num w:numId="73">
    <w:abstractNumId w:val="81"/>
  </w:num>
  <w:num w:numId="74">
    <w:abstractNumId w:val="53"/>
  </w:num>
  <w:num w:numId="75">
    <w:abstractNumId w:val="67"/>
  </w:num>
  <w:num w:numId="76">
    <w:abstractNumId w:val="4"/>
  </w:num>
  <w:num w:numId="77">
    <w:abstractNumId w:val="5"/>
  </w:num>
  <w:num w:numId="78">
    <w:abstractNumId w:val="6"/>
  </w:num>
  <w:num w:numId="79">
    <w:abstractNumId w:val="66"/>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80"/>
  </w:num>
  <w:num w:numId="85">
    <w:abstractNumId w:val="56"/>
  </w:num>
  <w:num w:numId="86">
    <w:abstractNumId w:val="57"/>
  </w:num>
  <w:num w:numId="87">
    <w:abstractNumId w:val="64"/>
  </w:num>
  <w:num w:numId="88">
    <w:abstractNumId w:val="65"/>
  </w:num>
  <w:num w:numId="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num>
  <w:num w:numId="98">
    <w:abstractNumId w:val="15"/>
  </w:num>
  <w:num w:numId="99">
    <w:abstractNumId w:val="16"/>
  </w:num>
  <w:num w:numId="100">
    <w:abstractNumId w:val="62"/>
  </w:num>
  <w:num w:numId="101">
    <w:abstractNumId w:val="60"/>
  </w:num>
  <w:num w:numId="102">
    <w:abstractNumId w:val="61"/>
  </w:num>
  <w:num w:numId="103">
    <w:abstractNumId w:val="54"/>
  </w:num>
  <w:num w:numId="104">
    <w:abstractNumId w:val="59"/>
  </w:num>
  <w:num w:numId="105">
    <w:abstractNumId w:val="58"/>
  </w:num>
  <w:num w:numId="106">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90"/>
    <w:rsid w:val="00017B4D"/>
    <w:rsid w:val="00057CDC"/>
    <w:rsid w:val="000862F2"/>
    <w:rsid w:val="000A73E8"/>
    <w:rsid w:val="001152EA"/>
    <w:rsid w:val="00122A3A"/>
    <w:rsid w:val="001312C5"/>
    <w:rsid w:val="00136ABD"/>
    <w:rsid w:val="00174121"/>
    <w:rsid w:val="00197FCF"/>
    <w:rsid w:val="00201894"/>
    <w:rsid w:val="00215EF6"/>
    <w:rsid w:val="00220403"/>
    <w:rsid w:val="002242F3"/>
    <w:rsid w:val="00232D18"/>
    <w:rsid w:val="00235FF7"/>
    <w:rsid w:val="0028058E"/>
    <w:rsid w:val="002F4741"/>
    <w:rsid w:val="002F4C85"/>
    <w:rsid w:val="00303EC6"/>
    <w:rsid w:val="00325D77"/>
    <w:rsid w:val="003646D0"/>
    <w:rsid w:val="00370146"/>
    <w:rsid w:val="003C16F2"/>
    <w:rsid w:val="00484029"/>
    <w:rsid w:val="00494A57"/>
    <w:rsid w:val="004A6DD0"/>
    <w:rsid w:val="004C1875"/>
    <w:rsid w:val="004C6E2B"/>
    <w:rsid w:val="004E16A9"/>
    <w:rsid w:val="00524AA2"/>
    <w:rsid w:val="005468DD"/>
    <w:rsid w:val="00590BCA"/>
    <w:rsid w:val="005B59BA"/>
    <w:rsid w:val="005E3B44"/>
    <w:rsid w:val="00627F78"/>
    <w:rsid w:val="00661D65"/>
    <w:rsid w:val="006833A9"/>
    <w:rsid w:val="0069402E"/>
    <w:rsid w:val="00694B7C"/>
    <w:rsid w:val="00697D78"/>
    <w:rsid w:val="006E5D30"/>
    <w:rsid w:val="006F5A8F"/>
    <w:rsid w:val="00700C91"/>
    <w:rsid w:val="00724BA0"/>
    <w:rsid w:val="00727E05"/>
    <w:rsid w:val="00756878"/>
    <w:rsid w:val="00775054"/>
    <w:rsid w:val="00796CA3"/>
    <w:rsid w:val="007C7B01"/>
    <w:rsid w:val="007D6547"/>
    <w:rsid w:val="007F5788"/>
    <w:rsid w:val="008014C6"/>
    <w:rsid w:val="00805234"/>
    <w:rsid w:val="008316D7"/>
    <w:rsid w:val="00850126"/>
    <w:rsid w:val="00857D70"/>
    <w:rsid w:val="00860F3A"/>
    <w:rsid w:val="00865F68"/>
    <w:rsid w:val="00894A1D"/>
    <w:rsid w:val="00894D7E"/>
    <w:rsid w:val="008968DD"/>
    <w:rsid w:val="008C4A8F"/>
    <w:rsid w:val="008C695C"/>
    <w:rsid w:val="008E46C2"/>
    <w:rsid w:val="00944FE9"/>
    <w:rsid w:val="00967C8D"/>
    <w:rsid w:val="009772DF"/>
    <w:rsid w:val="00985DFE"/>
    <w:rsid w:val="009A1E06"/>
    <w:rsid w:val="009A4F0B"/>
    <w:rsid w:val="009A6F86"/>
    <w:rsid w:val="009B0F83"/>
    <w:rsid w:val="009B39D6"/>
    <w:rsid w:val="009C0A0C"/>
    <w:rsid w:val="009F5EB8"/>
    <w:rsid w:val="00A25076"/>
    <w:rsid w:val="00A26B4D"/>
    <w:rsid w:val="00A71F7D"/>
    <w:rsid w:val="00A92584"/>
    <w:rsid w:val="00AB796B"/>
    <w:rsid w:val="00AD1390"/>
    <w:rsid w:val="00B0421E"/>
    <w:rsid w:val="00B10F53"/>
    <w:rsid w:val="00B224AF"/>
    <w:rsid w:val="00B23E3B"/>
    <w:rsid w:val="00B55EED"/>
    <w:rsid w:val="00B756D1"/>
    <w:rsid w:val="00B95770"/>
    <w:rsid w:val="00B975CD"/>
    <w:rsid w:val="00BA0B27"/>
    <w:rsid w:val="00BB4111"/>
    <w:rsid w:val="00C10B2F"/>
    <w:rsid w:val="00C1655C"/>
    <w:rsid w:val="00C36E53"/>
    <w:rsid w:val="00C616D2"/>
    <w:rsid w:val="00C652F8"/>
    <w:rsid w:val="00C6567E"/>
    <w:rsid w:val="00C95C23"/>
    <w:rsid w:val="00CE27AD"/>
    <w:rsid w:val="00D03371"/>
    <w:rsid w:val="00D2496D"/>
    <w:rsid w:val="00D3698A"/>
    <w:rsid w:val="00D44FA0"/>
    <w:rsid w:val="00D60F91"/>
    <w:rsid w:val="00D635C7"/>
    <w:rsid w:val="00D811FD"/>
    <w:rsid w:val="00DB52E2"/>
    <w:rsid w:val="00DB580A"/>
    <w:rsid w:val="00DC6C8A"/>
    <w:rsid w:val="00DD01FA"/>
    <w:rsid w:val="00DE5FE9"/>
    <w:rsid w:val="00E06139"/>
    <w:rsid w:val="00E25903"/>
    <w:rsid w:val="00E43E86"/>
    <w:rsid w:val="00E650E2"/>
    <w:rsid w:val="00EC1190"/>
    <w:rsid w:val="00EC15BC"/>
    <w:rsid w:val="00EF514D"/>
    <w:rsid w:val="00F46B57"/>
    <w:rsid w:val="00F726DA"/>
    <w:rsid w:val="00F9791F"/>
    <w:rsid w:val="00FB0F16"/>
    <w:rsid w:val="00FE6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2E64C4"/>
  <w15:docId w15:val="{77E8C02B-4D3D-4A2F-815F-9F57C41E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EE4D16"/>
    <w:pPr>
      <w:keepNext/>
      <w:keepLines/>
      <w:spacing w:before="360"/>
      <w:contextualSpacing/>
      <w:outlineLvl w:val="2"/>
    </w:pPr>
    <w:rPr>
      <w:b/>
      <w:bCs/>
      <w:sz w:val="28"/>
      <w:szCs w:val="26"/>
    </w:rPr>
  </w:style>
  <w:style w:type="paragraph" w:styleId="Heading4">
    <w:name w:val="heading 4"/>
    <w:basedOn w:val="Normal"/>
    <w:next w:val="Normal"/>
    <w:link w:val="Heading4Char"/>
    <w:autoRedefine/>
    <w:qFormat/>
    <w:rsid w:val="004C1875"/>
    <w:pPr>
      <w:keepNext/>
      <w:keepLines/>
      <w:pBdr>
        <w:top w:val="nil"/>
        <w:left w:val="nil"/>
        <w:bottom w:val="nil"/>
        <w:right w:val="nil"/>
        <w:between w:val="nil"/>
        <w:bar w:val="nil"/>
      </w:pBdr>
      <w:spacing w:before="240" w:after="120"/>
      <w:outlineLvl w:val="3"/>
    </w:pPr>
    <w:rPr>
      <w:rFonts w:asciiTheme="minorHAnsi" w:hAnsiTheme="minorHAnsi" w:cstheme="minorHAnsi"/>
      <w:b/>
      <w:iCs/>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customStyle="1" w:styleId="Normal0">
    <w:name w:val="Normal_0"/>
    <w:qFormat/>
    <w:rsid w:val="00A813EF"/>
    <w:pPr>
      <w:spacing w:before="200" w:after="200"/>
    </w:pPr>
    <w:rPr>
      <w:rFonts w:ascii="Calibri" w:hAnsi="Calibri"/>
      <w:sz w:val="24"/>
      <w:lang w:eastAsia="en-US"/>
    </w:rPr>
  </w:style>
  <w:style w:type="character" w:styleId="CommentReference">
    <w:name w:val="annotation reference"/>
    <w:uiPriority w:val="99"/>
    <w:rsid w:val="00FB4CEC"/>
    <w:rPr>
      <w:rFonts w:ascii="Calibri" w:hAnsi="Calibri"/>
      <w:sz w:val="16"/>
      <w:szCs w:val="16"/>
    </w:rPr>
  </w:style>
  <w:style w:type="paragraph" w:customStyle="1" w:styleId="BSbullet1">
    <w:name w:val="BS_bullet 1"/>
    <w:basedOn w:val="BodyTextIndent"/>
    <w:link w:val="BSbullet1Char"/>
    <w:qFormat/>
    <w:rsid w:val="009E4D5F"/>
    <w:pPr>
      <w:keepNext w:val="0"/>
      <w:keepLines w:val="0"/>
      <w:numPr>
        <w:numId w:val="1"/>
      </w:numPr>
      <w:jc w:val="left"/>
    </w:pPr>
  </w:style>
  <w:style w:type="paragraph" w:styleId="BodyTextIndent">
    <w:name w:val="Body Text Indent"/>
    <w:basedOn w:val="Normal"/>
    <w:next w:val="BodyText"/>
    <w:link w:val="BodyTextIndentChar"/>
    <w:rsid w:val="00FB4CEC"/>
    <w:pPr>
      <w:keepNext/>
      <w:keepLines/>
      <w:numPr>
        <w:numId w:val="2"/>
      </w:numPr>
      <w:spacing w:after="120"/>
      <w:jc w:val="both"/>
    </w:pPr>
    <w:rPr>
      <w:szCs w:val="24"/>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styleId="ListParagraph">
    <w:name w:val="List Paragraph"/>
    <w:basedOn w:val="Normal"/>
    <w:link w:val="ListParagraphChar"/>
    <w:qFormat/>
    <w:rsid w:val="009E567D"/>
    <w:pPr>
      <w:spacing w:after="0"/>
      <w:ind w:left="357" w:hanging="357"/>
    </w:pPr>
    <w:rPr>
      <w:sz w:val="16"/>
      <w:szCs w:val="24"/>
    </w:rPr>
  </w:style>
  <w:style w:type="character" w:customStyle="1" w:styleId="ListParagraphChar">
    <w:name w:val="List Paragraph Char"/>
    <w:link w:val="ListParagraph"/>
    <w:rsid w:val="005B5A37"/>
    <w:rPr>
      <w:rFonts w:ascii="Calibri" w:hAnsi="Calibri"/>
      <w:sz w:val="16"/>
      <w:szCs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80175"/>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80175"/>
    <w:rPr>
      <w:rFonts w:ascii="Calibri" w:hAnsi="Calibri"/>
      <w:b/>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BSnoteslist">
    <w:name w:val="BS_notes list"/>
    <w:basedOn w:val="Alnotes"/>
    <w:link w:val="BSnoteslistChar"/>
    <w:qFormat/>
    <w:rsid w:val="00833051"/>
    <w:pPr>
      <w:numPr>
        <w:numId w:val="12"/>
      </w:numPr>
    </w:pPr>
  </w:style>
  <w:style w:type="paragraph" w:customStyle="1" w:styleId="Alnotes">
    <w:name w:val="Al notes"/>
    <w:basedOn w:val="ListParagraph"/>
    <w:next w:val="Normal"/>
    <w:link w:val="AlnotesChar"/>
    <w:autoRedefine/>
    <w:rsid w:val="00C0540A"/>
    <w:pPr>
      <w:numPr>
        <w:numId w:val="13"/>
      </w:numPr>
      <w:spacing w:before="0"/>
    </w:pPr>
    <w:rPr>
      <w:sz w:val="18"/>
    </w:rPr>
  </w:style>
  <w:style w:type="character" w:customStyle="1" w:styleId="AlnotesChar">
    <w:name w:val="Al notes Char"/>
    <w:link w:val="Alnotes"/>
    <w:rsid w:val="00C0540A"/>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character" w:customStyle="1" w:styleId="Heading3Char">
    <w:name w:val="Heading 3 Char"/>
    <w:link w:val="Heading3"/>
    <w:locked/>
    <w:rsid w:val="00EE4D16"/>
    <w:rPr>
      <w:rFonts w:ascii="Calibri" w:hAnsi="Calibri" w:cs="Arial"/>
      <w:b/>
      <w:bCs/>
      <w:sz w:val="28"/>
      <w:szCs w:val="26"/>
      <w:lang w:eastAsia="en-US"/>
    </w:rPr>
  </w:style>
  <w:style w:type="character" w:customStyle="1" w:styleId="Heading4Char">
    <w:name w:val="Heading 4 Char"/>
    <w:link w:val="Heading4"/>
    <w:locked/>
    <w:rsid w:val="004C1875"/>
    <w:rPr>
      <w:rFonts w:asciiTheme="minorHAnsi" w:hAnsiTheme="minorHAnsi" w:cstheme="minorHAnsi"/>
      <w:b/>
      <w:iCs/>
      <w:sz w:val="28"/>
      <w:szCs w:val="28"/>
      <w:bdr w:val="nil"/>
      <w:lang w:eastAsia="en-US"/>
    </w:rPr>
  </w:style>
  <w:style w:type="paragraph" w:customStyle="1" w:styleId="BStabletext3">
    <w:name w:val="BS_table text3"/>
    <w:basedOn w:val="Normal"/>
    <w:link w:val="BStabletext3Char"/>
    <w:qFormat/>
    <w:rsid w:val="00D37128"/>
    <w:pPr>
      <w:spacing w:before="0" w:after="0"/>
    </w:pPr>
    <w:rPr>
      <w:b/>
      <w:bCs/>
      <w:sz w:val="18"/>
      <w:szCs w:val="18"/>
      <w:lang w:eastAsia="en-AU"/>
    </w:rPr>
  </w:style>
  <w:style w:type="character" w:customStyle="1" w:styleId="BStabletext3Char">
    <w:name w:val="BS_table text3 Char"/>
    <w:link w:val="BStabletext3"/>
    <w:locked/>
    <w:rsid w:val="00D37128"/>
    <w:rPr>
      <w:rFonts w:ascii="Calibri" w:hAnsi="Calibri"/>
      <w:b/>
      <w:bCs/>
      <w:sz w:val="18"/>
      <w:szCs w:val="18"/>
    </w:rPr>
  </w:style>
  <w:style w:type="paragraph" w:customStyle="1" w:styleId="BStabledotpoint">
    <w:name w:val="BS_table dotpoint"/>
    <w:basedOn w:val="Normal"/>
    <w:link w:val="BStabledotpointChar"/>
    <w:qFormat/>
    <w:rsid w:val="00D37128"/>
    <w:pPr>
      <w:tabs>
        <w:tab w:val="num" w:pos="360"/>
      </w:tabs>
      <w:spacing w:before="0" w:after="0"/>
    </w:pPr>
    <w:rPr>
      <w:sz w:val="20"/>
    </w:rPr>
  </w:style>
  <w:style w:type="character" w:customStyle="1" w:styleId="BStabledotpointChar">
    <w:name w:val="BS_table dotpoint Char"/>
    <w:link w:val="BStabledotpoint"/>
    <w:locked/>
    <w:rsid w:val="00D37128"/>
    <w:rPr>
      <w:rFonts w:ascii="Calibri" w:hAnsi="Calibri"/>
      <w:lang w:eastAsia="en-US"/>
    </w:rPr>
  </w:style>
  <w:style w:type="paragraph" w:customStyle="1" w:styleId="BSnote0">
    <w:name w:val="BS_note_0"/>
    <w:basedOn w:val="Normal"/>
    <w:link w:val="BSnoteChar0"/>
    <w:qFormat/>
    <w:rsid w:val="002C201F"/>
    <w:pPr>
      <w:keepNext/>
      <w:spacing w:before="120" w:after="0"/>
    </w:pPr>
    <w:rPr>
      <w:b/>
      <w:sz w:val="18"/>
      <w:szCs w:val="16"/>
    </w:rPr>
  </w:style>
  <w:style w:type="character" w:customStyle="1" w:styleId="BSnoteChar0">
    <w:name w:val="BS_note Char_0"/>
    <w:link w:val="BSnote0"/>
    <w:locked/>
    <w:rsid w:val="002C201F"/>
    <w:rPr>
      <w:rFonts w:ascii="Calibri" w:hAnsi="Calibri"/>
      <w:b/>
      <w:sz w:val="18"/>
      <w:szCs w:val="16"/>
      <w:lang w:eastAsia="en-US"/>
    </w:rPr>
  </w:style>
  <w:style w:type="paragraph" w:customStyle="1" w:styleId="BSnoteslist0">
    <w:name w:val="BS_notes list_0"/>
    <w:basedOn w:val="Normal"/>
    <w:link w:val="BSnoteslistChar0"/>
    <w:qFormat/>
    <w:rsid w:val="003942BB"/>
    <w:pPr>
      <w:numPr>
        <w:numId w:val="17"/>
      </w:numPr>
      <w:spacing w:before="0" w:after="0"/>
    </w:pPr>
    <w:rPr>
      <w:sz w:val="18"/>
      <w:szCs w:val="24"/>
    </w:rPr>
  </w:style>
  <w:style w:type="character" w:customStyle="1" w:styleId="BSnoteslistChar0">
    <w:name w:val="BS_notes list Char_0"/>
    <w:basedOn w:val="DefaultParagraphFont"/>
    <w:link w:val="BSnoteslist0"/>
    <w:locked/>
    <w:rsid w:val="003942BB"/>
    <w:rPr>
      <w:rFonts w:ascii="Calibri" w:hAnsi="Calibri"/>
      <w:sz w:val="18"/>
      <w:szCs w:val="24"/>
      <w:lang w:eastAsia="en-US"/>
    </w:rPr>
  </w:style>
  <w:style w:type="paragraph" w:customStyle="1" w:styleId="BStabletext1">
    <w:name w:val="BS_table text_1"/>
    <w:basedOn w:val="BStableheading11"/>
    <w:link w:val="BStabletextChar1"/>
    <w:autoRedefine/>
    <w:qFormat/>
    <w:rsid w:val="004D5DFE"/>
    <w:pPr>
      <w:framePr w:wrap="auto" w:vAnchor="margin" w:yAlign="inline"/>
    </w:pPr>
    <w:rPr>
      <w:b w:val="0"/>
    </w:rPr>
  </w:style>
  <w:style w:type="paragraph" w:customStyle="1" w:styleId="BStableheading11">
    <w:name w:val="BS_table heading 1_1"/>
    <w:basedOn w:val="Normal"/>
    <w:link w:val="BStableheading1Char1"/>
    <w:rsid w:val="002B5A32"/>
    <w:pPr>
      <w:framePr w:wrap="around" w:vAnchor="text" w:hAnchor="text" w:y="1"/>
      <w:spacing w:before="0" w:after="0"/>
      <w:jc w:val="right"/>
    </w:pPr>
    <w:rPr>
      <w:b/>
      <w:bCs/>
      <w:sz w:val="20"/>
    </w:rPr>
  </w:style>
  <w:style w:type="character" w:customStyle="1" w:styleId="BStableheading1Char1">
    <w:name w:val="BS_table heading 1 Char_1"/>
    <w:basedOn w:val="DefaultParagraphFont"/>
    <w:link w:val="BStableheading11"/>
    <w:locked/>
    <w:rsid w:val="002B5A32"/>
    <w:rPr>
      <w:rFonts w:ascii="Calibri" w:hAnsi="Calibri"/>
      <w:b/>
      <w:bCs/>
      <w:lang w:eastAsia="en-US"/>
    </w:rPr>
  </w:style>
  <w:style w:type="character" w:customStyle="1" w:styleId="BStabletextChar1">
    <w:name w:val="BS_table text Char_1"/>
    <w:basedOn w:val="BStableheading1Char1"/>
    <w:link w:val="BStabletext1"/>
    <w:locked/>
    <w:rsid w:val="004D5DFE"/>
    <w:rPr>
      <w:rFonts w:ascii="Calibri" w:hAnsi="Calibri"/>
      <w:b w:val="0"/>
      <w:bCs/>
      <w:lang w:eastAsia="en-US"/>
    </w:rPr>
  </w:style>
  <w:style w:type="paragraph" w:customStyle="1" w:styleId="BStablelist">
    <w:name w:val="BS_table list"/>
    <w:basedOn w:val="AIIndent"/>
    <w:link w:val="BStablelistChar"/>
    <w:qFormat/>
    <w:rsid w:val="009D6846"/>
    <w:pPr>
      <w:numPr>
        <w:numId w:val="24"/>
      </w:numPr>
      <w:spacing w:before="0" w:after="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tablefigures1">
    <w:name w:val="BS_table figures_1"/>
    <w:basedOn w:val="Normal"/>
    <w:link w:val="BStablefiguresChar1"/>
    <w:autoRedefine/>
    <w:qFormat/>
    <w:rsid w:val="003326DB"/>
    <w:pPr>
      <w:spacing w:before="0" w:after="0" w:line="256" w:lineRule="auto"/>
      <w:ind w:right="24"/>
      <w:jc w:val="right"/>
    </w:pPr>
    <w:rPr>
      <w:sz w:val="18"/>
      <w:szCs w:val="18"/>
      <w:lang w:eastAsia="en-AU"/>
    </w:rPr>
  </w:style>
  <w:style w:type="character" w:customStyle="1" w:styleId="BStablefiguresChar1">
    <w:name w:val="BS_table figures Char_1"/>
    <w:basedOn w:val="DefaultParagraphFont"/>
    <w:link w:val="BStablefigures1"/>
    <w:locked/>
    <w:rsid w:val="003326DB"/>
    <w:rPr>
      <w:rFonts w:ascii="Calibri" w:hAnsi="Calibri"/>
      <w:sz w:val="18"/>
      <w:szCs w:val="18"/>
    </w:rPr>
  </w:style>
  <w:style w:type="paragraph" w:customStyle="1" w:styleId="BSnote2">
    <w:name w:val="BS_note_2"/>
    <w:basedOn w:val="Normal"/>
    <w:link w:val="BSnoteChar2"/>
    <w:qFormat/>
    <w:rsid w:val="00D42A31"/>
    <w:pPr>
      <w:keepNext/>
      <w:keepLines/>
      <w:spacing w:before="120" w:after="0"/>
    </w:pPr>
    <w:rPr>
      <w:rFonts w:cs="Calibri"/>
      <w:b/>
      <w:sz w:val="18"/>
      <w:szCs w:val="16"/>
      <w:lang w:eastAsia="en-AU"/>
    </w:rPr>
  </w:style>
  <w:style w:type="character" w:customStyle="1" w:styleId="BSnoteChar2">
    <w:name w:val="BS_note Char_2"/>
    <w:link w:val="BSnote2"/>
    <w:locked/>
    <w:rsid w:val="00D42A31"/>
    <w:rPr>
      <w:rFonts w:ascii="Calibri" w:hAnsi="Calibri" w:cs="Calibri"/>
      <w:b/>
      <w:sz w:val="18"/>
      <w:szCs w:val="16"/>
    </w:rPr>
  </w:style>
  <w:style w:type="paragraph" w:customStyle="1" w:styleId="BSnoteslist2">
    <w:name w:val="BS_notes list_2"/>
    <w:basedOn w:val="Normal"/>
    <w:link w:val="BSnoteslistChar2"/>
    <w:qFormat/>
    <w:rsid w:val="00D42A31"/>
    <w:pPr>
      <w:keepLines/>
      <w:numPr>
        <w:numId w:val="26"/>
      </w:numPr>
      <w:spacing w:before="0" w:after="0"/>
    </w:pPr>
    <w:rPr>
      <w:rFonts w:cs="Calibri"/>
      <w:sz w:val="18"/>
      <w:szCs w:val="24"/>
      <w:lang w:eastAsia="en-AU"/>
    </w:rPr>
  </w:style>
  <w:style w:type="character" w:customStyle="1" w:styleId="BSnoteslistChar2">
    <w:name w:val="BS_notes list Char_2"/>
    <w:basedOn w:val="DefaultParagraphFont"/>
    <w:link w:val="BSnoteslist2"/>
    <w:locked/>
    <w:rsid w:val="00D42A31"/>
    <w:rPr>
      <w:rFonts w:ascii="Calibri" w:hAnsi="Calibri" w:cs="Calibri"/>
      <w:sz w:val="18"/>
      <w:szCs w:val="24"/>
    </w:rPr>
  </w:style>
  <w:style w:type="paragraph" w:customStyle="1" w:styleId="Normal6">
    <w:name w:val="Normal_6"/>
    <w:qFormat/>
    <w:rsid w:val="00AB3BD0"/>
    <w:pPr>
      <w:spacing w:before="200" w:after="200"/>
    </w:pPr>
    <w:rPr>
      <w:rFonts w:ascii="Calibri" w:hAnsi="Calibri"/>
      <w:sz w:val="24"/>
      <w:lang w:eastAsia="en-US"/>
    </w:rPr>
  </w:style>
  <w:style w:type="paragraph" w:customStyle="1" w:styleId="AITableText1">
    <w:name w:val="AI Table Text_1"/>
    <w:basedOn w:val="Normal6"/>
    <w:link w:val="AITableTextChar1"/>
    <w:rsid w:val="00AB3BD0"/>
    <w:pPr>
      <w:jc w:val="right"/>
    </w:pPr>
    <w:rPr>
      <w:sz w:val="20"/>
      <w:szCs w:val="24"/>
    </w:rPr>
  </w:style>
  <w:style w:type="character" w:customStyle="1" w:styleId="AITableTextChar1">
    <w:name w:val="AI Table Text Char_1"/>
    <w:link w:val="AITableText1"/>
    <w:locked/>
    <w:rsid w:val="00AB3BD0"/>
    <w:rPr>
      <w:rFonts w:ascii="Calibri" w:hAnsi="Calibri"/>
      <w:szCs w:val="24"/>
      <w:lang w:eastAsia="en-US"/>
    </w:rPr>
  </w:style>
  <w:style w:type="paragraph" w:customStyle="1" w:styleId="BStabletext2">
    <w:name w:val="BS_table text2"/>
    <w:basedOn w:val="BStablelist"/>
    <w:link w:val="BStabletext2Char"/>
    <w:qFormat/>
    <w:rsid w:val="00BC4281"/>
    <w:pPr>
      <w:numPr>
        <w:numId w:val="0"/>
      </w:numPr>
      <w:ind w:left="357"/>
    </w:pPr>
  </w:style>
  <w:style w:type="character" w:customStyle="1" w:styleId="BStabletext2Char">
    <w:name w:val="BS_table text2 Char"/>
    <w:basedOn w:val="BStablelistChar"/>
    <w:link w:val="BStabletext2"/>
    <w:locked/>
    <w:rsid w:val="00BC4281"/>
    <w:rPr>
      <w:rFonts w:ascii="Calibri" w:hAnsi="Calibri"/>
      <w:lang w:eastAsia="en-US"/>
    </w:rPr>
  </w:style>
  <w:style w:type="table" w:styleId="TableGrid">
    <w:name w:val="Table Grid"/>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0">
    <w:name w:val="Strong_0"/>
    <w:qFormat/>
    <w:rsid w:val="00AB3BD0"/>
    <w:rPr>
      <w:rFonts w:ascii="Calibri" w:hAnsi="Calibri" w:hint="default"/>
      <w:b/>
      <w:bCs/>
      <w:lang w:eastAsia="en-US"/>
    </w:rPr>
  </w:style>
  <w:style w:type="paragraph" w:customStyle="1" w:styleId="BStabledotpoint0">
    <w:name w:val="BS_table dotpoint_0"/>
    <w:basedOn w:val="BStablelist"/>
    <w:link w:val="BStabledotpointChar0"/>
    <w:qFormat/>
    <w:rsid w:val="00AB3BD0"/>
    <w:pPr>
      <w:numPr>
        <w:numId w:val="0"/>
      </w:numPr>
      <w:tabs>
        <w:tab w:val="num" w:pos="360"/>
      </w:tabs>
    </w:pPr>
  </w:style>
  <w:style w:type="character" w:customStyle="1" w:styleId="BStabledotpointChar0">
    <w:name w:val="BS_table dotpoint Char_0"/>
    <w:link w:val="BStabledotpoint0"/>
    <w:locked/>
    <w:rsid w:val="00AB3BD0"/>
    <w:rPr>
      <w:rFonts w:ascii="Calibri" w:hAnsi="Calibri"/>
      <w:lang w:eastAsia="en-US"/>
    </w:rPr>
  </w:style>
  <w:style w:type="paragraph" w:customStyle="1" w:styleId="Normal1">
    <w:name w:val="Normal_1"/>
    <w:qFormat/>
    <w:rPr>
      <w:sz w:val="24"/>
      <w:szCs w:val="24"/>
    </w:rPr>
  </w:style>
  <w:style w:type="table" w:customStyle="1" w:styleId="CDMRange1">
    <w:name w:val="CDM Range 1"/>
    <w:basedOn w:val="TableNormal"/>
    <w:next w:val="TableNormal"/>
    <w:semiHidden/>
    <w:qFormat/>
    <w:tblPr/>
  </w:style>
  <w:style w:type="paragraph" w:customStyle="1" w:styleId="Normal2">
    <w:name w:val="Normal_2"/>
    <w:qFormat/>
    <w:rPr>
      <w:sz w:val="24"/>
      <w:szCs w:val="24"/>
    </w:rPr>
  </w:style>
  <w:style w:type="table" w:customStyle="1" w:styleId="CDMRange2">
    <w:name w:val="CDM Range 2"/>
    <w:basedOn w:val="TableNormal"/>
    <w:next w:val="TableNormal"/>
    <w:semiHidden/>
    <w:qFormat/>
    <w:tblPr/>
  </w:style>
  <w:style w:type="paragraph" w:customStyle="1" w:styleId="Normal3">
    <w:name w:val="Normal_3"/>
    <w:qFormat/>
    <w:rPr>
      <w:sz w:val="24"/>
      <w:szCs w:val="24"/>
    </w:rPr>
  </w:style>
  <w:style w:type="table" w:customStyle="1" w:styleId="CDMRange10">
    <w:name w:val="CDM Range 1_0"/>
    <w:basedOn w:val="TableNormal"/>
    <w:next w:val="TableNormal"/>
    <w:semiHidden/>
    <w:tblPr/>
  </w:style>
  <w:style w:type="paragraph" w:customStyle="1" w:styleId="Normal4">
    <w:name w:val="Normal_4"/>
    <w:qFormat/>
    <w:rPr>
      <w:sz w:val="24"/>
      <w:szCs w:val="24"/>
    </w:rPr>
  </w:style>
  <w:style w:type="table" w:customStyle="1" w:styleId="CDMRange20">
    <w:name w:val="CDM Range 2_0"/>
    <w:basedOn w:val="TableNormal"/>
    <w:next w:val="TableNormal"/>
    <w:semiHidden/>
    <w:tblPr/>
  </w:style>
  <w:style w:type="paragraph" w:customStyle="1" w:styleId="Normal5">
    <w:name w:val="Normal_5"/>
    <w:qFormat/>
    <w:rPr>
      <w:sz w:val="24"/>
      <w:szCs w:val="24"/>
    </w:rPr>
  </w:style>
  <w:style w:type="table" w:customStyle="1" w:styleId="CDMRange11">
    <w:name w:val="CDM Range 1_1"/>
    <w:basedOn w:val="TableNormal"/>
    <w:next w:val="TableNormal"/>
    <w:semiHidden/>
    <w:tblPr/>
  </w:style>
  <w:style w:type="paragraph" w:customStyle="1" w:styleId="Normal7">
    <w:name w:val="Normal_7"/>
    <w:qFormat/>
    <w:rPr>
      <w:sz w:val="24"/>
      <w:szCs w:val="24"/>
    </w:rPr>
  </w:style>
  <w:style w:type="table" w:customStyle="1" w:styleId="CDMRange21">
    <w:name w:val="CDM Range 2_1"/>
    <w:basedOn w:val="TableNormal"/>
    <w:next w:val="TableNormal"/>
    <w:semiHidden/>
    <w:tblPr/>
  </w:style>
  <w:style w:type="paragraph" w:customStyle="1" w:styleId="Normal8">
    <w:name w:val="Normal_8"/>
    <w:qFormat/>
    <w:rPr>
      <w:sz w:val="24"/>
      <w:szCs w:val="24"/>
    </w:rPr>
  </w:style>
  <w:style w:type="table" w:customStyle="1" w:styleId="CDMRange12">
    <w:name w:val="CDM Range 1_2"/>
    <w:basedOn w:val="TableNormal"/>
    <w:next w:val="TableNormal"/>
    <w:semiHidden/>
    <w:tblPr/>
  </w:style>
  <w:style w:type="paragraph" w:customStyle="1" w:styleId="Normal9">
    <w:name w:val="Normal_9"/>
    <w:qFormat/>
    <w:rPr>
      <w:sz w:val="24"/>
      <w:szCs w:val="24"/>
    </w:rPr>
  </w:style>
  <w:style w:type="table" w:customStyle="1" w:styleId="CDMRange22">
    <w:name w:val="CDM Range 2_2"/>
    <w:basedOn w:val="TableNormal"/>
    <w:next w:val="TableNormal"/>
    <w:semiHidden/>
    <w:tblPr/>
  </w:style>
  <w:style w:type="paragraph" w:customStyle="1" w:styleId="Normal10">
    <w:name w:val="Normal_10"/>
    <w:qFormat/>
    <w:rPr>
      <w:sz w:val="24"/>
      <w:szCs w:val="24"/>
    </w:rPr>
  </w:style>
  <w:style w:type="table" w:customStyle="1" w:styleId="CDMRange13">
    <w:name w:val="CDM Range 1_3"/>
    <w:basedOn w:val="TableNormal"/>
    <w:next w:val="TableNormal"/>
    <w:semiHidden/>
    <w:tblPr/>
  </w:style>
  <w:style w:type="paragraph" w:customStyle="1" w:styleId="Normal11">
    <w:name w:val="Normal_11"/>
    <w:qFormat/>
    <w:rPr>
      <w:sz w:val="24"/>
      <w:szCs w:val="24"/>
    </w:rPr>
  </w:style>
  <w:style w:type="table" w:customStyle="1" w:styleId="CDMRange23">
    <w:name w:val="CDM Range 2_3"/>
    <w:basedOn w:val="TableNormal"/>
    <w:next w:val="TableNormal"/>
    <w:semiHidden/>
    <w:tblPr/>
  </w:style>
  <w:style w:type="paragraph" w:customStyle="1" w:styleId="Normal12">
    <w:name w:val="Normal_12"/>
    <w:qFormat/>
    <w:rPr>
      <w:sz w:val="24"/>
      <w:szCs w:val="24"/>
    </w:rPr>
  </w:style>
  <w:style w:type="table" w:customStyle="1" w:styleId="CDMRange14">
    <w:name w:val="CDM Range 1_4"/>
    <w:basedOn w:val="TableNormal"/>
    <w:next w:val="TableNormal"/>
    <w:semiHidden/>
    <w:tblPr/>
  </w:style>
  <w:style w:type="paragraph" w:customStyle="1" w:styleId="Normal13">
    <w:name w:val="Normal_13"/>
    <w:qFormat/>
    <w:rPr>
      <w:sz w:val="24"/>
      <w:szCs w:val="24"/>
    </w:rPr>
  </w:style>
  <w:style w:type="table" w:customStyle="1" w:styleId="CDMRange24">
    <w:name w:val="CDM Range 2_4"/>
    <w:basedOn w:val="TableNormal"/>
    <w:next w:val="TableNormal"/>
    <w:semiHidden/>
    <w:tblPr/>
  </w:style>
  <w:style w:type="paragraph" w:customStyle="1" w:styleId="Normal14">
    <w:name w:val="Normal_14"/>
    <w:qFormat/>
    <w:rPr>
      <w:sz w:val="24"/>
      <w:szCs w:val="24"/>
    </w:rPr>
  </w:style>
  <w:style w:type="table" w:customStyle="1" w:styleId="CDMRange15">
    <w:name w:val="CDM Range 1_5"/>
    <w:basedOn w:val="TableNormal"/>
    <w:next w:val="TableNormal"/>
    <w:semiHidden/>
    <w:tblPr/>
  </w:style>
  <w:style w:type="paragraph" w:customStyle="1" w:styleId="Normal15">
    <w:name w:val="Normal_15"/>
    <w:qFormat/>
    <w:rPr>
      <w:sz w:val="24"/>
      <w:szCs w:val="24"/>
    </w:rPr>
  </w:style>
  <w:style w:type="table" w:customStyle="1" w:styleId="CDMRange25">
    <w:name w:val="CDM Range 2_5"/>
    <w:basedOn w:val="TableNormal"/>
    <w:next w:val="TableNormal"/>
    <w:semiHidden/>
    <w:tblPr/>
  </w:style>
  <w:style w:type="paragraph" w:customStyle="1" w:styleId="BSbullet14">
    <w:name w:val="BS_bullet 1_4"/>
    <w:basedOn w:val="Normal"/>
    <w:link w:val="BSbullet1Char4"/>
    <w:qFormat/>
    <w:rsid w:val="008905B2"/>
    <w:pPr>
      <w:numPr>
        <w:numId w:val="52"/>
      </w:numPr>
      <w:spacing w:after="120"/>
      <w:jc w:val="both"/>
    </w:pPr>
    <w:rPr>
      <w:szCs w:val="24"/>
      <w:lang w:eastAsia="en-AU"/>
    </w:rPr>
  </w:style>
  <w:style w:type="character" w:customStyle="1" w:styleId="BSbullet1Char4">
    <w:name w:val="BS_bullet 1 Char_4"/>
    <w:basedOn w:val="DefaultParagraphFont"/>
    <w:link w:val="BSbullet14"/>
    <w:locked/>
    <w:rsid w:val="008905B2"/>
    <w:rPr>
      <w:rFonts w:ascii="Calibri" w:hAnsi="Calibri"/>
      <w:sz w:val="24"/>
      <w:szCs w:val="24"/>
    </w:rPr>
  </w:style>
  <w:style w:type="paragraph" w:customStyle="1" w:styleId="Heading44">
    <w:name w:val="Heading 4_4"/>
    <w:basedOn w:val="Normal"/>
    <w:next w:val="Normal"/>
    <w:link w:val="Heading4Char4"/>
    <w:autoRedefine/>
    <w:qFormat/>
    <w:rsid w:val="008905B2"/>
    <w:pPr>
      <w:keepNext/>
      <w:keepLines/>
      <w:spacing w:before="240" w:after="120"/>
      <w:outlineLvl w:val="3"/>
    </w:pPr>
    <w:rPr>
      <w:b/>
      <w:i/>
      <w:lang w:eastAsia="en-AU"/>
    </w:rPr>
  </w:style>
  <w:style w:type="character" w:customStyle="1" w:styleId="Heading4Char4">
    <w:name w:val="Heading 4 Char_4"/>
    <w:link w:val="Heading44"/>
    <w:locked/>
    <w:rsid w:val="008905B2"/>
    <w:rPr>
      <w:rFonts w:ascii="Calibri" w:hAnsi="Calibri"/>
      <w:b/>
      <w:i/>
      <w:sz w:val="24"/>
    </w:rPr>
  </w:style>
  <w:style w:type="paragraph" w:customStyle="1" w:styleId="Normal16">
    <w:name w:val="Normal_16"/>
    <w:qFormat/>
    <w:rPr>
      <w:sz w:val="24"/>
      <w:szCs w:val="24"/>
    </w:rPr>
  </w:style>
  <w:style w:type="table" w:customStyle="1" w:styleId="CDMRange16">
    <w:name w:val="CDM Range 1_6"/>
    <w:basedOn w:val="TableNormal"/>
    <w:next w:val="TableNormal"/>
    <w:semiHidden/>
    <w:tblPr/>
  </w:style>
  <w:style w:type="paragraph" w:customStyle="1" w:styleId="Normal17">
    <w:name w:val="Normal_17"/>
    <w:qFormat/>
    <w:rPr>
      <w:sz w:val="24"/>
      <w:szCs w:val="24"/>
    </w:rPr>
  </w:style>
  <w:style w:type="table" w:customStyle="1" w:styleId="CDMRange26">
    <w:name w:val="CDM Range 2_6"/>
    <w:basedOn w:val="TableNormal"/>
    <w:next w:val="TableNormal"/>
    <w:semiHidden/>
    <w:tblPr/>
  </w:style>
  <w:style w:type="paragraph" w:customStyle="1" w:styleId="Normal18">
    <w:name w:val="Normal_18"/>
    <w:qFormat/>
    <w:rPr>
      <w:sz w:val="24"/>
      <w:szCs w:val="24"/>
    </w:rPr>
  </w:style>
  <w:style w:type="table" w:customStyle="1" w:styleId="CDMRange17">
    <w:name w:val="CDM Range 1_7"/>
    <w:basedOn w:val="TableNormal"/>
    <w:next w:val="TableNormal"/>
    <w:semiHidden/>
    <w:tblPr/>
  </w:style>
  <w:style w:type="paragraph" w:customStyle="1" w:styleId="Normal19">
    <w:name w:val="Normal_19"/>
    <w:qFormat/>
    <w:rPr>
      <w:sz w:val="24"/>
      <w:szCs w:val="24"/>
    </w:rPr>
  </w:style>
  <w:style w:type="table" w:customStyle="1" w:styleId="CDMRange27">
    <w:name w:val="CDM Range 2_7"/>
    <w:basedOn w:val="TableNormal"/>
    <w:next w:val="TableNormal"/>
    <w:semiHidden/>
    <w:tblPr/>
  </w:style>
  <w:style w:type="paragraph" w:customStyle="1" w:styleId="msonormal0">
    <w:name w:val="msonormal"/>
    <w:basedOn w:val="Normal"/>
    <w:rsid w:val="00B55EED"/>
    <w:pPr>
      <w:spacing w:before="100" w:beforeAutospacing="1" w:after="100" w:afterAutospacing="1"/>
    </w:pPr>
    <w:rPr>
      <w:rFonts w:ascii="Times New Roman" w:hAnsi="Times New Roman"/>
      <w:szCs w:val="24"/>
      <w:lang w:eastAsia="en-AU"/>
    </w:rPr>
  </w:style>
  <w:style w:type="paragraph" w:styleId="CommentText">
    <w:name w:val="annotation text"/>
    <w:basedOn w:val="Normal"/>
    <w:link w:val="CommentTextChar"/>
    <w:semiHidden/>
    <w:unhideWhenUsed/>
    <w:rsid w:val="00B55EED"/>
    <w:rPr>
      <w:sz w:val="20"/>
    </w:rPr>
  </w:style>
  <w:style w:type="character" w:customStyle="1" w:styleId="CommentTextChar">
    <w:name w:val="Comment Text Char"/>
    <w:basedOn w:val="DefaultParagraphFont"/>
    <w:link w:val="CommentText"/>
    <w:semiHidden/>
    <w:rsid w:val="00B55EED"/>
    <w:rPr>
      <w:rFonts w:ascii="Calibri" w:hAnsi="Calibri"/>
      <w:lang w:eastAsia="en-US"/>
    </w:rPr>
  </w:style>
  <w:style w:type="paragraph" w:styleId="CommentSubject">
    <w:name w:val="annotation subject"/>
    <w:basedOn w:val="CommentText"/>
    <w:next w:val="CommentText"/>
    <w:link w:val="CommentSubjectChar"/>
    <w:semiHidden/>
    <w:unhideWhenUsed/>
    <w:rsid w:val="00B55EED"/>
    <w:rPr>
      <w:b/>
      <w:bCs/>
    </w:rPr>
  </w:style>
  <w:style w:type="character" w:customStyle="1" w:styleId="CommentSubjectChar">
    <w:name w:val="Comment Subject Char"/>
    <w:basedOn w:val="CommentTextChar"/>
    <w:link w:val="CommentSubject"/>
    <w:semiHidden/>
    <w:rsid w:val="00B55EED"/>
    <w:rPr>
      <w:rFonts w:ascii="Calibri" w:hAnsi="Calibri"/>
      <w:b/>
      <w:bCs/>
      <w:lang w:eastAsia="en-US"/>
    </w:rPr>
  </w:style>
  <w:style w:type="paragraph" w:styleId="BalloonText">
    <w:name w:val="Balloon Text"/>
    <w:basedOn w:val="Normal"/>
    <w:link w:val="BalloonTextChar"/>
    <w:semiHidden/>
    <w:unhideWhenUsed/>
    <w:rsid w:val="00B55E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B55EED"/>
    <w:rPr>
      <w:rFonts w:ascii="Segoe UI" w:hAnsi="Segoe UI" w:cs="Segoe UI"/>
      <w:sz w:val="18"/>
      <w:szCs w:val="18"/>
      <w:lang w:eastAsia="en-US"/>
    </w:rPr>
  </w:style>
  <w:style w:type="character" w:customStyle="1" w:styleId="Heading1Char0">
    <w:name w:val="Heading 1 Char_0"/>
    <w:link w:val="Heading10"/>
    <w:locked/>
    <w:rsid w:val="00B55EED"/>
    <w:rPr>
      <w:rFonts w:ascii="Calibri" w:hAnsi="Calibri" w:cs="Calibri"/>
      <w:b/>
      <w:kern w:val="28"/>
      <w:sz w:val="36"/>
      <w:szCs w:val="36"/>
      <w:lang w:eastAsia="en-US"/>
    </w:rPr>
  </w:style>
  <w:style w:type="paragraph" w:customStyle="1" w:styleId="Heading10">
    <w:name w:val="Heading 1_0"/>
    <w:basedOn w:val="Normal0"/>
    <w:next w:val="Normal0"/>
    <w:link w:val="Heading1Char0"/>
    <w:qFormat/>
    <w:rsid w:val="00B55EED"/>
    <w:pPr>
      <w:keepNext/>
      <w:pBdr>
        <w:bottom w:val="single" w:sz="18" w:space="2" w:color="auto"/>
      </w:pBdr>
      <w:spacing w:after="480"/>
      <w:outlineLvl w:val="0"/>
    </w:pPr>
    <w:rPr>
      <w:rFonts w:cs="Calibri"/>
      <w:b/>
      <w:kern w:val="28"/>
      <w:sz w:val="36"/>
      <w:szCs w:val="36"/>
    </w:rPr>
  </w:style>
  <w:style w:type="character" w:customStyle="1" w:styleId="Heading1Char1">
    <w:name w:val="Heading 1 Char_1"/>
    <w:link w:val="Heading11"/>
    <w:locked/>
    <w:rsid w:val="00B55EED"/>
    <w:rPr>
      <w:rFonts w:ascii="Calibri" w:hAnsi="Calibri" w:cs="Calibri"/>
      <w:b/>
      <w:kern w:val="28"/>
      <w:sz w:val="36"/>
      <w:szCs w:val="36"/>
      <w:lang w:eastAsia="en-US"/>
    </w:rPr>
  </w:style>
  <w:style w:type="paragraph" w:customStyle="1" w:styleId="Heading11">
    <w:name w:val="Heading 1_1"/>
    <w:basedOn w:val="Normal1"/>
    <w:next w:val="Normal1"/>
    <w:link w:val="Heading1Char1"/>
    <w:qFormat/>
    <w:rsid w:val="00B55EED"/>
    <w:pPr>
      <w:keepNext/>
      <w:pBdr>
        <w:bottom w:val="single" w:sz="18" w:space="2" w:color="auto"/>
      </w:pBdr>
      <w:spacing w:before="200" w:after="480"/>
      <w:outlineLvl w:val="0"/>
    </w:pPr>
    <w:rPr>
      <w:rFonts w:ascii="Calibri" w:hAnsi="Calibri" w:cs="Calibri"/>
      <w:b/>
      <w:kern w:val="28"/>
      <w:sz w:val="36"/>
      <w:szCs w:val="36"/>
      <w:lang w:eastAsia="en-US"/>
    </w:rPr>
  </w:style>
  <w:style w:type="paragraph" w:customStyle="1" w:styleId="Normal100">
    <w:name w:val="Normal_1_0"/>
    <w:qFormat/>
    <w:rsid w:val="00B55EED"/>
    <w:pPr>
      <w:spacing w:before="200" w:after="200"/>
    </w:pPr>
    <w:rPr>
      <w:rFonts w:ascii="Calibri" w:hAnsi="Calibri"/>
      <w:sz w:val="24"/>
      <w:lang w:eastAsia="en-US"/>
    </w:rPr>
  </w:style>
  <w:style w:type="character" w:customStyle="1" w:styleId="Heading2Char0">
    <w:name w:val="Heading 2 Char_0"/>
    <w:link w:val="Heading20"/>
    <w:locked/>
    <w:rsid w:val="00B55EED"/>
    <w:rPr>
      <w:rFonts w:ascii="Calibri" w:hAnsi="Calibri" w:cs="Calibri"/>
      <w:b/>
      <w:sz w:val="32"/>
      <w:lang w:eastAsia="en-US"/>
    </w:rPr>
  </w:style>
  <w:style w:type="paragraph" w:customStyle="1" w:styleId="Heading20">
    <w:name w:val="Heading 2_0"/>
    <w:basedOn w:val="Normal2"/>
    <w:next w:val="Normal2"/>
    <w:link w:val="Heading2Char0"/>
    <w:qFormat/>
    <w:rsid w:val="00B55EED"/>
    <w:pPr>
      <w:keepNext/>
      <w:snapToGrid w:val="0"/>
      <w:spacing w:before="360" w:after="200"/>
      <w:outlineLvl w:val="1"/>
    </w:pPr>
    <w:rPr>
      <w:rFonts w:ascii="Calibri" w:hAnsi="Calibri" w:cs="Calibri"/>
      <w:b/>
      <w:sz w:val="32"/>
      <w:szCs w:val="20"/>
      <w:lang w:eastAsia="en-US"/>
    </w:rPr>
  </w:style>
  <w:style w:type="character" w:customStyle="1" w:styleId="Heading2Char1">
    <w:name w:val="Heading 2 Char_1"/>
    <w:link w:val="Heading21"/>
    <w:locked/>
    <w:rsid w:val="00B55EED"/>
    <w:rPr>
      <w:rFonts w:ascii="Calibri" w:hAnsi="Calibri" w:cs="Calibri"/>
      <w:b/>
      <w:sz w:val="32"/>
      <w:lang w:eastAsia="en-US"/>
    </w:rPr>
  </w:style>
  <w:style w:type="paragraph" w:customStyle="1" w:styleId="Heading21">
    <w:name w:val="Heading 2_1"/>
    <w:basedOn w:val="Normal3"/>
    <w:next w:val="Normal3"/>
    <w:link w:val="Heading2Char1"/>
    <w:qFormat/>
    <w:rsid w:val="00B55EED"/>
    <w:pPr>
      <w:keepNext/>
      <w:snapToGrid w:val="0"/>
      <w:spacing w:before="360" w:after="200"/>
      <w:outlineLvl w:val="1"/>
    </w:pPr>
    <w:rPr>
      <w:rFonts w:ascii="Calibri" w:hAnsi="Calibri" w:cs="Calibri"/>
      <w:b/>
      <w:sz w:val="32"/>
      <w:szCs w:val="20"/>
      <w:lang w:eastAsia="en-US"/>
    </w:rPr>
  </w:style>
  <w:style w:type="character" w:customStyle="1" w:styleId="NoSpacingChar0">
    <w:name w:val="No Spacing Char_0"/>
    <w:link w:val="NoSpacing0"/>
    <w:uiPriority w:val="1"/>
    <w:locked/>
    <w:rsid w:val="00B55EED"/>
    <w:rPr>
      <w:rFonts w:ascii="Calibri" w:hAnsi="Calibri" w:cs="Calibri"/>
      <w:lang w:eastAsia="en-US"/>
    </w:rPr>
  </w:style>
  <w:style w:type="paragraph" w:customStyle="1" w:styleId="NoSpacing0">
    <w:name w:val="No Spacing_0"/>
    <w:link w:val="NoSpacingChar0"/>
    <w:uiPriority w:val="1"/>
    <w:qFormat/>
    <w:rsid w:val="00B55EED"/>
    <w:rPr>
      <w:rFonts w:ascii="Calibri" w:hAnsi="Calibri" w:cs="Calibri"/>
      <w:lang w:eastAsia="en-US"/>
    </w:rPr>
  </w:style>
  <w:style w:type="paragraph" w:customStyle="1" w:styleId="Normal30">
    <w:name w:val="Normal_3_0"/>
    <w:qFormat/>
    <w:rsid w:val="00B55EED"/>
    <w:pPr>
      <w:spacing w:before="200" w:after="200"/>
    </w:pPr>
    <w:rPr>
      <w:rFonts w:ascii="Calibri" w:hAnsi="Calibri"/>
      <w:sz w:val="24"/>
      <w:lang w:eastAsia="en-US"/>
    </w:rPr>
  </w:style>
  <w:style w:type="character" w:customStyle="1" w:styleId="Heading2Char2">
    <w:name w:val="Heading 2 Char_2"/>
    <w:link w:val="Heading22"/>
    <w:locked/>
    <w:rsid w:val="00B55EED"/>
    <w:rPr>
      <w:rFonts w:ascii="Calibri" w:hAnsi="Calibri" w:cs="Calibri"/>
      <w:b/>
      <w:sz w:val="32"/>
      <w:lang w:eastAsia="en-US"/>
    </w:rPr>
  </w:style>
  <w:style w:type="paragraph" w:customStyle="1" w:styleId="Heading22">
    <w:name w:val="Heading 2_2"/>
    <w:basedOn w:val="Normal4"/>
    <w:next w:val="Normal4"/>
    <w:link w:val="Heading2Char2"/>
    <w:qFormat/>
    <w:rsid w:val="00B55EED"/>
    <w:pPr>
      <w:keepNext/>
      <w:snapToGrid w:val="0"/>
      <w:spacing w:before="360" w:after="200"/>
      <w:outlineLvl w:val="1"/>
    </w:pPr>
    <w:rPr>
      <w:rFonts w:ascii="Calibri" w:hAnsi="Calibri" w:cs="Calibri"/>
      <w:b/>
      <w:sz w:val="32"/>
      <w:szCs w:val="20"/>
      <w:lang w:eastAsia="en-US"/>
    </w:rPr>
  </w:style>
  <w:style w:type="character" w:customStyle="1" w:styleId="Heading3Char0">
    <w:name w:val="Heading 3 Char_0"/>
    <w:link w:val="Heading30"/>
    <w:locked/>
    <w:rsid w:val="00B55EED"/>
    <w:rPr>
      <w:rFonts w:ascii="Calibri" w:hAnsi="Calibri" w:cs="Calibri"/>
      <w:b/>
      <w:bCs/>
      <w:sz w:val="28"/>
      <w:szCs w:val="26"/>
      <w:lang w:eastAsia="en-US"/>
    </w:rPr>
  </w:style>
  <w:style w:type="paragraph" w:customStyle="1" w:styleId="Heading30">
    <w:name w:val="Heading 3_0"/>
    <w:basedOn w:val="Normal4"/>
    <w:next w:val="Normal4"/>
    <w:link w:val="Heading3Char0"/>
    <w:autoRedefine/>
    <w:qFormat/>
    <w:rsid w:val="00B55EED"/>
    <w:pPr>
      <w:keepNext/>
      <w:keepLines/>
      <w:spacing w:before="360" w:after="200"/>
      <w:contextualSpacing/>
      <w:outlineLvl w:val="2"/>
    </w:pPr>
    <w:rPr>
      <w:rFonts w:ascii="Calibri" w:hAnsi="Calibri" w:cs="Calibri"/>
      <w:b/>
      <w:bCs/>
      <w:sz w:val="28"/>
      <w:szCs w:val="26"/>
      <w:lang w:eastAsia="en-US"/>
    </w:rPr>
  </w:style>
  <w:style w:type="paragraph" w:customStyle="1" w:styleId="Caption0">
    <w:name w:val="Caption_0"/>
    <w:basedOn w:val="Normal4"/>
    <w:next w:val="Normal4"/>
    <w:qFormat/>
    <w:locked/>
    <w:rsid w:val="00B55EED"/>
    <w:pPr>
      <w:keepNext/>
      <w:spacing w:before="240" w:after="200"/>
    </w:pPr>
    <w:rPr>
      <w:rFonts w:ascii="Calibri" w:hAnsi="Calibri"/>
      <w:b/>
      <w:bCs/>
      <w:color w:val="000000"/>
      <w:sz w:val="22"/>
      <w:szCs w:val="18"/>
      <w:lang w:eastAsia="en-US"/>
    </w:rPr>
  </w:style>
  <w:style w:type="character" w:customStyle="1" w:styleId="NoteHeadingChar0">
    <w:name w:val="Note Heading Char_0"/>
    <w:link w:val="NoteHeading20"/>
    <w:locked/>
    <w:rsid w:val="00B55EED"/>
    <w:rPr>
      <w:rFonts w:ascii="Calibri" w:hAnsi="Calibri" w:cs="Calibri"/>
      <w:b/>
      <w:sz w:val="16"/>
      <w:lang w:eastAsia="en-US"/>
    </w:rPr>
  </w:style>
  <w:style w:type="paragraph" w:customStyle="1" w:styleId="NoteHeading20">
    <w:name w:val="Note Heading2_0"/>
    <w:basedOn w:val="Normal4"/>
    <w:next w:val="Normal4"/>
    <w:link w:val="NoteHeadingChar0"/>
    <w:rsid w:val="00B55EED"/>
    <w:pPr>
      <w:spacing w:before="120" w:after="200"/>
    </w:pPr>
    <w:rPr>
      <w:rFonts w:ascii="Calibri" w:hAnsi="Calibri" w:cs="Calibri"/>
      <w:b/>
      <w:sz w:val="16"/>
      <w:szCs w:val="20"/>
      <w:lang w:eastAsia="en-US"/>
    </w:rPr>
  </w:style>
  <w:style w:type="character" w:customStyle="1" w:styleId="ListParagraphChar0">
    <w:name w:val="List Paragraph Char_0"/>
    <w:link w:val="ListParagraph0"/>
    <w:uiPriority w:val="34"/>
    <w:locked/>
    <w:rsid w:val="00B55EED"/>
    <w:rPr>
      <w:rFonts w:ascii="Calibri" w:hAnsi="Calibri" w:cs="Calibri"/>
      <w:sz w:val="16"/>
      <w:szCs w:val="24"/>
      <w:lang w:eastAsia="en-US"/>
    </w:rPr>
  </w:style>
  <w:style w:type="paragraph" w:customStyle="1" w:styleId="ListParagraph0">
    <w:name w:val="List Paragraph_0"/>
    <w:basedOn w:val="Normal4"/>
    <w:link w:val="ListParagraphChar0"/>
    <w:uiPriority w:val="34"/>
    <w:qFormat/>
    <w:rsid w:val="00B55EED"/>
    <w:pPr>
      <w:spacing w:before="200"/>
      <w:ind w:left="357" w:hanging="357"/>
    </w:pPr>
    <w:rPr>
      <w:rFonts w:ascii="Calibri" w:hAnsi="Calibri" w:cs="Calibri"/>
      <w:sz w:val="16"/>
      <w:lang w:eastAsia="en-US"/>
    </w:rPr>
  </w:style>
  <w:style w:type="character" w:customStyle="1" w:styleId="Heading4Char0">
    <w:name w:val="Heading 4 Char_0"/>
    <w:link w:val="Heading40"/>
    <w:locked/>
    <w:rsid w:val="00B55EED"/>
    <w:rPr>
      <w:rFonts w:ascii="Calibri" w:hAnsi="Calibri" w:cs="Calibri"/>
      <w:b/>
      <w:i/>
      <w:sz w:val="24"/>
      <w:lang w:eastAsia="en-US"/>
    </w:rPr>
  </w:style>
  <w:style w:type="paragraph" w:customStyle="1" w:styleId="Heading40">
    <w:name w:val="Heading 4_0"/>
    <w:basedOn w:val="Normal4"/>
    <w:next w:val="Normal4"/>
    <w:link w:val="Heading4Char0"/>
    <w:autoRedefine/>
    <w:qFormat/>
    <w:rsid w:val="00B55EED"/>
    <w:pPr>
      <w:keepNext/>
      <w:keepLines/>
      <w:spacing w:before="240" w:after="120"/>
      <w:outlineLvl w:val="3"/>
    </w:pPr>
    <w:rPr>
      <w:rFonts w:ascii="Calibri" w:hAnsi="Calibri" w:cs="Calibri"/>
      <w:b/>
      <w:i/>
      <w:szCs w:val="20"/>
      <w:lang w:eastAsia="en-US"/>
    </w:rPr>
  </w:style>
  <w:style w:type="character" w:customStyle="1" w:styleId="Heading2Char3">
    <w:name w:val="Heading 2 Char_3"/>
    <w:link w:val="Heading23"/>
    <w:locked/>
    <w:rsid w:val="00B55EED"/>
    <w:rPr>
      <w:rFonts w:ascii="Calibri" w:hAnsi="Calibri" w:cs="Calibri"/>
      <w:b/>
      <w:sz w:val="32"/>
      <w:lang w:eastAsia="en-US"/>
    </w:rPr>
  </w:style>
  <w:style w:type="paragraph" w:customStyle="1" w:styleId="Heading23">
    <w:name w:val="Heading 2_3"/>
    <w:basedOn w:val="Normal5"/>
    <w:next w:val="Normal5"/>
    <w:link w:val="Heading2Char3"/>
    <w:qFormat/>
    <w:rsid w:val="00B55EED"/>
    <w:pPr>
      <w:keepNext/>
      <w:snapToGrid w:val="0"/>
      <w:spacing w:before="360" w:after="200"/>
      <w:outlineLvl w:val="1"/>
    </w:pPr>
    <w:rPr>
      <w:rFonts w:ascii="Calibri" w:hAnsi="Calibri" w:cs="Calibri"/>
      <w:b/>
      <w:sz w:val="32"/>
      <w:szCs w:val="20"/>
      <w:lang w:eastAsia="en-US"/>
    </w:rPr>
  </w:style>
  <w:style w:type="character" w:customStyle="1" w:styleId="Heading3Char1">
    <w:name w:val="Heading 3 Char_1"/>
    <w:link w:val="Heading31"/>
    <w:locked/>
    <w:rsid w:val="00B55EED"/>
    <w:rPr>
      <w:rFonts w:ascii="Calibri" w:hAnsi="Calibri" w:cs="Calibri"/>
      <w:b/>
      <w:bCs/>
      <w:sz w:val="28"/>
      <w:szCs w:val="26"/>
      <w:lang w:eastAsia="en-US"/>
    </w:rPr>
  </w:style>
  <w:style w:type="paragraph" w:customStyle="1" w:styleId="Heading31">
    <w:name w:val="Heading 3_1"/>
    <w:basedOn w:val="Normal5"/>
    <w:next w:val="Normal5"/>
    <w:link w:val="Heading3Char1"/>
    <w:autoRedefine/>
    <w:qFormat/>
    <w:rsid w:val="00B55EED"/>
    <w:pPr>
      <w:keepNext/>
      <w:keepLines/>
      <w:spacing w:before="360" w:after="200"/>
      <w:contextualSpacing/>
      <w:outlineLvl w:val="2"/>
    </w:pPr>
    <w:rPr>
      <w:rFonts w:ascii="Calibri" w:hAnsi="Calibri" w:cs="Calibri"/>
      <w:b/>
      <w:bCs/>
      <w:sz w:val="28"/>
      <w:szCs w:val="26"/>
      <w:lang w:eastAsia="en-US"/>
    </w:rPr>
  </w:style>
  <w:style w:type="character" w:customStyle="1" w:styleId="Heading4Char1">
    <w:name w:val="Heading 4 Char_1"/>
    <w:link w:val="Heading41"/>
    <w:locked/>
    <w:rsid w:val="00B55EED"/>
    <w:rPr>
      <w:rFonts w:ascii="Calibri" w:hAnsi="Calibri" w:cs="Calibri"/>
      <w:b/>
      <w:i/>
      <w:sz w:val="24"/>
      <w:lang w:eastAsia="en-US"/>
    </w:rPr>
  </w:style>
  <w:style w:type="paragraph" w:customStyle="1" w:styleId="Heading41">
    <w:name w:val="Heading 4_1"/>
    <w:basedOn w:val="Normal5"/>
    <w:next w:val="Normal5"/>
    <w:link w:val="Heading4Char1"/>
    <w:autoRedefine/>
    <w:qFormat/>
    <w:rsid w:val="00B55EED"/>
    <w:pPr>
      <w:keepNext/>
      <w:keepLines/>
      <w:spacing w:before="240" w:after="120"/>
      <w:outlineLvl w:val="3"/>
    </w:pPr>
    <w:rPr>
      <w:rFonts w:ascii="Calibri" w:hAnsi="Calibri" w:cs="Calibri"/>
      <w:b/>
      <w:i/>
      <w:szCs w:val="20"/>
      <w:lang w:eastAsia="en-US"/>
    </w:rPr>
  </w:style>
  <w:style w:type="paragraph" w:customStyle="1" w:styleId="Caption1">
    <w:name w:val="Caption_1"/>
    <w:basedOn w:val="Normal5"/>
    <w:next w:val="Normal5"/>
    <w:qFormat/>
    <w:locked/>
    <w:rsid w:val="00B55EED"/>
    <w:pPr>
      <w:keepNext/>
      <w:spacing w:before="240" w:after="200"/>
    </w:pPr>
    <w:rPr>
      <w:rFonts w:ascii="Calibri" w:hAnsi="Calibri"/>
      <w:b/>
      <w:bCs/>
      <w:color w:val="000000"/>
      <w:sz w:val="22"/>
      <w:szCs w:val="18"/>
      <w:lang w:eastAsia="en-US"/>
    </w:rPr>
  </w:style>
  <w:style w:type="character" w:customStyle="1" w:styleId="NoSpacingChar1">
    <w:name w:val="No Spacing Char_1"/>
    <w:link w:val="NoSpacing1"/>
    <w:uiPriority w:val="1"/>
    <w:locked/>
    <w:rsid w:val="00B55EED"/>
    <w:rPr>
      <w:rFonts w:ascii="Calibri" w:hAnsi="Calibri" w:cs="Calibri"/>
      <w:lang w:eastAsia="en-US"/>
    </w:rPr>
  </w:style>
  <w:style w:type="paragraph" w:customStyle="1" w:styleId="NoSpacing1">
    <w:name w:val="No Spacing_1"/>
    <w:link w:val="NoSpacingChar1"/>
    <w:uiPriority w:val="1"/>
    <w:qFormat/>
    <w:rsid w:val="00B55EED"/>
    <w:rPr>
      <w:rFonts w:ascii="Calibri" w:hAnsi="Calibri" w:cs="Calibri"/>
      <w:lang w:eastAsia="en-US"/>
    </w:rPr>
  </w:style>
  <w:style w:type="character" w:customStyle="1" w:styleId="AITableTextChar0">
    <w:name w:val="AI Table Text Char_0"/>
    <w:link w:val="AITableText0"/>
    <w:locked/>
    <w:rsid w:val="00B55EED"/>
    <w:rPr>
      <w:rFonts w:ascii="Calibri" w:hAnsi="Calibri" w:cs="Calibri"/>
      <w:szCs w:val="24"/>
      <w:lang w:eastAsia="en-US"/>
    </w:rPr>
  </w:style>
  <w:style w:type="paragraph" w:customStyle="1" w:styleId="AITableText0">
    <w:name w:val="AI Table Text_0"/>
    <w:basedOn w:val="Normal5"/>
    <w:link w:val="AITableTextChar0"/>
    <w:rsid w:val="00B55EED"/>
    <w:pPr>
      <w:spacing w:before="200" w:after="200"/>
      <w:jc w:val="right"/>
    </w:pPr>
    <w:rPr>
      <w:rFonts w:ascii="Calibri" w:hAnsi="Calibri" w:cs="Calibri"/>
      <w:sz w:val="20"/>
      <w:lang w:eastAsia="en-US"/>
    </w:rPr>
  </w:style>
  <w:style w:type="character" w:customStyle="1" w:styleId="BStablefiguresChar00">
    <w:name w:val="BS_table figures Char_0_0"/>
    <w:basedOn w:val="DefaultParagraphFont"/>
    <w:link w:val="BStablefigures00"/>
    <w:locked/>
    <w:rsid w:val="00B55EED"/>
    <w:rPr>
      <w:rFonts w:ascii="Calibri" w:hAnsi="Calibri" w:cs="Calibri"/>
    </w:rPr>
  </w:style>
  <w:style w:type="paragraph" w:customStyle="1" w:styleId="BStablefigures00">
    <w:name w:val="BS_table figures_0_0"/>
    <w:basedOn w:val="Normal5"/>
    <w:link w:val="BStablefiguresChar00"/>
    <w:autoRedefine/>
    <w:qFormat/>
    <w:rsid w:val="00B55EED"/>
    <w:pPr>
      <w:ind w:left="227" w:hanging="227"/>
      <w:jc w:val="right"/>
    </w:pPr>
    <w:rPr>
      <w:rFonts w:ascii="Calibri" w:hAnsi="Calibri" w:cs="Calibri"/>
      <w:sz w:val="20"/>
      <w:szCs w:val="20"/>
    </w:rPr>
  </w:style>
  <w:style w:type="character" w:customStyle="1" w:styleId="NoteHeadingChar1">
    <w:name w:val="Note Heading Char_1"/>
    <w:link w:val="NoteHeading21"/>
    <w:locked/>
    <w:rsid w:val="00B55EED"/>
    <w:rPr>
      <w:rFonts w:ascii="Calibri" w:hAnsi="Calibri" w:cs="Calibri"/>
      <w:b/>
      <w:sz w:val="16"/>
      <w:lang w:eastAsia="en-US"/>
    </w:rPr>
  </w:style>
  <w:style w:type="paragraph" w:customStyle="1" w:styleId="NoteHeading21">
    <w:name w:val="Note Heading2_1"/>
    <w:basedOn w:val="Normal5"/>
    <w:next w:val="Normal5"/>
    <w:link w:val="NoteHeadingChar1"/>
    <w:rsid w:val="00B55EED"/>
    <w:pPr>
      <w:spacing w:before="120" w:after="200"/>
    </w:pPr>
    <w:rPr>
      <w:rFonts w:ascii="Calibri" w:hAnsi="Calibri" w:cs="Calibri"/>
      <w:b/>
      <w:sz w:val="16"/>
      <w:szCs w:val="20"/>
      <w:lang w:eastAsia="en-US"/>
    </w:rPr>
  </w:style>
  <w:style w:type="character" w:customStyle="1" w:styleId="NoSpacingChar2">
    <w:name w:val="No Spacing Char_2"/>
    <w:link w:val="NoSpacing2"/>
    <w:uiPriority w:val="1"/>
    <w:locked/>
    <w:rsid w:val="00B55EED"/>
    <w:rPr>
      <w:rFonts w:ascii="Calibri" w:hAnsi="Calibri" w:cs="Calibri"/>
      <w:lang w:eastAsia="en-US"/>
    </w:rPr>
  </w:style>
  <w:style w:type="paragraph" w:customStyle="1" w:styleId="NoSpacing2">
    <w:name w:val="No Spacing_2"/>
    <w:link w:val="NoSpacingChar2"/>
    <w:uiPriority w:val="1"/>
    <w:qFormat/>
    <w:rsid w:val="00B55EED"/>
    <w:rPr>
      <w:rFonts w:ascii="Calibri" w:hAnsi="Calibri" w:cs="Calibri"/>
      <w:lang w:eastAsia="en-US"/>
    </w:rPr>
  </w:style>
  <w:style w:type="character" w:customStyle="1" w:styleId="ListParagraphChar1">
    <w:name w:val="List Paragraph Char_1"/>
    <w:link w:val="ListParagraph1"/>
    <w:locked/>
    <w:rsid w:val="00B55EED"/>
    <w:rPr>
      <w:rFonts w:ascii="Calibri" w:hAnsi="Calibri" w:cs="Calibri"/>
      <w:sz w:val="16"/>
      <w:szCs w:val="24"/>
      <w:lang w:eastAsia="en-US"/>
    </w:rPr>
  </w:style>
  <w:style w:type="paragraph" w:customStyle="1" w:styleId="ListParagraph1">
    <w:name w:val="List Paragraph_1"/>
    <w:basedOn w:val="Normal6"/>
    <w:link w:val="ListParagraphChar1"/>
    <w:qFormat/>
    <w:rsid w:val="00B55EED"/>
    <w:pPr>
      <w:spacing w:after="0"/>
      <w:ind w:left="357" w:hanging="357"/>
    </w:pPr>
    <w:rPr>
      <w:rFonts w:cs="Calibri"/>
      <w:sz w:val="16"/>
      <w:szCs w:val="24"/>
    </w:rPr>
  </w:style>
  <w:style w:type="character" w:customStyle="1" w:styleId="NoSpacingChar10">
    <w:name w:val="No Spacing Char_1_0"/>
    <w:link w:val="NoSpacing10"/>
    <w:uiPriority w:val="1"/>
    <w:locked/>
    <w:rsid w:val="00B55EED"/>
    <w:rPr>
      <w:rFonts w:ascii="Calibri" w:hAnsi="Calibri" w:cs="Calibri"/>
      <w:lang w:eastAsia="en-US"/>
    </w:rPr>
  </w:style>
  <w:style w:type="paragraph" w:customStyle="1" w:styleId="NoSpacing10">
    <w:name w:val="No Spacing_1_0"/>
    <w:link w:val="NoSpacingChar10"/>
    <w:uiPriority w:val="1"/>
    <w:qFormat/>
    <w:rsid w:val="00B55EED"/>
    <w:rPr>
      <w:rFonts w:ascii="Calibri" w:hAnsi="Calibri" w:cs="Calibri"/>
      <w:lang w:eastAsia="en-US"/>
    </w:rPr>
  </w:style>
  <w:style w:type="character" w:customStyle="1" w:styleId="Heading3Char2">
    <w:name w:val="Heading 3 Char_2"/>
    <w:link w:val="Heading32"/>
    <w:locked/>
    <w:rsid w:val="00B55EED"/>
    <w:rPr>
      <w:rFonts w:ascii="Calibri" w:hAnsi="Calibri" w:cs="Calibri"/>
      <w:b/>
      <w:bCs/>
      <w:sz w:val="28"/>
      <w:szCs w:val="26"/>
      <w:lang w:eastAsia="en-US"/>
    </w:rPr>
  </w:style>
  <w:style w:type="paragraph" w:customStyle="1" w:styleId="Heading32">
    <w:name w:val="Heading 3_2"/>
    <w:basedOn w:val="Normal7"/>
    <w:next w:val="Normal7"/>
    <w:link w:val="Heading3Char2"/>
    <w:autoRedefine/>
    <w:qFormat/>
    <w:rsid w:val="00B55EED"/>
    <w:pPr>
      <w:keepNext/>
      <w:keepLines/>
      <w:spacing w:before="360" w:after="200"/>
      <w:contextualSpacing/>
      <w:outlineLvl w:val="2"/>
    </w:pPr>
    <w:rPr>
      <w:rFonts w:ascii="Calibri" w:hAnsi="Calibri" w:cs="Calibri"/>
      <w:b/>
      <w:bCs/>
      <w:sz w:val="28"/>
      <w:szCs w:val="26"/>
      <w:lang w:eastAsia="en-US"/>
    </w:rPr>
  </w:style>
  <w:style w:type="character" w:customStyle="1" w:styleId="BodyTextIndentChar0">
    <w:name w:val="Body Text Indent Char_0"/>
    <w:link w:val="BodyTextIndent0"/>
    <w:locked/>
    <w:rsid w:val="00B55EED"/>
    <w:rPr>
      <w:rFonts w:ascii="Calibri" w:hAnsi="Calibri" w:cs="Calibri"/>
      <w:sz w:val="24"/>
      <w:szCs w:val="24"/>
      <w:lang w:eastAsia="en-US"/>
    </w:rPr>
  </w:style>
  <w:style w:type="paragraph" w:customStyle="1" w:styleId="BodyTextIndent0">
    <w:name w:val="Body Text Indent_0"/>
    <w:basedOn w:val="Normal7"/>
    <w:link w:val="BodyTextIndentChar0"/>
    <w:rsid w:val="00B55EED"/>
    <w:pPr>
      <w:keepNext/>
      <w:keepLines/>
      <w:tabs>
        <w:tab w:val="num" w:pos="360"/>
      </w:tabs>
      <w:spacing w:before="200" w:after="120"/>
      <w:ind w:left="360" w:hanging="360"/>
      <w:jc w:val="both"/>
    </w:pPr>
    <w:rPr>
      <w:rFonts w:ascii="Calibri" w:hAnsi="Calibri" w:cs="Calibri"/>
      <w:lang w:eastAsia="en-US"/>
    </w:rPr>
  </w:style>
  <w:style w:type="character" w:customStyle="1" w:styleId="Heading4Char2">
    <w:name w:val="Heading 4 Char_2"/>
    <w:link w:val="Heading42"/>
    <w:locked/>
    <w:rsid w:val="00B55EED"/>
    <w:rPr>
      <w:rFonts w:ascii="Calibri" w:hAnsi="Calibri" w:cs="Calibri"/>
      <w:b/>
      <w:i/>
      <w:sz w:val="24"/>
      <w:lang w:eastAsia="en-US"/>
    </w:rPr>
  </w:style>
  <w:style w:type="paragraph" w:customStyle="1" w:styleId="Heading42">
    <w:name w:val="Heading 4_2"/>
    <w:basedOn w:val="Normal7"/>
    <w:next w:val="Normal7"/>
    <w:link w:val="Heading4Char2"/>
    <w:autoRedefine/>
    <w:qFormat/>
    <w:rsid w:val="00B55EED"/>
    <w:pPr>
      <w:keepNext/>
      <w:keepLines/>
      <w:spacing w:before="240" w:after="120"/>
      <w:outlineLvl w:val="3"/>
    </w:pPr>
    <w:rPr>
      <w:rFonts w:ascii="Calibri" w:hAnsi="Calibri" w:cs="Calibri"/>
      <w:b/>
      <w:i/>
      <w:szCs w:val="20"/>
      <w:lang w:eastAsia="en-US"/>
    </w:rPr>
  </w:style>
  <w:style w:type="character" w:customStyle="1" w:styleId="AINotesChar">
    <w:name w:val="AI Notes Char"/>
    <w:link w:val="AINotes"/>
    <w:locked/>
    <w:rsid w:val="00B55EED"/>
    <w:rPr>
      <w:rFonts w:ascii="Calibri" w:hAnsi="Calibri" w:cs="Calibri"/>
      <w:sz w:val="16"/>
      <w:lang w:eastAsia="en-US"/>
    </w:rPr>
  </w:style>
  <w:style w:type="paragraph" w:customStyle="1" w:styleId="AINotes">
    <w:name w:val="AI Notes"/>
    <w:basedOn w:val="Normal"/>
    <w:link w:val="AINotesChar"/>
    <w:rsid w:val="00B55EED"/>
    <w:pPr>
      <w:jc w:val="both"/>
    </w:pPr>
    <w:rPr>
      <w:rFonts w:cs="Calibri"/>
      <w:sz w:val="16"/>
    </w:rPr>
  </w:style>
  <w:style w:type="character" w:customStyle="1" w:styleId="Heading2Char4">
    <w:name w:val="Heading 2 Char_4"/>
    <w:link w:val="Heading24"/>
    <w:locked/>
    <w:rsid w:val="00B55EED"/>
    <w:rPr>
      <w:rFonts w:ascii="Calibri" w:hAnsi="Calibri" w:cs="Calibri"/>
      <w:b/>
      <w:sz w:val="32"/>
      <w:lang w:eastAsia="en-US"/>
    </w:rPr>
  </w:style>
  <w:style w:type="paragraph" w:customStyle="1" w:styleId="Heading24">
    <w:name w:val="Heading 2_4"/>
    <w:basedOn w:val="Normal7"/>
    <w:next w:val="Normal7"/>
    <w:link w:val="Heading2Char4"/>
    <w:qFormat/>
    <w:rsid w:val="00B55EED"/>
    <w:pPr>
      <w:keepNext/>
      <w:snapToGrid w:val="0"/>
      <w:spacing w:before="360" w:after="200"/>
      <w:outlineLvl w:val="1"/>
    </w:pPr>
    <w:rPr>
      <w:rFonts w:ascii="Calibri" w:hAnsi="Calibri" w:cs="Calibri"/>
      <w:b/>
      <w:sz w:val="32"/>
      <w:szCs w:val="20"/>
      <w:lang w:eastAsia="en-US"/>
    </w:rPr>
  </w:style>
  <w:style w:type="character" w:customStyle="1" w:styleId="Heading2Char5">
    <w:name w:val="Heading 2 Char_5"/>
    <w:link w:val="Heading25"/>
    <w:locked/>
    <w:rsid w:val="00B55EED"/>
    <w:rPr>
      <w:rFonts w:ascii="Calibri" w:hAnsi="Calibri" w:cs="Calibri"/>
      <w:b/>
      <w:sz w:val="32"/>
      <w:lang w:eastAsia="en-US"/>
    </w:rPr>
  </w:style>
  <w:style w:type="paragraph" w:customStyle="1" w:styleId="Heading25">
    <w:name w:val="Heading 2_5"/>
    <w:basedOn w:val="Normal8"/>
    <w:next w:val="Normal8"/>
    <w:link w:val="Heading2Char5"/>
    <w:qFormat/>
    <w:rsid w:val="00B55EED"/>
    <w:pPr>
      <w:keepNext/>
      <w:snapToGrid w:val="0"/>
      <w:spacing w:before="360" w:after="200"/>
      <w:outlineLvl w:val="1"/>
    </w:pPr>
    <w:rPr>
      <w:rFonts w:ascii="Calibri" w:hAnsi="Calibri" w:cs="Calibri"/>
      <w:b/>
      <w:sz w:val="32"/>
      <w:szCs w:val="20"/>
      <w:lang w:eastAsia="en-US"/>
    </w:rPr>
  </w:style>
  <w:style w:type="character" w:customStyle="1" w:styleId="SOInumberparaChar">
    <w:name w:val="SOI number para Char"/>
    <w:basedOn w:val="BSbullet1Char"/>
    <w:link w:val="SOInumberpara"/>
    <w:locked/>
    <w:rsid w:val="00B55EED"/>
    <w:rPr>
      <w:rFonts w:ascii="Calibri" w:hAnsi="Calibri" w:cs="Calibri"/>
      <w:sz w:val="24"/>
      <w:szCs w:val="24"/>
      <w:lang w:eastAsia="en-US"/>
    </w:rPr>
  </w:style>
  <w:style w:type="paragraph" w:customStyle="1" w:styleId="SOInumberpara">
    <w:name w:val="SOI number para"/>
    <w:basedOn w:val="BSbullet1"/>
    <w:link w:val="SOInumberparaChar"/>
    <w:qFormat/>
    <w:rsid w:val="00B55EED"/>
    <w:pPr>
      <w:numPr>
        <w:numId w:val="0"/>
      </w:numPr>
      <w:spacing w:before="0"/>
      <w:ind w:left="714" w:hanging="360"/>
    </w:pPr>
    <w:rPr>
      <w:rFonts w:cs="Calibri"/>
    </w:rPr>
  </w:style>
  <w:style w:type="character" w:customStyle="1" w:styleId="BSbullet1Char2">
    <w:name w:val="BS_bullet 1 Char_2"/>
    <w:basedOn w:val="DefaultParagraphFont"/>
    <w:link w:val="BSbullet12"/>
    <w:locked/>
    <w:rsid w:val="00B55EED"/>
    <w:rPr>
      <w:rFonts w:ascii="Calibri" w:hAnsi="Calibri" w:cs="Calibri"/>
      <w:sz w:val="24"/>
      <w:szCs w:val="24"/>
      <w:lang w:eastAsia="en-US"/>
    </w:rPr>
  </w:style>
  <w:style w:type="paragraph" w:customStyle="1" w:styleId="BSbullet12">
    <w:name w:val="BS_bullet 1_2"/>
    <w:basedOn w:val="Normal"/>
    <w:link w:val="BSbullet1Char2"/>
    <w:qFormat/>
    <w:rsid w:val="00B55EED"/>
    <w:pPr>
      <w:tabs>
        <w:tab w:val="num" w:pos="360"/>
      </w:tabs>
      <w:spacing w:after="120"/>
      <w:ind w:left="357" w:hanging="357"/>
      <w:jc w:val="both"/>
    </w:pPr>
    <w:rPr>
      <w:rFonts w:cs="Calibri"/>
      <w:szCs w:val="24"/>
    </w:rPr>
  </w:style>
  <w:style w:type="character" w:styleId="FootnoteReference">
    <w:name w:val="footnote reference"/>
    <w:uiPriority w:val="99"/>
    <w:semiHidden/>
    <w:unhideWhenUsed/>
    <w:rsid w:val="00B55EED"/>
    <w:rPr>
      <w:rFonts w:ascii="Calibri" w:hAnsi="Calibri" w:cs="Calibri" w:hint="default"/>
      <w:vertAlign w:val="superscript"/>
      <w:lang w:eastAsia="en-US"/>
    </w:rPr>
  </w:style>
  <w:style w:type="paragraph" w:customStyle="1" w:styleId="Alnotes0">
    <w:name w:val="Al notes_0"/>
    <w:basedOn w:val="ListParagraph0"/>
    <w:next w:val="Normal4"/>
    <w:link w:val="AlnotesChar0"/>
    <w:autoRedefine/>
    <w:rsid w:val="00B55EED"/>
    <w:pPr>
      <w:numPr>
        <w:numId w:val="57"/>
      </w:numPr>
      <w:spacing w:before="0"/>
    </w:pPr>
    <w:rPr>
      <w:sz w:val="18"/>
    </w:rPr>
  </w:style>
  <w:style w:type="character" w:customStyle="1" w:styleId="AlnotesChar0">
    <w:name w:val="Al notes Char_0"/>
    <w:link w:val="Alnotes0"/>
    <w:locked/>
    <w:rsid w:val="00B55EED"/>
    <w:rPr>
      <w:rFonts w:ascii="Calibri" w:hAnsi="Calibri" w:cs="Calibri"/>
      <w:sz w:val="18"/>
      <w:szCs w:val="24"/>
      <w:lang w:eastAsia="en-US"/>
    </w:rPr>
  </w:style>
  <w:style w:type="paragraph" w:customStyle="1" w:styleId="BStableheading10">
    <w:name w:val="BS_table heading 1_0"/>
    <w:basedOn w:val="NoSpacing1"/>
    <w:link w:val="BStableheading1Char0"/>
    <w:rsid w:val="00B55EED"/>
    <w:pPr>
      <w:framePr w:wrap="around" w:vAnchor="text" w:hAnchor="text" w:y="1"/>
      <w:jc w:val="right"/>
    </w:pPr>
    <w:rPr>
      <w:b/>
      <w:bCs/>
    </w:rPr>
  </w:style>
  <w:style w:type="character" w:customStyle="1" w:styleId="BStableheading1Char0">
    <w:name w:val="BS_table heading 1 Char_0"/>
    <w:basedOn w:val="NoSpacingChar1"/>
    <w:link w:val="BStableheading10"/>
    <w:locked/>
    <w:rsid w:val="00B55EED"/>
    <w:rPr>
      <w:rFonts w:ascii="Calibri" w:hAnsi="Calibri" w:cs="Calibri"/>
      <w:b/>
      <w:bCs/>
      <w:lang w:eastAsia="en-US"/>
    </w:rPr>
  </w:style>
  <w:style w:type="paragraph" w:customStyle="1" w:styleId="BStabletext0">
    <w:name w:val="BS_table text_0"/>
    <w:basedOn w:val="BStableheading10"/>
    <w:link w:val="BStabletextChar0"/>
    <w:autoRedefine/>
    <w:qFormat/>
    <w:rsid w:val="00B55EED"/>
    <w:pPr>
      <w:framePr w:wrap="auto" w:vAnchor="margin" w:yAlign="inline"/>
      <w:ind w:left="227" w:hanging="227"/>
      <w:jc w:val="left"/>
    </w:pPr>
    <w:rPr>
      <w:b w:val="0"/>
    </w:rPr>
  </w:style>
  <w:style w:type="character" w:customStyle="1" w:styleId="BStabletextChar0">
    <w:name w:val="BS_table text Char_0"/>
    <w:basedOn w:val="BStableheading1Char0"/>
    <w:link w:val="BStabletext0"/>
    <w:locked/>
    <w:rsid w:val="00B55EED"/>
    <w:rPr>
      <w:rFonts w:ascii="Calibri" w:hAnsi="Calibri" w:cs="Calibri"/>
      <w:b w:val="0"/>
      <w:bCs/>
      <w:lang w:eastAsia="en-US"/>
    </w:rPr>
  </w:style>
  <w:style w:type="paragraph" w:customStyle="1" w:styleId="BStablefigures0">
    <w:name w:val="BS_table figures_0"/>
    <w:basedOn w:val="BStabletext0"/>
    <w:link w:val="BStablefiguresChar0"/>
    <w:autoRedefine/>
    <w:qFormat/>
    <w:rsid w:val="00B55EED"/>
    <w:pPr>
      <w:jc w:val="right"/>
    </w:pPr>
    <w:rPr>
      <w:bCs w:val="0"/>
      <w:szCs w:val="24"/>
    </w:rPr>
  </w:style>
  <w:style w:type="character" w:customStyle="1" w:styleId="BStablefiguresChar0">
    <w:name w:val="BS_table figures Char_0"/>
    <w:basedOn w:val="AITableTextChar0"/>
    <w:link w:val="BStablefigures0"/>
    <w:locked/>
    <w:rsid w:val="00B55EED"/>
    <w:rPr>
      <w:rFonts w:ascii="Calibri" w:hAnsi="Calibri" w:cs="Calibri"/>
      <w:szCs w:val="24"/>
      <w:lang w:eastAsia="en-US"/>
    </w:rPr>
  </w:style>
  <w:style w:type="paragraph" w:customStyle="1" w:styleId="BSnote1">
    <w:name w:val="BS_note_1"/>
    <w:basedOn w:val="NoteHeading21"/>
    <w:link w:val="BSnoteChar1"/>
    <w:qFormat/>
    <w:rsid w:val="00B55EED"/>
    <w:pPr>
      <w:keepNext/>
      <w:spacing w:after="0"/>
    </w:pPr>
    <w:rPr>
      <w:sz w:val="18"/>
      <w:szCs w:val="16"/>
    </w:rPr>
  </w:style>
  <w:style w:type="character" w:customStyle="1" w:styleId="BSnoteChar1">
    <w:name w:val="BS_note Char_1"/>
    <w:link w:val="BSnote1"/>
    <w:locked/>
    <w:rsid w:val="00B55EED"/>
    <w:rPr>
      <w:rFonts w:ascii="Calibri" w:hAnsi="Calibri" w:cs="Calibri"/>
      <w:b/>
      <w:sz w:val="18"/>
      <w:szCs w:val="16"/>
      <w:lang w:eastAsia="en-US"/>
    </w:rPr>
  </w:style>
  <w:style w:type="paragraph" w:customStyle="1" w:styleId="BSbullet10">
    <w:name w:val="BS_bullet 1_0"/>
    <w:basedOn w:val="BodyTextIndent0"/>
    <w:link w:val="BSbullet1Char0"/>
    <w:qFormat/>
    <w:rsid w:val="00B55EED"/>
    <w:pPr>
      <w:keepNext w:val="0"/>
      <w:keepLines w:val="0"/>
      <w:numPr>
        <w:numId w:val="58"/>
      </w:numPr>
    </w:pPr>
  </w:style>
  <w:style w:type="character" w:customStyle="1" w:styleId="BSbullet1Char0">
    <w:name w:val="BS_bullet 1 Char_0"/>
    <w:basedOn w:val="BodyTextIndentChar0"/>
    <w:link w:val="BSbullet10"/>
    <w:locked/>
    <w:rsid w:val="00B55EED"/>
    <w:rPr>
      <w:rFonts w:ascii="Calibri" w:hAnsi="Calibri" w:cs="Calibri"/>
      <w:sz w:val="24"/>
      <w:szCs w:val="24"/>
      <w:lang w:eastAsia="en-US"/>
    </w:rPr>
  </w:style>
  <w:style w:type="paragraph" w:customStyle="1" w:styleId="BSbullet2">
    <w:name w:val="BS_bullet 2"/>
    <w:basedOn w:val="BSbullet10"/>
    <w:link w:val="BSbullet2Char"/>
    <w:qFormat/>
    <w:rsid w:val="00B55EED"/>
    <w:pPr>
      <w:numPr>
        <w:numId w:val="60"/>
      </w:numPr>
      <w:jc w:val="left"/>
    </w:pPr>
  </w:style>
  <w:style w:type="character" w:customStyle="1" w:styleId="BSbullet2Char">
    <w:name w:val="BS_bullet 2 Char"/>
    <w:basedOn w:val="BSbullet1Char0"/>
    <w:link w:val="BSbullet2"/>
    <w:locked/>
    <w:rsid w:val="00B55EED"/>
    <w:rPr>
      <w:rFonts w:ascii="Calibri" w:hAnsi="Calibri" w:cs="Calibri"/>
      <w:sz w:val="24"/>
      <w:szCs w:val="24"/>
      <w:lang w:eastAsia="en-US"/>
    </w:rPr>
  </w:style>
  <w:style w:type="paragraph" w:styleId="Footer">
    <w:name w:val="footer"/>
    <w:basedOn w:val="Normal"/>
    <w:link w:val="FooterChar"/>
    <w:unhideWhenUsed/>
    <w:rsid w:val="00B0421E"/>
    <w:pPr>
      <w:tabs>
        <w:tab w:val="center" w:pos="4513"/>
        <w:tab w:val="right" w:pos="9026"/>
      </w:tabs>
      <w:spacing w:before="0" w:after="0"/>
    </w:pPr>
  </w:style>
  <w:style w:type="character" w:customStyle="1" w:styleId="FooterChar">
    <w:name w:val="Footer Char"/>
    <w:basedOn w:val="DefaultParagraphFont"/>
    <w:link w:val="Footer"/>
    <w:rsid w:val="00B0421E"/>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image" Target="media/image1.png"/><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chart" Target="charts/chart3.xml"/><Relationship Id="rId68" Type="http://schemas.openxmlformats.org/officeDocument/2006/relationships/footer" Target="footer24.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customXml" Target="ink/ink1.xml"/><Relationship Id="rId11" Type="http://schemas.openxmlformats.org/officeDocument/2006/relationships/header" Target="header1.xml"/><Relationship Id="rId24" Type="http://schemas.openxmlformats.org/officeDocument/2006/relationships/header" Target="head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1.xml"/><Relationship Id="rId66"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chart" Target="charts/chart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footer" Target="footer20.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eader" Target="header18.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22.xml"/><Relationship Id="rId67" Type="http://schemas.openxmlformats.org/officeDocument/2006/relationships/header" Target="header23.xml"/><Relationship Id="rId20" Type="http://schemas.openxmlformats.org/officeDocument/2006/relationships/footer" Target="footer5.xml"/><Relationship Id="rId41" Type="http://schemas.openxmlformats.org/officeDocument/2006/relationships/header" Target="header13.xml"/><Relationship Id="rId54" Type="http://schemas.openxmlformats.org/officeDocument/2006/relationships/header" Target="header20.xml"/><Relationship Id="rId62" Type="http://schemas.openxmlformats.org/officeDocument/2006/relationships/chart" Target="charts/chart2.xml"/><Relationship Id="rId70"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1.xml"/><Relationship Id="rId10" Type="http://schemas.openxmlformats.org/officeDocument/2006/relationships/endnotes" Target="endnotes.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image" Target="media/image2.png"/><Relationship Id="rId65"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2.xml"/></Relationships>
</file>

<file path=word/charts/_rels/chart1.xml.rels><?xml version="1.0" encoding="UTF-8" standalone="yes"?>
<Relationships xmlns="http://schemas.openxmlformats.org/package/2006/relationships"><Relationship Id="rId3" Type="http://schemas.openxmlformats.org/officeDocument/2006/relationships/oleObject" Target="file:///\\lac.local\files\Corporate%20Services\Administration\FINANCE\New%20File%20Structure\Budgets\2021-22\Budget%20Papers\2021-22%20Strategic%20Indicator%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ac.local\files\Corporate%20Services\Administration\FINANCE\New%20File%20Structure\Budgets\2021-22\Budget%20Papers\2021-22%20Strategic%20Indicator%20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ac.local\files\Corporate%20Services\Administration\FINANCE\New%20File%20Structure\Budgets\2021-22\Budget%20Papers\2021-22%20Strategic%20Indicator%20statistic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Strategic Objective 1</a:t>
            </a:r>
          </a:p>
          <a:p>
            <a:pPr>
              <a:defRPr/>
            </a:pPr>
            <a:r>
              <a:rPr lang="en-AU" i="1"/>
              <a:t>Provide services to promote the earlier resolution of legal problems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816957218869043"/>
          <c:y val="0.36689832689832691"/>
          <c:w val="0.73961906512658682"/>
          <c:h val="0.2813713150721025"/>
        </c:manualLayout>
      </c:layout>
      <c:barChart>
        <c:barDir val="bar"/>
        <c:grouping val="stacked"/>
        <c:varyColors val="0"/>
        <c:ser>
          <c:idx val="0"/>
          <c:order val="0"/>
          <c:tx>
            <c:strRef>
              <c:f>'tables and graphs'!$A$49</c:f>
              <c:strCache>
                <c:ptCount val="1"/>
                <c:pt idx="0">
                  <c:v>Information</c:v>
                </c:pt>
              </c:strCache>
            </c:strRef>
          </c:tx>
          <c:spPr>
            <a:solidFill>
              <a:schemeClr val="accent1"/>
            </a:solidFill>
            <a:ln>
              <a:noFill/>
            </a:ln>
            <a:effectLst/>
          </c:spPr>
          <c:invertIfNegative val="0"/>
          <c:cat>
            <c:strRef>
              <c:f>'tables and graphs'!$B$48:$N$48</c:f>
              <c:strCache>
                <c:ptCount val="3"/>
                <c:pt idx="0">
                  <c:v>2019-20 Actual</c:v>
                </c:pt>
                <c:pt idx="1">
                  <c:v>2020-21 Actual</c:v>
                </c:pt>
                <c:pt idx="2">
                  <c:v>2021-22 target</c:v>
                </c:pt>
              </c:strCache>
            </c:strRef>
          </c:cat>
          <c:val>
            <c:numRef>
              <c:f>'tables and graphs'!$B$49:$N$49</c:f>
              <c:numCache>
                <c:formatCode>_-* #,##0_-;\-* #,##0_-;_-* "-"??_-;_-@_-</c:formatCode>
                <c:ptCount val="3"/>
                <c:pt idx="0">
                  <c:v>7101</c:v>
                </c:pt>
                <c:pt idx="1">
                  <c:v>7367</c:v>
                </c:pt>
                <c:pt idx="2">
                  <c:v>7400</c:v>
                </c:pt>
              </c:numCache>
            </c:numRef>
          </c:val>
          <c:extLst>
            <c:ext xmlns:c16="http://schemas.microsoft.com/office/drawing/2014/chart" uri="{C3380CC4-5D6E-409C-BE32-E72D297353CC}">
              <c16:uniqueId val="{00000000-5D40-44E6-AA52-06C2CA640CF3}"/>
            </c:ext>
          </c:extLst>
        </c:ser>
        <c:ser>
          <c:idx val="1"/>
          <c:order val="1"/>
          <c:tx>
            <c:strRef>
              <c:f>'tables and graphs'!$A$50</c:f>
              <c:strCache>
                <c:ptCount val="1"/>
                <c:pt idx="0">
                  <c:v>Website hits</c:v>
                </c:pt>
              </c:strCache>
            </c:strRef>
          </c:tx>
          <c:spPr>
            <a:solidFill>
              <a:schemeClr val="accent2"/>
            </a:solidFill>
            <a:ln>
              <a:noFill/>
            </a:ln>
            <a:effectLst/>
          </c:spPr>
          <c:invertIfNegative val="0"/>
          <c:cat>
            <c:strRef>
              <c:f>'tables and graphs'!$B$48:$N$48</c:f>
              <c:strCache>
                <c:ptCount val="3"/>
                <c:pt idx="0">
                  <c:v>2019-20 Actual</c:v>
                </c:pt>
                <c:pt idx="1">
                  <c:v>2020-21 Actual</c:v>
                </c:pt>
                <c:pt idx="2">
                  <c:v>2021-22 target</c:v>
                </c:pt>
              </c:strCache>
            </c:strRef>
          </c:cat>
          <c:val>
            <c:numRef>
              <c:f>'tables and graphs'!$B$50:$N$50</c:f>
              <c:numCache>
                <c:formatCode>_-* #,##0_-;\-* #,##0_-;_-* "-"??_-;_-@_-</c:formatCode>
                <c:ptCount val="3"/>
                <c:pt idx="0">
                  <c:v>102254</c:v>
                </c:pt>
                <c:pt idx="1">
                  <c:v>181520</c:v>
                </c:pt>
                <c:pt idx="2">
                  <c:v>185000</c:v>
                </c:pt>
              </c:numCache>
            </c:numRef>
          </c:val>
          <c:extLst>
            <c:ext xmlns:c16="http://schemas.microsoft.com/office/drawing/2014/chart" uri="{C3380CC4-5D6E-409C-BE32-E72D297353CC}">
              <c16:uniqueId val="{00000001-5D40-44E6-AA52-06C2CA640CF3}"/>
            </c:ext>
          </c:extLst>
        </c:ser>
        <c:ser>
          <c:idx val="2"/>
          <c:order val="2"/>
          <c:tx>
            <c:strRef>
              <c:f>'tables and graphs'!$A$51</c:f>
              <c:strCache>
                <c:ptCount val="1"/>
                <c:pt idx="0">
                  <c:v>Helpline calls</c:v>
                </c:pt>
              </c:strCache>
            </c:strRef>
          </c:tx>
          <c:spPr>
            <a:solidFill>
              <a:schemeClr val="accent3"/>
            </a:solidFill>
            <a:ln>
              <a:noFill/>
            </a:ln>
            <a:effectLst/>
          </c:spPr>
          <c:invertIfNegative val="0"/>
          <c:cat>
            <c:strRef>
              <c:f>'tables and graphs'!$B$48:$N$48</c:f>
              <c:strCache>
                <c:ptCount val="3"/>
                <c:pt idx="0">
                  <c:v>2019-20 Actual</c:v>
                </c:pt>
                <c:pt idx="1">
                  <c:v>2020-21 Actual</c:v>
                </c:pt>
                <c:pt idx="2">
                  <c:v>2021-22 target</c:v>
                </c:pt>
              </c:strCache>
            </c:strRef>
          </c:cat>
          <c:val>
            <c:numRef>
              <c:f>'tables and graphs'!$B$51:$N$51</c:f>
              <c:numCache>
                <c:formatCode>_-* #,##0_-;\-* #,##0_-;_-* "-"??_-;_-@_-</c:formatCode>
                <c:ptCount val="3"/>
                <c:pt idx="0">
                  <c:v>21099</c:v>
                </c:pt>
                <c:pt idx="1">
                  <c:v>26983</c:v>
                </c:pt>
                <c:pt idx="2">
                  <c:v>28000</c:v>
                </c:pt>
              </c:numCache>
            </c:numRef>
          </c:val>
          <c:extLst>
            <c:ext xmlns:c16="http://schemas.microsoft.com/office/drawing/2014/chart" uri="{C3380CC4-5D6E-409C-BE32-E72D297353CC}">
              <c16:uniqueId val="{00000002-5D40-44E6-AA52-06C2CA640CF3}"/>
            </c:ext>
          </c:extLst>
        </c:ser>
        <c:ser>
          <c:idx val="3"/>
          <c:order val="3"/>
          <c:tx>
            <c:strRef>
              <c:f>'tables and graphs'!$A$52</c:f>
              <c:strCache>
                <c:ptCount val="1"/>
                <c:pt idx="0">
                  <c:v>Community Legal Education</c:v>
                </c:pt>
              </c:strCache>
            </c:strRef>
          </c:tx>
          <c:spPr>
            <a:solidFill>
              <a:schemeClr val="accent4"/>
            </a:solidFill>
            <a:ln>
              <a:noFill/>
            </a:ln>
            <a:effectLst/>
          </c:spPr>
          <c:invertIfNegative val="0"/>
          <c:cat>
            <c:strRef>
              <c:f>'tables and graphs'!$B$48:$N$48</c:f>
              <c:strCache>
                <c:ptCount val="3"/>
                <c:pt idx="0">
                  <c:v>2019-20 Actual</c:v>
                </c:pt>
                <c:pt idx="1">
                  <c:v>2020-21 Actual</c:v>
                </c:pt>
                <c:pt idx="2">
                  <c:v>2021-22 target</c:v>
                </c:pt>
              </c:strCache>
            </c:strRef>
          </c:cat>
          <c:val>
            <c:numRef>
              <c:f>'tables and graphs'!$B$52:$N$52</c:f>
              <c:numCache>
                <c:formatCode>_-* #,##0_-;\-* #,##0_-;_-* "-"??_-;_-@_-</c:formatCode>
                <c:ptCount val="3"/>
                <c:pt idx="0">
                  <c:v>382</c:v>
                </c:pt>
                <c:pt idx="1">
                  <c:v>530</c:v>
                </c:pt>
                <c:pt idx="2">
                  <c:v>550</c:v>
                </c:pt>
              </c:numCache>
            </c:numRef>
          </c:val>
          <c:extLst>
            <c:ext xmlns:c16="http://schemas.microsoft.com/office/drawing/2014/chart" uri="{C3380CC4-5D6E-409C-BE32-E72D297353CC}">
              <c16:uniqueId val="{00000003-5D40-44E6-AA52-06C2CA640CF3}"/>
            </c:ext>
          </c:extLst>
        </c:ser>
        <c:ser>
          <c:idx val="4"/>
          <c:order val="4"/>
          <c:tx>
            <c:strRef>
              <c:f>'tables and graphs'!$A$53</c:f>
              <c:strCache>
                <c:ptCount val="1"/>
                <c:pt idx="0">
                  <c:v>Facilitated Resolution process</c:v>
                </c:pt>
              </c:strCache>
            </c:strRef>
          </c:tx>
          <c:spPr>
            <a:solidFill>
              <a:schemeClr val="accent5"/>
            </a:solidFill>
            <a:ln>
              <a:noFill/>
            </a:ln>
            <a:effectLst/>
          </c:spPr>
          <c:invertIfNegative val="0"/>
          <c:cat>
            <c:strRef>
              <c:f>'tables and graphs'!$B$48:$N$48</c:f>
              <c:strCache>
                <c:ptCount val="3"/>
                <c:pt idx="0">
                  <c:v>2019-20 Actual</c:v>
                </c:pt>
                <c:pt idx="1">
                  <c:v>2020-21 Actual</c:v>
                </c:pt>
                <c:pt idx="2">
                  <c:v>2021-22 target</c:v>
                </c:pt>
              </c:strCache>
            </c:strRef>
          </c:cat>
          <c:val>
            <c:numRef>
              <c:f>'tables and graphs'!$B$53:$N$53</c:f>
              <c:numCache>
                <c:formatCode>_-* #,##0_-;\-* #,##0_-;_-* "-"??_-;_-@_-</c:formatCode>
                <c:ptCount val="3"/>
                <c:pt idx="0">
                  <c:v>387</c:v>
                </c:pt>
                <c:pt idx="1">
                  <c:v>429</c:v>
                </c:pt>
                <c:pt idx="2">
                  <c:v>440</c:v>
                </c:pt>
              </c:numCache>
            </c:numRef>
          </c:val>
          <c:extLst>
            <c:ext xmlns:c16="http://schemas.microsoft.com/office/drawing/2014/chart" uri="{C3380CC4-5D6E-409C-BE32-E72D297353CC}">
              <c16:uniqueId val="{00000004-5D40-44E6-AA52-06C2CA640CF3}"/>
            </c:ext>
          </c:extLst>
        </c:ser>
        <c:dLbls>
          <c:showLegendKey val="0"/>
          <c:showVal val="0"/>
          <c:showCatName val="0"/>
          <c:showSerName val="0"/>
          <c:showPercent val="0"/>
          <c:showBubbleSize val="0"/>
        </c:dLbls>
        <c:gapWidth val="150"/>
        <c:overlap val="100"/>
        <c:axId val="253074800"/>
        <c:axId val="250275400"/>
      </c:barChart>
      <c:catAx>
        <c:axId val="25307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275400"/>
        <c:crosses val="autoZero"/>
        <c:auto val="1"/>
        <c:lblAlgn val="ctr"/>
        <c:lblOffset val="100"/>
        <c:noMultiLvlLbl val="0"/>
      </c:catAx>
      <c:valAx>
        <c:axId val="250275400"/>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074800"/>
        <c:crosses val="autoZero"/>
        <c:crossBetween val="between"/>
      </c:valAx>
      <c:spPr>
        <a:noFill/>
        <a:ln>
          <a:noFill/>
        </a:ln>
        <a:effectLst/>
      </c:spPr>
    </c:plotArea>
    <c:legend>
      <c:legendPos val="b"/>
      <c:layout>
        <c:manualLayout>
          <c:xMode val="edge"/>
          <c:yMode val="edge"/>
          <c:x val="3.6466097987751529E-2"/>
          <c:y val="0.76606974128233984"/>
          <c:w val="0.92151224846894142"/>
          <c:h val="0.20535883014623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Strategic Objective 2</a:t>
            </a:r>
          </a:p>
          <a:p>
            <a:pPr>
              <a:defRPr/>
            </a:pPr>
            <a:r>
              <a:rPr lang="en-AU" i="1"/>
              <a:t>Provide legal information and referral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816957218869043"/>
          <c:y val="0.27678160919540229"/>
          <c:w val="0.73961906512658682"/>
          <c:h val="0.27648273850826122"/>
        </c:manualLayout>
      </c:layout>
      <c:barChart>
        <c:barDir val="bar"/>
        <c:grouping val="stacked"/>
        <c:varyColors val="0"/>
        <c:ser>
          <c:idx val="0"/>
          <c:order val="0"/>
          <c:tx>
            <c:strRef>
              <c:f>'tables and graphs'!$A$66</c:f>
              <c:strCache>
                <c:ptCount val="1"/>
                <c:pt idx="0">
                  <c:v>Information</c:v>
                </c:pt>
              </c:strCache>
            </c:strRef>
          </c:tx>
          <c:spPr>
            <a:solidFill>
              <a:schemeClr val="accent1"/>
            </a:solidFill>
            <a:ln>
              <a:noFill/>
            </a:ln>
            <a:effectLst/>
          </c:spPr>
          <c:invertIfNegative val="0"/>
          <c:cat>
            <c:strRef>
              <c:f>'tables and graphs'!$B$65:$N$65</c:f>
              <c:strCache>
                <c:ptCount val="3"/>
                <c:pt idx="0">
                  <c:v>2019-20 Actual</c:v>
                </c:pt>
                <c:pt idx="1">
                  <c:v>2020-21 Actual</c:v>
                </c:pt>
                <c:pt idx="2">
                  <c:v>2021-22 target</c:v>
                </c:pt>
              </c:strCache>
            </c:strRef>
          </c:cat>
          <c:val>
            <c:numRef>
              <c:f>'tables and graphs'!$B$66:$N$66</c:f>
              <c:numCache>
                <c:formatCode>_-* #,##0_-;\-* #,##0_-;_-* "-"??_-;_-@_-</c:formatCode>
                <c:ptCount val="3"/>
                <c:pt idx="0">
                  <c:v>7101</c:v>
                </c:pt>
                <c:pt idx="1">
                  <c:v>7367</c:v>
                </c:pt>
                <c:pt idx="2">
                  <c:v>7400</c:v>
                </c:pt>
              </c:numCache>
            </c:numRef>
          </c:val>
          <c:extLst>
            <c:ext xmlns:c16="http://schemas.microsoft.com/office/drawing/2014/chart" uri="{C3380CC4-5D6E-409C-BE32-E72D297353CC}">
              <c16:uniqueId val="{00000000-7BB7-426D-AC68-C68AE0576939}"/>
            </c:ext>
          </c:extLst>
        </c:ser>
        <c:ser>
          <c:idx val="1"/>
          <c:order val="1"/>
          <c:tx>
            <c:strRef>
              <c:f>'tables and graphs'!$A$67</c:f>
              <c:strCache>
                <c:ptCount val="1"/>
                <c:pt idx="0">
                  <c:v>Referral </c:v>
                </c:pt>
              </c:strCache>
            </c:strRef>
          </c:tx>
          <c:spPr>
            <a:solidFill>
              <a:schemeClr val="accent2"/>
            </a:solidFill>
            <a:ln>
              <a:noFill/>
            </a:ln>
            <a:effectLst/>
          </c:spPr>
          <c:invertIfNegative val="0"/>
          <c:cat>
            <c:strRef>
              <c:f>'tables and graphs'!$B$65:$N$65</c:f>
              <c:strCache>
                <c:ptCount val="3"/>
                <c:pt idx="0">
                  <c:v>2019-20 Actual</c:v>
                </c:pt>
                <c:pt idx="1">
                  <c:v>2020-21 Actual</c:v>
                </c:pt>
                <c:pt idx="2">
                  <c:v>2021-22 target</c:v>
                </c:pt>
              </c:strCache>
            </c:strRef>
          </c:cat>
          <c:val>
            <c:numRef>
              <c:f>'tables and graphs'!$B$67:$N$67</c:f>
              <c:numCache>
                <c:formatCode>_-* #,##0_-;\-* #,##0_-;_-* "-"??_-;_-@_-</c:formatCode>
                <c:ptCount val="3"/>
                <c:pt idx="0">
                  <c:v>3684</c:v>
                </c:pt>
                <c:pt idx="1">
                  <c:v>536</c:v>
                </c:pt>
                <c:pt idx="2">
                  <c:v>600</c:v>
                </c:pt>
              </c:numCache>
            </c:numRef>
          </c:val>
          <c:extLst>
            <c:ext xmlns:c16="http://schemas.microsoft.com/office/drawing/2014/chart" uri="{C3380CC4-5D6E-409C-BE32-E72D297353CC}">
              <c16:uniqueId val="{00000001-7BB7-426D-AC68-C68AE0576939}"/>
            </c:ext>
          </c:extLst>
        </c:ser>
        <c:ser>
          <c:idx val="2"/>
          <c:order val="2"/>
          <c:tx>
            <c:strRef>
              <c:f>'tables and graphs'!$A$68</c:f>
              <c:strCache>
                <c:ptCount val="1"/>
                <c:pt idx="0">
                  <c:v>Legal Advice</c:v>
                </c:pt>
              </c:strCache>
            </c:strRef>
          </c:tx>
          <c:spPr>
            <a:solidFill>
              <a:schemeClr val="accent3"/>
            </a:solidFill>
            <a:ln>
              <a:noFill/>
            </a:ln>
            <a:effectLst/>
          </c:spPr>
          <c:invertIfNegative val="0"/>
          <c:cat>
            <c:strRef>
              <c:f>'tables and graphs'!$B$65:$N$65</c:f>
              <c:strCache>
                <c:ptCount val="3"/>
                <c:pt idx="0">
                  <c:v>2019-20 Actual</c:v>
                </c:pt>
                <c:pt idx="1">
                  <c:v>2020-21 Actual</c:v>
                </c:pt>
                <c:pt idx="2">
                  <c:v>2021-22 target</c:v>
                </c:pt>
              </c:strCache>
            </c:strRef>
          </c:cat>
          <c:val>
            <c:numRef>
              <c:f>'tables and graphs'!$B$68:$N$68</c:f>
              <c:numCache>
                <c:formatCode>_-* #,##0_-;\-* #,##0_-;_-* "-"??_-;_-@_-</c:formatCode>
                <c:ptCount val="3"/>
                <c:pt idx="0">
                  <c:v>6031</c:v>
                </c:pt>
                <c:pt idx="1">
                  <c:v>7138</c:v>
                </c:pt>
                <c:pt idx="2">
                  <c:v>7200</c:v>
                </c:pt>
              </c:numCache>
            </c:numRef>
          </c:val>
          <c:extLst>
            <c:ext xmlns:c16="http://schemas.microsoft.com/office/drawing/2014/chart" uri="{C3380CC4-5D6E-409C-BE32-E72D297353CC}">
              <c16:uniqueId val="{00000002-7BB7-426D-AC68-C68AE0576939}"/>
            </c:ext>
          </c:extLst>
        </c:ser>
        <c:ser>
          <c:idx val="3"/>
          <c:order val="3"/>
          <c:tx>
            <c:strRef>
              <c:f>'tables and graphs'!$A$69</c:f>
              <c:strCache>
                <c:ptCount val="1"/>
                <c:pt idx="0">
                  <c:v>Non-Legal Support</c:v>
                </c:pt>
              </c:strCache>
            </c:strRef>
          </c:tx>
          <c:spPr>
            <a:solidFill>
              <a:schemeClr val="accent4"/>
            </a:solidFill>
            <a:ln>
              <a:noFill/>
            </a:ln>
            <a:effectLst/>
          </c:spPr>
          <c:invertIfNegative val="0"/>
          <c:cat>
            <c:strRef>
              <c:f>'tables and graphs'!$B$65:$N$65</c:f>
              <c:strCache>
                <c:ptCount val="3"/>
                <c:pt idx="0">
                  <c:v>2019-20 Actual</c:v>
                </c:pt>
                <c:pt idx="1">
                  <c:v>2020-21 Actual</c:v>
                </c:pt>
                <c:pt idx="2">
                  <c:v>2021-22 target</c:v>
                </c:pt>
              </c:strCache>
            </c:strRef>
          </c:cat>
          <c:val>
            <c:numRef>
              <c:f>'tables and graphs'!$B$69:$N$69</c:f>
              <c:numCache>
                <c:formatCode>_-* #,##0_-;\-* #,##0_-;_-* "-"??_-;_-@_-</c:formatCode>
                <c:ptCount val="3"/>
                <c:pt idx="0">
                  <c:v>2290</c:v>
                </c:pt>
                <c:pt idx="1">
                  <c:v>2401</c:v>
                </c:pt>
                <c:pt idx="2">
                  <c:v>2400</c:v>
                </c:pt>
              </c:numCache>
            </c:numRef>
          </c:val>
          <c:extLst>
            <c:ext xmlns:c16="http://schemas.microsoft.com/office/drawing/2014/chart" uri="{C3380CC4-5D6E-409C-BE32-E72D297353CC}">
              <c16:uniqueId val="{00000003-7BB7-426D-AC68-C68AE0576939}"/>
            </c:ext>
          </c:extLst>
        </c:ser>
        <c:ser>
          <c:idx val="4"/>
          <c:order val="4"/>
          <c:tx>
            <c:strRef>
              <c:f>'tables and graphs'!$A$70</c:f>
              <c:strCache>
                <c:ptCount val="1"/>
                <c:pt idx="0">
                  <c:v>Legal Task</c:v>
                </c:pt>
              </c:strCache>
            </c:strRef>
          </c:tx>
          <c:spPr>
            <a:solidFill>
              <a:schemeClr val="accent5"/>
            </a:solidFill>
            <a:ln>
              <a:noFill/>
            </a:ln>
            <a:effectLst/>
          </c:spPr>
          <c:invertIfNegative val="0"/>
          <c:cat>
            <c:strRef>
              <c:f>'tables and graphs'!$B$65:$N$65</c:f>
              <c:strCache>
                <c:ptCount val="3"/>
                <c:pt idx="0">
                  <c:v>2019-20 Actual</c:v>
                </c:pt>
                <c:pt idx="1">
                  <c:v>2020-21 Actual</c:v>
                </c:pt>
                <c:pt idx="2">
                  <c:v>2021-22 target</c:v>
                </c:pt>
              </c:strCache>
            </c:strRef>
          </c:cat>
          <c:val>
            <c:numRef>
              <c:f>'tables and graphs'!$B$70:$N$70</c:f>
              <c:numCache>
                <c:formatCode>_-* #,##0_-;\-* #,##0_-;_-* "-"??_-;_-@_-</c:formatCode>
                <c:ptCount val="3"/>
                <c:pt idx="0">
                  <c:v>1413</c:v>
                </c:pt>
                <c:pt idx="1">
                  <c:v>1535</c:v>
                </c:pt>
                <c:pt idx="2">
                  <c:v>1550</c:v>
                </c:pt>
              </c:numCache>
            </c:numRef>
          </c:val>
          <c:extLst>
            <c:ext xmlns:c16="http://schemas.microsoft.com/office/drawing/2014/chart" uri="{C3380CC4-5D6E-409C-BE32-E72D297353CC}">
              <c16:uniqueId val="{00000004-7BB7-426D-AC68-C68AE0576939}"/>
            </c:ext>
          </c:extLst>
        </c:ser>
        <c:ser>
          <c:idx val="5"/>
          <c:order val="5"/>
          <c:tx>
            <c:strRef>
              <c:f>'tables and graphs'!$A$71</c:f>
              <c:strCache>
                <c:ptCount val="1"/>
                <c:pt idx="0">
                  <c:v>Helpline</c:v>
                </c:pt>
              </c:strCache>
            </c:strRef>
          </c:tx>
          <c:spPr>
            <a:solidFill>
              <a:schemeClr val="accent6"/>
            </a:solidFill>
            <a:ln>
              <a:noFill/>
            </a:ln>
            <a:effectLst/>
          </c:spPr>
          <c:invertIfNegative val="0"/>
          <c:cat>
            <c:strRef>
              <c:f>'tables and graphs'!$B$65:$N$65</c:f>
              <c:strCache>
                <c:ptCount val="3"/>
                <c:pt idx="0">
                  <c:v>2019-20 Actual</c:v>
                </c:pt>
                <c:pt idx="1">
                  <c:v>2020-21 Actual</c:v>
                </c:pt>
                <c:pt idx="2">
                  <c:v>2021-22 target</c:v>
                </c:pt>
              </c:strCache>
            </c:strRef>
          </c:cat>
          <c:val>
            <c:numRef>
              <c:f>'tables and graphs'!$B$71:$N$71</c:f>
              <c:numCache>
                <c:formatCode>_-* #,##0_-;\-* #,##0_-;_-* "-"??_-;_-@_-</c:formatCode>
                <c:ptCount val="3"/>
                <c:pt idx="0">
                  <c:v>21099</c:v>
                </c:pt>
                <c:pt idx="1">
                  <c:v>26983</c:v>
                </c:pt>
                <c:pt idx="2">
                  <c:v>28000</c:v>
                </c:pt>
              </c:numCache>
            </c:numRef>
          </c:val>
          <c:extLst>
            <c:ext xmlns:c16="http://schemas.microsoft.com/office/drawing/2014/chart" uri="{C3380CC4-5D6E-409C-BE32-E72D297353CC}">
              <c16:uniqueId val="{00000005-7BB7-426D-AC68-C68AE0576939}"/>
            </c:ext>
          </c:extLst>
        </c:ser>
        <c:ser>
          <c:idx val="6"/>
          <c:order val="6"/>
          <c:tx>
            <c:strRef>
              <c:f>'tables and graphs'!$A$72</c:f>
              <c:strCache>
                <c:ptCount val="1"/>
                <c:pt idx="0">
                  <c:v>Website hits</c:v>
                </c:pt>
              </c:strCache>
            </c:strRef>
          </c:tx>
          <c:spPr>
            <a:solidFill>
              <a:schemeClr val="accent1">
                <a:lumMod val="60000"/>
              </a:schemeClr>
            </a:solidFill>
            <a:ln>
              <a:noFill/>
            </a:ln>
            <a:effectLst/>
          </c:spPr>
          <c:invertIfNegative val="0"/>
          <c:cat>
            <c:strRef>
              <c:f>'tables and graphs'!$B$65:$N$65</c:f>
              <c:strCache>
                <c:ptCount val="3"/>
                <c:pt idx="0">
                  <c:v>2019-20 Actual</c:v>
                </c:pt>
                <c:pt idx="1">
                  <c:v>2020-21 Actual</c:v>
                </c:pt>
                <c:pt idx="2">
                  <c:v>2021-22 target</c:v>
                </c:pt>
              </c:strCache>
            </c:strRef>
          </c:cat>
          <c:val>
            <c:numRef>
              <c:f>'tables and graphs'!$B$72:$N$72</c:f>
              <c:numCache>
                <c:formatCode>_-* #,##0_-;\-* #,##0_-;_-* "-"??_-;_-@_-</c:formatCode>
                <c:ptCount val="3"/>
                <c:pt idx="0">
                  <c:v>102254</c:v>
                </c:pt>
                <c:pt idx="1">
                  <c:v>181520</c:v>
                </c:pt>
                <c:pt idx="2">
                  <c:v>185000</c:v>
                </c:pt>
              </c:numCache>
            </c:numRef>
          </c:val>
          <c:extLst>
            <c:ext xmlns:c16="http://schemas.microsoft.com/office/drawing/2014/chart" uri="{C3380CC4-5D6E-409C-BE32-E72D297353CC}">
              <c16:uniqueId val="{00000006-7BB7-426D-AC68-C68AE0576939}"/>
            </c:ext>
          </c:extLst>
        </c:ser>
        <c:dLbls>
          <c:showLegendKey val="0"/>
          <c:showVal val="0"/>
          <c:showCatName val="0"/>
          <c:showSerName val="0"/>
          <c:showPercent val="0"/>
          <c:showBubbleSize val="0"/>
        </c:dLbls>
        <c:gapWidth val="150"/>
        <c:overlap val="100"/>
        <c:axId val="252559080"/>
        <c:axId val="252559472"/>
      </c:barChart>
      <c:catAx>
        <c:axId val="252559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559472"/>
        <c:crosses val="autoZero"/>
        <c:auto val="1"/>
        <c:lblAlgn val="ctr"/>
        <c:lblOffset val="100"/>
        <c:noMultiLvlLbl val="0"/>
      </c:catAx>
      <c:valAx>
        <c:axId val="252559472"/>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559080"/>
        <c:crosses val="autoZero"/>
        <c:crossBetween val="between"/>
      </c:valAx>
      <c:spPr>
        <a:noFill/>
        <a:ln>
          <a:noFill/>
        </a:ln>
        <a:effectLst/>
      </c:spPr>
    </c:plotArea>
    <c:legend>
      <c:legendPos val="b"/>
      <c:layout>
        <c:manualLayout>
          <c:xMode val="edge"/>
          <c:yMode val="edge"/>
          <c:x val="9.5009651030975209E-2"/>
          <c:y val="0.68709968725173731"/>
          <c:w val="0.80998069793804961"/>
          <c:h val="0.282248971752094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Strategic Objective 3</a:t>
            </a:r>
          </a:p>
          <a:p>
            <a:pPr>
              <a:defRPr/>
            </a:pPr>
            <a:r>
              <a:rPr lang="en-AU" i="1"/>
              <a:t>Provide efficient and cost-effective legal aid services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304297283171205"/>
          <c:y val="0.25083333333333335"/>
          <c:w val="0.69936694370270691"/>
          <c:h val="0.27938675535594154"/>
        </c:manualLayout>
      </c:layout>
      <c:barChart>
        <c:barDir val="bar"/>
        <c:grouping val="stacked"/>
        <c:varyColors val="0"/>
        <c:ser>
          <c:idx val="0"/>
          <c:order val="0"/>
          <c:tx>
            <c:strRef>
              <c:f>'tables and graphs'!$A$81</c:f>
              <c:strCache>
                <c:ptCount val="1"/>
                <c:pt idx="0">
                  <c:v>Discrete Assistance</c:v>
                </c:pt>
              </c:strCache>
            </c:strRef>
          </c:tx>
          <c:spPr>
            <a:solidFill>
              <a:schemeClr val="accent1"/>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graphs'!$B$81:$N$81</c:f>
              <c:numCache>
                <c:formatCode>General</c:formatCode>
                <c:ptCount val="3"/>
              </c:numCache>
            </c:numRef>
          </c:val>
          <c:extLst>
            <c:ext xmlns:c16="http://schemas.microsoft.com/office/drawing/2014/chart" uri="{C3380CC4-5D6E-409C-BE32-E72D297353CC}">
              <c16:uniqueId val="{00000000-6CE5-4F5B-8035-A143835111E3}"/>
            </c:ext>
          </c:extLst>
        </c:ser>
        <c:ser>
          <c:idx val="1"/>
          <c:order val="1"/>
          <c:tx>
            <c:strRef>
              <c:f>'tables and graphs'!$A$82</c:f>
              <c:strCache>
                <c:ptCount val="1"/>
                <c:pt idx="0">
                  <c:v>Information</c:v>
                </c:pt>
              </c:strCache>
            </c:strRef>
          </c:tx>
          <c:spPr>
            <a:solidFill>
              <a:schemeClr val="accent2"/>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graphs'!$B$82:$N$82</c:f>
              <c:numCache>
                <c:formatCode>_-* #,##0_-;\-* #,##0_-;_-* "-"??_-;_-@_-</c:formatCode>
                <c:ptCount val="3"/>
                <c:pt idx="0">
                  <c:v>7101</c:v>
                </c:pt>
                <c:pt idx="1">
                  <c:v>7367</c:v>
                </c:pt>
                <c:pt idx="2">
                  <c:v>7400</c:v>
                </c:pt>
              </c:numCache>
            </c:numRef>
          </c:val>
          <c:extLst>
            <c:ext xmlns:c16="http://schemas.microsoft.com/office/drawing/2014/chart" uri="{C3380CC4-5D6E-409C-BE32-E72D297353CC}">
              <c16:uniqueId val="{00000001-6CE5-4F5B-8035-A143835111E3}"/>
            </c:ext>
          </c:extLst>
        </c:ser>
        <c:ser>
          <c:idx val="2"/>
          <c:order val="2"/>
          <c:tx>
            <c:strRef>
              <c:f>'tables and graphs'!$A$83</c:f>
              <c:strCache>
                <c:ptCount val="1"/>
                <c:pt idx="0">
                  <c:v>Referral </c:v>
                </c:pt>
              </c:strCache>
            </c:strRef>
          </c:tx>
          <c:spPr>
            <a:solidFill>
              <a:schemeClr val="accent3"/>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graphs'!$B$83:$N$83</c:f>
              <c:numCache>
                <c:formatCode>_-* #,##0_-;\-* #,##0_-;_-* "-"??_-;_-@_-</c:formatCode>
                <c:ptCount val="3"/>
                <c:pt idx="0">
                  <c:v>3684</c:v>
                </c:pt>
                <c:pt idx="1">
                  <c:v>536</c:v>
                </c:pt>
                <c:pt idx="2">
                  <c:v>600</c:v>
                </c:pt>
              </c:numCache>
            </c:numRef>
          </c:val>
          <c:extLst>
            <c:ext xmlns:c16="http://schemas.microsoft.com/office/drawing/2014/chart" uri="{C3380CC4-5D6E-409C-BE32-E72D297353CC}">
              <c16:uniqueId val="{00000002-6CE5-4F5B-8035-A143835111E3}"/>
            </c:ext>
          </c:extLst>
        </c:ser>
        <c:ser>
          <c:idx val="3"/>
          <c:order val="3"/>
          <c:tx>
            <c:strRef>
              <c:f>'tables and graphs'!$A$84</c:f>
              <c:strCache>
                <c:ptCount val="1"/>
                <c:pt idx="0">
                  <c:v>Legal Advice</c:v>
                </c:pt>
              </c:strCache>
            </c:strRef>
          </c:tx>
          <c:spPr>
            <a:solidFill>
              <a:schemeClr val="accent4"/>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graphs'!$B$84:$N$84</c:f>
              <c:numCache>
                <c:formatCode>_-* #,##0_-;\-* #,##0_-;_-* "-"??_-;_-@_-</c:formatCode>
                <c:ptCount val="3"/>
                <c:pt idx="0">
                  <c:v>6031</c:v>
                </c:pt>
                <c:pt idx="1">
                  <c:v>7138</c:v>
                </c:pt>
                <c:pt idx="2">
                  <c:v>7200</c:v>
                </c:pt>
              </c:numCache>
            </c:numRef>
          </c:val>
          <c:extLst>
            <c:ext xmlns:c16="http://schemas.microsoft.com/office/drawing/2014/chart" uri="{C3380CC4-5D6E-409C-BE32-E72D297353CC}">
              <c16:uniqueId val="{00000003-6CE5-4F5B-8035-A143835111E3}"/>
            </c:ext>
          </c:extLst>
        </c:ser>
        <c:ser>
          <c:idx val="4"/>
          <c:order val="4"/>
          <c:tx>
            <c:strRef>
              <c:f>'tables and graphs'!$A$85</c:f>
              <c:strCache>
                <c:ptCount val="1"/>
                <c:pt idx="0">
                  <c:v>Non-Legal Support</c:v>
                </c:pt>
              </c:strCache>
            </c:strRef>
          </c:tx>
          <c:spPr>
            <a:solidFill>
              <a:schemeClr val="accent5"/>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graphs'!$B$85:$N$85</c:f>
              <c:numCache>
                <c:formatCode>_-* #,##0_-;\-* #,##0_-;_-* "-"??_-;_-@_-</c:formatCode>
                <c:ptCount val="3"/>
                <c:pt idx="0">
                  <c:v>2290</c:v>
                </c:pt>
                <c:pt idx="1">
                  <c:v>2401</c:v>
                </c:pt>
                <c:pt idx="2">
                  <c:v>2400</c:v>
                </c:pt>
              </c:numCache>
            </c:numRef>
          </c:val>
          <c:extLst>
            <c:ext xmlns:c16="http://schemas.microsoft.com/office/drawing/2014/chart" uri="{C3380CC4-5D6E-409C-BE32-E72D297353CC}">
              <c16:uniqueId val="{00000004-6CE5-4F5B-8035-A143835111E3}"/>
            </c:ext>
          </c:extLst>
        </c:ser>
        <c:ser>
          <c:idx val="5"/>
          <c:order val="5"/>
          <c:tx>
            <c:strRef>
              <c:f>'tables and graphs'!$A$86</c:f>
              <c:strCache>
                <c:ptCount val="1"/>
                <c:pt idx="0">
                  <c:v>Legal Task</c:v>
                </c:pt>
              </c:strCache>
            </c:strRef>
          </c:tx>
          <c:spPr>
            <a:solidFill>
              <a:schemeClr val="accent6"/>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graphs'!$B$86:$N$86</c:f>
              <c:numCache>
                <c:formatCode>_-* #,##0_-;\-* #,##0_-;_-* "-"??_-;_-@_-</c:formatCode>
                <c:ptCount val="3"/>
                <c:pt idx="0">
                  <c:v>1413</c:v>
                </c:pt>
                <c:pt idx="1">
                  <c:v>1535</c:v>
                </c:pt>
                <c:pt idx="2">
                  <c:v>1550</c:v>
                </c:pt>
              </c:numCache>
            </c:numRef>
          </c:val>
          <c:extLst>
            <c:ext xmlns:c16="http://schemas.microsoft.com/office/drawing/2014/chart" uri="{C3380CC4-5D6E-409C-BE32-E72D297353CC}">
              <c16:uniqueId val="{00000005-6CE5-4F5B-8035-A143835111E3}"/>
            </c:ext>
          </c:extLst>
        </c:ser>
        <c:ser>
          <c:idx val="6"/>
          <c:order val="6"/>
          <c:tx>
            <c:strRef>
              <c:f>'tables and graphs'!$A$87</c:f>
              <c:strCache>
                <c:ptCount val="1"/>
                <c:pt idx="0">
                  <c:v>Helpline</c:v>
                </c:pt>
              </c:strCache>
            </c:strRef>
          </c:tx>
          <c:spPr>
            <a:solidFill>
              <a:schemeClr val="accent1">
                <a:lumMod val="60000"/>
              </a:schemeClr>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graphs'!$B$87:$N$87</c:f>
              <c:numCache>
                <c:formatCode>_-* #,##0_-;\-* #,##0_-;_-* "-"??_-;_-@_-</c:formatCode>
                <c:ptCount val="3"/>
                <c:pt idx="0">
                  <c:v>21099</c:v>
                </c:pt>
                <c:pt idx="1">
                  <c:v>26983</c:v>
                </c:pt>
                <c:pt idx="2">
                  <c:v>28000</c:v>
                </c:pt>
              </c:numCache>
            </c:numRef>
          </c:val>
          <c:extLst>
            <c:ext xmlns:c16="http://schemas.microsoft.com/office/drawing/2014/chart" uri="{C3380CC4-5D6E-409C-BE32-E72D297353CC}">
              <c16:uniqueId val="{00000006-6CE5-4F5B-8035-A143835111E3}"/>
            </c:ext>
          </c:extLst>
        </c:ser>
        <c:ser>
          <c:idx val="7"/>
          <c:order val="7"/>
          <c:tx>
            <c:strRef>
              <c:f>'tables and graphs'!$A$88</c:f>
              <c:strCache>
                <c:ptCount val="1"/>
                <c:pt idx="0">
                  <c:v>Facilitated Resolution Process</c:v>
                </c:pt>
              </c:strCache>
            </c:strRef>
          </c:tx>
          <c:spPr>
            <a:solidFill>
              <a:schemeClr val="accent2">
                <a:lumMod val="60000"/>
              </a:schemeClr>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graphs'!$B$88:$N$88</c:f>
              <c:numCache>
                <c:formatCode>_-* #,##0_-;\-* #,##0_-;_-* "-"??_-;_-@_-</c:formatCode>
                <c:ptCount val="3"/>
                <c:pt idx="0">
                  <c:v>387</c:v>
                </c:pt>
                <c:pt idx="1">
                  <c:v>429</c:v>
                </c:pt>
                <c:pt idx="2">
                  <c:v>440</c:v>
                </c:pt>
              </c:numCache>
            </c:numRef>
          </c:val>
          <c:extLst>
            <c:ext xmlns:c16="http://schemas.microsoft.com/office/drawing/2014/chart" uri="{C3380CC4-5D6E-409C-BE32-E72D297353CC}">
              <c16:uniqueId val="{00000007-6CE5-4F5B-8035-A143835111E3}"/>
            </c:ext>
          </c:extLst>
        </c:ser>
        <c:ser>
          <c:idx val="8"/>
          <c:order val="8"/>
          <c:tx>
            <c:strRef>
              <c:f>'tables and graphs'!$A$89</c:f>
              <c:strCache>
                <c:ptCount val="1"/>
                <c:pt idx="0">
                  <c:v>Duty Lawyer</c:v>
                </c:pt>
              </c:strCache>
            </c:strRef>
          </c:tx>
          <c:spPr>
            <a:solidFill>
              <a:schemeClr val="accent3">
                <a:lumMod val="60000"/>
              </a:schemeClr>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graphs'!$B$89:$N$89</c:f>
              <c:numCache>
                <c:formatCode>_-* #,##0_-;\-* #,##0_-;_-* "-"??_-;_-@_-</c:formatCode>
                <c:ptCount val="3"/>
                <c:pt idx="0">
                  <c:v>5574</c:v>
                </c:pt>
                <c:pt idx="1">
                  <c:v>4597</c:v>
                </c:pt>
                <c:pt idx="2">
                  <c:v>4600</c:v>
                </c:pt>
              </c:numCache>
            </c:numRef>
          </c:val>
          <c:extLst>
            <c:ext xmlns:c16="http://schemas.microsoft.com/office/drawing/2014/chart" uri="{C3380CC4-5D6E-409C-BE32-E72D297353CC}">
              <c16:uniqueId val="{00000008-6CE5-4F5B-8035-A143835111E3}"/>
            </c:ext>
          </c:extLst>
        </c:ser>
        <c:ser>
          <c:idx val="9"/>
          <c:order val="9"/>
          <c:tx>
            <c:strRef>
              <c:f>'tables and graphs'!$A$90</c:f>
              <c:strCache>
                <c:ptCount val="1"/>
                <c:pt idx="0">
                  <c:v>Representation</c:v>
                </c:pt>
              </c:strCache>
            </c:strRef>
          </c:tx>
          <c:spPr>
            <a:solidFill>
              <a:schemeClr val="accent4">
                <a:lumMod val="60000"/>
              </a:schemeClr>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graphs'!$B$90:$N$90</c:f>
              <c:numCache>
                <c:formatCode>_-* #,##0_-;\-* #,##0_-;_-* "-"??_-;_-@_-</c:formatCode>
                <c:ptCount val="3"/>
                <c:pt idx="0">
                  <c:v>2819</c:v>
                </c:pt>
                <c:pt idx="1">
                  <c:v>2873</c:v>
                </c:pt>
                <c:pt idx="2">
                  <c:v>3000</c:v>
                </c:pt>
              </c:numCache>
            </c:numRef>
          </c:val>
          <c:extLst>
            <c:ext xmlns:c16="http://schemas.microsoft.com/office/drawing/2014/chart" uri="{C3380CC4-5D6E-409C-BE32-E72D297353CC}">
              <c16:uniqueId val="{00000009-6CE5-4F5B-8035-A143835111E3}"/>
            </c:ext>
          </c:extLst>
        </c:ser>
        <c:ser>
          <c:idx val="10"/>
          <c:order val="10"/>
          <c:tx>
            <c:strRef>
              <c:f>'tables and graphs'!$A$91</c:f>
              <c:strCache>
                <c:ptCount val="1"/>
                <c:pt idx="0">
                  <c:v>Community Legal Education</c:v>
                </c:pt>
              </c:strCache>
            </c:strRef>
          </c:tx>
          <c:spPr>
            <a:solidFill>
              <a:schemeClr val="accent5">
                <a:lumMod val="60000"/>
              </a:schemeClr>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graphs'!$B$91:$N$91</c:f>
              <c:numCache>
                <c:formatCode>_-* #,##0_-;\-* #,##0_-;_-* "-"??_-;_-@_-</c:formatCode>
                <c:ptCount val="3"/>
                <c:pt idx="0">
                  <c:v>382</c:v>
                </c:pt>
                <c:pt idx="1">
                  <c:v>530</c:v>
                </c:pt>
                <c:pt idx="2">
                  <c:v>550</c:v>
                </c:pt>
              </c:numCache>
            </c:numRef>
          </c:val>
          <c:extLst>
            <c:ext xmlns:c16="http://schemas.microsoft.com/office/drawing/2014/chart" uri="{C3380CC4-5D6E-409C-BE32-E72D297353CC}">
              <c16:uniqueId val="{0000000A-6CE5-4F5B-8035-A143835111E3}"/>
            </c:ext>
          </c:extLst>
        </c:ser>
        <c:ser>
          <c:idx val="11"/>
          <c:order val="11"/>
          <c:tx>
            <c:strRef>
              <c:f>'tables and graphs'!$A$92</c:f>
              <c:strCache>
                <c:ptCount val="1"/>
                <c:pt idx="0">
                  <c:v>Website hits</c:v>
                </c:pt>
              </c:strCache>
            </c:strRef>
          </c:tx>
          <c:spPr>
            <a:solidFill>
              <a:srgbClr val="FF0000"/>
            </a:solidFill>
            <a:ln>
              <a:noFill/>
            </a:ln>
            <a:effectLst/>
          </c:spPr>
          <c:invertIfNegative val="0"/>
          <c:cat>
            <c:strRef>
              <c:f>'tables and graphs'!$B$80:$N$80</c:f>
              <c:strCache>
                <c:ptCount val="3"/>
                <c:pt idx="0">
                  <c:v>2019-20 Actual</c:v>
                </c:pt>
                <c:pt idx="1">
                  <c:v>2020-21 Actual</c:v>
                </c:pt>
                <c:pt idx="2">
                  <c:v>2021-22 target</c:v>
                </c:pt>
              </c:strCache>
            </c:strRef>
          </c:cat>
          <c:val>
            <c:numRef>
              <c:f>'tables and graphs'!$B$92:$N$92</c:f>
              <c:numCache>
                <c:formatCode>_-* #,##0_-;\-* #,##0_-;_-* "-"??_-;_-@_-</c:formatCode>
                <c:ptCount val="3"/>
                <c:pt idx="0">
                  <c:v>102254</c:v>
                </c:pt>
                <c:pt idx="1">
                  <c:v>181520</c:v>
                </c:pt>
                <c:pt idx="2">
                  <c:v>185000</c:v>
                </c:pt>
              </c:numCache>
            </c:numRef>
          </c:val>
          <c:extLst>
            <c:ext xmlns:c16="http://schemas.microsoft.com/office/drawing/2014/chart" uri="{C3380CC4-5D6E-409C-BE32-E72D297353CC}">
              <c16:uniqueId val="{0000000B-6CE5-4F5B-8035-A143835111E3}"/>
            </c:ext>
          </c:extLst>
        </c:ser>
        <c:dLbls>
          <c:showLegendKey val="0"/>
          <c:showVal val="0"/>
          <c:showCatName val="0"/>
          <c:showSerName val="0"/>
          <c:showPercent val="0"/>
          <c:showBubbleSize val="0"/>
        </c:dLbls>
        <c:gapWidth val="150"/>
        <c:overlap val="100"/>
        <c:axId val="539758856"/>
        <c:axId val="539758464"/>
        <c:extLst/>
      </c:barChart>
      <c:catAx>
        <c:axId val="539758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758464"/>
        <c:crosses val="autoZero"/>
        <c:auto val="1"/>
        <c:lblAlgn val="ctr"/>
        <c:lblOffset val="100"/>
        <c:noMultiLvlLbl val="0"/>
      </c:catAx>
      <c:valAx>
        <c:axId val="539758464"/>
        <c:scaling>
          <c:orientation val="minMax"/>
          <c:max val="2500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758856"/>
        <c:crosses val="autoZero"/>
        <c:crossBetween val="between"/>
      </c:valAx>
      <c:spPr>
        <a:noFill/>
        <a:ln>
          <a:noFill/>
        </a:ln>
        <a:effectLst/>
      </c:spPr>
    </c:plotArea>
    <c:legend>
      <c:legendPos val="b"/>
      <c:layout>
        <c:manualLayout>
          <c:xMode val="edge"/>
          <c:yMode val="edge"/>
          <c:x val="2.9031649927210489E-2"/>
          <c:y val="0.63354160152363614"/>
          <c:w val="0.94455621499492803"/>
          <c:h val="0.33868084179008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2.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C4EF5B-89DB-42DE-A108-5054DD84C582}">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773338-2623-4C9A-81A2-2E84E09D9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104</Pages>
  <Words>25910</Words>
  <Characters>149648</Characters>
  <Application>Microsoft Office Word</Application>
  <DocSecurity>0</DocSecurity>
  <Lines>1247</Lines>
  <Paragraphs>350</Paragraphs>
  <ScaleCrop>false</ScaleCrop>
  <HeadingPairs>
    <vt:vector size="2" baseType="variant">
      <vt:variant>
        <vt:lpstr>Title</vt:lpstr>
      </vt:variant>
      <vt:variant>
        <vt:i4>1</vt:i4>
      </vt:variant>
    </vt:vector>
  </HeadingPairs>
  <TitlesOfParts>
    <vt:vector size="1" baseType="lpstr">
      <vt:lpstr>2013-14 Budget Paper 4: Territory and Municipal Services Directorate</vt:lpstr>
    </vt:vector>
  </TitlesOfParts>
  <Company>ACT Government</Company>
  <LinksUpToDate>false</LinksUpToDate>
  <CharactersWithSpaces>175208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Paper 4: Territory and Municipal Services Directorate</dc:title>
  <dc:subject>Territory and Municipal Services Directorate</dc:subject>
  <dc:creator>charlotte miles</dc:creator>
  <cp:lastModifiedBy>Timbrell, Mark</cp:lastModifiedBy>
  <cp:revision>4</cp:revision>
  <cp:lastPrinted>2021-10-02T07:20:00Z</cp:lastPrinted>
  <dcterms:created xsi:type="dcterms:W3CDTF">2021-10-02T07:12:00Z</dcterms:created>
  <dcterms:modified xsi:type="dcterms:W3CDTF">2021-10-02T07:21:00Z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