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8AB" w:rsidRPr="00605F78" w:rsidRDefault="00955B59" w:rsidP="00605F78">
      <w:pPr>
        <w:pStyle w:val="Heading1"/>
      </w:pPr>
      <w:r w:rsidRPr="00605F78">
        <w:t>5</w:t>
      </w:r>
      <w:r w:rsidR="00B558AB" w:rsidRPr="00605F78">
        <w:t>.3</w:t>
      </w:r>
      <w:r w:rsidR="00B558AB" w:rsidRPr="00605F78">
        <w:tab/>
        <w:t>savings Initiatives</w:t>
      </w:r>
    </w:p>
    <w:p w:rsidR="00B558AB" w:rsidRPr="002306CE" w:rsidRDefault="00AF4AA5" w:rsidP="002306CE">
      <w:pPr>
        <w:pStyle w:val="BodyText"/>
      </w:pPr>
      <w:r w:rsidRPr="002306CE">
        <w:t xml:space="preserve">The </w:t>
      </w:r>
      <w:r w:rsidR="002835AE" w:rsidRPr="002306CE">
        <w:t>2013-14</w:t>
      </w:r>
      <w:r w:rsidR="00B558AB" w:rsidRPr="002306CE">
        <w:t xml:space="preserve"> Budget introduces </w:t>
      </w:r>
      <w:r w:rsidR="00EF15AC" w:rsidRPr="002306CE">
        <w:t xml:space="preserve">a range of </w:t>
      </w:r>
      <w:r w:rsidR="00B558AB" w:rsidRPr="002306CE">
        <w:t>savi</w:t>
      </w:r>
      <w:r w:rsidR="00640885" w:rsidRPr="002306CE">
        <w:t>ngs initiatives totalling $</w:t>
      </w:r>
      <w:r w:rsidR="00000355" w:rsidRPr="002306CE">
        <w:t>142</w:t>
      </w:r>
      <w:r w:rsidR="00C44489" w:rsidRPr="002306CE">
        <w:t>.</w:t>
      </w:r>
      <w:r w:rsidR="00000355" w:rsidRPr="002306CE">
        <w:t>6</w:t>
      </w:r>
      <w:r w:rsidR="00B558AB" w:rsidRPr="002306CE">
        <w:t> million over four years.  These initiatives focus on reducing costs</w:t>
      </w:r>
      <w:r w:rsidR="004157FD" w:rsidRPr="002306CE">
        <w:t xml:space="preserve"> </w:t>
      </w:r>
      <w:r w:rsidR="00BA29F5" w:rsidRPr="002306CE">
        <w:t xml:space="preserve">to </w:t>
      </w:r>
      <w:r w:rsidR="0073194F" w:rsidRPr="002306CE">
        <w:t xml:space="preserve">facilitate a </w:t>
      </w:r>
      <w:r w:rsidR="00BA29F5" w:rsidRPr="002306CE">
        <w:t>redirect</w:t>
      </w:r>
      <w:r w:rsidR="0073194F" w:rsidRPr="002306CE">
        <w:t xml:space="preserve">ion of </w:t>
      </w:r>
      <w:r w:rsidR="00BA29F5" w:rsidRPr="002306CE">
        <w:t>expenditure to higher priority areas of Government</w:t>
      </w:r>
      <w:r w:rsidR="004157FD" w:rsidRPr="002306CE">
        <w:t xml:space="preserve"> including the </w:t>
      </w:r>
      <w:proofErr w:type="spellStart"/>
      <w:r w:rsidR="004157FD" w:rsidRPr="002306CE">
        <w:t>Labor</w:t>
      </w:r>
      <w:proofErr w:type="spellEnd"/>
      <w:r w:rsidR="004157FD" w:rsidRPr="002306CE">
        <w:t xml:space="preserve"> election commitments and items in the Parliamentary Agreement</w:t>
      </w:r>
      <w:r w:rsidR="00B558AB" w:rsidRPr="002306CE">
        <w:t>.</w:t>
      </w:r>
    </w:p>
    <w:p w:rsidR="00B558AB" w:rsidRPr="002306CE" w:rsidRDefault="00B558AB" w:rsidP="002306CE">
      <w:pPr>
        <w:pStyle w:val="BodyText"/>
      </w:pPr>
      <w:r w:rsidRPr="002306CE">
        <w:t xml:space="preserve">The </w:t>
      </w:r>
      <w:r w:rsidR="00BA29F5" w:rsidRPr="002306CE">
        <w:t xml:space="preserve">redirection of resources is </w:t>
      </w:r>
      <w:r w:rsidRPr="002306CE">
        <w:t xml:space="preserve">sought </w:t>
      </w:r>
      <w:r w:rsidR="00BA29F5" w:rsidRPr="002306CE">
        <w:t xml:space="preserve">through savings </w:t>
      </w:r>
      <w:r w:rsidRPr="002306CE">
        <w:t xml:space="preserve">across </w:t>
      </w:r>
      <w:r w:rsidR="0049427A" w:rsidRPr="002306CE">
        <w:t>most</w:t>
      </w:r>
      <w:r w:rsidR="0073194F" w:rsidRPr="002306CE">
        <w:t xml:space="preserve"> </w:t>
      </w:r>
      <w:r w:rsidRPr="002306CE">
        <w:t xml:space="preserve">ACT Government agencies </w:t>
      </w:r>
      <w:r w:rsidR="00BA29F5" w:rsidRPr="002306CE">
        <w:t>in a range of areas</w:t>
      </w:r>
      <w:r w:rsidR="00D8651E" w:rsidRPr="002306CE">
        <w:t xml:space="preserve"> including ceasing of initiatives, seeking out ways to reduce input costs and generate efficiencies, the reprioritisation of government services and whole of government procurement savings.</w:t>
      </w:r>
    </w:p>
    <w:p w:rsidR="00D8651E" w:rsidRPr="002306CE" w:rsidRDefault="00D8651E" w:rsidP="002306CE">
      <w:pPr>
        <w:pStyle w:val="BodyText"/>
      </w:pPr>
      <w:r w:rsidRPr="002306CE">
        <w:t xml:space="preserve">None of these savings result in the total </w:t>
      </w:r>
      <w:r w:rsidR="004157FD" w:rsidRPr="002306CE">
        <w:t xml:space="preserve">FTE </w:t>
      </w:r>
      <w:r w:rsidRPr="002306CE">
        <w:t xml:space="preserve">for the ACT Public services falling below </w:t>
      </w:r>
      <w:r w:rsidR="005D3FA8" w:rsidRPr="002306CE">
        <w:br/>
      </w:r>
      <w:r w:rsidRPr="002306CE">
        <w:t>2012-13 levels.</w:t>
      </w:r>
    </w:p>
    <w:p w:rsidR="002306CE" w:rsidRDefault="002306CE" w:rsidP="00A06764">
      <w:pPr>
        <w:pStyle w:val="TableNumber"/>
      </w:pPr>
    </w:p>
    <w:p w:rsidR="00B558AB" w:rsidRPr="00A06764" w:rsidRDefault="00B558AB" w:rsidP="00A06764">
      <w:pPr>
        <w:pStyle w:val="TableNumber"/>
      </w:pPr>
      <w:r w:rsidRPr="00A06764">
        <w:t xml:space="preserve">Table </w:t>
      </w:r>
      <w:r w:rsidR="00955B59" w:rsidRPr="00A06764">
        <w:t>5</w:t>
      </w:r>
      <w:r w:rsidR="00EF15AC" w:rsidRPr="00A06764">
        <w:t>.3</w:t>
      </w:r>
      <w:r w:rsidRPr="00A06764">
        <w:t>.1</w:t>
      </w:r>
    </w:p>
    <w:p w:rsidR="00124832" w:rsidRPr="002306CE" w:rsidRDefault="002835AE" w:rsidP="002306CE">
      <w:pPr>
        <w:pStyle w:val="TableName"/>
      </w:pPr>
      <w:r w:rsidRPr="002306CE">
        <w:t>2013-14</w:t>
      </w:r>
      <w:r w:rsidR="00B558AB" w:rsidRPr="002306CE">
        <w:t xml:space="preserve"> Budget Savings Initiatives</w:t>
      </w:r>
    </w:p>
    <w:tbl>
      <w:tblPr>
        <w:tblW w:w="9100" w:type="dxa"/>
        <w:tblLayout w:type="fixed"/>
        <w:tblLook w:val="04A0"/>
      </w:tblPr>
      <w:tblGrid>
        <w:gridCol w:w="3871"/>
        <w:gridCol w:w="270"/>
        <w:gridCol w:w="991"/>
        <w:gridCol w:w="992"/>
        <w:gridCol w:w="992"/>
        <w:gridCol w:w="992"/>
        <w:gridCol w:w="992"/>
      </w:tblGrid>
      <w:tr w:rsidR="00130884" w:rsidRPr="00640885" w:rsidTr="00A06764">
        <w:trPr>
          <w:trHeight w:val="227"/>
        </w:trPr>
        <w:tc>
          <w:tcPr>
            <w:tcW w:w="3871" w:type="dxa"/>
            <w:tcBorders>
              <w:top w:val="single" w:sz="8" w:space="0" w:color="auto"/>
              <w:left w:val="nil"/>
              <w:bottom w:val="nil"/>
              <w:right w:val="nil"/>
            </w:tcBorders>
            <w:shd w:val="clear" w:color="auto" w:fill="auto"/>
            <w:noWrap/>
            <w:hideMark/>
          </w:tcPr>
          <w:p w:rsidR="00130884" w:rsidRPr="00640885" w:rsidRDefault="00130884" w:rsidP="00640885">
            <w:pPr>
              <w:rPr>
                <w:rFonts w:cs="Calibri"/>
                <w:b/>
                <w:bCs/>
                <w:color w:val="000000"/>
                <w:sz w:val="20"/>
                <w:lang w:eastAsia="en-AU"/>
              </w:rPr>
            </w:pPr>
          </w:p>
        </w:tc>
        <w:tc>
          <w:tcPr>
            <w:tcW w:w="270" w:type="dxa"/>
            <w:tcBorders>
              <w:top w:val="single" w:sz="8" w:space="0" w:color="auto"/>
              <w:left w:val="nil"/>
              <w:bottom w:val="nil"/>
              <w:right w:val="nil"/>
            </w:tcBorders>
            <w:shd w:val="clear" w:color="auto" w:fill="auto"/>
            <w:hideMark/>
          </w:tcPr>
          <w:p w:rsidR="00130884" w:rsidRPr="00640885" w:rsidRDefault="00130884" w:rsidP="00640885">
            <w:pPr>
              <w:jc w:val="right"/>
              <w:rPr>
                <w:rFonts w:cs="Calibri"/>
                <w:b/>
                <w:bCs/>
                <w:color w:val="000000"/>
                <w:sz w:val="20"/>
                <w:lang w:eastAsia="en-AU"/>
              </w:rPr>
            </w:pPr>
            <w:r w:rsidRPr="00640885">
              <w:rPr>
                <w:rFonts w:cs="Calibri"/>
                <w:b/>
                <w:bCs/>
                <w:snapToGrid w:val="0"/>
                <w:color w:val="000000"/>
                <w:sz w:val="20"/>
                <w:lang w:eastAsia="en-AU"/>
              </w:rPr>
              <w:t> </w:t>
            </w:r>
          </w:p>
        </w:tc>
        <w:tc>
          <w:tcPr>
            <w:tcW w:w="991" w:type="dxa"/>
            <w:tcBorders>
              <w:top w:val="single" w:sz="8" w:space="0" w:color="auto"/>
              <w:left w:val="nil"/>
              <w:bottom w:val="nil"/>
              <w:right w:val="nil"/>
            </w:tcBorders>
            <w:shd w:val="clear" w:color="auto" w:fill="auto"/>
            <w:hideMark/>
          </w:tcPr>
          <w:p w:rsidR="00130884" w:rsidRPr="00124553" w:rsidRDefault="002835AE" w:rsidP="00640885">
            <w:pPr>
              <w:jc w:val="right"/>
              <w:rPr>
                <w:b/>
                <w:sz w:val="20"/>
              </w:rPr>
            </w:pPr>
            <w:r w:rsidRPr="00124553">
              <w:rPr>
                <w:b/>
                <w:sz w:val="20"/>
              </w:rPr>
              <w:t>2013-14</w:t>
            </w:r>
          </w:p>
        </w:tc>
        <w:tc>
          <w:tcPr>
            <w:tcW w:w="992" w:type="dxa"/>
            <w:tcBorders>
              <w:top w:val="single" w:sz="8" w:space="0" w:color="auto"/>
              <w:left w:val="nil"/>
              <w:bottom w:val="nil"/>
              <w:right w:val="nil"/>
            </w:tcBorders>
            <w:shd w:val="clear" w:color="auto" w:fill="auto"/>
            <w:hideMark/>
          </w:tcPr>
          <w:p w:rsidR="00130884" w:rsidRPr="00124553" w:rsidRDefault="00130884" w:rsidP="002835AE">
            <w:pPr>
              <w:jc w:val="right"/>
              <w:rPr>
                <w:b/>
                <w:sz w:val="20"/>
              </w:rPr>
            </w:pPr>
            <w:r w:rsidRPr="00124553">
              <w:rPr>
                <w:b/>
                <w:sz w:val="20"/>
              </w:rPr>
              <w:t>201</w:t>
            </w:r>
            <w:r w:rsidR="002835AE" w:rsidRPr="00124553">
              <w:rPr>
                <w:b/>
                <w:sz w:val="20"/>
              </w:rPr>
              <w:t>4</w:t>
            </w:r>
            <w:r w:rsidRPr="00124553">
              <w:rPr>
                <w:b/>
                <w:sz w:val="20"/>
              </w:rPr>
              <w:t>-1</w:t>
            </w:r>
            <w:r w:rsidR="002835AE" w:rsidRPr="00124553">
              <w:rPr>
                <w:b/>
                <w:sz w:val="20"/>
              </w:rPr>
              <w:t>5</w:t>
            </w:r>
          </w:p>
        </w:tc>
        <w:tc>
          <w:tcPr>
            <w:tcW w:w="992" w:type="dxa"/>
            <w:tcBorders>
              <w:top w:val="single" w:sz="8" w:space="0" w:color="auto"/>
              <w:left w:val="nil"/>
              <w:bottom w:val="nil"/>
              <w:right w:val="nil"/>
            </w:tcBorders>
            <w:shd w:val="clear" w:color="auto" w:fill="auto"/>
            <w:hideMark/>
          </w:tcPr>
          <w:p w:rsidR="00130884" w:rsidRPr="00124553" w:rsidRDefault="00130884" w:rsidP="002835AE">
            <w:pPr>
              <w:jc w:val="right"/>
              <w:rPr>
                <w:b/>
                <w:sz w:val="20"/>
              </w:rPr>
            </w:pPr>
            <w:r w:rsidRPr="00124553">
              <w:rPr>
                <w:b/>
                <w:sz w:val="20"/>
              </w:rPr>
              <w:t>201</w:t>
            </w:r>
            <w:r w:rsidR="002835AE" w:rsidRPr="00124553">
              <w:rPr>
                <w:b/>
                <w:sz w:val="20"/>
              </w:rPr>
              <w:t>5</w:t>
            </w:r>
            <w:r w:rsidRPr="00124553">
              <w:rPr>
                <w:b/>
                <w:sz w:val="20"/>
              </w:rPr>
              <w:t>-1</w:t>
            </w:r>
            <w:r w:rsidR="002835AE" w:rsidRPr="00124553">
              <w:rPr>
                <w:b/>
                <w:sz w:val="20"/>
              </w:rPr>
              <w:t>6</w:t>
            </w:r>
          </w:p>
        </w:tc>
        <w:tc>
          <w:tcPr>
            <w:tcW w:w="992" w:type="dxa"/>
            <w:tcBorders>
              <w:top w:val="single" w:sz="8" w:space="0" w:color="auto"/>
              <w:left w:val="nil"/>
              <w:bottom w:val="nil"/>
              <w:right w:val="nil"/>
            </w:tcBorders>
            <w:shd w:val="clear" w:color="auto" w:fill="auto"/>
            <w:hideMark/>
          </w:tcPr>
          <w:p w:rsidR="00130884" w:rsidRPr="00124553" w:rsidRDefault="00130884" w:rsidP="002835AE">
            <w:pPr>
              <w:jc w:val="right"/>
              <w:rPr>
                <w:b/>
                <w:sz w:val="20"/>
              </w:rPr>
            </w:pPr>
            <w:r w:rsidRPr="00124553">
              <w:rPr>
                <w:b/>
                <w:sz w:val="20"/>
              </w:rPr>
              <w:t>201</w:t>
            </w:r>
            <w:r w:rsidR="002835AE" w:rsidRPr="00124553">
              <w:rPr>
                <w:b/>
                <w:sz w:val="20"/>
              </w:rPr>
              <w:t>6</w:t>
            </w:r>
            <w:r w:rsidRPr="00124553">
              <w:rPr>
                <w:b/>
                <w:sz w:val="20"/>
              </w:rPr>
              <w:t>-1</w:t>
            </w:r>
            <w:r w:rsidR="002835AE" w:rsidRPr="00124553">
              <w:rPr>
                <w:b/>
                <w:sz w:val="20"/>
              </w:rPr>
              <w:t>7</w:t>
            </w:r>
          </w:p>
        </w:tc>
        <w:tc>
          <w:tcPr>
            <w:tcW w:w="992" w:type="dxa"/>
            <w:tcBorders>
              <w:top w:val="single" w:sz="8" w:space="0" w:color="auto"/>
              <w:left w:val="nil"/>
              <w:bottom w:val="nil"/>
              <w:right w:val="nil"/>
            </w:tcBorders>
          </w:tcPr>
          <w:p w:rsidR="00130884" w:rsidRPr="00124553" w:rsidRDefault="00130884" w:rsidP="00640885">
            <w:pPr>
              <w:jc w:val="right"/>
              <w:rPr>
                <w:b/>
                <w:sz w:val="20"/>
              </w:rPr>
            </w:pPr>
            <w:r w:rsidRPr="00124553">
              <w:rPr>
                <w:b/>
                <w:sz w:val="20"/>
              </w:rPr>
              <w:t>Total</w:t>
            </w:r>
          </w:p>
        </w:tc>
      </w:tr>
      <w:tr w:rsidR="00130884" w:rsidRPr="00640885" w:rsidTr="00A06764">
        <w:trPr>
          <w:trHeight w:val="227"/>
        </w:trPr>
        <w:tc>
          <w:tcPr>
            <w:tcW w:w="3871" w:type="dxa"/>
            <w:tcBorders>
              <w:top w:val="nil"/>
              <w:left w:val="nil"/>
              <w:bottom w:val="single" w:sz="8" w:space="0" w:color="auto"/>
              <w:right w:val="nil"/>
            </w:tcBorders>
            <w:shd w:val="clear" w:color="auto" w:fill="auto"/>
            <w:noWrap/>
            <w:hideMark/>
          </w:tcPr>
          <w:p w:rsidR="00130884" w:rsidRPr="00640885" w:rsidRDefault="00130884" w:rsidP="00640885">
            <w:pPr>
              <w:rPr>
                <w:rFonts w:cs="Calibri"/>
                <w:color w:val="000000"/>
                <w:sz w:val="20"/>
                <w:lang w:eastAsia="en-AU"/>
              </w:rPr>
            </w:pPr>
            <w:r w:rsidRPr="00640885">
              <w:rPr>
                <w:rFonts w:cs="Calibri"/>
                <w:color w:val="000000"/>
                <w:sz w:val="20"/>
                <w:lang w:eastAsia="en-AU"/>
              </w:rPr>
              <w:t> </w:t>
            </w:r>
          </w:p>
        </w:tc>
        <w:tc>
          <w:tcPr>
            <w:tcW w:w="270" w:type="dxa"/>
            <w:tcBorders>
              <w:top w:val="nil"/>
              <w:left w:val="nil"/>
              <w:bottom w:val="single" w:sz="8" w:space="0" w:color="auto"/>
              <w:right w:val="nil"/>
            </w:tcBorders>
            <w:shd w:val="clear" w:color="auto" w:fill="auto"/>
            <w:hideMark/>
          </w:tcPr>
          <w:p w:rsidR="00130884" w:rsidRPr="00640885" w:rsidRDefault="00130884" w:rsidP="00640885">
            <w:pPr>
              <w:jc w:val="right"/>
              <w:rPr>
                <w:rFonts w:cs="Calibri"/>
                <w:b/>
                <w:bCs/>
                <w:color w:val="000000"/>
                <w:sz w:val="20"/>
                <w:lang w:eastAsia="en-AU"/>
              </w:rPr>
            </w:pPr>
            <w:r w:rsidRPr="00640885">
              <w:rPr>
                <w:rFonts w:cs="Calibri"/>
                <w:b/>
                <w:bCs/>
                <w:snapToGrid w:val="0"/>
                <w:color w:val="000000"/>
                <w:sz w:val="20"/>
                <w:lang w:eastAsia="en-AU"/>
              </w:rPr>
              <w:t> </w:t>
            </w:r>
          </w:p>
        </w:tc>
        <w:tc>
          <w:tcPr>
            <w:tcW w:w="991" w:type="dxa"/>
            <w:tcBorders>
              <w:top w:val="nil"/>
              <w:left w:val="nil"/>
              <w:bottom w:val="single" w:sz="8" w:space="0" w:color="auto"/>
              <w:right w:val="nil"/>
            </w:tcBorders>
            <w:shd w:val="clear" w:color="auto" w:fill="auto"/>
            <w:hideMark/>
          </w:tcPr>
          <w:p w:rsidR="00130884" w:rsidRPr="00124553" w:rsidRDefault="00130884" w:rsidP="00640885">
            <w:pPr>
              <w:jc w:val="right"/>
              <w:rPr>
                <w:b/>
                <w:sz w:val="20"/>
              </w:rPr>
            </w:pPr>
            <w:r w:rsidRPr="00124553">
              <w:rPr>
                <w:b/>
                <w:sz w:val="20"/>
              </w:rPr>
              <w:t>$’000</w:t>
            </w:r>
          </w:p>
        </w:tc>
        <w:tc>
          <w:tcPr>
            <w:tcW w:w="992" w:type="dxa"/>
            <w:tcBorders>
              <w:top w:val="nil"/>
              <w:left w:val="nil"/>
              <w:bottom w:val="single" w:sz="8" w:space="0" w:color="auto"/>
              <w:right w:val="nil"/>
            </w:tcBorders>
            <w:shd w:val="clear" w:color="auto" w:fill="auto"/>
            <w:hideMark/>
          </w:tcPr>
          <w:p w:rsidR="00130884" w:rsidRPr="00124553" w:rsidRDefault="00130884" w:rsidP="00640885">
            <w:pPr>
              <w:jc w:val="right"/>
              <w:rPr>
                <w:b/>
                <w:sz w:val="20"/>
              </w:rPr>
            </w:pPr>
            <w:r w:rsidRPr="00124553">
              <w:rPr>
                <w:b/>
                <w:sz w:val="20"/>
              </w:rPr>
              <w:t>$’000</w:t>
            </w:r>
          </w:p>
        </w:tc>
        <w:tc>
          <w:tcPr>
            <w:tcW w:w="992" w:type="dxa"/>
            <w:tcBorders>
              <w:top w:val="nil"/>
              <w:left w:val="nil"/>
              <w:bottom w:val="single" w:sz="8" w:space="0" w:color="auto"/>
              <w:right w:val="nil"/>
            </w:tcBorders>
            <w:shd w:val="clear" w:color="auto" w:fill="auto"/>
            <w:hideMark/>
          </w:tcPr>
          <w:p w:rsidR="00130884" w:rsidRPr="00124553" w:rsidRDefault="00130884" w:rsidP="00640885">
            <w:pPr>
              <w:jc w:val="right"/>
              <w:rPr>
                <w:b/>
                <w:sz w:val="20"/>
              </w:rPr>
            </w:pPr>
            <w:r w:rsidRPr="00124553">
              <w:rPr>
                <w:b/>
                <w:sz w:val="20"/>
              </w:rPr>
              <w:t>$’000</w:t>
            </w:r>
          </w:p>
        </w:tc>
        <w:tc>
          <w:tcPr>
            <w:tcW w:w="992" w:type="dxa"/>
            <w:tcBorders>
              <w:top w:val="nil"/>
              <w:left w:val="nil"/>
              <w:bottom w:val="single" w:sz="8" w:space="0" w:color="auto"/>
              <w:right w:val="nil"/>
            </w:tcBorders>
            <w:shd w:val="clear" w:color="auto" w:fill="auto"/>
            <w:hideMark/>
          </w:tcPr>
          <w:p w:rsidR="00130884" w:rsidRPr="00124553" w:rsidRDefault="00130884" w:rsidP="00640885">
            <w:pPr>
              <w:jc w:val="right"/>
              <w:rPr>
                <w:b/>
                <w:sz w:val="20"/>
              </w:rPr>
            </w:pPr>
            <w:r w:rsidRPr="00124553">
              <w:rPr>
                <w:b/>
                <w:sz w:val="20"/>
              </w:rPr>
              <w:t>$’000</w:t>
            </w:r>
          </w:p>
        </w:tc>
        <w:tc>
          <w:tcPr>
            <w:tcW w:w="992" w:type="dxa"/>
            <w:tcBorders>
              <w:top w:val="nil"/>
              <w:left w:val="nil"/>
              <w:bottom w:val="single" w:sz="8" w:space="0" w:color="auto"/>
              <w:right w:val="nil"/>
            </w:tcBorders>
          </w:tcPr>
          <w:p w:rsidR="00130884" w:rsidRPr="00124553" w:rsidRDefault="00130884" w:rsidP="00640885">
            <w:pPr>
              <w:jc w:val="right"/>
              <w:rPr>
                <w:b/>
                <w:sz w:val="20"/>
              </w:rPr>
            </w:pPr>
            <w:r w:rsidRPr="00124553">
              <w:rPr>
                <w:b/>
                <w:sz w:val="20"/>
              </w:rPr>
              <w:t>$’000</w:t>
            </w:r>
          </w:p>
        </w:tc>
      </w:tr>
      <w:tr w:rsidR="00774EC7" w:rsidRPr="0017639E" w:rsidTr="00A06764">
        <w:trPr>
          <w:trHeight w:val="227"/>
        </w:trPr>
        <w:tc>
          <w:tcPr>
            <w:tcW w:w="3871" w:type="dxa"/>
            <w:tcBorders>
              <w:top w:val="nil"/>
              <w:left w:val="nil"/>
              <w:bottom w:val="nil"/>
              <w:right w:val="nil"/>
            </w:tcBorders>
            <w:shd w:val="clear" w:color="auto" w:fill="auto"/>
            <w:noWrap/>
            <w:vAlign w:val="bottom"/>
            <w:hideMark/>
          </w:tcPr>
          <w:p w:rsidR="00774EC7" w:rsidRPr="0017639E" w:rsidRDefault="00774EC7" w:rsidP="00605F78">
            <w:pPr>
              <w:pStyle w:val="TableTextLeftBold-BP3"/>
            </w:pPr>
          </w:p>
        </w:tc>
        <w:tc>
          <w:tcPr>
            <w:tcW w:w="270" w:type="dxa"/>
            <w:tcBorders>
              <w:top w:val="nil"/>
              <w:left w:val="nil"/>
              <w:bottom w:val="nil"/>
              <w:right w:val="nil"/>
            </w:tcBorders>
            <w:shd w:val="clear" w:color="auto" w:fill="auto"/>
            <w:noWrap/>
            <w:vAlign w:val="bottom"/>
            <w:hideMark/>
          </w:tcPr>
          <w:p w:rsidR="00774EC7" w:rsidRPr="0017639E" w:rsidRDefault="00774EC7" w:rsidP="00B40676">
            <w:pPr>
              <w:rPr>
                <w:rFonts w:cs="Calibri"/>
                <w:b/>
                <w:color w:val="000000"/>
                <w:sz w:val="20"/>
              </w:rPr>
            </w:pPr>
          </w:p>
        </w:tc>
        <w:tc>
          <w:tcPr>
            <w:tcW w:w="991" w:type="dxa"/>
            <w:tcBorders>
              <w:top w:val="nil"/>
              <w:left w:val="nil"/>
              <w:bottom w:val="nil"/>
              <w:right w:val="nil"/>
            </w:tcBorders>
            <w:shd w:val="clear" w:color="auto" w:fill="auto"/>
            <w:noWrap/>
            <w:hideMark/>
          </w:tcPr>
          <w:p w:rsidR="00774EC7" w:rsidRPr="0017639E" w:rsidRDefault="00774EC7" w:rsidP="00774EC7">
            <w:pPr>
              <w:jc w:val="right"/>
              <w:rPr>
                <w:b/>
                <w:bCs/>
                <w:color w:val="000000"/>
                <w:sz w:val="20"/>
              </w:rPr>
            </w:pPr>
          </w:p>
        </w:tc>
        <w:tc>
          <w:tcPr>
            <w:tcW w:w="992" w:type="dxa"/>
            <w:tcBorders>
              <w:top w:val="nil"/>
              <w:left w:val="nil"/>
              <w:bottom w:val="nil"/>
              <w:right w:val="nil"/>
            </w:tcBorders>
            <w:shd w:val="clear" w:color="auto" w:fill="auto"/>
            <w:noWrap/>
            <w:hideMark/>
          </w:tcPr>
          <w:p w:rsidR="00774EC7" w:rsidRPr="0017639E" w:rsidRDefault="00774EC7" w:rsidP="00774EC7">
            <w:pPr>
              <w:jc w:val="right"/>
              <w:rPr>
                <w:b/>
                <w:bCs/>
                <w:color w:val="000000"/>
                <w:sz w:val="20"/>
              </w:rPr>
            </w:pPr>
          </w:p>
        </w:tc>
        <w:tc>
          <w:tcPr>
            <w:tcW w:w="992" w:type="dxa"/>
            <w:tcBorders>
              <w:top w:val="nil"/>
              <w:left w:val="nil"/>
              <w:bottom w:val="nil"/>
              <w:right w:val="nil"/>
            </w:tcBorders>
            <w:shd w:val="clear" w:color="auto" w:fill="auto"/>
            <w:noWrap/>
            <w:hideMark/>
          </w:tcPr>
          <w:p w:rsidR="00774EC7" w:rsidRPr="0017639E" w:rsidRDefault="00774EC7" w:rsidP="00774EC7">
            <w:pPr>
              <w:jc w:val="right"/>
              <w:rPr>
                <w:b/>
                <w:bCs/>
                <w:color w:val="000000"/>
                <w:sz w:val="20"/>
              </w:rPr>
            </w:pPr>
          </w:p>
        </w:tc>
        <w:tc>
          <w:tcPr>
            <w:tcW w:w="992" w:type="dxa"/>
            <w:tcBorders>
              <w:top w:val="nil"/>
              <w:left w:val="nil"/>
              <w:bottom w:val="nil"/>
              <w:right w:val="nil"/>
            </w:tcBorders>
            <w:shd w:val="clear" w:color="auto" w:fill="auto"/>
            <w:noWrap/>
            <w:hideMark/>
          </w:tcPr>
          <w:p w:rsidR="00774EC7" w:rsidRPr="0017639E" w:rsidRDefault="00774EC7" w:rsidP="00774EC7">
            <w:pPr>
              <w:jc w:val="right"/>
              <w:rPr>
                <w:b/>
                <w:bCs/>
                <w:color w:val="000000"/>
                <w:sz w:val="20"/>
              </w:rPr>
            </w:pPr>
          </w:p>
        </w:tc>
        <w:tc>
          <w:tcPr>
            <w:tcW w:w="992" w:type="dxa"/>
            <w:tcBorders>
              <w:top w:val="nil"/>
              <w:left w:val="nil"/>
              <w:bottom w:val="nil"/>
              <w:right w:val="nil"/>
            </w:tcBorders>
          </w:tcPr>
          <w:p w:rsidR="00774EC7" w:rsidRPr="0017639E" w:rsidRDefault="00774EC7" w:rsidP="00774EC7">
            <w:pPr>
              <w:jc w:val="right"/>
              <w:rPr>
                <w:b/>
                <w:bCs/>
                <w:color w:val="000000"/>
                <w:sz w:val="20"/>
              </w:rPr>
            </w:pPr>
          </w:p>
        </w:tc>
      </w:tr>
      <w:tr w:rsidR="00531D69" w:rsidRPr="00E0704F" w:rsidTr="00531D69">
        <w:trPr>
          <w:trHeight w:val="227"/>
        </w:trPr>
        <w:tc>
          <w:tcPr>
            <w:tcW w:w="3871" w:type="dxa"/>
            <w:tcBorders>
              <w:top w:val="nil"/>
              <w:left w:val="nil"/>
              <w:bottom w:val="nil"/>
              <w:right w:val="nil"/>
            </w:tcBorders>
            <w:shd w:val="clear" w:color="auto" w:fill="auto"/>
            <w:noWrap/>
            <w:hideMark/>
          </w:tcPr>
          <w:p w:rsidR="00531D69" w:rsidRPr="00531D69" w:rsidRDefault="00531D69" w:rsidP="002306CE">
            <w:pPr>
              <w:pStyle w:val="TableTextLeft-BP3"/>
              <w:rPr>
                <w:b/>
              </w:rPr>
            </w:pPr>
            <w:r w:rsidRPr="00531D69">
              <w:rPr>
                <w:b/>
              </w:rPr>
              <w:t xml:space="preserve">Ceasing </w:t>
            </w:r>
            <w:r w:rsidR="002306CE">
              <w:rPr>
                <w:b/>
              </w:rPr>
              <w:t>I</w:t>
            </w:r>
            <w:r w:rsidRPr="00531D69">
              <w:rPr>
                <w:b/>
              </w:rPr>
              <w:t>nitiatives</w:t>
            </w:r>
          </w:p>
        </w:tc>
        <w:tc>
          <w:tcPr>
            <w:tcW w:w="270" w:type="dxa"/>
            <w:tcBorders>
              <w:top w:val="nil"/>
              <w:left w:val="nil"/>
              <w:bottom w:val="nil"/>
              <w:right w:val="nil"/>
            </w:tcBorders>
            <w:shd w:val="clear" w:color="auto" w:fill="auto"/>
            <w:noWrap/>
            <w:hideMark/>
          </w:tcPr>
          <w:p w:rsidR="00531D69" w:rsidRPr="00897D77" w:rsidRDefault="00531D69" w:rsidP="00531D69">
            <w:pPr>
              <w:pStyle w:val="TableTextLeft-BP3"/>
            </w:pPr>
          </w:p>
        </w:tc>
        <w:tc>
          <w:tcPr>
            <w:tcW w:w="991" w:type="dxa"/>
            <w:tcBorders>
              <w:top w:val="nil"/>
              <w:left w:val="nil"/>
              <w:bottom w:val="nil"/>
              <w:right w:val="nil"/>
            </w:tcBorders>
            <w:shd w:val="clear" w:color="auto" w:fill="auto"/>
            <w:noWrap/>
            <w:hideMark/>
          </w:tcPr>
          <w:p w:rsidR="00531D69" w:rsidRPr="00897D77" w:rsidRDefault="00531D69" w:rsidP="00531D69">
            <w:pPr>
              <w:pStyle w:val="TableTextLeft-BP3"/>
              <w:jc w:val="right"/>
            </w:pPr>
            <w:r w:rsidRPr="00897D77">
              <w:t>988</w:t>
            </w:r>
          </w:p>
        </w:tc>
        <w:tc>
          <w:tcPr>
            <w:tcW w:w="992" w:type="dxa"/>
            <w:tcBorders>
              <w:top w:val="nil"/>
              <w:left w:val="nil"/>
              <w:bottom w:val="nil"/>
              <w:right w:val="nil"/>
            </w:tcBorders>
            <w:shd w:val="clear" w:color="auto" w:fill="auto"/>
            <w:noWrap/>
            <w:hideMark/>
          </w:tcPr>
          <w:p w:rsidR="00531D69" w:rsidRPr="00897D77" w:rsidRDefault="00531D69" w:rsidP="00531D69">
            <w:pPr>
              <w:pStyle w:val="TableTextLeft-BP3"/>
              <w:jc w:val="right"/>
            </w:pPr>
            <w:r w:rsidRPr="00897D77">
              <w:t>1</w:t>
            </w:r>
            <w:r>
              <w:t>,</w:t>
            </w:r>
            <w:r w:rsidRPr="00897D77">
              <w:t>678</w:t>
            </w:r>
          </w:p>
        </w:tc>
        <w:tc>
          <w:tcPr>
            <w:tcW w:w="992" w:type="dxa"/>
            <w:tcBorders>
              <w:top w:val="nil"/>
              <w:left w:val="nil"/>
              <w:bottom w:val="nil"/>
              <w:right w:val="nil"/>
            </w:tcBorders>
            <w:shd w:val="clear" w:color="auto" w:fill="auto"/>
            <w:noWrap/>
            <w:hideMark/>
          </w:tcPr>
          <w:p w:rsidR="00531D69" w:rsidRPr="00897D77" w:rsidRDefault="00531D69" w:rsidP="00531D69">
            <w:pPr>
              <w:pStyle w:val="TableTextLeft-BP3"/>
              <w:jc w:val="right"/>
            </w:pPr>
            <w:r w:rsidRPr="00897D77">
              <w:t>1</w:t>
            </w:r>
            <w:r>
              <w:t>,</w:t>
            </w:r>
            <w:r w:rsidRPr="00897D77">
              <w:t>704</w:t>
            </w:r>
          </w:p>
        </w:tc>
        <w:tc>
          <w:tcPr>
            <w:tcW w:w="992" w:type="dxa"/>
            <w:tcBorders>
              <w:top w:val="nil"/>
              <w:left w:val="nil"/>
              <w:bottom w:val="nil"/>
              <w:right w:val="nil"/>
            </w:tcBorders>
            <w:shd w:val="clear" w:color="auto" w:fill="auto"/>
            <w:noWrap/>
            <w:hideMark/>
          </w:tcPr>
          <w:p w:rsidR="00531D69" w:rsidRPr="00897D77" w:rsidRDefault="00531D69" w:rsidP="00531D69">
            <w:pPr>
              <w:pStyle w:val="TableTextLeft-BP3"/>
              <w:jc w:val="right"/>
            </w:pPr>
            <w:r w:rsidRPr="00897D77">
              <w:t>1</w:t>
            </w:r>
            <w:r>
              <w:t>,</w:t>
            </w:r>
            <w:r w:rsidRPr="00897D77">
              <w:t>731</w:t>
            </w:r>
          </w:p>
        </w:tc>
        <w:tc>
          <w:tcPr>
            <w:tcW w:w="992" w:type="dxa"/>
            <w:tcBorders>
              <w:top w:val="nil"/>
              <w:left w:val="nil"/>
              <w:bottom w:val="nil"/>
              <w:right w:val="nil"/>
            </w:tcBorders>
          </w:tcPr>
          <w:p w:rsidR="00531D69" w:rsidRPr="00897D77" w:rsidRDefault="00531D69" w:rsidP="00531D69">
            <w:pPr>
              <w:pStyle w:val="TableTextLeft-BP3"/>
              <w:jc w:val="right"/>
            </w:pPr>
            <w:r w:rsidRPr="00897D77">
              <w:t>6</w:t>
            </w:r>
            <w:r>
              <w:t>,</w:t>
            </w:r>
            <w:r w:rsidRPr="00897D77">
              <w:t>101</w:t>
            </w:r>
          </w:p>
        </w:tc>
      </w:tr>
      <w:tr w:rsidR="00531D69" w:rsidRPr="00E0704F" w:rsidTr="00531D69">
        <w:trPr>
          <w:trHeight w:val="227"/>
        </w:trPr>
        <w:tc>
          <w:tcPr>
            <w:tcW w:w="3871" w:type="dxa"/>
            <w:tcBorders>
              <w:top w:val="nil"/>
              <w:left w:val="nil"/>
              <w:bottom w:val="nil"/>
              <w:right w:val="nil"/>
            </w:tcBorders>
            <w:shd w:val="clear" w:color="auto" w:fill="auto"/>
            <w:noWrap/>
            <w:hideMark/>
          </w:tcPr>
          <w:p w:rsidR="00531D69" w:rsidRPr="00531D69" w:rsidRDefault="00531D69" w:rsidP="002306CE">
            <w:pPr>
              <w:pStyle w:val="TableTextLeft-BP3"/>
              <w:rPr>
                <w:b/>
              </w:rPr>
            </w:pPr>
            <w:r w:rsidRPr="00531D69">
              <w:rPr>
                <w:b/>
              </w:rPr>
              <w:t xml:space="preserve">General </w:t>
            </w:r>
            <w:r w:rsidR="002306CE">
              <w:rPr>
                <w:b/>
              </w:rPr>
              <w:t>S</w:t>
            </w:r>
            <w:r w:rsidRPr="00531D69">
              <w:rPr>
                <w:b/>
              </w:rPr>
              <w:t>avings</w:t>
            </w:r>
          </w:p>
        </w:tc>
        <w:tc>
          <w:tcPr>
            <w:tcW w:w="270" w:type="dxa"/>
            <w:tcBorders>
              <w:top w:val="nil"/>
              <w:left w:val="nil"/>
              <w:bottom w:val="nil"/>
              <w:right w:val="nil"/>
            </w:tcBorders>
            <w:shd w:val="clear" w:color="auto" w:fill="auto"/>
            <w:noWrap/>
            <w:hideMark/>
          </w:tcPr>
          <w:p w:rsidR="00531D69" w:rsidRPr="00897D77" w:rsidRDefault="00531D69" w:rsidP="00531D69">
            <w:pPr>
              <w:pStyle w:val="TableTextLeft-BP3"/>
            </w:pPr>
          </w:p>
        </w:tc>
        <w:tc>
          <w:tcPr>
            <w:tcW w:w="991" w:type="dxa"/>
            <w:tcBorders>
              <w:top w:val="nil"/>
              <w:left w:val="nil"/>
              <w:bottom w:val="nil"/>
              <w:right w:val="nil"/>
            </w:tcBorders>
            <w:shd w:val="clear" w:color="auto" w:fill="auto"/>
            <w:noWrap/>
            <w:hideMark/>
          </w:tcPr>
          <w:p w:rsidR="00531D69" w:rsidRPr="00897D77" w:rsidRDefault="00531D69" w:rsidP="00531D69">
            <w:pPr>
              <w:pStyle w:val="TableTextLeft-BP3"/>
              <w:jc w:val="right"/>
            </w:pPr>
            <w:r w:rsidRPr="00897D77">
              <w:t>14,993</w:t>
            </w:r>
          </w:p>
        </w:tc>
        <w:tc>
          <w:tcPr>
            <w:tcW w:w="992" w:type="dxa"/>
            <w:tcBorders>
              <w:top w:val="nil"/>
              <w:left w:val="nil"/>
              <w:bottom w:val="nil"/>
              <w:right w:val="nil"/>
            </w:tcBorders>
            <w:shd w:val="clear" w:color="auto" w:fill="auto"/>
            <w:noWrap/>
            <w:hideMark/>
          </w:tcPr>
          <w:p w:rsidR="00531D69" w:rsidRPr="00897D77" w:rsidRDefault="00531D69" w:rsidP="00531D69">
            <w:pPr>
              <w:pStyle w:val="TableTextLeft-BP3"/>
              <w:jc w:val="right"/>
            </w:pPr>
            <w:r w:rsidRPr="00897D77">
              <w:t>14,695</w:t>
            </w:r>
          </w:p>
        </w:tc>
        <w:tc>
          <w:tcPr>
            <w:tcW w:w="992" w:type="dxa"/>
            <w:tcBorders>
              <w:top w:val="nil"/>
              <w:left w:val="nil"/>
              <w:bottom w:val="nil"/>
              <w:right w:val="nil"/>
            </w:tcBorders>
            <w:shd w:val="clear" w:color="auto" w:fill="auto"/>
            <w:noWrap/>
            <w:hideMark/>
          </w:tcPr>
          <w:p w:rsidR="00531D69" w:rsidRPr="00897D77" w:rsidRDefault="00531D69" w:rsidP="00531D69">
            <w:pPr>
              <w:pStyle w:val="TableTextLeft-BP3"/>
              <w:jc w:val="right"/>
            </w:pPr>
            <w:r w:rsidRPr="00897D77">
              <w:t>17,102</w:t>
            </w:r>
          </w:p>
        </w:tc>
        <w:tc>
          <w:tcPr>
            <w:tcW w:w="992" w:type="dxa"/>
            <w:tcBorders>
              <w:top w:val="nil"/>
              <w:left w:val="nil"/>
              <w:bottom w:val="nil"/>
              <w:right w:val="nil"/>
            </w:tcBorders>
            <w:shd w:val="clear" w:color="auto" w:fill="auto"/>
            <w:noWrap/>
            <w:hideMark/>
          </w:tcPr>
          <w:p w:rsidR="00531D69" w:rsidRPr="00897D77" w:rsidRDefault="00531D69" w:rsidP="00531D69">
            <w:pPr>
              <w:pStyle w:val="TableTextLeft-BP3"/>
              <w:jc w:val="right"/>
            </w:pPr>
            <w:r w:rsidRPr="00897D77">
              <w:t>19,586</w:t>
            </w:r>
          </w:p>
        </w:tc>
        <w:tc>
          <w:tcPr>
            <w:tcW w:w="992" w:type="dxa"/>
            <w:tcBorders>
              <w:top w:val="nil"/>
              <w:left w:val="nil"/>
              <w:bottom w:val="nil"/>
              <w:right w:val="nil"/>
            </w:tcBorders>
          </w:tcPr>
          <w:p w:rsidR="00531D69" w:rsidRPr="00897D77" w:rsidRDefault="00531D69" w:rsidP="00531D69">
            <w:pPr>
              <w:pStyle w:val="TableTextLeft-BP3"/>
              <w:jc w:val="right"/>
            </w:pPr>
            <w:r w:rsidRPr="00897D77">
              <w:t>66,376</w:t>
            </w:r>
          </w:p>
        </w:tc>
      </w:tr>
      <w:tr w:rsidR="00531D69" w:rsidRPr="00E0704F" w:rsidTr="00531D69">
        <w:trPr>
          <w:trHeight w:val="227"/>
        </w:trPr>
        <w:tc>
          <w:tcPr>
            <w:tcW w:w="3871" w:type="dxa"/>
            <w:tcBorders>
              <w:top w:val="nil"/>
              <w:left w:val="nil"/>
              <w:bottom w:val="nil"/>
              <w:right w:val="nil"/>
            </w:tcBorders>
            <w:shd w:val="clear" w:color="auto" w:fill="auto"/>
            <w:noWrap/>
            <w:hideMark/>
          </w:tcPr>
          <w:p w:rsidR="00531D69" w:rsidRPr="00531D69" w:rsidRDefault="00D8651E" w:rsidP="002306CE">
            <w:pPr>
              <w:pStyle w:val="TableTextLeft-BP3"/>
              <w:rPr>
                <w:b/>
              </w:rPr>
            </w:pPr>
            <w:r>
              <w:rPr>
                <w:b/>
              </w:rPr>
              <w:t xml:space="preserve">Service </w:t>
            </w:r>
            <w:proofErr w:type="spellStart"/>
            <w:r w:rsidR="002306CE">
              <w:rPr>
                <w:b/>
              </w:rPr>
              <w:t>R</w:t>
            </w:r>
            <w:r w:rsidR="00531D69" w:rsidRPr="00531D69">
              <w:rPr>
                <w:b/>
              </w:rPr>
              <w:t>eprofiling</w:t>
            </w:r>
            <w:proofErr w:type="spellEnd"/>
          </w:p>
        </w:tc>
        <w:tc>
          <w:tcPr>
            <w:tcW w:w="270" w:type="dxa"/>
            <w:tcBorders>
              <w:top w:val="nil"/>
              <w:left w:val="nil"/>
              <w:bottom w:val="nil"/>
              <w:right w:val="nil"/>
            </w:tcBorders>
            <w:shd w:val="clear" w:color="auto" w:fill="auto"/>
            <w:noWrap/>
            <w:hideMark/>
          </w:tcPr>
          <w:p w:rsidR="00531D69" w:rsidRPr="00897D77" w:rsidRDefault="00531D69" w:rsidP="00531D69">
            <w:pPr>
              <w:pStyle w:val="TableTextLeft-BP3"/>
            </w:pPr>
          </w:p>
        </w:tc>
        <w:tc>
          <w:tcPr>
            <w:tcW w:w="991" w:type="dxa"/>
            <w:tcBorders>
              <w:top w:val="nil"/>
              <w:left w:val="nil"/>
              <w:bottom w:val="nil"/>
              <w:right w:val="nil"/>
            </w:tcBorders>
            <w:shd w:val="clear" w:color="auto" w:fill="auto"/>
            <w:noWrap/>
            <w:hideMark/>
          </w:tcPr>
          <w:p w:rsidR="00531D69" w:rsidRPr="00897D77" w:rsidRDefault="00531D69" w:rsidP="00531D69">
            <w:pPr>
              <w:pStyle w:val="TableTextLeft-BP3"/>
              <w:jc w:val="right"/>
            </w:pPr>
            <w:r w:rsidRPr="00897D77">
              <w:t>5,778</w:t>
            </w:r>
          </w:p>
        </w:tc>
        <w:tc>
          <w:tcPr>
            <w:tcW w:w="992" w:type="dxa"/>
            <w:tcBorders>
              <w:top w:val="nil"/>
              <w:left w:val="nil"/>
              <w:bottom w:val="nil"/>
              <w:right w:val="nil"/>
            </w:tcBorders>
            <w:shd w:val="clear" w:color="auto" w:fill="auto"/>
            <w:noWrap/>
            <w:hideMark/>
          </w:tcPr>
          <w:p w:rsidR="00531D69" w:rsidRPr="00897D77" w:rsidRDefault="00531D69" w:rsidP="00531D69">
            <w:pPr>
              <w:pStyle w:val="TableTextLeft-BP3"/>
              <w:jc w:val="right"/>
            </w:pPr>
            <w:r w:rsidRPr="00897D77">
              <w:t>8,220</w:t>
            </w:r>
          </w:p>
        </w:tc>
        <w:tc>
          <w:tcPr>
            <w:tcW w:w="992" w:type="dxa"/>
            <w:tcBorders>
              <w:top w:val="nil"/>
              <w:left w:val="nil"/>
              <w:bottom w:val="nil"/>
              <w:right w:val="nil"/>
            </w:tcBorders>
            <w:shd w:val="clear" w:color="auto" w:fill="auto"/>
            <w:noWrap/>
            <w:hideMark/>
          </w:tcPr>
          <w:p w:rsidR="00531D69" w:rsidRPr="00897D77" w:rsidRDefault="00531D69" w:rsidP="00531D69">
            <w:pPr>
              <w:pStyle w:val="TableTextLeft-BP3"/>
              <w:jc w:val="right"/>
            </w:pPr>
            <w:r w:rsidRPr="00897D77">
              <w:t>12,198</w:t>
            </w:r>
          </w:p>
        </w:tc>
        <w:tc>
          <w:tcPr>
            <w:tcW w:w="992" w:type="dxa"/>
            <w:tcBorders>
              <w:top w:val="nil"/>
              <w:left w:val="nil"/>
              <w:bottom w:val="nil"/>
              <w:right w:val="nil"/>
            </w:tcBorders>
            <w:shd w:val="clear" w:color="auto" w:fill="auto"/>
            <w:noWrap/>
            <w:hideMark/>
          </w:tcPr>
          <w:p w:rsidR="00531D69" w:rsidRPr="00897D77" w:rsidRDefault="00531D69" w:rsidP="00531D69">
            <w:pPr>
              <w:pStyle w:val="TableTextLeft-BP3"/>
              <w:jc w:val="right"/>
            </w:pPr>
            <w:r w:rsidRPr="00897D77">
              <w:t>13,882</w:t>
            </w:r>
          </w:p>
        </w:tc>
        <w:tc>
          <w:tcPr>
            <w:tcW w:w="992" w:type="dxa"/>
            <w:tcBorders>
              <w:top w:val="nil"/>
              <w:left w:val="nil"/>
              <w:bottom w:val="nil"/>
              <w:right w:val="nil"/>
            </w:tcBorders>
          </w:tcPr>
          <w:p w:rsidR="00531D69" w:rsidRPr="00897D77" w:rsidRDefault="00531D69" w:rsidP="00531D69">
            <w:pPr>
              <w:pStyle w:val="TableTextLeft-BP3"/>
              <w:jc w:val="right"/>
            </w:pPr>
            <w:r w:rsidRPr="00897D77">
              <w:t>40,078</w:t>
            </w:r>
          </w:p>
        </w:tc>
      </w:tr>
      <w:tr w:rsidR="00531D69" w:rsidRPr="00E0704F" w:rsidTr="00531D69">
        <w:trPr>
          <w:trHeight w:val="227"/>
        </w:trPr>
        <w:tc>
          <w:tcPr>
            <w:tcW w:w="3871" w:type="dxa"/>
            <w:tcBorders>
              <w:top w:val="nil"/>
              <w:left w:val="nil"/>
              <w:bottom w:val="single" w:sz="4" w:space="0" w:color="auto"/>
              <w:right w:val="nil"/>
            </w:tcBorders>
            <w:shd w:val="clear" w:color="auto" w:fill="auto"/>
            <w:noWrap/>
            <w:hideMark/>
          </w:tcPr>
          <w:p w:rsidR="00531D69" w:rsidRPr="00531D69" w:rsidRDefault="00531D69" w:rsidP="00531D69">
            <w:pPr>
              <w:pStyle w:val="TableTextLeft-BP3"/>
              <w:rPr>
                <w:b/>
              </w:rPr>
            </w:pPr>
          </w:p>
        </w:tc>
        <w:tc>
          <w:tcPr>
            <w:tcW w:w="270" w:type="dxa"/>
            <w:tcBorders>
              <w:top w:val="nil"/>
              <w:left w:val="nil"/>
              <w:bottom w:val="single" w:sz="4" w:space="0" w:color="auto"/>
              <w:right w:val="nil"/>
            </w:tcBorders>
            <w:shd w:val="clear" w:color="auto" w:fill="auto"/>
            <w:noWrap/>
            <w:hideMark/>
          </w:tcPr>
          <w:p w:rsidR="00531D69" w:rsidRPr="00897D77" w:rsidRDefault="00531D69" w:rsidP="00531D69">
            <w:pPr>
              <w:pStyle w:val="TableTextLeft-BP3"/>
            </w:pPr>
          </w:p>
        </w:tc>
        <w:tc>
          <w:tcPr>
            <w:tcW w:w="991" w:type="dxa"/>
            <w:tcBorders>
              <w:top w:val="nil"/>
              <w:left w:val="nil"/>
              <w:bottom w:val="single" w:sz="4" w:space="0" w:color="auto"/>
              <w:right w:val="nil"/>
            </w:tcBorders>
            <w:shd w:val="clear" w:color="auto" w:fill="auto"/>
            <w:noWrap/>
            <w:hideMark/>
          </w:tcPr>
          <w:p w:rsidR="00531D69" w:rsidRPr="00897D77" w:rsidRDefault="00531D69" w:rsidP="00531D69">
            <w:pPr>
              <w:pStyle w:val="TableTextLeft-BP3"/>
              <w:jc w:val="right"/>
            </w:pPr>
          </w:p>
        </w:tc>
        <w:tc>
          <w:tcPr>
            <w:tcW w:w="992" w:type="dxa"/>
            <w:tcBorders>
              <w:top w:val="nil"/>
              <w:left w:val="nil"/>
              <w:bottom w:val="single" w:sz="4" w:space="0" w:color="auto"/>
              <w:right w:val="nil"/>
            </w:tcBorders>
            <w:shd w:val="clear" w:color="auto" w:fill="auto"/>
            <w:noWrap/>
            <w:hideMark/>
          </w:tcPr>
          <w:p w:rsidR="00531D69" w:rsidRPr="00897D77" w:rsidRDefault="00531D69" w:rsidP="00531D69">
            <w:pPr>
              <w:pStyle w:val="TableTextLeft-BP3"/>
              <w:jc w:val="right"/>
            </w:pPr>
          </w:p>
        </w:tc>
        <w:tc>
          <w:tcPr>
            <w:tcW w:w="992" w:type="dxa"/>
            <w:tcBorders>
              <w:top w:val="nil"/>
              <w:left w:val="nil"/>
              <w:bottom w:val="single" w:sz="4" w:space="0" w:color="auto"/>
              <w:right w:val="nil"/>
            </w:tcBorders>
            <w:shd w:val="clear" w:color="auto" w:fill="auto"/>
            <w:noWrap/>
            <w:hideMark/>
          </w:tcPr>
          <w:p w:rsidR="00531D69" w:rsidRPr="00897D77" w:rsidRDefault="00531D69" w:rsidP="00531D69">
            <w:pPr>
              <w:pStyle w:val="TableTextLeft-BP3"/>
              <w:jc w:val="right"/>
            </w:pPr>
          </w:p>
        </w:tc>
        <w:tc>
          <w:tcPr>
            <w:tcW w:w="992" w:type="dxa"/>
            <w:tcBorders>
              <w:top w:val="nil"/>
              <w:left w:val="nil"/>
              <w:bottom w:val="single" w:sz="4" w:space="0" w:color="auto"/>
              <w:right w:val="nil"/>
            </w:tcBorders>
            <w:shd w:val="clear" w:color="auto" w:fill="auto"/>
            <w:noWrap/>
            <w:hideMark/>
          </w:tcPr>
          <w:p w:rsidR="00531D69" w:rsidRPr="00897D77" w:rsidRDefault="00531D69" w:rsidP="00531D69">
            <w:pPr>
              <w:pStyle w:val="TableTextLeft-BP3"/>
              <w:jc w:val="right"/>
            </w:pPr>
          </w:p>
        </w:tc>
        <w:tc>
          <w:tcPr>
            <w:tcW w:w="992" w:type="dxa"/>
            <w:tcBorders>
              <w:top w:val="nil"/>
              <w:left w:val="nil"/>
              <w:bottom w:val="single" w:sz="4" w:space="0" w:color="auto"/>
              <w:right w:val="nil"/>
            </w:tcBorders>
          </w:tcPr>
          <w:p w:rsidR="00531D69" w:rsidRPr="00897D77" w:rsidRDefault="00531D69" w:rsidP="00531D69">
            <w:pPr>
              <w:pStyle w:val="TableTextLeft-BP3"/>
              <w:jc w:val="right"/>
            </w:pPr>
          </w:p>
        </w:tc>
      </w:tr>
      <w:tr w:rsidR="00D8651E" w:rsidRPr="00E0704F" w:rsidTr="00531D69">
        <w:trPr>
          <w:trHeight w:val="227"/>
        </w:trPr>
        <w:tc>
          <w:tcPr>
            <w:tcW w:w="3871" w:type="dxa"/>
            <w:tcBorders>
              <w:top w:val="single" w:sz="4" w:space="0" w:color="auto"/>
              <w:left w:val="nil"/>
              <w:bottom w:val="single" w:sz="4" w:space="0" w:color="auto"/>
              <w:right w:val="nil"/>
            </w:tcBorders>
            <w:shd w:val="clear" w:color="auto" w:fill="auto"/>
            <w:noWrap/>
            <w:hideMark/>
          </w:tcPr>
          <w:p w:rsidR="00D8651E" w:rsidRPr="00130884" w:rsidRDefault="00D8651E" w:rsidP="002306CE">
            <w:pPr>
              <w:tabs>
                <w:tab w:val="right" w:pos="3655"/>
              </w:tabs>
              <w:rPr>
                <w:rFonts w:cs="Calibri"/>
                <w:b/>
                <w:bCs/>
                <w:color w:val="000000"/>
                <w:sz w:val="20"/>
                <w:lang w:eastAsia="en-AU"/>
              </w:rPr>
            </w:pPr>
            <w:r>
              <w:rPr>
                <w:rFonts w:cs="Calibri"/>
                <w:b/>
                <w:bCs/>
                <w:color w:val="000000"/>
                <w:sz w:val="20"/>
                <w:lang w:eastAsia="en-AU"/>
              </w:rPr>
              <w:t xml:space="preserve">Total </w:t>
            </w:r>
            <w:r w:rsidR="002306CE">
              <w:rPr>
                <w:rFonts w:cs="Calibri"/>
                <w:b/>
                <w:bCs/>
                <w:color w:val="000000"/>
                <w:sz w:val="20"/>
                <w:lang w:eastAsia="en-AU"/>
              </w:rPr>
              <w:t>A</w:t>
            </w:r>
            <w:r>
              <w:rPr>
                <w:rFonts w:cs="Calibri"/>
                <w:b/>
                <w:bCs/>
                <w:color w:val="000000"/>
                <w:sz w:val="20"/>
                <w:lang w:eastAsia="en-AU"/>
              </w:rPr>
              <w:t xml:space="preserve">gency </w:t>
            </w:r>
            <w:r w:rsidR="002306CE">
              <w:rPr>
                <w:rFonts w:cs="Calibri"/>
                <w:b/>
                <w:bCs/>
                <w:color w:val="000000"/>
                <w:sz w:val="20"/>
                <w:lang w:eastAsia="en-AU"/>
              </w:rPr>
              <w:t>S</w:t>
            </w:r>
            <w:r>
              <w:rPr>
                <w:rFonts w:cs="Calibri"/>
                <w:b/>
                <w:bCs/>
                <w:color w:val="000000"/>
                <w:sz w:val="20"/>
                <w:lang w:eastAsia="en-AU"/>
              </w:rPr>
              <w:t>avings</w:t>
            </w:r>
            <w:r>
              <w:rPr>
                <w:rFonts w:cs="Calibri"/>
                <w:b/>
                <w:bCs/>
                <w:color w:val="000000"/>
                <w:sz w:val="20"/>
                <w:lang w:eastAsia="en-AU"/>
              </w:rPr>
              <w:tab/>
            </w:r>
          </w:p>
        </w:tc>
        <w:tc>
          <w:tcPr>
            <w:tcW w:w="270" w:type="dxa"/>
            <w:tcBorders>
              <w:top w:val="single" w:sz="4" w:space="0" w:color="auto"/>
              <w:left w:val="nil"/>
              <w:bottom w:val="single" w:sz="4" w:space="0" w:color="auto"/>
              <w:right w:val="nil"/>
            </w:tcBorders>
            <w:shd w:val="clear" w:color="auto" w:fill="auto"/>
            <w:noWrap/>
            <w:vAlign w:val="bottom"/>
            <w:hideMark/>
          </w:tcPr>
          <w:p w:rsidR="00D8651E" w:rsidRPr="00640885" w:rsidRDefault="00D8651E" w:rsidP="00531D69">
            <w:pPr>
              <w:jc w:val="right"/>
              <w:rPr>
                <w:rFonts w:cs="Calibri"/>
                <w:b/>
                <w:bCs/>
                <w:color w:val="000000"/>
                <w:sz w:val="20"/>
                <w:lang w:eastAsia="en-AU"/>
              </w:rPr>
            </w:pPr>
          </w:p>
        </w:tc>
        <w:tc>
          <w:tcPr>
            <w:tcW w:w="991" w:type="dxa"/>
            <w:tcBorders>
              <w:top w:val="single" w:sz="4" w:space="0" w:color="auto"/>
              <w:left w:val="nil"/>
              <w:bottom w:val="single" w:sz="4" w:space="0" w:color="auto"/>
              <w:right w:val="nil"/>
            </w:tcBorders>
            <w:shd w:val="clear" w:color="auto" w:fill="auto"/>
            <w:noWrap/>
            <w:hideMark/>
          </w:tcPr>
          <w:p w:rsidR="00D8651E" w:rsidRPr="00000355" w:rsidRDefault="00D8651E" w:rsidP="00D8651E">
            <w:pPr>
              <w:jc w:val="right"/>
              <w:rPr>
                <w:b/>
                <w:color w:val="000000"/>
                <w:sz w:val="20"/>
              </w:rPr>
            </w:pPr>
            <w:r>
              <w:rPr>
                <w:b/>
                <w:color w:val="000000"/>
                <w:sz w:val="20"/>
              </w:rPr>
              <w:t>2</w:t>
            </w:r>
            <w:r w:rsidRPr="00000355">
              <w:rPr>
                <w:b/>
                <w:color w:val="000000"/>
                <w:sz w:val="20"/>
              </w:rPr>
              <w:t xml:space="preserve">1,759 </w:t>
            </w:r>
          </w:p>
        </w:tc>
        <w:tc>
          <w:tcPr>
            <w:tcW w:w="992" w:type="dxa"/>
            <w:tcBorders>
              <w:top w:val="single" w:sz="4" w:space="0" w:color="auto"/>
              <w:left w:val="nil"/>
              <w:bottom w:val="single" w:sz="4" w:space="0" w:color="auto"/>
              <w:right w:val="nil"/>
            </w:tcBorders>
            <w:shd w:val="clear" w:color="auto" w:fill="auto"/>
            <w:noWrap/>
            <w:hideMark/>
          </w:tcPr>
          <w:p w:rsidR="00D8651E" w:rsidRPr="00D8651E" w:rsidRDefault="00D8651E" w:rsidP="00D8651E">
            <w:pPr>
              <w:jc w:val="right"/>
              <w:rPr>
                <w:b/>
                <w:color w:val="000000"/>
                <w:sz w:val="20"/>
              </w:rPr>
            </w:pPr>
            <w:r w:rsidRPr="00D8651E">
              <w:rPr>
                <w:b/>
                <w:color w:val="000000"/>
                <w:sz w:val="20"/>
              </w:rPr>
              <w:t>24,593</w:t>
            </w:r>
          </w:p>
        </w:tc>
        <w:tc>
          <w:tcPr>
            <w:tcW w:w="992" w:type="dxa"/>
            <w:tcBorders>
              <w:top w:val="single" w:sz="4" w:space="0" w:color="auto"/>
              <w:left w:val="nil"/>
              <w:bottom w:val="single" w:sz="4" w:space="0" w:color="auto"/>
              <w:right w:val="nil"/>
            </w:tcBorders>
            <w:shd w:val="clear" w:color="auto" w:fill="auto"/>
            <w:noWrap/>
            <w:hideMark/>
          </w:tcPr>
          <w:p w:rsidR="00D8651E" w:rsidRPr="00D8651E" w:rsidRDefault="00D8651E" w:rsidP="00D8651E">
            <w:pPr>
              <w:jc w:val="right"/>
              <w:rPr>
                <w:b/>
                <w:color w:val="000000"/>
                <w:sz w:val="20"/>
              </w:rPr>
            </w:pPr>
            <w:r w:rsidRPr="00D8651E">
              <w:rPr>
                <w:b/>
                <w:color w:val="000000"/>
                <w:sz w:val="20"/>
              </w:rPr>
              <w:t>31,004</w:t>
            </w:r>
          </w:p>
        </w:tc>
        <w:tc>
          <w:tcPr>
            <w:tcW w:w="992" w:type="dxa"/>
            <w:tcBorders>
              <w:top w:val="single" w:sz="4" w:space="0" w:color="auto"/>
              <w:left w:val="nil"/>
              <w:bottom w:val="single" w:sz="4" w:space="0" w:color="auto"/>
              <w:right w:val="nil"/>
            </w:tcBorders>
            <w:shd w:val="clear" w:color="auto" w:fill="auto"/>
            <w:noWrap/>
            <w:hideMark/>
          </w:tcPr>
          <w:p w:rsidR="00D8651E" w:rsidRPr="00D8651E" w:rsidRDefault="00D8651E" w:rsidP="00D8651E">
            <w:pPr>
              <w:jc w:val="right"/>
              <w:rPr>
                <w:b/>
                <w:color w:val="000000"/>
                <w:sz w:val="20"/>
              </w:rPr>
            </w:pPr>
            <w:r w:rsidRPr="00D8651E">
              <w:rPr>
                <w:b/>
                <w:color w:val="000000"/>
                <w:sz w:val="20"/>
              </w:rPr>
              <w:t>35,199</w:t>
            </w:r>
          </w:p>
        </w:tc>
        <w:tc>
          <w:tcPr>
            <w:tcW w:w="992" w:type="dxa"/>
            <w:tcBorders>
              <w:top w:val="single" w:sz="4" w:space="0" w:color="auto"/>
              <w:left w:val="nil"/>
              <w:bottom w:val="single" w:sz="4" w:space="0" w:color="auto"/>
              <w:right w:val="nil"/>
            </w:tcBorders>
          </w:tcPr>
          <w:p w:rsidR="00D8651E" w:rsidRPr="00D8651E" w:rsidRDefault="00D8651E" w:rsidP="00D8651E">
            <w:pPr>
              <w:jc w:val="right"/>
              <w:rPr>
                <w:b/>
                <w:color w:val="000000"/>
                <w:sz w:val="20"/>
              </w:rPr>
            </w:pPr>
            <w:r w:rsidRPr="00D8651E">
              <w:rPr>
                <w:b/>
                <w:color w:val="000000"/>
                <w:sz w:val="20"/>
              </w:rPr>
              <w:t>112,555</w:t>
            </w:r>
          </w:p>
        </w:tc>
      </w:tr>
      <w:tr w:rsidR="00531D69" w:rsidRPr="00E0704F" w:rsidTr="00531D69">
        <w:trPr>
          <w:trHeight w:val="227"/>
        </w:trPr>
        <w:tc>
          <w:tcPr>
            <w:tcW w:w="3871" w:type="dxa"/>
            <w:tcBorders>
              <w:top w:val="single" w:sz="4" w:space="0" w:color="auto"/>
              <w:left w:val="nil"/>
              <w:bottom w:val="single" w:sz="4" w:space="0" w:color="auto"/>
              <w:right w:val="nil"/>
            </w:tcBorders>
            <w:shd w:val="clear" w:color="auto" w:fill="auto"/>
            <w:noWrap/>
            <w:hideMark/>
          </w:tcPr>
          <w:p w:rsidR="00531D69" w:rsidRDefault="00531D69" w:rsidP="00531D69">
            <w:pPr>
              <w:pStyle w:val="TableTextLeft-BP3"/>
              <w:rPr>
                <w:b/>
              </w:rPr>
            </w:pPr>
          </w:p>
        </w:tc>
        <w:tc>
          <w:tcPr>
            <w:tcW w:w="270" w:type="dxa"/>
            <w:tcBorders>
              <w:top w:val="single" w:sz="4" w:space="0" w:color="auto"/>
              <w:left w:val="nil"/>
              <w:bottom w:val="single" w:sz="4" w:space="0" w:color="auto"/>
              <w:right w:val="nil"/>
            </w:tcBorders>
            <w:shd w:val="clear" w:color="auto" w:fill="auto"/>
            <w:noWrap/>
            <w:hideMark/>
          </w:tcPr>
          <w:p w:rsidR="00531D69" w:rsidRPr="00897D77" w:rsidRDefault="00531D69" w:rsidP="00531D69">
            <w:pPr>
              <w:pStyle w:val="TableTextLeft-BP3"/>
            </w:pPr>
          </w:p>
        </w:tc>
        <w:tc>
          <w:tcPr>
            <w:tcW w:w="991" w:type="dxa"/>
            <w:tcBorders>
              <w:top w:val="single" w:sz="4" w:space="0" w:color="auto"/>
              <w:left w:val="nil"/>
              <w:bottom w:val="single" w:sz="4" w:space="0" w:color="auto"/>
              <w:right w:val="nil"/>
            </w:tcBorders>
            <w:shd w:val="clear" w:color="auto" w:fill="auto"/>
            <w:noWrap/>
            <w:hideMark/>
          </w:tcPr>
          <w:p w:rsidR="00531D69" w:rsidRDefault="00531D69" w:rsidP="00531D69">
            <w:pPr>
              <w:pStyle w:val="TableTextLeft-BP3"/>
              <w:jc w:val="right"/>
            </w:pPr>
          </w:p>
        </w:tc>
        <w:tc>
          <w:tcPr>
            <w:tcW w:w="992" w:type="dxa"/>
            <w:tcBorders>
              <w:top w:val="single" w:sz="4" w:space="0" w:color="auto"/>
              <w:left w:val="nil"/>
              <w:bottom w:val="single" w:sz="4" w:space="0" w:color="auto"/>
              <w:right w:val="nil"/>
            </w:tcBorders>
            <w:shd w:val="clear" w:color="auto" w:fill="auto"/>
            <w:noWrap/>
            <w:hideMark/>
          </w:tcPr>
          <w:p w:rsidR="00531D69" w:rsidRPr="00897D77" w:rsidRDefault="00531D69" w:rsidP="00531D69">
            <w:pPr>
              <w:pStyle w:val="TableTextLeft-BP3"/>
              <w:jc w:val="right"/>
            </w:pPr>
          </w:p>
        </w:tc>
        <w:tc>
          <w:tcPr>
            <w:tcW w:w="992" w:type="dxa"/>
            <w:tcBorders>
              <w:top w:val="single" w:sz="4" w:space="0" w:color="auto"/>
              <w:left w:val="nil"/>
              <w:bottom w:val="single" w:sz="4" w:space="0" w:color="auto"/>
              <w:right w:val="nil"/>
            </w:tcBorders>
            <w:shd w:val="clear" w:color="auto" w:fill="auto"/>
            <w:noWrap/>
            <w:hideMark/>
          </w:tcPr>
          <w:p w:rsidR="00531D69" w:rsidRPr="00897D77" w:rsidRDefault="00531D69" w:rsidP="00531D69">
            <w:pPr>
              <w:pStyle w:val="TableTextLeft-BP3"/>
              <w:jc w:val="right"/>
            </w:pPr>
          </w:p>
        </w:tc>
        <w:tc>
          <w:tcPr>
            <w:tcW w:w="992" w:type="dxa"/>
            <w:tcBorders>
              <w:top w:val="single" w:sz="4" w:space="0" w:color="auto"/>
              <w:left w:val="nil"/>
              <w:bottom w:val="single" w:sz="4" w:space="0" w:color="auto"/>
              <w:right w:val="nil"/>
            </w:tcBorders>
            <w:shd w:val="clear" w:color="auto" w:fill="auto"/>
            <w:noWrap/>
            <w:hideMark/>
          </w:tcPr>
          <w:p w:rsidR="00531D69" w:rsidRPr="00897D77" w:rsidRDefault="00531D69" w:rsidP="00531D69">
            <w:pPr>
              <w:pStyle w:val="TableTextLeft-BP3"/>
              <w:jc w:val="right"/>
            </w:pPr>
          </w:p>
        </w:tc>
        <w:tc>
          <w:tcPr>
            <w:tcW w:w="992" w:type="dxa"/>
            <w:tcBorders>
              <w:top w:val="single" w:sz="4" w:space="0" w:color="auto"/>
              <w:left w:val="nil"/>
              <w:bottom w:val="single" w:sz="4" w:space="0" w:color="auto"/>
              <w:right w:val="nil"/>
            </w:tcBorders>
          </w:tcPr>
          <w:p w:rsidR="00531D69" w:rsidRPr="00897D77" w:rsidRDefault="00531D69" w:rsidP="00531D69">
            <w:pPr>
              <w:pStyle w:val="TableTextLeft-BP3"/>
              <w:jc w:val="right"/>
            </w:pPr>
          </w:p>
        </w:tc>
      </w:tr>
      <w:tr w:rsidR="00531D69" w:rsidRPr="00E0704F" w:rsidTr="00531D69">
        <w:trPr>
          <w:trHeight w:val="227"/>
        </w:trPr>
        <w:tc>
          <w:tcPr>
            <w:tcW w:w="3871" w:type="dxa"/>
            <w:tcBorders>
              <w:top w:val="single" w:sz="4" w:space="0" w:color="auto"/>
              <w:left w:val="nil"/>
              <w:bottom w:val="single" w:sz="4" w:space="0" w:color="auto"/>
              <w:right w:val="nil"/>
            </w:tcBorders>
            <w:shd w:val="clear" w:color="auto" w:fill="auto"/>
            <w:noWrap/>
            <w:hideMark/>
          </w:tcPr>
          <w:p w:rsidR="00531D69" w:rsidRPr="00531D69" w:rsidRDefault="00531D69" w:rsidP="00531D69">
            <w:pPr>
              <w:pStyle w:val="TableTextLeft-BP3"/>
              <w:rPr>
                <w:b/>
              </w:rPr>
            </w:pPr>
            <w:r>
              <w:rPr>
                <w:b/>
              </w:rPr>
              <w:t>Procurement Whole of Government Savings</w:t>
            </w:r>
          </w:p>
        </w:tc>
        <w:tc>
          <w:tcPr>
            <w:tcW w:w="270" w:type="dxa"/>
            <w:tcBorders>
              <w:top w:val="single" w:sz="4" w:space="0" w:color="auto"/>
              <w:left w:val="nil"/>
              <w:bottom w:val="single" w:sz="4" w:space="0" w:color="auto"/>
              <w:right w:val="nil"/>
            </w:tcBorders>
            <w:shd w:val="clear" w:color="auto" w:fill="auto"/>
            <w:noWrap/>
            <w:hideMark/>
          </w:tcPr>
          <w:p w:rsidR="00531D69" w:rsidRPr="00897D77" w:rsidRDefault="00531D69" w:rsidP="00531D69">
            <w:pPr>
              <w:pStyle w:val="TableTextLeft-BP3"/>
            </w:pPr>
          </w:p>
        </w:tc>
        <w:tc>
          <w:tcPr>
            <w:tcW w:w="991" w:type="dxa"/>
            <w:tcBorders>
              <w:top w:val="single" w:sz="4" w:space="0" w:color="auto"/>
              <w:left w:val="nil"/>
              <w:bottom w:val="single" w:sz="4" w:space="0" w:color="auto"/>
              <w:right w:val="nil"/>
            </w:tcBorders>
            <w:shd w:val="clear" w:color="auto" w:fill="auto"/>
            <w:noWrap/>
            <w:hideMark/>
          </w:tcPr>
          <w:p w:rsidR="00531D69" w:rsidRPr="00897D77" w:rsidRDefault="00D8651E" w:rsidP="00531D69">
            <w:pPr>
              <w:pStyle w:val="TableTextLeft-BP3"/>
              <w:jc w:val="right"/>
            </w:pPr>
            <w:r>
              <w:t>0</w:t>
            </w:r>
          </w:p>
        </w:tc>
        <w:tc>
          <w:tcPr>
            <w:tcW w:w="992" w:type="dxa"/>
            <w:tcBorders>
              <w:top w:val="single" w:sz="4" w:space="0" w:color="auto"/>
              <w:left w:val="nil"/>
              <w:bottom w:val="single" w:sz="4" w:space="0" w:color="auto"/>
              <w:right w:val="nil"/>
            </w:tcBorders>
            <w:shd w:val="clear" w:color="auto" w:fill="auto"/>
            <w:noWrap/>
            <w:hideMark/>
          </w:tcPr>
          <w:p w:rsidR="00531D69" w:rsidRPr="00897D77" w:rsidRDefault="00531D69" w:rsidP="00531D69">
            <w:pPr>
              <w:pStyle w:val="TableTextLeft-BP3"/>
              <w:jc w:val="right"/>
            </w:pPr>
            <w:r w:rsidRPr="00897D77">
              <w:t>5</w:t>
            </w:r>
            <w:r>
              <w:t>,</w:t>
            </w:r>
            <w:r w:rsidRPr="00897D77">
              <w:t>000</w:t>
            </w:r>
          </w:p>
        </w:tc>
        <w:tc>
          <w:tcPr>
            <w:tcW w:w="992" w:type="dxa"/>
            <w:tcBorders>
              <w:top w:val="single" w:sz="4" w:space="0" w:color="auto"/>
              <w:left w:val="nil"/>
              <w:bottom w:val="single" w:sz="4" w:space="0" w:color="auto"/>
              <w:right w:val="nil"/>
            </w:tcBorders>
            <w:shd w:val="clear" w:color="auto" w:fill="auto"/>
            <w:noWrap/>
            <w:hideMark/>
          </w:tcPr>
          <w:p w:rsidR="00531D69" w:rsidRPr="00897D77" w:rsidRDefault="00531D69" w:rsidP="00531D69">
            <w:pPr>
              <w:pStyle w:val="TableTextLeft-BP3"/>
              <w:jc w:val="right"/>
            </w:pPr>
            <w:r w:rsidRPr="00897D77">
              <w:t>10,000</w:t>
            </w:r>
          </w:p>
        </w:tc>
        <w:tc>
          <w:tcPr>
            <w:tcW w:w="992" w:type="dxa"/>
            <w:tcBorders>
              <w:top w:val="single" w:sz="4" w:space="0" w:color="auto"/>
              <w:left w:val="nil"/>
              <w:bottom w:val="single" w:sz="4" w:space="0" w:color="auto"/>
              <w:right w:val="nil"/>
            </w:tcBorders>
            <w:shd w:val="clear" w:color="auto" w:fill="auto"/>
            <w:noWrap/>
            <w:hideMark/>
          </w:tcPr>
          <w:p w:rsidR="00531D69" w:rsidRPr="00897D77" w:rsidRDefault="00531D69" w:rsidP="00531D69">
            <w:pPr>
              <w:pStyle w:val="TableTextLeft-BP3"/>
              <w:jc w:val="right"/>
            </w:pPr>
            <w:r w:rsidRPr="00897D77">
              <w:t>15,000</w:t>
            </w:r>
          </w:p>
        </w:tc>
        <w:tc>
          <w:tcPr>
            <w:tcW w:w="992" w:type="dxa"/>
            <w:tcBorders>
              <w:top w:val="single" w:sz="4" w:space="0" w:color="auto"/>
              <w:left w:val="nil"/>
              <w:bottom w:val="single" w:sz="4" w:space="0" w:color="auto"/>
              <w:right w:val="nil"/>
            </w:tcBorders>
          </w:tcPr>
          <w:p w:rsidR="00531D69" w:rsidRDefault="00531D69" w:rsidP="00531D69">
            <w:pPr>
              <w:pStyle w:val="TableTextLeft-BP3"/>
              <w:jc w:val="right"/>
            </w:pPr>
            <w:r w:rsidRPr="00897D77">
              <w:t>30,000</w:t>
            </w:r>
          </w:p>
        </w:tc>
      </w:tr>
      <w:tr w:rsidR="00531D69" w:rsidRPr="00E0704F" w:rsidTr="00FD30DB">
        <w:trPr>
          <w:trHeight w:val="227"/>
        </w:trPr>
        <w:tc>
          <w:tcPr>
            <w:tcW w:w="3871" w:type="dxa"/>
            <w:tcBorders>
              <w:top w:val="nil"/>
              <w:left w:val="nil"/>
              <w:bottom w:val="single" w:sz="8" w:space="0" w:color="auto"/>
              <w:right w:val="nil"/>
            </w:tcBorders>
            <w:shd w:val="clear" w:color="auto" w:fill="auto"/>
            <w:noWrap/>
            <w:vAlign w:val="bottom"/>
            <w:hideMark/>
          </w:tcPr>
          <w:p w:rsidR="00531D69" w:rsidRDefault="00531D69" w:rsidP="00531D69">
            <w:pPr>
              <w:rPr>
                <w:rFonts w:cs="Calibri"/>
                <w:color w:val="000000"/>
                <w:sz w:val="20"/>
              </w:rPr>
            </w:pPr>
          </w:p>
        </w:tc>
        <w:tc>
          <w:tcPr>
            <w:tcW w:w="270" w:type="dxa"/>
            <w:tcBorders>
              <w:top w:val="nil"/>
              <w:left w:val="nil"/>
              <w:bottom w:val="single" w:sz="8" w:space="0" w:color="auto"/>
              <w:right w:val="nil"/>
            </w:tcBorders>
            <w:shd w:val="clear" w:color="auto" w:fill="auto"/>
            <w:noWrap/>
            <w:vAlign w:val="bottom"/>
            <w:hideMark/>
          </w:tcPr>
          <w:p w:rsidR="00531D69" w:rsidRPr="00532AB3" w:rsidRDefault="00531D69" w:rsidP="00352BD4">
            <w:pPr>
              <w:rPr>
                <w:rFonts w:cs="Calibri"/>
                <w:color w:val="000000"/>
                <w:sz w:val="20"/>
              </w:rPr>
            </w:pPr>
          </w:p>
        </w:tc>
        <w:tc>
          <w:tcPr>
            <w:tcW w:w="991" w:type="dxa"/>
            <w:tcBorders>
              <w:top w:val="nil"/>
              <w:left w:val="nil"/>
              <w:bottom w:val="single" w:sz="8" w:space="0" w:color="auto"/>
              <w:right w:val="nil"/>
            </w:tcBorders>
            <w:shd w:val="clear" w:color="auto" w:fill="auto"/>
            <w:noWrap/>
            <w:hideMark/>
          </w:tcPr>
          <w:p w:rsidR="00531D69" w:rsidRPr="00124553" w:rsidRDefault="00531D69">
            <w:pPr>
              <w:jc w:val="right"/>
              <w:rPr>
                <w:bCs/>
                <w:iCs/>
                <w:color w:val="000000"/>
                <w:sz w:val="20"/>
              </w:rPr>
            </w:pPr>
          </w:p>
        </w:tc>
        <w:tc>
          <w:tcPr>
            <w:tcW w:w="992" w:type="dxa"/>
            <w:tcBorders>
              <w:top w:val="nil"/>
              <w:left w:val="nil"/>
              <w:bottom w:val="single" w:sz="8" w:space="0" w:color="auto"/>
              <w:right w:val="nil"/>
            </w:tcBorders>
            <w:shd w:val="clear" w:color="auto" w:fill="auto"/>
            <w:noWrap/>
            <w:hideMark/>
          </w:tcPr>
          <w:p w:rsidR="00531D69" w:rsidRPr="00124553" w:rsidRDefault="00531D69">
            <w:pPr>
              <w:jc w:val="right"/>
              <w:rPr>
                <w:bCs/>
                <w:iCs/>
                <w:color w:val="000000"/>
                <w:sz w:val="20"/>
              </w:rPr>
            </w:pPr>
          </w:p>
        </w:tc>
        <w:tc>
          <w:tcPr>
            <w:tcW w:w="992" w:type="dxa"/>
            <w:tcBorders>
              <w:top w:val="nil"/>
              <w:left w:val="nil"/>
              <w:bottom w:val="single" w:sz="8" w:space="0" w:color="auto"/>
              <w:right w:val="nil"/>
            </w:tcBorders>
            <w:shd w:val="clear" w:color="auto" w:fill="auto"/>
            <w:noWrap/>
            <w:hideMark/>
          </w:tcPr>
          <w:p w:rsidR="00531D69" w:rsidRPr="00124553" w:rsidRDefault="00531D69">
            <w:pPr>
              <w:jc w:val="right"/>
              <w:rPr>
                <w:bCs/>
                <w:iCs/>
                <w:color w:val="000000"/>
                <w:sz w:val="20"/>
              </w:rPr>
            </w:pPr>
          </w:p>
        </w:tc>
        <w:tc>
          <w:tcPr>
            <w:tcW w:w="992" w:type="dxa"/>
            <w:tcBorders>
              <w:top w:val="nil"/>
              <w:left w:val="nil"/>
              <w:bottom w:val="single" w:sz="8" w:space="0" w:color="auto"/>
              <w:right w:val="nil"/>
            </w:tcBorders>
            <w:shd w:val="clear" w:color="auto" w:fill="auto"/>
            <w:noWrap/>
            <w:hideMark/>
          </w:tcPr>
          <w:p w:rsidR="00531D69" w:rsidRPr="00124553" w:rsidRDefault="00531D69">
            <w:pPr>
              <w:jc w:val="right"/>
              <w:rPr>
                <w:bCs/>
                <w:iCs/>
                <w:color w:val="000000"/>
                <w:sz w:val="20"/>
              </w:rPr>
            </w:pPr>
          </w:p>
        </w:tc>
        <w:tc>
          <w:tcPr>
            <w:tcW w:w="992" w:type="dxa"/>
            <w:tcBorders>
              <w:top w:val="nil"/>
              <w:left w:val="nil"/>
              <w:bottom w:val="single" w:sz="8" w:space="0" w:color="auto"/>
              <w:right w:val="nil"/>
            </w:tcBorders>
          </w:tcPr>
          <w:p w:rsidR="00531D69" w:rsidRPr="00124553" w:rsidRDefault="00531D69">
            <w:pPr>
              <w:jc w:val="right"/>
              <w:rPr>
                <w:bCs/>
                <w:iCs/>
                <w:color w:val="000000"/>
                <w:sz w:val="20"/>
              </w:rPr>
            </w:pPr>
          </w:p>
        </w:tc>
      </w:tr>
      <w:tr w:rsidR="00531D69" w:rsidRPr="00640885" w:rsidTr="00FD30DB">
        <w:trPr>
          <w:trHeight w:val="227"/>
        </w:trPr>
        <w:tc>
          <w:tcPr>
            <w:tcW w:w="3871" w:type="dxa"/>
            <w:tcBorders>
              <w:top w:val="single" w:sz="8" w:space="0" w:color="auto"/>
              <w:left w:val="nil"/>
              <w:bottom w:val="single" w:sz="8" w:space="0" w:color="auto"/>
              <w:right w:val="nil"/>
            </w:tcBorders>
            <w:shd w:val="clear" w:color="auto" w:fill="auto"/>
            <w:noWrap/>
          </w:tcPr>
          <w:p w:rsidR="00531D69" w:rsidRPr="00130884" w:rsidRDefault="00531D69" w:rsidP="00640885">
            <w:pPr>
              <w:rPr>
                <w:rFonts w:cs="Calibri"/>
                <w:b/>
                <w:bCs/>
                <w:color w:val="000000"/>
                <w:sz w:val="20"/>
                <w:lang w:eastAsia="en-AU"/>
              </w:rPr>
            </w:pPr>
            <w:r w:rsidRPr="00130884">
              <w:rPr>
                <w:rFonts w:cs="Calibri"/>
                <w:b/>
                <w:bCs/>
                <w:color w:val="000000"/>
                <w:sz w:val="20"/>
                <w:lang w:eastAsia="en-AU"/>
              </w:rPr>
              <w:t xml:space="preserve">Total </w:t>
            </w:r>
            <w:r>
              <w:rPr>
                <w:rFonts w:cs="Calibri"/>
                <w:b/>
                <w:bCs/>
                <w:color w:val="000000"/>
                <w:sz w:val="20"/>
                <w:lang w:eastAsia="en-AU"/>
              </w:rPr>
              <w:t>2013-14</w:t>
            </w:r>
            <w:r w:rsidRPr="00130884">
              <w:rPr>
                <w:rFonts w:cs="Calibri"/>
                <w:b/>
                <w:bCs/>
                <w:color w:val="000000"/>
                <w:sz w:val="20"/>
                <w:lang w:eastAsia="en-AU"/>
              </w:rPr>
              <w:t xml:space="preserve"> Budget Savings</w:t>
            </w:r>
          </w:p>
        </w:tc>
        <w:tc>
          <w:tcPr>
            <w:tcW w:w="270" w:type="dxa"/>
            <w:tcBorders>
              <w:top w:val="single" w:sz="8" w:space="0" w:color="auto"/>
              <w:left w:val="nil"/>
              <w:bottom w:val="single" w:sz="8" w:space="0" w:color="auto"/>
              <w:right w:val="nil"/>
            </w:tcBorders>
            <w:shd w:val="clear" w:color="auto" w:fill="auto"/>
            <w:vAlign w:val="bottom"/>
          </w:tcPr>
          <w:p w:rsidR="00531D69" w:rsidRPr="00640885" w:rsidRDefault="00531D69" w:rsidP="00640885">
            <w:pPr>
              <w:jc w:val="right"/>
              <w:rPr>
                <w:rFonts w:cs="Calibri"/>
                <w:b/>
                <w:bCs/>
                <w:color w:val="000000"/>
                <w:sz w:val="20"/>
                <w:lang w:eastAsia="en-AU"/>
              </w:rPr>
            </w:pPr>
          </w:p>
        </w:tc>
        <w:tc>
          <w:tcPr>
            <w:tcW w:w="991" w:type="dxa"/>
            <w:tcBorders>
              <w:top w:val="single" w:sz="8" w:space="0" w:color="auto"/>
              <w:left w:val="nil"/>
              <w:bottom w:val="single" w:sz="8" w:space="0" w:color="auto"/>
              <w:right w:val="nil"/>
            </w:tcBorders>
            <w:shd w:val="clear" w:color="auto" w:fill="auto"/>
          </w:tcPr>
          <w:p w:rsidR="00531D69" w:rsidRPr="00000355" w:rsidRDefault="00531D69" w:rsidP="00000355">
            <w:pPr>
              <w:jc w:val="right"/>
              <w:rPr>
                <w:b/>
                <w:color w:val="000000"/>
                <w:sz w:val="20"/>
              </w:rPr>
            </w:pPr>
            <w:r>
              <w:rPr>
                <w:b/>
                <w:color w:val="000000"/>
                <w:sz w:val="20"/>
              </w:rPr>
              <w:t>2</w:t>
            </w:r>
            <w:r w:rsidRPr="00000355">
              <w:rPr>
                <w:b/>
                <w:color w:val="000000"/>
                <w:sz w:val="20"/>
              </w:rPr>
              <w:t xml:space="preserve">1,759 </w:t>
            </w:r>
          </w:p>
        </w:tc>
        <w:tc>
          <w:tcPr>
            <w:tcW w:w="992" w:type="dxa"/>
            <w:tcBorders>
              <w:top w:val="single" w:sz="8" w:space="0" w:color="auto"/>
              <w:left w:val="nil"/>
              <w:bottom w:val="single" w:sz="8" w:space="0" w:color="auto"/>
              <w:right w:val="nil"/>
            </w:tcBorders>
            <w:shd w:val="clear" w:color="auto" w:fill="auto"/>
          </w:tcPr>
          <w:p w:rsidR="00531D69" w:rsidRPr="00000355" w:rsidRDefault="00531D69">
            <w:pPr>
              <w:jc w:val="right"/>
              <w:rPr>
                <w:b/>
                <w:color w:val="000000"/>
                <w:sz w:val="20"/>
              </w:rPr>
            </w:pPr>
            <w:r>
              <w:rPr>
                <w:b/>
                <w:color w:val="000000"/>
                <w:sz w:val="20"/>
              </w:rPr>
              <w:t>29,593</w:t>
            </w:r>
            <w:r w:rsidRPr="00000355">
              <w:rPr>
                <w:b/>
                <w:color w:val="000000"/>
                <w:sz w:val="20"/>
              </w:rPr>
              <w:t xml:space="preserve"> </w:t>
            </w:r>
          </w:p>
        </w:tc>
        <w:tc>
          <w:tcPr>
            <w:tcW w:w="992" w:type="dxa"/>
            <w:tcBorders>
              <w:top w:val="single" w:sz="8" w:space="0" w:color="auto"/>
              <w:left w:val="nil"/>
              <w:bottom w:val="single" w:sz="8" w:space="0" w:color="auto"/>
              <w:right w:val="nil"/>
            </w:tcBorders>
            <w:shd w:val="clear" w:color="auto" w:fill="auto"/>
          </w:tcPr>
          <w:p w:rsidR="00531D69" w:rsidRPr="00000355" w:rsidRDefault="00531D69">
            <w:pPr>
              <w:jc w:val="right"/>
              <w:rPr>
                <w:b/>
                <w:color w:val="000000"/>
                <w:sz w:val="20"/>
              </w:rPr>
            </w:pPr>
            <w:r>
              <w:rPr>
                <w:b/>
                <w:color w:val="000000"/>
                <w:sz w:val="20"/>
              </w:rPr>
              <w:t>4</w:t>
            </w:r>
            <w:r w:rsidRPr="00000355">
              <w:rPr>
                <w:b/>
                <w:color w:val="000000"/>
                <w:sz w:val="20"/>
              </w:rPr>
              <w:t xml:space="preserve">1,004 </w:t>
            </w:r>
          </w:p>
        </w:tc>
        <w:tc>
          <w:tcPr>
            <w:tcW w:w="992" w:type="dxa"/>
            <w:tcBorders>
              <w:top w:val="single" w:sz="8" w:space="0" w:color="auto"/>
              <w:left w:val="nil"/>
              <w:bottom w:val="single" w:sz="8" w:space="0" w:color="auto"/>
              <w:right w:val="nil"/>
            </w:tcBorders>
            <w:shd w:val="clear" w:color="auto" w:fill="auto"/>
          </w:tcPr>
          <w:p w:rsidR="00531D69" w:rsidRPr="00000355" w:rsidRDefault="00531D69">
            <w:pPr>
              <w:jc w:val="right"/>
              <w:rPr>
                <w:b/>
                <w:color w:val="000000"/>
                <w:sz w:val="20"/>
              </w:rPr>
            </w:pPr>
            <w:r>
              <w:rPr>
                <w:b/>
                <w:color w:val="000000"/>
                <w:sz w:val="20"/>
              </w:rPr>
              <w:t>50</w:t>
            </w:r>
            <w:r w:rsidRPr="00000355">
              <w:rPr>
                <w:b/>
                <w:color w:val="000000"/>
                <w:sz w:val="20"/>
              </w:rPr>
              <w:t xml:space="preserve">,199 </w:t>
            </w:r>
          </w:p>
        </w:tc>
        <w:tc>
          <w:tcPr>
            <w:tcW w:w="992" w:type="dxa"/>
            <w:tcBorders>
              <w:top w:val="single" w:sz="8" w:space="0" w:color="auto"/>
              <w:left w:val="nil"/>
              <w:bottom w:val="single" w:sz="8" w:space="0" w:color="auto"/>
              <w:right w:val="nil"/>
            </w:tcBorders>
          </w:tcPr>
          <w:p w:rsidR="00531D69" w:rsidRPr="00000355" w:rsidRDefault="00531D69" w:rsidP="00531D69">
            <w:pPr>
              <w:jc w:val="right"/>
              <w:rPr>
                <w:b/>
                <w:color w:val="000000"/>
                <w:sz w:val="20"/>
              </w:rPr>
            </w:pPr>
            <w:r w:rsidRPr="00000355">
              <w:rPr>
                <w:b/>
                <w:color w:val="000000"/>
                <w:sz w:val="20"/>
              </w:rPr>
              <w:t>1</w:t>
            </w:r>
            <w:r>
              <w:rPr>
                <w:b/>
                <w:color w:val="000000"/>
                <w:sz w:val="20"/>
              </w:rPr>
              <w:t>4</w:t>
            </w:r>
            <w:r w:rsidRPr="00000355">
              <w:rPr>
                <w:b/>
                <w:color w:val="000000"/>
                <w:sz w:val="20"/>
              </w:rPr>
              <w:t xml:space="preserve">2,555 </w:t>
            </w:r>
          </w:p>
        </w:tc>
      </w:tr>
    </w:tbl>
    <w:p w:rsidR="00D8651E" w:rsidRPr="002306CE" w:rsidRDefault="00D8651E" w:rsidP="002306CE">
      <w:pPr>
        <w:pStyle w:val="Heading4"/>
        <w:spacing w:before="240"/>
        <w:rPr>
          <w:rStyle w:val="Emphasis"/>
          <w:i/>
          <w:iCs w:val="0"/>
        </w:rPr>
      </w:pPr>
      <w:r w:rsidRPr="002306CE">
        <w:rPr>
          <w:rStyle w:val="Emphasis"/>
          <w:i/>
          <w:iCs w:val="0"/>
        </w:rPr>
        <w:t>Ceasing initiatives</w:t>
      </w:r>
    </w:p>
    <w:p w:rsidR="00D8651E" w:rsidRPr="002306CE" w:rsidRDefault="007869BE" w:rsidP="002306CE">
      <w:pPr>
        <w:pStyle w:val="BodyText"/>
      </w:pPr>
      <w:r w:rsidRPr="002306CE">
        <w:t xml:space="preserve">The Government will be ceasing </w:t>
      </w:r>
      <w:r w:rsidR="004157FD" w:rsidRPr="002306CE">
        <w:t xml:space="preserve">some </w:t>
      </w:r>
      <w:r w:rsidRPr="002306CE">
        <w:t xml:space="preserve">initiatives previously funded which do not accord with </w:t>
      </w:r>
      <w:r w:rsidR="004157FD" w:rsidRPr="002306CE">
        <w:t xml:space="preserve">ongoing </w:t>
      </w:r>
      <w:r w:rsidRPr="002306CE">
        <w:t>Government priorities. This includes withdrawing from memberships the Territory is a member of</w:t>
      </w:r>
      <w:r w:rsidR="005D7E60">
        <w:t xml:space="preserve"> and reducing </w:t>
      </w:r>
      <w:r w:rsidR="00E04837" w:rsidRPr="002306CE">
        <w:t>grant programs</w:t>
      </w:r>
      <w:r w:rsidR="005D3FA8" w:rsidRPr="002306CE">
        <w:t>.</w:t>
      </w:r>
    </w:p>
    <w:p w:rsidR="00B558AB" w:rsidRPr="002306CE" w:rsidRDefault="00D8651E" w:rsidP="002306CE">
      <w:pPr>
        <w:pStyle w:val="Heading4"/>
      </w:pPr>
      <w:r w:rsidRPr="002306CE">
        <w:t>General savings</w:t>
      </w:r>
    </w:p>
    <w:p w:rsidR="0017639E" w:rsidRDefault="007869BE" w:rsidP="002306CE">
      <w:pPr>
        <w:pStyle w:val="BodyText"/>
        <w:rPr>
          <w:i/>
        </w:rPr>
      </w:pPr>
      <w:r>
        <w:t>C</w:t>
      </w:r>
      <w:r w:rsidRPr="007869BE">
        <w:t>ontinuing the Government’s established track record of seeking out ways to reduce input costs and generate efficiencies</w:t>
      </w:r>
      <w:r>
        <w:t xml:space="preserve">. </w:t>
      </w:r>
      <w:r w:rsidR="002306CE">
        <w:t xml:space="preserve"> </w:t>
      </w:r>
      <w:r>
        <w:t xml:space="preserve">Some areas of focus include reduced consultancy expenses, better utilising </w:t>
      </w:r>
      <w:proofErr w:type="spellStart"/>
      <w:r>
        <w:t>Worksafe</w:t>
      </w:r>
      <w:proofErr w:type="spellEnd"/>
      <w:r>
        <w:t xml:space="preserve"> Funds, energy savings measures, outsourcing vehicles efficiently</w:t>
      </w:r>
      <w:r w:rsidR="00E04837">
        <w:t>, reducing corporate overheads</w:t>
      </w:r>
      <w:r w:rsidR="004157FD">
        <w:t xml:space="preserve">, organisational restructure of the CIT, implementing various demand management measures, increasing sponsorships for venues and events and reprioritising youth programs. </w:t>
      </w:r>
    </w:p>
    <w:p w:rsidR="005D3FA8" w:rsidRDefault="005D3FA8">
      <w:pPr>
        <w:rPr>
          <w:i/>
        </w:rPr>
      </w:pPr>
      <w:r>
        <w:br w:type="page"/>
      </w:r>
    </w:p>
    <w:p w:rsidR="00D8651E" w:rsidRPr="00330927" w:rsidRDefault="00D8651E" w:rsidP="002306CE">
      <w:pPr>
        <w:pStyle w:val="Heading4"/>
        <w:keepNext w:val="0"/>
        <w:spacing w:before="0"/>
      </w:pPr>
      <w:r>
        <w:lastRenderedPageBreak/>
        <w:t xml:space="preserve">Service </w:t>
      </w:r>
      <w:proofErr w:type="spellStart"/>
      <w:r>
        <w:t>reprofiling</w:t>
      </w:r>
      <w:proofErr w:type="spellEnd"/>
    </w:p>
    <w:p w:rsidR="00D8651E" w:rsidRPr="002306CE" w:rsidRDefault="007869BE" w:rsidP="002306CE">
      <w:pPr>
        <w:pStyle w:val="BodyText"/>
      </w:pPr>
      <w:r w:rsidRPr="002306CE">
        <w:t>Reprioritisation of government services, generating $40.078 million over four years, achieved through the redirection of lower priority programs and ceasing initiatives from past budgets, providing opportunities to invest in higher priority activities and service delivery.</w:t>
      </w:r>
      <w:r w:rsidR="00E04837" w:rsidRPr="002306CE">
        <w:t xml:space="preserve"> Activities include </w:t>
      </w:r>
      <w:proofErr w:type="spellStart"/>
      <w:r w:rsidR="00E04837" w:rsidRPr="002306CE">
        <w:t>reprofiling</w:t>
      </w:r>
      <w:proofErr w:type="spellEnd"/>
      <w:r w:rsidR="00E04837" w:rsidRPr="002306CE">
        <w:t xml:space="preserve"> some court services, </w:t>
      </w:r>
      <w:r w:rsidR="004157FD" w:rsidRPr="002306CE">
        <w:t xml:space="preserve">refining the </w:t>
      </w:r>
      <w:proofErr w:type="spellStart"/>
      <w:r w:rsidR="00975CD0" w:rsidRPr="002306CE">
        <w:t>ACTSmart</w:t>
      </w:r>
      <w:proofErr w:type="spellEnd"/>
      <w:r w:rsidR="00975CD0" w:rsidRPr="002306CE">
        <w:t xml:space="preserve"> program to gain efficiencies, </w:t>
      </w:r>
      <w:r w:rsidR="004157FD" w:rsidRPr="002306CE">
        <w:t>increasing electronic processing of invoices, consolidating</w:t>
      </w:r>
      <w:r w:rsidR="00E04837" w:rsidRPr="002306CE">
        <w:t xml:space="preserve"> out of </w:t>
      </w:r>
      <w:r w:rsidR="004157FD" w:rsidRPr="002306CE">
        <w:t xml:space="preserve">home </w:t>
      </w:r>
      <w:r w:rsidR="00E04837" w:rsidRPr="002306CE">
        <w:t xml:space="preserve">care providers and </w:t>
      </w:r>
      <w:r w:rsidR="004157FD" w:rsidRPr="002306CE">
        <w:t>savings from red tape reductions.</w:t>
      </w:r>
    </w:p>
    <w:p w:rsidR="00D8651E" w:rsidRPr="002306CE" w:rsidRDefault="00D8651E" w:rsidP="002306CE">
      <w:pPr>
        <w:pStyle w:val="Heading4"/>
      </w:pPr>
      <w:r w:rsidRPr="002306CE">
        <w:t>Procurement Whole of Government Savings</w:t>
      </w:r>
    </w:p>
    <w:p w:rsidR="00D8651E" w:rsidRDefault="00D8651E" w:rsidP="005D3FA8">
      <w:pPr>
        <w:pStyle w:val="BodyText"/>
        <w:keepNext w:val="0"/>
      </w:pPr>
      <w:r w:rsidRPr="002306CE">
        <w:t>Enhanced goods and services procurement processes will be developed and pursued to achieve better value for money and reduce spending across agencies, including opportunities to increase the number of whole of government contracts, bundling of goods across agencies, and better examination of current spending patterns and demand analysis.  Savings of $5 million for 2014</w:t>
      </w:r>
      <w:r w:rsidRPr="002306CE">
        <w:noBreakHyphen/>
        <w:t>15, rising to $15 million by 2016</w:t>
      </w:r>
      <w:r w:rsidRPr="002306CE">
        <w:noBreakHyphen/>
        <w:t>17 have been targeted</w:t>
      </w:r>
      <w:r>
        <w:t>.</w:t>
      </w:r>
    </w:p>
    <w:p w:rsidR="00D8651E" w:rsidRPr="00D8651E" w:rsidRDefault="00D8651E" w:rsidP="00D8651E">
      <w:pPr>
        <w:pStyle w:val="BodyText"/>
      </w:pPr>
    </w:p>
    <w:sectPr w:rsidR="00D8651E" w:rsidRPr="00D8651E" w:rsidSect="00E47A46">
      <w:headerReference w:type="even" r:id="rId8"/>
      <w:headerReference w:type="default" r:id="rId9"/>
      <w:footerReference w:type="even" r:id="rId10"/>
      <w:footerReference w:type="default" r:id="rId11"/>
      <w:headerReference w:type="first" r:id="rId12"/>
      <w:footerReference w:type="first" r:id="rId13"/>
      <w:pgSz w:w="11907" w:h="16840" w:code="9"/>
      <w:pgMar w:top="1151" w:right="1440" w:bottom="1729" w:left="1440" w:header="720" w:footer="720" w:gutter="0"/>
      <w:pgNumType w:start="17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837" w:rsidRDefault="00E04837">
      <w:r>
        <w:separator/>
      </w:r>
    </w:p>
  </w:endnote>
  <w:endnote w:type="continuationSeparator" w:id="0">
    <w:p w:rsidR="00E04837" w:rsidRDefault="00E048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A46" w:rsidRDefault="00E47A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837" w:rsidRPr="00124832" w:rsidRDefault="00E04837">
    <w:pPr>
      <w:pStyle w:val="FooterBP"/>
      <w:rPr>
        <w:rFonts w:cs="Calibri"/>
      </w:rPr>
    </w:pPr>
    <w:r>
      <w:rPr>
        <w:rFonts w:cs="Calibri"/>
      </w:rPr>
      <w:t>2013-14</w:t>
    </w:r>
    <w:r w:rsidRPr="00124832">
      <w:rPr>
        <w:rFonts w:cs="Calibri"/>
      </w:rPr>
      <w:t xml:space="preserve"> Budget Paper No. 3</w:t>
    </w:r>
    <w:r w:rsidRPr="00124832">
      <w:rPr>
        <w:rFonts w:cs="Calibri"/>
      </w:rPr>
      <w:tab/>
    </w:r>
    <w:r w:rsidR="00977443">
      <w:rPr>
        <w:rStyle w:val="PageNumber"/>
        <w:rFonts w:cs="Calibri"/>
      </w:rPr>
      <w:fldChar w:fldCharType="begin"/>
    </w:r>
    <w:r w:rsidR="00E47A46">
      <w:rPr>
        <w:rStyle w:val="PageNumber"/>
        <w:rFonts w:cs="Calibri"/>
      </w:rPr>
      <w:instrText xml:space="preserve"> PAGE   \* MERGEFORMAT </w:instrText>
    </w:r>
    <w:r w:rsidR="00977443">
      <w:rPr>
        <w:rStyle w:val="PageNumber"/>
        <w:rFonts w:cs="Calibri"/>
      </w:rPr>
      <w:fldChar w:fldCharType="separate"/>
    </w:r>
    <w:r w:rsidR="003314F2">
      <w:rPr>
        <w:rStyle w:val="PageNumber"/>
        <w:rFonts w:cs="Calibri"/>
        <w:noProof/>
      </w:rPr>
      <w:t>171</w:t>
    </w:r>
    <w:r w:rsidR="00977443">
      <w:rPr>
        <w:rStyle w:val="PageNumber"/>
        <w:rFonts w:cs="Calibri"/>
      </w:rPr>
      <w:fldChar w:fldCharType="end"/>
    </w:r>
    <w:r w:rsidRPr="00124832">
      <w:rPr>
        <w:rFonts w:cs="Calibri"/>
      </w:rPr>
      <w:tab/>
      <w:t>Savings Initiatives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A46" w:rsidRDefault="00E47A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837" w:rsidRDefault="00E04837">
      <w:r>
        <w:separator/>
      </w:r>
    </w:p>
  </w:footnote>
  <w:footnote w:type="continuationSeparator" w:id="0">
    <w:p w:rsidR="00E04837" w:rsidRDefault="00E048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A46" w:rsidRDefault="00E47A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A46" w:rsidRDefault="00E47A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A46" w:rsidRDefault="00E47A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3">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2ACF0B4E"/>
    <w:multiLevelType w:val="multilevel"/>
    <w:tmpl w:val="1E225380"/>
    <w:lvl w:ilvl="0">
      <w:start w:val="1"/>
      <w:numFmt w:val="bullet"/>
      <w:pStyle w:val="TSYBullets"/>
      <w:lvlText w:val=""/>
      <w:lvlJc w:val="left"/>
      <w:pPr>
        <w:tabs>
          <w:tab w:val="num" w:pos="425"/>
        </w:tabs>
        <w:ind w:left="425" w:hanging="425"/>
      </w:pPr>
      <w:rPr>
        <w:rFonts w:ascii="Symbol" w:hAnsi="Symbol" w:hint="default"/>
        <w:b w:val="0"/>
        <w:i w:val="0"/>
        <w:caps w:val="0"/>
        <w:strike w:val="0"/>
        <w:dstrike w:val="0"/>
        <w:outline w:val="0"/>
        <w:shadow w:val="0"/>
        <w:emboss w:val="0"/>
        <w:imprint w:val="0"/>
        <w:vanish w:val="0"/>
        <w:color w:val="auto"/>
        <w:kern w:val="0"/>
        <w:sz w:val="24"/>
        <w:u w:val="none"/>
        <w:effect w:val="none"/>
        <w:vertAlign w:val="baseline"/>
      </w:rPr>
    </w:lvl>
    <w:lvl w:ilvl="1">
      <w:start w:val="1"/>
      <w:numFmt w:val="bullet"/>
      <w:lvlText w:val="–"/>
      <w:lvlJc w:val="left"/>
      <w:pPr>
        <w:tabs>
          <w:tab w:val="num" w:pos="851"/>
        </w:tabs>
        <w:ind w:left="851" w:hanging="426"/>
      </w:pPr>
      <w:rPr>
        <w:rFonts w:ascii="Times New Roman" w:hAnsi="Times New Roman" w:cs="Times New Roman" w:hint="default"/>
        <w:color w:val="auto"/>
      </w:rPr>
    </w:lvl>
    <w:lvl w:ilvl="2">
      <w:start w:val="1"/>
      <w:numFmt w:val="bullet"/>
      <w:lvlText w:val=":"/>
      <w:lvlJc w:val="left"/>
      <w:pPr>
        <w:tabs>
          <w:tab w:val="num" w:pos="1276"/>
        </w:tabs>
        <w:ind w:left="1276" w:hanging="425"/>
      </w:pPr>
      <w:rPr>
        <w:rFonts w:ascii="Times New Roman" w:hAnsi="Times New Roman" w:cs="Times New Roman" w:hint="default"/>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15">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nsid w:val="735141C2"/>
    <w:multiLevelType w:val="hybridMultilevel"/>
    <w:tmpl w:val="4BD6E9D6"/>
    <w:lvl w:ilvl="0" w:tplc="85BAA5A2">
      <w:start w:val="1"/>
      <w:numFmt w:val="decimal"/>
      <w:pStyle w:val="AINotes"/>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7F1B0FA6"/>
    <w:multiLevelType w:val="hybridMultilevel"/>
    <w:tmpl w:val="85E05738"/>
    <w:lvl w:ilvl="0" w:tplc="64488392">
      <w:start w:val="1"/>
      <w:numFmt w:val="lowerLetter"/>
      <w:pStyle w:val="Tabletextindenta"/>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20"/>
  </w:num>
  <w:num w:numId="3">
    <w:abstractNumId w:val="16"/>
  </w:num>
  <w:num w:numId="4">
    <w:abstractNumId w:val="18"/>
  </w:num>
  <w:num w:numId="5">
    <w:abstractNumId w:val="19"/>
  </w:num>
  <w:num w:numId="6">
    <w:abstractNumId w:val="13"/>
  </w:num>
  <w:num w:numId="7">
    <w:abstractNumId w:val="10"/>
  </w:num>
  <w:num w:numId="8">
    <w:abstractNumId w:val="12"/>
  </w:num>
  <w:num w:numId="9">
    <w:abstractNumId w:val="11"/>
  </w:num>
  <w:num w:numId="10">
    <w:abstractNumId w:val="1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2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100000" w:hash="LXr78yO/FC+l668XIqMgUH5BBWU=" w:salt="Y+IJUAdcjAkUftBHnrufLg=="/>
  <w:zoom w:percent="120"/>
  <w:proofState w:spelling="clean" w:grammar="clean"/>
  <w:stylePaneFormatFilter w:val="1F04"/>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924D1"/>
    <w:rsid w:val="00000355"/>
    <w:rsid w:val="0002168C"/>
    <w:rsid w:val="00042414"/>
    <w:rsid w:val="00045380"/>
    <w:rsid w:val="00072A1A"/>
    <w:rsid w:val="00084530"/>
    <w:rsid w:val="00095077"/>
    <w:rsid w:val="000A473B"/>
    <w:rsid w:val="000C6852"/>
    <w:rsid w:val="001003C1"/>
    <w:rsid w:val="00122CBB"/>
    <w:rsid w:val="00124553"/>
    <w:rsid w:val="00124832"/>
    <w:rsid w:val="00130884"/>
    <w:rsid w:val="00131316"/>
    <w:rsid w:val="00137B18"/>
    <w:rsid w:val="001424BD"/>
    <w:rsid w:val="00142BE5"/>
    <w:rsid w:val="0015570F"/>
    <w:rsid w:val="00161C47"/>
    <w:rsid w:val="0017639E"/>
    <w:rsid w:val="00197AC1"/>
    <w:rsid w:val="001A0B17"/>
    <w:rsid w:val="001A44E3"/>
    <w:rsid w:val="001A68C2"/>
    <w:rsid w:val="001A7186"/>
    <w:rsid w:val="001B0C31"/>
    <w:rsid w:val="001B34F5"/>
    <w:rsid w:val="001B52E9"/>
    <w:rsid w:val="001C3BFD"/>
    <w:rsid w:val="001E34E4"/>
    <w:rsid w:val="001F4A47"/>
    <w:rsid w:val="00207847"/>
    <w:rsid w:val="002215F2"/>
    <w:rsid w:val="0022187F"/>
    <w:rsid w:val="002237F0"/>
    <w:rsid w:val="0022409A"/>
    <w:rsid w:val="00226AD9"/>
    <w:rsid w:val="002306CE"/>
    <w:rsid w:val="00234633"/>
    <w:rsid w:val="00250BA3"/>
    <w:rsid w:val="002525EF"/>
    <w:rsid w:val="002835AE"/>
    <w:rsid w:val="00291842"/>
    <w:rsid w:val="002B75FB"/>
    <w:rsid w:val="002C35B3"/>
    <w:rsid w:val="002D1615"/>
    <w:rsid w:val="002E2E4D"/>
    <w:rsid w:val="002F524A"/>
    <w:rsid w:val="00317489"/>
    <w:rsid w:val="00322B93"/>
    <w:rsid w:val="00330927"/>
    <w:rsid w:val="00330A31"/>
    <w:rsid w:val="003314F2"/>
    <w:rsid w:val="003366A8"/>
    <w:rsid w:val="0033787C"/>
    <w:rsid w:val="00340BED"/>
    <w:rsid w:val="00343E06"/>
    <w:rsid w:val="0035032B"/>
    <w:rsid w:val="00352BD4"/>
    <w:rsid w:val="003C15F5"/>
    <w:rsid w:val="003E565F"/>
    <w:rsid w:val="003E6B84"/>
    <w:rsid w:val="003E74CA"/>
    <w:rsid w:val="00406D8D"/>
    <w:rsid w:val="004157FD"/>
    <w:rsid w:val="004329AC"/>
    <w:rsid w:val="004656D8"/>
    <w:rsid w:val="00466669"/>
    <w:rsid w:val="004834C5"/>
    <w:rsid w:val="00492E72"/>
    <w:rsid w:val="0049427A"/>
    <w:rsid w:val="004C3CF8"/>
    <w:rsid w:val="004C5621"/>
    <w:rsid w:val="00502F45"/>
    <w:rsid w:val="00503A1B"/>
    <w:rsid w:val="005077E6"/>
    <w:rsid w:val="00531D69"/>
    <w:rsid w:val="00532AB3"/>
    <w:rsid w:val="00535D62"/>
    <w:rsid w:val="00567544"/>
    <w:rsid w:val="00576310"/>
    <w:rsid w:val="00583807"/>
    <w:rsid w:val="005B0A2B"/>
    <w:rsid w:val="005B0FCC"/>
    <w:rsid w:val="005B4B19"/>
    <w:rsid w:val="005C1DDF"/>
    <w:rsid w:val="005D3FA8"/>
    <w:rsid w:val="005D7E60"/>
    <w:rsid w:val="00605F78"/>
    <w:rsid w:val="0060656D"/>
    <w:rsid w:val="00607520"/>
    <w:rsid w:val="00621AEF"/>
    <w:rsid w:val="00622453"/>
    <w:rsid w:val="00630D81"/>
    <w:rsid w:val="006319A9"/>
    <w:rsid w:val="00631C5E"/>
    <w:rsid w:val="006335FC"/>
    <w:rsid w:val="00640885"/>
    <w:rsid w:val="0065605C"/>
    <w:rsid w:val="006A35DD"/>
    <w:rsid w:val="006C727F"/>
    <w:rsid w:val="00712997"/>
    <w:rsid w:val="0073194F"/>
    <w:rsid w:val="00774EC7"/>
    <w:rsid w:val="00777CE5"/>
    <w:rsid w:val="007869BE"/>
    <w:rsid w:val="0078710C"/>
    <w:rsid w:val="007961BE"/>
    <w:rsid w:val="007A1A46"/>
    <w:rsid w:val="007B4278"/>
    <w:rsid w:val="007B72FC"/>
    <w:rsid w:val="007B7C2D"/>
    <w:rsid w:val="007C21CC"/>
    <w:rsid w:val="007C3EEB"/>
    <w:rsid w:val="007E7459"/>
    <w:rsid w:val="00804003"/>
    <w:rsid w:val="00804227"/>
    <w:rsid w:val="008106A7"/>
    <w:rsid w:val="00811D19"/>
    <w:rsid w:val="00816EBF"/>
    <w:rsid w:val="00817F47"/>
    <w:rsid w:val="0083635F"/>
    <w:rsid w:val="008746FA"/>
    <w:rsid w:val="008C358B"/>
    <w:rsid w:val="008D0918"/>
    <w:rsid w:val="008F34CE"/>
    <w:rsid w:val="008F7F56"/>
    <w:rsid w:val="00955B59"/>
    <w:rsid w:val="00975CD0"/>
    <w:rsid w:val="00977443"/>
    <w:rsid w:val="00991AA8"/>
    <w:rsid w:val="009928C6"/>
    <w:rsid w:val="009A1CD5"/>
    <w:rsid w:val="009C2B57"/>
    <w:rsid w:val="009D22C8"/>
    <w:rsid w:val="009D2CA8"/>
    <w:rsid w:val="009F1FF9"/>
    <w:rsid w:val="009F5526"/>
    <w:rsid w:val="00A01C11"/>
    <w:rsid w:val="00A0347C"/>
    <w:rsid w:val="00A049C3"/>
    <w:rsid w:val="00A06764"/>
    <w:rsid w:val="00A23D18"/>
    <w:rsid w:val="00A2587C"/>
    <w:rsid w:val="00A44788"/>
    <w:rsid w:val="00A644C4"/>
    <w:rsid w:val="00A64966"/>
    <w:rsid w:val="00A712E2"/>
    <w:rsid w:val="00AF4AA5"/>
    <w:rsid w:val="00B01B22"/>
    <w:rsid w:val="00B25850"/>
    <w:rsid w:val="00B32372"/>
    <w:rsid w:val="00B35021"/>
    <w:rsid w:val="00B36FA5"/>
    <w:rsid w:val="00B40676"/>
    <w:rsid w:val="00B53796"/>
    <w:rsid w:val="00B558AB"/>
    <w:rsid w:val="00B56239"/>
    <w:rsid w:val="00B60F00"/>
    <w:rsid w:val="00B63D6C"/>
    <w:rsid w:val="00B924D1"/>
    <w:rsid w:val="00B9274C"/>
    <w:rsid w:val="00B96947"/>
    <w:rsid w:val="00BA1569"/>
    <w:rsid w:val="00BA29F5"/>
    <w:rsid w:val="00BA3DA7"/>
    <w:rsid w:val="00BA6186"/>
    <w:rsid w:val="00BB5024"/>
    <w:rsid w:val="00BC587E"/>
    <w:rsid w:val="00C00516"/>
    <w:rsid w:val="00C44489"/>
    <w:rsid w:val="00C65C6A"/>
    <w:rsid w:val="00C81159"/>
    <w:rsid w:val="00C9423F"/>
    <w:rsid w:val="00CC3208"/>
    <w:rsid w:val="00CC3992"/>
    <w:rsid w:val="00CF32A8"/>
    <w:rsid w:val="00D011C3"/>
    <w:rsid w:val="00D04E0D"/>
    <w:rsid w:val="00D14B6F"/>
    <w:rsid w:val="00D72315"/>
    <w:rsid w:val="00D75A71"/>
    <w:rsid w:val="00D85579"/>
    <w:rsid w:val="00D8651E"/>
    <w:rsid w:val="00D869EF"/>
    <w:rsid w:val="00D8786A"/>
    <w:rsid w:val="00D87FDD"/>
    <w:rsid w:val="00DA28B6"/>
    <w:rsid w:val="00DB2413"/>
    <w:rsid w:val="00DB2FEA"/>
    <w:rsid w:val="00DC0DF2"/>
    <w:rsid w:val="00DC3681"/>
    <w:rsid w:val="00DD4016"/>
    <w:rsid w:val="00DE2C26"/>
    <w:rsid w:val="00DF2F07"/>
    <w:rsid w:val="00DF3805"/>
    <w:rsid w:val="00DF6FE5"/>
    <w:rsid w:val="00E04837"/>
    <w:rsid w:val="00E048C3"/>
    <w:rsid w:val="00E058C5"/>
    <w:rsid w:val="00E0704F"/>
    <w:rsid w:val="00E47A46"/>
    <w:rsid w:val="00E716B6"/>
    <w:rsid w:val="00E80052"/>
    <w:rsid w:val="00E8234A"/>
    <w:rsid w:val="00E83068"/>
    <w:rsid w:val="00E84CDA"/>
    <w:rsid w:val="00E94CB6"/>
    <w:rsid w:val="00EA6B7D"/>
    <w:rsid w:val="00EB3D59"/>
    <w:rsid w:val="00EC6111"/>
    <w:rsid w:val="00EC6BE1"/>
    <w:rsid w:val="00ED4768"/>
    <w:rsid w:val="00ED4CDB"/>
    <w:rsid w:val="00EE48A5"/>
    <w:rsid w:val="00EF15AC"/>
    <w:rsid w:val="00EF1CED"/>
    <w:rsid w:val="00EF393B"/>
    <w:rsid w:val="00F075E2"/>
    <w:rsid w:val="00F124AB"/>
    <w:rsid w:val="00F21F13"/>
    <w:rsid w:val="00F4576D"/>
    <w:rsid w:val="00F503FD"/>
    <w:rsid w:val="00FD30DB"/>
    <w:rsid w:val="00FE1D58"/>
    <w:rsid w:val="00FE6C71"/>
    <w:rsid w:val="00FE7D40"/>
    <w:rsid w:val="00FF600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F78"/>
    <w:rPr>
      <w:rFonts w:ascii="Calibri" w:hAnsi="Calibri"/>
      <w:sz w:val="24"/>
      <w:lang w:eastAsia="en-US"/>
    </w:rPr>
  </w:style>
  <w:style w:type="paragraph" w:styleId="Heading1">
    <w:name w:val="heading 1"/>
    <w:basedOn w:val="Normal"/>
    <w:next w:val="BodyText"/>
    <w:qFormat/>
    <w:rsid w:val="00605F78"/>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qFormat/>
    <w:rsid w:val="00605F78"/>
    <w:pPr>
      <w:keepNext/>
      <w:spacing w:before="60" w:after="60"/>
      <w:jc w:val="center"/>
      <w:outlineLvl w:val="1"/>
    </w:pPr>
    <w:rPr>
      <w:b/>
      <w:snapToGrid w:val="0"/>
      <w:sz w:val="20"/>
    </w:rPr>
  </w:style>
  <w:style w:type="paragraph" w:styleId="Heading3">
    <w:name w:val="heading 3"/>
    <w:basedOn w:val="Normal"/>
    <w:next w:val="BodyText"/>
    <w:link w:val="Heading3Char"/>
    <w:qFormat/>
    <w:rsid w:val="00605F78"/>
    <w:pPr>
      <w:keepNext/>
      <w:keepLines/>
      <w:spacing w:before="240" w:after="60"/>
      <w:outlineLvl w:val="2"/>
    </w:pPr>
    <w:rPr>
      <w:rFonts w:ascii="Arial" w:hAnsi="Arial" w:cs="Arial"/>
      <w:b/>
      <w:bCs/>
      <w:szCs w:val="26"/>
    </w:rPr>
  </w:style>
  <w:style w:type="paragraph" w:styleId="Heading4">
    <w:name w:val="heading 4"/>
    <w:basedOn w:val="Normal"/>
    <w:next w:val="BodyText"/>
    <w:qFormat/>
    <w:rsid w:val="00605F78"/>
    <w:pPr>
      <w:keepNext/>
      <w:keepLines/>
      <w:spacing w:before="120" w:after="120"/>
      <w:outlineLvl w:val="3"/>
    </w:pPr>
    <w:rPr>
      <w:i/>
    </w:rPr>
  </w:style>
  <w:style w:type="paragraph" w:styleId="Heading5">
    <w:name w:val="heading 5"/>
    <w:basedOn w:val="Normal"/>
    <w:next w:val="Normal"/>
    <w:autoRedefine/>
    <w:qFormat/>
    <w:rsid w:val="00605F78"/>
    <w:pPr>
      <w:keepNext/>
      <w:numPr>
        <w:ilvl w:val="4"/>
        <w:numId w:val="10"/>
      </w:numPr>
      <w:outlineLvl w:val="4"/>
    </w:pPr>
    <w:rPr>
      <w:b/>
      <w:i/>
      <w:sz w:val="20"/>
    </w:rPr>
  </w:style>
  <w:style w:type="paragraph" w:styleId="Heading6">
    <w:name w:val="heading 6"/>
    <w:basedOn w:val="Normal"/>
    <w:next w:val="Normal"/>
    <w:qFormat/>
    <w:rsid w:val="00605F78"/>
    <w:pPr>
      <w:keepNext/>
      <w:jc w:val="right"/>
      <w:outlineLvl w:val="5"/>
    </w:pPr>
    <w:rPr>
      <w:b/>
      <w:sz w:val="20"/>
    </w:rPr>
  </w:style>
  <w:style w:type="paragraph" w:styleId="Heading7">
    <w:name w:val="heading 7"/>
    <w:basedOn w:val="Normal"/>
    <w:next w:val="Normal"/>
    <w:qFormat/>
    <w:rsid w:val="00605F78"/>
    <w:pPr>
      <w:keepNext/>
      <w:ind w:left="159" w:hanging="159"/>
      <w:outlineLvl w:val="6"/>
    </w:pPr>
    <w:rPr>
      <w:b/>
      <w:sz w:val="20"/>
    </w:rPr>
  </w:style>
  <w:style w:type="paragraph" w:styleId="Heading8">
    <w:name w:val="heading 8"/>
    <w:basedOn w:val="Normal"/>
    <w:next w:val="Normal"/>
    <w:qFormat/>
    <w:rsid w:val="00605F78"/>
    <w:pPr>
      <w:keepNext/>
      <w:numPr>
        <w:ilvl w:val="7"/>
        <w:numId w:val="10"/>
      </w:numPr>
      <w:outlineLvl w:val="7"/>
    </w:pPr>
    <w:rPr>
      <w:rFonts w:ascii="Arial" w:hAnsi="Arial"/>
      <w:b/>
      <w:snapToGrid w:val="0"/>
      <w:color w:val="000000"/>
      <w:sz w:val="20"/>
    </w:rPr>
  </w:style>
  <w:style w:type="paragraph" w:styleId="Heading9">
    <w:name w:val="heading 9"/>
    <w:basedOn w:val="Normal"/>
    <w:next w:val="Normal"/>
    <w:qFormat/>
    <w:rsid w:val="00605F78"/>
    <w:pPr>
      <w:keepNext/>
      <w:numPr>
        <w:ilvl w:val="8"/>
        <w:numId w:val="10"/>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Centre">
    <w:name w:val="Table Heading Centre"/>
    <w:basedOn w:val="Normal"/>
    <w:rsid w:val="00605F78"/>
    <w:pPr>
      <w:keepNext/>
      <w:jc w:val="center"/>
    </w:pPr>
    <w:rPr>
      <w:b/>
      <w:sz w:val="20"/>
    </w:rPr>
  </w:style>
  <w:style w:type="character" w:customStyle="1" w:styleId="Heading3Char">
    <w:name w:val="Heading 3 Char"/>
    <w:basedOn w:val="DefaultParagraphFont"/>
    <w:link w:val="Heading3"/>
    <w:rsid w:val="00226AD9"/>
    <w:rPr>
      <w:rFonts w:ascii="Arial" w:hAnsi="Arial" w:cs="Arial"/>
      <w:b/>
      <w:bCs/>
      <w:sz w:val="24"/>
      <w:szCs w:val="26"/>
      <w:lang w:eastAsia="en-US"/>
    </w:rPr>
  </w:style>
  <w:style w:type="paragraph" w:styleId="BodyText">
    <w:name w:val="Body Text"/>
    <w:basedOn w:val="Normal"/>
    <w:link w:val="BodyTextChar"/>
    <w:rsid w:val="00605F78"/>
    <w:pPr>
      <w:keepNext/>
      <w:keepLines/>
      <w:spacing w:before="120" w:after="120"/>
      <w:jc w:val="both"/>
    </w:pPr>
  </w:style>
  <w:style w:type="paragraph" w:styleId="BodyTextIndent">
    <w:name w:val="Body Text Indent"/>
    <w:basedOn w:val="Normal"/>
    <w:next w:val="BodyText"/>
    <w:link w:val="BodyTextIndentChar"/>
    <w:rsid w:val="00605F78"/>
    <w:pPr>
      <w:keepNext/>
      <w:keepLines/>
      <w:numPr>
        <w:numId w:val="6"/>
      </w:numPr>
      <w:spacing w:after="120"/>
      <w:jc w:val="both"/>
    </w:pPr>
    <w:rPr>
      <w:szCs w:val="24"/>
    </w:rPr>
  </w:style>
  <w:style w:type="paragraph" w:styleId="BodyTextIndent2">
    <w:name w:val="Body Text Indent 2"/>
    <w:basedOn w:val="Normal"/>
    <w:rsid w:val="00605F78"/>
    <w:pPr>
      <w:keepNext/>
      <w:keepLines/>
      <w:numPr>
        <w:numId w:val="7"/>
      </w:numPr>
      <w:spacing w:after="120"/>
      <w:jc w:val="both"/>
    </w:pPr>
  </w:style>
  <w:style w:type="paragraph" w:styleId="BodyTextIndent3">
    <w:name w:val="Body Text Indent 3"/>
    <w:basedOn w:val="Normal"/>
    <w:rsid w:val="00605F78"/>
    <w:pPr>
      <w:keepNext/>
      <w:keepLines/>
      <w:numPr>
        <w:numId w:val="8"/>
      </w:numPr>
      <w:tabs>
        <w:tab w:val="left" w:pos="1134"/>
      </w:tabs>
      <w:spacing w:after="120"/>
      <w:jc w:val="both"/>
    </w:pPr>
    <w:rPr>
      <w:szCs w:val="24"/>
    </w:rPr>
  </w:style>
  <w:style w:type="paragraph" w:customStyle="1" w:styleId="BodyTextIndent4">
    <w:name w:val="Body Text Indent 4"/>
    <w:basedOn w:val="BodyText"/>
    <w:next w:val="BodyText"/>
    <w:rsid w:val="00605F78"/>
    <w:pPr>
      <w:numPr>
        <w:numId w:val="9"/>
      </w:numPr>
      <w:spacing w:before="0"/>
    </w:pPr>
  </w:style>
  <w:style w:type="paragraph" w:customStyle="1" w:styleId="SIHeading1">
    <w:name w:val="SI Heading 1"/>
    <w:basedOn w:val="Normal"/>
    <w:next w:val="BodyText"/>
    <w:rsid w:val="00605F78"/>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605F78"/>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semiHidden/>
    <w:rsid w:val="00605F78"/>
    <w:pPr>
      <w:numPr>
        <w:numId w:val="22"/>
      </w:numPr>
      <w:spacing w:before="60"/>
    </w:pPr>
    <w:rPr>
      <w:kern w:val="16"/>
      <w:sz w:val="20"/>
      <w:szCs w:val="24"/>
    </w:rPr>
  </w:style>
  <w:style w:type="paragraph" w:customStyle="1" w:styleId="TableTextRightBold">
    <w:name w:val="Table Text Right Bold"/>
    <w:basedOn w:val="Normal"/>
    <w:rsid w:val="00605F78"/>
    <w:pPr>
      <w:ind w:left="357" w:hanging="357"/>
      <w:jc w:val="right"/>
    </w:pPr>
    <w:rPr>
      <w:b/>
      <w:sz w:val="20"/>
    </w:rPr>
  </w:style>
  <w:style w:type="paragraph" w:customStyle="1" w:styleId="TableHeadingRight">
    <w:name w:val="Table Heading Right"/>
    <w:basedOn w:val="Normal"/>
    <w:rsid w:val="00605F78"/>
    <w:pPr>
      <w:keepNext/>
      <w:jc w:val="right"/>
    </w:pPr>
    <w:rPr>
      <w:b/>
      <w:sz w:val="20"/>
      <w:szCs w:val="24"/>
    </w:rPr>
  </w:style>
  <w:style w:type="paragraph" w:customStyle="1" w:styleId="NoteText">
    <w:name w:val="Note Text"/>
    <w:basedOn w:val="Normal"/>
    <w:rsid w:val="00605F78"/>
    <w:pPr>
      <w:jc w:val="both"/>
    </w:pPr>
    <w:rPr>
      <w:iCs/>
      <w:sz w:val="16"/>
    </w:rPr>
  </w:style>
  <w:style w:type="paragraph" w:styleId="Header">
    <w:name w:val="header"/>
    <w:basedOn w:val="Normal"/>
    <w:semiHidden/>
    <w:rsid w:val="00605F78"/>
    <w:pPr>
      <w:tabs>
        <w:tab w:val="center" w:pos="4153"/>
        <w:tab w:val="right" w:pos="8306"/>
      </w:tabs>
    </w:pPr>
  </w:style>
  <w:style w:type="paragraph" w:customStyle="1" w:styleId="Noteheading">
    <w:name w:val="Note heading"/>
    <w:basedOn w:val="Normal"/>
    <w:autoRedefine/>
    <w:semiHidden/>
    <w:rsid w:val="00605F78"/>
    <w:pPr>
      <w:spacing w:before="120"/>
      <w:ind w:left="28"/>
    </w:pPr>
    <w:rPr>
      <w:b/>
      <w:bCs/>
      <w:sz w:val="20"/>
    </w:rPr>
  </w:style>
  <w:style w:type="character" w:customStyle="1" w:styleId="BodyTextIndentChar">
    <w:name w:val="Body Text Indent Char"/>
    <w:basedOn w:val="DefaultParagraphFont"/>
    <w:link w:val="BodyTextIndent"/>
    <w:rsid w:val="0022187F"/>
    <w:rPr>
      <w:rFonts w:ascii="Calibri" w:hAnsi="Calibri"/>
      <w:sz w:val="24"/>
      <w:szCs w:val="24"/>
      <w:lang w:eastAsia="en-US"/>
    </w:rPr>
  </w:style>
  <w:style w:type="paragraph" w:customStyle="1" w:styleId="TableHeadingLeft">
    <w:name w:val="Table Heading Left"/>
    <w:basedOn w:val="Normal"/>
    <w:link w:val="TableHeadingLeftChar"/>
    <w:rsid w:val="00605F78"/>
    <w:pPr>
      <w:keepNext/>
    </w:pPr>
    <w:rPr>
      <w:b/>
      <w:sz w:val="20"/>
      <w:lang w:eastAsia="en-AU"/>
    </w:rPr>
  </w:style>
  <w:style w:type="paragraph" w:customStyle="1" w:styleId="TableTextRight">
    <w:name w:val="Table Text Right"/>
    <w:basedOn w:val="Normal"/>
    <w:rsid w:val="00605F78"/>
    <w:pPr>
      <w:ind w:left="357" w:hanging="357"/>
      <w:jc w:val="right"/>
    </w:pPr>
    <w:rPr>
      <w:sz w:val="20"/>
    </w:rPr>
  </w:style>
  <w:style w:type="paragraph" w:customStyle="1" w:styleId="TableTextLeftBold">
    <w:name w:val="Table Text Left Bold"/>
    <w:basedOn w:val="Normal"/>
    <w:link w:val="TableTextLeftBoldChar"/>
    <w:rsid w:val="00605F78"/>
    <w:pPr>
      <w:ind w:left="357" w:hanging="357"/>
    </w:pPr>
    <w:rPr>
      <w:b/>
      <w:sz w:val="20"/>
    </w:rPr>
  </w:style>
  <w:style w:type="paragraph" w:customStyle="1" w:styleId="TableTextLeft">
    <w:name w:val="Table Text Left"/>
    <w:basedOn w:val="Normal"/>
    <w:rsid w:val="00605F78"/>
    <w:pPr>
      <w:ind w:left="357" w:hanging="357"/>
    </w:pPr>
    <w:rPr>
      <w:sz w:val="20"/>
      <w:szCs w:val="18"/>
    </w:rPr>
  </w:style>
  <w:style w:type="paragraph" w:customStyle="1" w:styleId="TableNumbersRight">
    <w:name w:val="Table Numbers Right"/>
    <w:basedOn w:val="TableHeadingRight"/>
    <w:rsid w:val="00605F78"/>
    <w:rPr>
      <w:b w:val="0"/>
    </w:rPr>
  </w:style>
  <w:style w:type="character" w:customStyle="1" w:styleId="TableHeadingLeftChar">
    <w:name w:val="Table Heading Left Char"/>
    <w:basedOn w:val="DefaultParagraphFont"/>
    <w:link w:val="TableHeadingLeft"/>
    <w:rsid w:val="00226AD9"/>
    <w:rPr>
      <w:rFonts w:ascii="Calibri" w:hAnsi="Calibri"/>
      <w:b/>
    </w:rPr>
  </w:style>
  <w:style w:type="paragraph" w:customStyle="1" w:styleId="FooterBP">
    <w:name w:val="Footer BP"/>
    <w:basedOn w:val="Normal"/>
    <w:next w:val="Normal"/>
    <w:rsid w:val="00605F78"/>
    <w:pPr>
      <w:pBdr>
        <w:top w:val="single" w:sz="4" w:space="1" w:color="auto"/>
      </w:pBdr>
      <w:tabs>
        <w:tab w:val="center" w:pos="4536"/>
        <w:tab w:val="right" w:pos="9356"/>
      </w:tabs>
      <w:ind w:left="-284" w:right="-329"/>
    </w:pPr>
    <w:rPr>
      <w:i/>
      <w:sz w:val="20"/>
    </w:rPr>
  </w:style>
  <w:style w:type="paragraph" w:styleId="Footer">
    <w:name w:val="footer"/>
    <w:basedOn w:val="Normal"/>
    <w:semiHidden/>
    <w:rsid w:val="00605F78"/>
    <w:pPr>
      <w:tabs>
        <w:tab w:val="center" w:pos="4153"/>
        <w:tab w:val="right" w:pos="8306"/>
      </w:tabs>
    </w:pPr>
  </w:style>
  <w:style w:type="character" w:customStyle="1" w:styleId="TableTextLeftBoldChar">
    <w:name w:val="Table Text Left Bold Char"/>
    <w:basedOn w:val="DefaultParagraphFont"/>
    <w:link w:val="TableTextLeftBold"/>
    <w:rsid w:val="00226AD9"/>
    <w:rPr>
      <w:rFonts w:ascii="Calibri" w:hAnsi="Calibri"/>
      <w:b/>
      <w:lang w:eastAsia="en-US"/>
    </w:rPr>
  </w:style>
  <w:style w:type="paragraph" w:customStyle="1" w:styleId="Heading3TopofPage">
    <w:name w:val="Heading 3 Top of Page"/>
    <w:basedOn w:val="Heading3"/>
    <w:next w:val="BodyText"/>
    <w:rsid w:val="00605F78"/>
    <w:pPr>
      <w:spacing w:before="0"/>
    </w:pPr>
    <w:rPr>
      <w:rFonts w:cs="Times New Roman"/>
      <w:lang w:eastAsia="en-AU"/>
    </w:rPr>
  </w:style>
  <w:style w:type="paragraph" w:customStyle="1" w:styleId="Heading3Centred">
    <w:name w:val="Heading 3 Centred"/>
    <w:basedOn w:val="Heading3"/>
    <w:next w:val="BodyText"/>
    <w:rsid w:val="00605F78"/>
    <w:pPr>
      <w:spacing w:before="0"/>
      <w:jc w:val="center"/>
    </w:pPr>
    <w:rPr>
      <w:rFonts w:cs="Times New Roman"/>
      <w:lang w:eastAsia="en-AU"/>
    </w:rPr>
  </w:style>
  <w:style w:type="numbering" w:styleId="ArticleSection">
    <w:name w:val="Outline List 3"/>
    <w:basedOn w:val="NoList"/>
    <w:semiHidden/>
    <w:rsid w:val="00605F78"/>
    <w:pPr>
      <w:numPr>
        <w:numId w:val="5"/>
      </w:numPr>
    </w:pPr>
  </w:style>
  <w:style w:type="paragraph" w:styleId="BodyText2">
    <w:name w:val="Body Text 2"/>
    <w:basedOn w:val="Normal"/>
    <w:semiHidden/>
    <w:rsid w:val="00605F78"/>
    <w:pPr>
      <w:spacing w:after="120" w:line="480" w:lineRule="auto"/>
    </w:pPr>
  </w:style>
  <w:style w:type="paragraph" w:customStyle="1" w:styleId="SinglePara">
    <w:name w:val="Single Para"/>
    <w:basedOn w:val="Normal"/>
    <w:semiHidden/>
    <w:rsid w:val="00605F78"/>
  </w:style>
  <w:style w:type="paragraph" w:customStyle="1" w:styleId="xl25">
    <w:name w:val="xl25"/>
    <w:basedOn w:val="Normal"/>
    <w:semiHidden/>
    <w:rsid w:val="00605F78"/>
    <w:pPr>
      <w:spacing w:before="100" w:beforeAutospacing="1" w:after="100" w:afterAutospacing="1"/>
    </w:pPr>
    <w:rPr>
      <w:rFonts w:eastAsia="Arial Unicode MS"/>
      <w:sz w:val="18"/>
      <w:szCs w:val="18"/>
    </w:rPr>
  </w:style>
  <w:style w:type="paragraph" w:styleId="PlainText">
    <w:name w:val="Plain Text"/>
    <w:basedOn w:val="Normal"/>
    <w:semiHidden/>
    <w:rsid w:val="00605F78"/>
    <w:rPr>
      <w:sz w:val="20"/>
      <w:lang w:val="en-US"/>
    </w:rPr>
  </w:style>
  <w:style w:type="paragraph" w:styleId="BalloonText">
    <w:name w:val="Balloon Text"/>
    <w:basedOn w:val="Normal"/>
    <w:semiHidden/>
    <w:rsid w:val="00605F78"/>
    <w:rPr>
      <w:rFonts w:ascii="Tahoma" w:hAnsi="Tahoma" w:cs="Tahoma"/>
      <w:sz w:val="16"/>
      <w:szCs w:val="16"/>
    </w:rPr>
  </w:style>
  <w:style w:type="paragraph" w:customStyle="1" w:styleId="Sub-Heading">
    <w:name w:val="Sub-Heading"/>
    <w:basedOn w:val="Normal"/>
    <w:next w:val="BodyText"/>
    <w:rsid w:val="00605F78"/>
    <w:pPr>
      <w:keepNext/>
      <w:spacing w:before="240" w:after="120"/>
      <w:outlineLvl w:val="0"/>
    </w:pPr>
    <w:rPr>
      <w:rFonts w:ascii="Arial" w:hAnsi="Arial"/>
      <w:i/>
    </w:rPr>
  </w:style>
  <w:style w:type="paragraph" w:customStyle="1" w:styleId="Sub-Heading2">
    <w:name w:val="Sub-Heading 2"/>
    <w:basedOn w:val="BodyText"/>
    <w:semiHidden/>
    <w:rsid w:val="00605F78"/>
    <w:rPr>
      <w:i/>
    </w:rPr>
  </w:style>
  <w:style w:type="paragraph" w:customStyle="1" w:styleId="TableName">
    <w:name w:val="Table Name"/>
    <w:basedOn w:val="Normal"/>
    <w:link w:val="TableNameChar"/>
    <w:rsid w:val="00605F78"/>
    <w:pPr>
      <w:keepNext/>
      <w:keepLines/>
      <w:spacing w:after="120"/>
      <w:jc w:val="center"/>
    </w:pPr>
    <w:rPr>
      <w:rFonts w:ascii="Arial" w:hAnsi="Arial"/>
      <w:b/>
      <w:sz w:val="20"/>
    </w:rPr>
  </w:style>
  <w:style w:type="paragraph" w:customStyle="1" w:styleId="AIblurb">
    <w:name w:val="AI blurb"/>
    <w:basedOn w:val="Normal"/>
    <w:rsid w:val="00605F78"/>
    <w:pPr>
      <w:spacing w:before="120" w:after="240"/>
      <w:ind w:left="380"/>
      <w:jc w:val="both"/>
    </w:pPr>
    <w:rPr>
      <w:sz w:val="20"/>
    </w:rPr>
  </w:style>
  <w:style w:type="paragraph" w:styleId="BodyText3">
    <w:name w:val="Body Text 3"/>
    <w:basedOn w:val="Normal"/>
    <w:semiHidden/>
    <w:rsid w:val="00605F78"/>
    <w:pPr>
      <w:spacing w:after="120"/>
    </w:pPr>
    <w:rPr>
      <w:sz w:val="16"/>
      <w:szCs w:val="16"/>
    </w:rPr>
  </w:style>
  <w:style w:type="paragraph" w:customStyle="1" w:styleId="AINotes">
    <w:name w:val="AI Notes"/>
    <w:basedOn w:val="Normal"/>
    <w:rsid w:val="00605F78"/>
    <w:pPr>
      <w:numPr>
        <w:numId w:val="4"/>
      </w:numPr>
      <w:jc w:val="both"/>
    </w:pPr>
    <w:rPr>
      <w:sz w:val="16"/>
    </w:rPr>
  </w:style>
  <w:style w:type="paragraph" w:customStyle="1" w:styleId="n">
    <w:name w:val="n"/>
    <w:basedOn w:val="Normal"/>
    <w:semiHidden/>
    <w:rsid w:val="00605F78"/>
    <w:pPr>
      <w:jc w:val="both"/>
    </w:pPr>
    <w:rPr>
      <w:sz w:val="16"/>
      <w:szCs w:val="24"/>
    </w:rPr>
  </w:style>
  <w:style w:type="paragraph" w:customStyle="1" w:styleId="Notes">
    <w:name w:val="Notes"/>
    <w:basedOn w:val="Normal"/>
    <w:semiHidden/>
    <w:rsid w:val="00605F78"/>
    <w:pPr>
      <w:spacing w:before="120"/>
      <w:ind w:left="28"/>
    </w:pPr>
    <w:rPr>
      <w:b/>
      <w:sz w:val="20"/>
      <w:szCs w:val="24"/>
    </w:rPr>
  </w:style>
  <w:style w:type="numbering" w:styleId="1ai">
    <w:name w:val="Outline List 1"/>
    <w:basedOn w:val="NoList"/>
    <w:semiHidden/>
    <w:rsid w:val="00605F78"/>
    <w:pPr>
      <w:numPr>
        <w:numId w:val="3"/>
      </w:numPr>
    </w:pPr>
  </w:style>
  <w:style w:type="numbering" w:styleId="111111">
    <w:name w:val="Outline List 2"/>
    <w:basedOn w:val="NoList"/>
    <w:semiHidden/>
    <w:rsid w:val="00605F78"/>
    <w:pPr>
      <w:numPr>
        <w:numId w:val="2"/>
      </w:numPr>
    </w:pPr>
  </w:style>
  <w:style w:type="paragraph" w:styleId="BlockText">
    <w:name w:val="Block Text"/>
    <w:basedOn w:val="Normal"/>
    <w:semiHidden/>
    <w:rsid w:val="00605F78"/>
    <w:pPr>
      <w:spacing w:after="120"/>
      <w:ind w:left="1440" w:right="1440"/>
    </w:pPr>
  </w:style>
  <w:style w:type="paragraph" w:styleId="BodyTextFirstIndent">
    <w:name w:val="Body Text First Indent"/>
    <w:basedOn w:val="BodyText"/>
    <w:semiHidden/>
    <w:rsid w:val="00605F78"/>
    <w:pPr>
      <w:spacing w:before="0"/>
      <w:ind w:firstLine="210"/>
      <w:jc w:val="left"/>
    </w:pPr>
  </w:style>
  <w:style w:type="paragraph" w:styleId="BodyTextFirstIndent2">
    <w:name w:val="Body Text First Indent 2"/>
    <w:basedOn w:val="BodyTextIndent"/>
    <w:semiHidden/>
    <w:rsid w:val="00605F78"/>
    <w:pPr>
      <w:numPr>
        <w:numId w:val="0"/>
      </w:numPr>
      <w:ind w:left="283" w:firstLine="210"/>
      <w:jc w:val="left"/>
    </w:pPr>
  </w:style>
  <w:style w:type="paragraph" w:styleId="Closing">
    <w:name w:val="Closing"/>
    <w:basedOn w:val="Normal"/>
    <w:semiHidden/>
    <w:rsid w:val="00605F78"/>
    <w:pPr>
      <w:ind w:left="4252"/>
    </w:pPr>
  </w:style>
  <w:style w:type="paragraph" w:styleId="Date">
    <w:name w:val="Date"/>
    <w:basedOn w:val="Normal"/>
    <w:next w:val="Normal"/>
    <w:semiHidden/>
    <w:rsid w:val="00605F78"/>
  </w:style>
  <w:style w:type="paragraph" w:styleId="E-mailSignature">
    <w:name w:val="E-mail Signature"/>
    <w:basedOn w:val="Normal"/>
    <w:semiHidden/>
    <w:rsid w:val="00605F78"/>
  </w:style>
  <w:style w:type="character" w:styleId="Emphasis">
    <w:name w:val="Emphasis"/>
    <w:basedOn w:val="DefaultParagraphFont"/>
    <w:qFormat/>
    <w:rsid w:val="00605F78"/>
    <w:rPr>
      <w:rFonts w:ascii="Calibri" w:hAnsi="Calibri"/>
      <w:i/>
      <w:iCs/>
    </w:rPr>
  </w:style>
  <w:style w:type="paragraph" w:styleId="EnvelopeAddress">
    <w:name w:val="envelope address"/>
    <w:basedOn w:val="Normal"/>
    <w:semiHidden/>
    <w:rsid w:val="00605F78"/>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605F78"/>
    <w:rPr>
      <w:rFonts w:ascii="Arial" w:hAnsi="Arial" w:cs="Arial"/>
      <w:sz w:val="20"/>
    </w:rPr>
  </w:style>
  <w:style w:type="character" w:styleId="FollowedHyperlink">
    <w:name w:val="FollowedHyperlink"/>
    <w:basedOn w:val="DefaultParagraphFont"/>
    <w:semiHidden/>
    <w:rsid w:val="00605F78"/>
    <w:rPr>
      <w:color w:val="800080"/>
      <w:u w:val="single"/>
    </w:rPr>
  </w:style>
  <w:style w:type="character" w:styleId="HTMLAcronym">
    <w:name w:val="HTML Acronym"/>
    <w:basedOn w:val="DefaultParagraphFont"/>
    <w:semiHidden/>
    <w:rsid w:val="00605F78"/>
  </w:style>
  <w:style w:type="paragraph" w:styleId="HTMLAddress">
    <w:name w:val="HTML Address"/>
    <w:basedOn w:val="Normal"/>
    <w:semiHidden/>
    <w:rsid w:val="00605F78"/>
    <w:rPr>
      <w:i/>
      <w:iCs/>
    </w:rPr>
  </w:style>
  <w:style w:type="character" w:styleId="HTMLCite">
    <w:name w:val="HTML Cite"/>
    <w:basedOn w:val="DefaultParagraphFont"/>
    <w:semiHidden/>
    <w:rsid w:val="00605F78"/>
    <w:rPr>
      <w:i/>
      <w:iCs/>
    </w:rPr>
  </w:style>
  <w:style w:type="character" w:styleId="HTMLCode">
    <w:name w:val="HTML Code"/>
    <w:basedOn w:val="DefaultParagraphFont"/>
    <w:semiHidden/>
    <w:rsid w:val="00605F78"/>
    <w:rPr>
      <w:rFonts w:ascii="Courier New" w:hAnsi="Courier New" w:cs="Courier New"/>
      <w:sz w:val="20"/>
      <w:szCs w:val="20"/>
    </w:rPr>
  </w:style>
  <w:style w:type="character" w:styleId="HTMLDefinition">
    <w:name w:val="HTML Definition"/>
    <w:basedOn w:val="DefaultParagraphFont"/>
    <w:semiHidden/>
    <w:rsid w:val="00605F78"/>
    <w:rPr>
      <w:i/>
      <w:iCs/>
    </w:rPr>
  </w:style>
  <w:style w:type="character" w:styleId="HTMLKeyboard">
    <w:name w:val="HTML Keyboard"/>
    <w:basedOn w:val="DefaultParagraphFont"/>
    <w:semiHidden/>
    <w:rsid w:val="00605F78"/>
    <w:rPr>
      <w:rFonts w:ascii="Courier New" w:hAnsi="Courier New" w:cs="Courier New"/>
      <w:sz w:val="20"/>
      <w:szCs w:val="20"/>
    </w:rPr>
  </w:style>
  <w:style w:type="paragraph" w:styleId="HTMLPreformatted">
    <w:name w:val="HTML Preformatted"/>
    <w:basedOn w:val="Normal"/>
    <w:semiHidden/>
    <w:rsid w:val="00605F78"/>
    <w:rPr>
      <w:rFonts w:ascii="Courier New" w:hAnsi="Courier New" w:cs="Courier New"/>
      <w:sz w:val="20"/>
    </w:rPr>
  </w:style>
  <w:style w:type="character" w:styleId="HTMLSample">
    <w:name w:val="HTML Sample"/>
    <w:basedOn w:val="DefaultParagraphFont"/>
    <w:semiHidden/>
    <w:rsid w:val="00605F78"/>
    <w:rPr>
      <w:rFonts w:ascii="Courier New" w:hAnsi="Courier New" w:cs="Courier New"/>
    </w:rPr>
  </w:style>
  <w:style w:type="character" w:styleId="HTMLTypewriter">
    <w:name w:val="HTML Typewriter"/>
    <w:basedOn w:val="DefaultParagraphFont"/>
    <w:semiHidden/>
    <w:rsid w:val="00605F78"/>
    <w:rPr>
      <w:rFonts w:ascii="Courier New" w:hAnsi="Courier New" w:cs="Courier New"/>
      <w:sz w:val="20"/>
      <w:szCs w:val="20"/>
    </w:rPr>
  </w:style>
  <w:style w:type="character" w:styleId="HTMLVariable">
    <w:name w:val="HTML Variable"/>
    <w:basedOn w:val="DefaultParagraphFont"/>
    <w:semiHidden/>
    <w:rsid w:val="00605F78"/>
    <w:rPr>
      <w:i/>
      <w:iCs/>
    </w:rPr>
  </w:style>
  <w:style w:type="character" w:styleId="Hyperlink">
    <w:name w:val="Hyperlink"/>
    <w:basedOn w:val="DefaultParagraphFont"/>
    <w:semiHidden/>
    <w:rsid w:val="00605F78"/>
    <w:rPr>
      <w:color w:val="0000FF"/>
      <w:u w:val="single"/>
    </w:rPr>
  </w:style>
  <w:style w:type="character" w:styleId="LineNumber">
    <w:name w:val="line number"/>
    <w:basedOn w:val="DefaultParagraphFont"/>
    <w:semiHidden/>
    <w:rsid w:val="00605F78"/>
  </w:style>
  <w:style w:type="paragraph" w:styleId="List">
    <w:name w:val="List"/>
    <w:basedOn w:val="Normal"/>
    <w:semiHidden/>
    <w:rsid w:val="00605F78"/>
    <w:pPr>
      <w:ind w:left="283" w:hanging="283"/>
    </w:pPr>
  </w:style>
  <w:style w:type="paragraph" w:styleId="List2">
    <w:name w:val="List 2"/>
    <w:basedOn w:val="Normal"/>
    <w:semiHidden/>
    <w:rsid w:val="00605F78"/>
    <w:pPr>
      <w:ind w:left="566" w:hanging="283"/>
    </w:pPr>
  </w:style>
  <w:style w:type="paragraph" w:styleId="List3">
    <w:name w:val="List 3"/>
    <w:basedOn w:val="Normal"/>
    <w:semiHidden/>
    <w:rsid w:val="00605F78"/>
    <w:pPr>
      <w:ind w:left="849" w:hanging="283"/>
    </w:pPr>
  </w:style>
  <w:style w:type="paragraph" w:styleId="List4">
    <w:name w:val="List 4"/>
    <w:basedOn w:val="Normal"/>
    <w:semiHidden/>
    <w:rsid w:val="00605F78"/>
    <w:pPr>
      <w:ind w:left="1132" w:hanging="283"/>
    </w:pPr>
  </w:style>
  <w:style w:type="paragraph" w:styleId="List5">
    <w:name w:val="List 5"/>
    <w:basedOn w:val="Normal"/>
    <w:semiHidden/>
    <w:rsid w:val="00605F78"/>
    <w:pPr>
      <w:ind w:left="1415" w:hanging="283"/>
    </w:pPr>
  </w:style>
  <w:style w:type="paragraph" w:styleId="ListBullet">
    <w:name w:val="List Bullet"/>
    <w:basedOn w:val="Normal"/>
    <w:semiHidden/>
    <w:rsid w:val="00605F78"/>
    <w:pPr>
      <w:numPr>
        <w:numId w:val="11"/>
      </w:numPr>
    </w:pPr>
  </w:style>
  <w:style w:type="paragraph" w:styleId="ListBullet2">
    <w:name w:val="List Bullet 2"/>
    <w:basedOn w:val="Normal"/>
    <w:semiHidden/>
    <w:rsid w:val="00605F78"/>
    <w:pPr>
      <w:numPr>
        <w:numId w:val="12"/>
      </w:numPr>
    </w:pPr>
  </w:style>
  <w:style w:type="paragraph" w:styleId="ListBullet3">
    <w:name w:val="List Bullet 3"/>
    <w:basedOn w:val="Normal"/>
    <w:semiHidden/>
    <w:rsid w:val="00605F78"/>
    <w:pPr>
      <w:numPr>
        <w:numId w:val="13"/>
      </w:numPr>
    </w:pPr>
  </w:style>
  <w:style w:type="paragraph" w:styleId="ListBullet4">
    <w:name w:val="List Bullet 4"/>
    <w:basedOn w:val="Normal"/>
    <w:semiHidden/>
    <w:rsid w:val="00605F78"/>
    <w:pPr>
      <w:numPr>
        <w:numId w:val="14"/>
      </w:numPr>
    </w:pPr>
  </w:style>
  <w:style w:type="paragraph" w:styleId="ListBullet5">
    <w:name w:val="List Bullet 5"/>
    <w:basedOn w:val="Normal"/>
    <w:semiHidden/>
    <w:rsid w:val="00605F78"/>
    <w:pPr>
      <w:numPr>
        <w:numId w:val="15"/>
      </w:numPr>
    </w:pPr>
  </w:style>
  <w:style w:type="paragraph" w:styleId="ListContinue">
    <w:name w:val="List Continue"/>
    <w:basedOn w:val="Normal"/>
    <w:semiHidden/>
    <w:rsid w:val="00605F78"/>
    <w:pPr>
      <w:spacing w:after="120"/>
      <w:ind w:left="283"/>
    </w:pPr>
  </w:style>
  <w:style w:type="paragraph" w:styleId="ListContinue2">
    <w:name w:val="List Continue 2"/>
    <w:basedOn w:val="Normal"/>
    <w:semiHidden/>
    <w:rsid w:val="00605F78"/>
    <w:pPr>
      <w:spacing w:after="120"/>
      <w:ind w:left="566"/>
    </w:pPr>
  </w:style>
  <w:style w:type="paragraph" w:styleId="ListContinue3">
    <w:name w:val="List Continue 3"/>
    <w:basedOn w:val="Normal"/>
    <w:semiHidden/>
    <w:rsid w:val="00605F78"/>
    <w:pPr>
      <w:spacing w:after="120"/>
      <w:ind w:left="849"/>
    </w:pPr>
  </w:style>
  <w:style w:type="paragraph" w:styleId="ListContinue4">
    <w:name w:val="List Continue 4"/>
    <w:basedOn w:val="Normal"/>
    <w:semiHidden/>
    <w:rsid w:val="00605F78"/>
    <w:pPr>
      <w:spacing w:after="120"/>
      <w:ind w:left="1132"/>
    </w:pPr>
  </w:style>
  <w:style w:type="paragraph" w:styleId="ListContinue5">
    <w:name w:val="List Continue 5"/>
    <w:basedOn w:val="Normal"/>
    <w:semiHidden/>
    <w:rsid w:val="00605F78"/>
    <w:pPr>
      <w:spacing w:after="120"/>
      <w:ind w:left="1415"/>
    </w:pPr>
  </w:style>
  <w:style w:type="paragraph" w:styleId="ListNumber">
    <w:name w:val="List Number"/>
    <w:basedOn w:val="Normal"/>
    <w:semiHidden/>
    <w:rsid w:val="00605F78"/>
    <w:pPr>
      <w:numPr>
        <w:numId w:val="16"/>
      </w:numPr>
    </w:pPr>
  </w:style>
  <w:style w:type="paragraph" w:styleId="ListNumber2">
    <w:name w:val="List Number 2"/>
    <w:basedOn w:val="Normal"/>
    <w:semiHidden/>
    <w:rsid w:val="00605F78"/>
    <w:pPr>
      <w:numPr>
        <w:numId w:val="17"/>
      </w:numPr>
    </w:pPr>
  </w:style>
  <w:style w:type="paragraph" w:styleId="ListNumber3">
    <w:name w:val="List Number 3"/>
    <w:basedOn w:val="Normal"/>
    <w:semiHidden/>
    <w:rsid w:val="00605F78"/>
    <w:pPr>
      <w:numPr>
        <w:numId w:val="18"/>
      </w:numPr>
    </w:pPr>
  </w:style>
  <w:style w:type="paragraph" w:styleId="ListNumber4">
    <w:name w:val="List Number 4"/>
    <w:basedOn w:val="Normal"/>
    <w:semiHidden/>
    <w:rsid w:val="00605F78"/>
    <w:pPr>
      <w:numPr>
        <w:numId w:val="19"/>
      </w:numPr>
    </w:pPr>
  </w:style>
  <w:style w:type="paragraph" w:styleId="ListNumber5">
    <w:name w:val="List Number 5"/>
    <w:basedOn w:val="Normal"/>
    <w:semiHidden/>
    <w:rsid w:val="00605F78"/>
    <w:pPr>
      <w:numPr>
        <w:numId w:val="20"/>
      </w:numPr>
    </w:pPr>
  </w:style>
  <w:style w:type="paragraph" w:styleId="MessageHeader">
    <w:name w:val="Message Header"/>
    <w:basedOn w:val="Normal"/>
    <w:semiHidden/>
    <w:rsid w:val="00605F7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sid w:val="00605F78"/>
    <w:rPr>
      <w:szCs w:val="24"/>
    </w:rPr>
  </w:style>
  <w:style w:type="paragraph" w:styleId="NormalIndent">
    <w:name w:val="Normal Indent"/>
    <w:basedOn w:val="Normal"/>
    <w:semiHidden/>
    <w:rsid w:val="00605F78"/>
    <w:pPr>
      <w:ind w:left="720"/>
    </w:pPr>
  </w:style>
  <w:style w:type="character" w:styleId="PageNumber">
    <w:name w:val="page number"/>
    <w:basedOn w:val="DefaultParagraphFont"/>
    <w:semiHidden/>
    <w:rsid w:val="00605F78"/>
  </w:style>
  <w:style w:type="paragraph" w:styleId="Salutation">
    <w:name w:val="Salutation"/>
    <w:basedOn w:val="Normal"/>
    <w:next w:val="Normal"/>
    <w:semiHidden/>
    <w:rsid w:val="00605F78"/>
  </w:style>
  <w:style w:type="paragraph" w:styleId="Signature">
    <w:name w:val="Signature"/>
    <w:basedOn w:val="Normal"/>
    <w:semiHidden/>
    <w:rsid w:val="00605F78"/>
    <w:pPr>
      <w:ind w:left="4252"/>
    </w:pPr>
  </w:style>
  <w:style w:type="character" w:styleId="Strong">
    <w:name w:val="Strong"/>
    <w:basedOn w:val="DefaultParagraphFont"/>
    <w:qFormat/>
    <w:rsid w:val="00605F78"/>
    <w:rPr>
      <w:b/>
      <w:bCs/>
    </w:rPr>
  </w:style>
  <w:style w:type="paragraph" w:styleId="Subtitle">
    <w:name w:val="Subtitle"/>
    <w:basedOn w:val="Normal"/>
    <w:qFormat/>
    <w:rsid w:val="00605F78"/>
    <w:pPr>
      <w:spacing w:after="60"/>
      <w:jc w:val="center"/>
      <w:outlineLvl w:val="1"/>
    </w:pPr>
    <w:rPr>
      <w:rFonts w:ascii="Arial" w:hAnsi="Arial" w:cs="Arial"/>
      <w:szCs w:val="24"/>
    </w:rPr>
  </w:style>
  <w:style w:type="table" w:styleId="Table3Deffects1">
    <w:name w:val="Table 3D effects 1"/>
    <w:basedOn w:val="TableNormal"/>
    <w:semiHidden/>
    <w:rsid w:val="00605F78"/>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5F78"/>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5F7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05F7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5F7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5F7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5F7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5F7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5F78"/>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5F78"/>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5F7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5F78"/>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5F78"/>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5F78"/>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5F7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5F7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5F7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05F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605F7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5F7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5F7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5F78"/>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5F7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5F7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5F7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5F78"/>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05F7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5F7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5F7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5F78"/>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5F78"/>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5F78"/>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5F7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5F7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05F7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5F7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5F7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5F7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5F7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5F7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5F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605F78"/>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5F7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5F7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605F78"/>
    <w:pPr>
      <w:spacing w:before="240" w:after="60"/>
      <w:jc w:val="center"/>
      <w:outlineLvl w:val="0"/>
    </w:pPr>
    <w:rPr>
      <w:rFonts w:ascii="Arial" w:hAnsi="Arial" w:cs="Arial"/>
      <w:b/>
      <w:bCs/>
      <w:kern w:val="28"/>
      <w:sz w:val="32"/>
      <w:szCs w:val="32"/>
    </w:rPr>
  </w:style>
  <w:style w:type="paragraph" w:styleId="NoteHeading0">
    <w:name w:val="Note Heading"/>
    <w:basedOn w:val="Normal"/>
    <w:next w:val="Normal"/>
    <w:rsid w:val="00605F78"/>
    <w:pPr>
      <w:spacing w:before="120"/>
    </w:pPr>
    <w:rPr>
      <w:b/>
      <w:sz w:val="16"/>
    </w:rPr>
  </w:style>
  <w:style w:type="paragraph" w:customStyle="1" w:styleId="TableNumber">
    <w:name w:val="Table Number"/>
    <w:basedOn w:val="TableName"/>
    <w:next w:val="TableName"/>
    <w:link w:val="TableNumberChar"/>
    <w:rsid w:val="00605F78"/>
    <w:pPr>
      <w:spacing w:before="60" w:after="0"/>
    </w:pPr>
  </w:style>
  <w:style w:type="paragraph" w:customStyle="1" w:styleId="TableTextIndent">
    <w:name w:val="Table Text Indent"/>
    <w:rsid w:val="00605F78"/>
    <w:pPr>
      <w:numPr>
        <w:numId w:val="21"/>
      </w:numPr>
      <w:spacing w:before="60"/>
    </w:pPr>
    <w:rPr>
      <w:rFonts w:ascii="Calibri" w:hAnsi="Calibri"/>
      <w:szCs w:val="24"/>
      <w:lang w:eastAsia="en-US"/>
    </w:rPr>
  </w:style>
  <w:style w:type="character" w:customStyle="1" w:styleId="TableNumberChar">
    <w:name w:val="Table Number Char"/>
    <w:basedOn w:val="DefaultParagraphFont"/>
    <w:link w:val="TableNumber"/>
    <w:rsid w:val="00130884"/>
    <w:rPr>
      <w:rFonts w:ascii="Arial" w:hAnsi="Arial"/>
      <w:b/>
      <w:lang w:eastAsia="en-US"/>
    </w:rPr>
  </w:style>
  <w:style w:type="character" w:customStyle="1" w:styleId="TableNameChar">
    <w:name w:val="Table Name Char"/>
    <w:basedOn w:val="DefaultParagraphFont"/>
    <w:link w:val="TableName"/>
    <w:rsid w:val="00226AD9"/>
    <w:rPr>
      <w:rFonts w:ascii="Arial" w:hAnsi="Arial"/>
      <w:b/>
      <w:lang w:eastAsia="en-US"/>
    </w:rPr>
  </w:style>
  <w:style w:type="paragraph" w:customStyle="1" w:styleId="StyleBodyTextBefore0pt">
    <w:name w:val="Style Body Text + Before:  0 pt"/>
    <w:basedOn w:val="BodyText"/>
    <w:rsid w:val="0022187F"/>
    <w:pPr>
      <w:spacing w:before="0"/>
    </w:pPr>
  </w:style>
  <w:style w:type="paragraph" w:customStyle="1" w:styleId="TSYBullets">
    <w:name w:val="TSY_Bullets"/>
    <w:basedOn w:val="Normal"/>
    <w:rsid w:val="007A1A46"/>
    <w:pPr>
      <w:numPr>
        <w:numId w:val="1"/>
      </w:numPr>
      <w:spacing w:before="120" w:after="120"/>
    </w:pPr>
    <w:rPr>
      <w:szCs w:val="24"/>
      <w:lang w:eastAsia="en-AU"/>
    </w:rPr>
  </w:style>
  <w:style w:type="character" w:customStyle="1" w:styleId="BodyTextChar">
    <w:name w:val="Body Text Char"/>
    <w:basedOn w:val="DefaultParagraphFont"/>
    <w:link w:val="BodyText"/>
    <w:rsid w:val="00EF15AC"/>
    <w:rPr>
      <w:rFonts w:ascii="Calibri" w:hAnsi="Calibri"/>
      <w:sz w:val="24"/>
      <w:lang w:eastAsia="en-US"/>
    </w:rPr>
  </w:style>
  <w:style w:type="paragraph" w:customStyle="1" w:styleId="1n">
    <w:name w:val="1. n"/>
    <w:basedOn w:val="n"/>
    <w:rsid w:val="00605F78"/>
    <w:rPr>
      <w:iCs/>
      <w:szCs w:val="20"/>
    </w:rPr>
  </w:style>
  <w:style w:type="paragraph" w:customStyle="1" w:styleId="an">
    <w:name w:val="a. n"/>
    <w:basedOn w:val="n"/>
    <w:rsid w:val="00605F78"/>
    <w:rPr>
      <w:iCs/>
      <w:szCs w:val="20"/>
    </w:rPr>
  </w:style>
  <w:style w:type="paragraph" w:customStyle="1" w:styleId="AIIndent">
    <w:name w:val="AI Indent"/>
    <w:basedOn w:val="Normal"/>
    <w:rsid w:val="00605F78"/>
    <w:pPr>
      <w:tabs>
        <w:tab w:val="num" w:pos="360"/>
      </w:tabs>
      <w:ind w:left="357" w:hanging="357"/>
    </w:pPr>
    <w:rPr>
      <w:sz w:val="20"/>
    </w:rPr>
  </w:style>
  <w:style w:type="paragraph" w:customStyle="1" w:styleId="AITableText">
    <w:name w:val="AI Table Text"/>
    <w:basedOn w:val="Normal"/>
    <w:rsid w:val="00605F78"/>
    <w:pPr>
      <w:jc w:val="right"/>
    </w:pPr>
    <w:rPr>
      <w:sz w:val="20"/>
      <w:szCs w:val="24"/>
    </w:rPr>
  </w:style>
  <w:style w:type="character" w:customStyle="1" w:styleId="CharChar">
    <w:name w:val="Char Char"/>
    <w:basedOn w:val="DefaultParagraphFont"/>
    <w:rsid w:val="00605F78"/>
    <w:rPr>
      <w:rFonts w:ascii="Calibri" w:hAnsi="Calibri"/>
      <w:sz w:val="24"/>
      <w:lang w:val="en-AU" w:eastAsia="en-US" w:bidi="ar-SA"/>
    </w:rPr>
  </w:style>
  <w:style w:type="character" w:customStyle="1" w:styleId="CharChar1">
    <w:name w:val="Char Char1"/>
    <w:basedOn w:val="DefaultParagraphFont"/>
    <w:rsid w:val="00605F78"/>
    <w:rPr>
      <w:rFonts w:ascii="Arial" w:hAnsi="Arial" w:cs="Arial"/>
      <w:b/>
      <w:bCs/>
      <w:sz w:val="24"/>
      <w:szCs w:val="26"/>
      <w:lang w:val="en-AU" w:eastAsia="en-US" w:bidi="ar-SA"/>
    </w:rPr>
  </w:style>
  <w:style w:type="table" w:styleId="ColorfulGrid-Accent2">
    <w:name w:val="Colorful Grid Accent 2"/>
    <w:basedOn w:val="TableNormal"/>
    <w:uiPriority w:val="73"/>
    <w:rsid w:val="00605F78"/>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05F78"/>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05F78"/>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05F78"/>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05F78"/>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CommentReference">
    <w:name w:val="annotation reference"/>
    <w:basedOn w:val="DefaultParagraphFont"/>
    <w:rsid w:val="00605F78"/>
    <w:rPr>
      <w:rFonts w:ascii="Calibri" w:hAnsi="Calibri"/>
      <w:sz w:val="16"/>
      <w:szCs w:val="16"/>
    </w:rPr>
  </w:style>
  <w:style w:type="paragraph" w:styleId="CommentText">
    <w:name w:val="annotation text"/>
    <w:basedOn w:val="Normal"/>
    <w:link w:val="CommentTextChar"/>
    <w:rsid w:val="00605F78"/>
    <w:rPr>
      <w:sz w:val="20"/>
    </w:rPr>
  </w:style>
  <w:style w:type="character" w:customStyle="1" w:styleId="CommentTextChar">
    <w:name w:val="Comment Text Char"/>
    <w:basedOn w:val="DefaultParagraphFont"/>
    <w:link w:val="CommentText"/>
    <w:rsid w:val="00605F78"/>
    <w:rPr>
      <w:rFonts w:ascii="Calibri" w:hAnsi="Calibri"/>
      <w:lang w:eastAsia="en-US"/>
    </w:rPr>
  </w:style>
  <w:style w:type="paragraph" w:styleId="CommentSubject">
    <w:name w:val="annotation subject"/>
    <w:basedOn w:val="CommentText"/>
    <w:next w:val="CommentText"/>
    <w:link w:val="CommentSubjectChar"/>
    <w:rsid w:val="00605F78"/>
    <w:rPr>
      <w:b/>
      <w:bCs/>
    </w:rPr>
  </w:style>
  <w:style w:type="character" w:customStyle="1" w:styleId="CommentSubjectChar">
    <w:name w:val="Comment Subject Char"/>
    <w:basedOn w:val="CommentTextChar"/>
    <w:link w:val="CommentSubject"/>
    <w:rsid w:val="00605F78"/>
    <w:rPr>
      <w:b/>
      <w:bCs/>
    </w:rPr>
  </w:style>
  <w:style w:type="character" w:styleId="EndnoteReference">
    <w:name w:val="endnote reference"/>
    <w:basedOn w:val="DefaultParagraphFont"/>
    <w:rsid w:val="00605F78"/>
    <w:rPr>
      <w:rFonts w:ascii="Calibri" w:hAnsi="Calibri"/>
      <w:vertAlign w:val="superscript"/>
    </w:rPr>
  </w:style>
  <w:style w:type="paragraph" w:styleId="EndnoteText">
    <w:name w:val="endnote text"/>
    <w:basedOn w:val="Normal"/>
    <w:link w:val="EndnoteTextChar"/>
    <w:rsid w:val="00605F78"/>
    <w:rPr>
      <w:sz w:val="20"/>
    </w:rPr>
  </w:style>
  <w:style w:type="character" w:customStyle="1" w:styleId="EndnoteTextChar">
    <w:name w:val="Endnote Text Char"/>
    <w:basedOn w:val="DefaultParagraphFont"/>
    <w:link w:val="EndnoteText"/>
    <w:rsid w:val="00605F78"/>
    <w:rPr>
      <w:rFonts w:ascii="Calibri" w:hAnsi="Calibri"/>
      <w:lang w:eastAsia="en-US"/>
    </w:rPr>
  </w:style>
  <w:style w:type="character" w:styleId="FootnoteReference">
    <w:name w:val="footnote reference"/>
    <w:basedOn w:val="DefaultParagraphFont"/>
    <w:rsid w:val="00605F78"/>
    <w:rPr>
      <w:rFonts w:ascii="Calibri" w:hAnsi="Calibri"/>
      <w:vertAlign w:val="superscript"/>
    </w:rPr>
  </w:style>
  <w:style w:type="paragraph" w:styleId="FootnoteText">
    <w:name w:val="footnote text"/>
    <w:basedOn w:val="Normal"/>
    <w:link w:val="FootnoteTextChar"/>
    <w:rsid w:val="00605F78"/>
    <w:rPr>
      <w:sz w:val="20"/>
    </w:rPr>
  </w:style>
  <w:style w:type="character" w:customStyle="1" w:styleId="FootnoteTextChar">
    <w:name w:val="Footnote Text Char"/>
    <w:basedOn w:val="DefaultParagraphFont"/>
    <w:link w:val="FootnoteText"/>
    <w:rsid w:val="00605F78"/>
    <w:rPr>
      <w:rFonts w:ascii="Calibri" w:hAnsi="Calibri"/>
      <w:lang w:eastAsia="en-US"/>
    </w:rPr>
  </w:style>
  <w:style w:type="paragraph" w:styleId="Index1">
    <w:name w:val="index 1"/>
    <w:basedOn w:val="Normal"/>
    <w:next w:val="Normal"/>
    <w:autoRedefine/>
    <w:rsid w:val="00605F78"/>
    <w:pPr>
      <w:ind w:left="240" w:hanging="240"/>
    </w:pPr>
  </w:style>
  <w:style w:type="paragraph" w:styleId="Index2">
    <w:name w:val="index 2"/>
    <w:basedOn w:val="Normal"/>
    <w:next w:val="Normal"/>
    <w:autoRedefine/>
    <w:rsid w:val="00605F78"/>
    <w:pPr>
      <w:ind w:left="480" w:hanging="240"/>
    </w:pPr>
  </w:style>
  <w:style w:type="paragraph" w:styleId="Index3">
    <w:name w:val="index 3"/>
    <w:basedOn w:val="Normal"/>
    <w:next w:val="Normal"/>
    <w:autoRedefine/>
    <w:rsid w:val="00605F78"/>
    <w:pPr>
      <w:ind w:left="720" w:hanging="240"/>
    </w:pPr>
  </w:style>
  <w:style w:type="paragraph" w:styleId="Index4">
    <w:name w:val="index 4"/>
    <w:basedOn w:val="Normal"/>
    <w:next w:val="Normal"/>
    <w:autoRedefine/>
    <w:rsid w:val="00605F78"/>
    <w:pPr>
      <w:ind w:left="960" w:hanging="240"/>
    </w:pPr>
  </w:style>
  <w:style w:type="paragraph" w:styleId="Index5">
    <w:name w:val="index 5"/>
    <w:basedOn w:val="Normal"/>
    <w:next w:val="Normal"/>
    <w:autoRedefine/>
    <w:rsid w:val="00605F78"/>
    <w:pPr>
      <w:ind w:left="1200" w:hanging="240"/>
    </w:pPr>
  </w:style>
  <w:style w:type="paragraph" w:styleId="Index6">
    <w:name w:val="index 6"/>
    <w:basedOn w:val="Normal"/>
    <w:next w:val="Normal"/>
    <w:autoRedefine/>
    <w:rsid w:val="00605F78"/>
    <w:pPr>
      <w:ind w:left="1440" w:hanging="240"/>
    </w:pPr>
  </w:style>
  <w:style w:type="paragraph" w:styleId="Index7">
    <w:name w:val="index 7"/>
    <w:basedOn w:val="Normal"/>
    <w:next w:val="Normal"/>
    <w:autoRedefine/>
    <w:rsid w:val="00605F78"/>
    <w:pPr>
      <w:ind w:left="1680" w:hanging="240"/>
    </w:pPr>
  </w:style>
  <w:style w:type="paragraph" w:styleId="Index8">
    <w:name w:val="index 8"/>
    <w:basedOn w:val="Normal"/>
    <w:next w:val="Normal"/>
    <w:autoRedefine/>
    <w:rsid w:val="00605F78"/>
    <w:pPr>
      <w:ind w:left="1920" w:hanging="240"/>
    </w:pPr>
  </w:style>
  <w:style w:type="paragraph" w:styleId="Index9">
    <w:name w:val="index 9"/>
    <w:basedOn w:val="Normal"/>
    <w:next w:val="Normal"/>
    <w:autoRedefine/>
    <w:rsid w:val="00605F78"/>
    <w:pPr>
      <w:ind w:left="2160" w:hanging="240"/>
    </w:pPr>
  </w:style>
  <w:style w:type="paragraph" w:styleId="IndexHeading">
    <w:name w:val="index heading"/>
    <w:basedOn w:val="Normal"/>
    <w:next w:val="Index1"/>
    <w:rsid w:val="00605F78"/>
    <w:rPr>
      <w:b/>
      <w:bCs/>
    </w:rPr>
  </w:style>
  <w:style w:type="paragraph" w:styleId="ListParagraph">
    <w:name w:val="List Paragraph"/>
    <w:basedOn w:val="Normal"/>
    <w:qFormat/>
    <w:rsid w:val="00605F78"/>
    <w:pPr>
      <w:ind w:left="720"/>
    </w:pPr>
    <w:rPr>
      <w:szCs w:val="24"/>
    </w:rPr>
  </w:style>
  <w:style w:type="paragraph" w:customStyle="1" w:styleId="MajorHeading">
    <w:name w:val="Major Heading"/>
    <w:basedOn w:val="Normal"/>
    <w:rsid w:val="00605F78"/>
    <w:pPr>
      <w:spacing w:after="120"/>
    </w:pPr>
    <w:rPr>
      <w:rFonts w:ascii="Arial" w:hAnsi="Arial"/>
      <w:b/>
      <w:sz w:val="28"/>
    </w:rPr>
  </w:style>
  <w:style w:type="paragraph" w:customStyle="1" w:styleId="TableHeadingCentre-BP4">
    <w:name w:val="Table Heading Centre - BP4"/>
    <w:basedOn w:val="Normal"/>
    <w:rsid w:val="00605F78"/>
    <w:pPr>
      <w:keepNext/>
      <w:jc w:val="center"/>
    </w:pPr>
    <w:rPr>
      <w:b/>
      <w:sz w:val="18"/>
    </w:rPr>
  </w:style>
  <w:style w:type="paragraph" w:customStyle="1" w:styleId="TableHeadingCentre-BP3">
    <w:name w:val="Table Heading Centre - BP3"/>
    <w:basedOn w:val="TableHeadingCentre-BP4"/>
    <w:rsid w:val="00605F78"/>
    <w:rPr>
      <w:sz w:val="20"/>
    </w:rPr>
  </w:style>
  <w:style w:type="paragraph" w:customStyle="1" w:styleId="TableHeadingCentre-BP410pt">
    <w:name w:val="Table Heading Centre - BP4 10pt"/>
    <w:basedOn w:val="TableHeadingCentre-BP4"/>
    <w:rsid w:val="00605F78"/>
    <w:rPr>
      <w:sz w:val="20"/>
    </w:rPr>
  </w:style>
  <w:style w:type="paragraph" w:customStyle="1" w:styleId="TableHeadingLeft-BP4">
    <w:name w:val="Table Heading Left - BP4"/>
    <w:basedOn w:val="Normal"/>
    <w:rsid w:val="00605F78"/>
    <w:pPr>
      <w:keepNext/>
    </w:pPr>
    <w:rPr>
      <w:b/>
      <w:sz w:val="18"/>
      <w:lang w:eastAsia="en-AU"/>
    </w:rPr>
  </w:style>
  <w:style w:type="paragraph" w:customStyle="1" w:styleId="TableHeadingLeft-BP3">
    <w:name w:val="Table Heading Left - BP3"/>
    <w:basedOn w:val="TableHeadingLeft-BP4"/>
    <w:rsid w:val="00605F78"/>
    <w:rPr>
      <w:sz w:val="20"/>
    </w:rPr>
  </w:style>
  <w:style w:type="paragraph" w:customStyle="1" w:styleId="TableHeadingLeft-BP410pt">
    <w:name w:val="Table Heading Left - BP4 10pt"/>
    <w:basedOn w:val="TableHeadingLeft-BP4"/>
    <w:rsid w:val="00605F78"/>
    <w:rPr>
      <w:sz w:val="20"/>
    </w:rPr>
  </w:style>
  <w:style w:type="paragraph" w:customStyle="1" w:styleId="TableHeadingRight-BP4">
    <w:name w:val="Table Heading Right - BP4"/>
    <w:basedOn w:val="Normal"/>
    <w:rsid w:val="00605F78"/>
    <w:pPr>
      <w:keepNext/>
      <w:jc w:val="right"/>
    </w:pPr>
    <w:rPr>
      <w:b/>
      <w:sz w:val="18"/>
      <w:szCs w:val="24"/>
    </w:rPr>
  </w:style>
  <w:style w:type="paragraph" w:customStyle="1" w:styleId="TableHeadingRight-BP3">
    <w:name w:val="Table Heading Right - BP3"/>
    <w:basedOn w:val="TableHeadingRight-BP4"/>
    <w:rsid w:val="00605F78"/>
    <w:rPr>
      <w:sz w:val="20"/>
    </w:rPr>
  </w:style>
  <w:style w:type="paragraph" w:customStyle="1" w:styleId="TableHeadingRight-BP410pt">
    <w:name w:val="Table Heading Right - BP4 10pt"/>
    <w:basedOn w:val="TableHeadingRight-BP4"/>
    <w:rsid w:val="00605F78"/>
    <w:rPr>
      <w:sz w:val="20"/>
    </w:rPr>
  </w:style>
  <w:style w:type="paragraph" w:customStyle="1" w:styleId="TableNumbersRight-BP4">
    <w:name w:val="Table Numbers Right - BP4"/>
    <w:basedOn w:val="Normal"/>
    <w:rsid w:val="00605F78"/>
    <w:pPr>
      <w:jc w:val="right"/>
    </w:pPr>
    <w:rPr>
      <w:sz w:val="18"/>
    </w:rPr>
  </w:style>
  <w:style w:type="paragraph" w:customStyle="1" w:styleId="TableNumbersRight-BP3">
    <w:name w:val="Table Numbers Right - BP3"/>
    <w:basedOn w:val="TableNumbersRight-BP4"/>
    <w:rsid w:val="00605F78"/>
    <w:rPr>
      <w:sz w:val="20"/>
    </w:rPr>
  </w:style>
  <w:style w:type="paragraph" w:styleId="TableofAuthorities">
    <w:name w:val="table of authorities"/>
    <w:basedOn w:val="Normal"/>
    <w:next w:val="Normal"/>
    <w:rsid w:val="00605F78"/>
    <w:pPr>
      <w:ind w:left="240" w:hanging="240"/>
    </w:pPr>
  </w:style>
  <w:style w:type="paragraph" w:styleId="TableofFigures">
    <w:name w:val="table of figures"/>
    <w:basedOn w:val="Normal"/>
    <w:next w:val="Normal"/>
    <w:rsid w:val="00605F78"/>
  </w:style>
  <w:style w:type="paragraph" w:customStyle="1" w:styleId="TableTextLeft-BP4">
    <w:name w:val="Table Text Left - BP4"/>
    <w:basedOn w:val="Normal"/>
    <w:rsid w:val="00605F78"/>
    <w:pPr>
      <w:ind w:left="142" w:hanging="142"/>
    </w:pPr>
    <w:rPr>
      <w:sz w:val="18"/>
      <w:szCs w:val="18"/>
    </w:rPr>
  </w:style>
  <w:style w:type="paragraph" w:customStyle="1" w:styleId="TableTextLeft-BP3">
    <w:name w:val="Table Text Left - BP3"/>
    <w:basedOn w:val="TableTextLeft-BP4"/>
    <w:rsid w:val="00605F78"/>
    <w:rPr>
      <w:sz w:val="20"/>
    </w:rPr>
  </w:style>
  <w:style w:type="paragraph" w:customStyle="1" w:styleId="TableTextLeft-BP410pt">
    <w:name w:val="Table Text Left - BP4 10pt"/>
    <w:basedOn w:val="TableTextLeft-BP4"/>
    <w:rsid w:val="00605F78"/>
    <w:rPr>
      <w:sz w:val="20"/>
    </w:rPr>
  </w:style>
  <w:style w:type="paragraph" w:customStyle="1" w:styleId="TableTextLeft-BP4FS">
    <w:name w:val="Table Text Left - BP4 FS"/>
    <w:basedOn w:val="TableTextLeft-BP4"/>
    <w:rsid w:val="00605F78"/>
    <w:pPr>
      <w:ind w:left="227"/>
    </w:pPr>
  </w:style>
  <w:style w:type="paragraph" w:customStyle="1" w:styleId="TableTextLeftBold-BP4">
    <w:name w:val="Table Text Left Bold - BP4"/>
    <w:basedOn w:val="Normal"/>
    <w:rsid w:val="00605F78"/>
    <w:pPr>
      <w:ind w:left="142" w:hanging="142"/>
    </w:pPr>
    <w:rPr>
      <w:b/>
      <w:sz w:val="18"/>
    </w:rPr>
  </w:style>
  <w:style w:type="paragraph" w:customStyle="1" w:styleId="TableTextLeftBold-BP3">
    <w:name w:val="Table Text Left Bold - BP3"/>
    <w:basedOn w:val="TableTextLeftBold-BP4"/>
    <w:rsid w:val="00605F78"/>
    <w:rPr>
      <w:sz w:val="20"/>
    </w:rPr>
  </w:style>
  <w:style w:type="paragraph" w:customStyle="1" w:styleId="TableTextLeftBold-BP410pt">
    <w:name w:val="Table Text Left Bold - BP4 10pt"/>
    <w:basedOn w:val="TableTextLeftBold-BP4"/>
    <w:rsid w:val="00605F78"/>
    <w:rPr>
      <w:sz w:val="20"/>
    </w:rPr>
  </w:style>
  <w:style w:type="paragraph" w:customStyle="1" w:styleId="TableTextRight-BP4">
    <w:name w:val="Table Text Right - BP4"/>
    <w:basedOn w:val="Normal"/>
    <w:rsid w:val="00605F78"/>
    <w:pPr>
      <w:jc w:val="right"/>
    </w:pPr>
    <w:rPr>
      <w:sz w:val="18"/>
    </w:rPr>
  </w:style>
  <w:style w:type="paragraph" w:customStyle="1" w:styleId="TableTextRight-BP3">
    <w:name w:val="Table Text Right - BP3"/>
    <w:basedOn w:val="TableTextRight-BP4"/>
    <w:rsid w:val="00605F78"/>
    <w:rPr>
      <w:sz w:val="20"/>
    </w:rPr>
  </w:style>
  <w:style w:type="paragraph" w:customStyle="1" w:styleId="TableTextRight-BP410pt">
    <w:name w:val="Table Text Right - BP4 10pt"/>
    <w:basedOn w:val="TableTextRight-BP4"/>
    <w:rsid w:val="00605F78"/>
    <w:rPr>
      <w:sz w:val="20"/>
    </w:rPr>
  </w:style>
  <w:style w:type="paragraph" w:customStyle="1" w:styleId="TableTextRightBold-BP4">
    <w:name w:val="Table Text Right Bold - BP4"/>
    <w:basedOn w:val="Normal"/>
    <w:rsid w:val="00605F78"/>
    <w:pPr>
      <w:jc w:val="right"/>
    </w:pPr>
    <w:rPr>
      <w:b/>
      <w:sz w:val="18"/>
    </w:rPr>
  </w:style>
  <w:style w:type="paragraph" w:customStyle="1" w:styleId="TableTextRightBold-BP3">
    <w:name w:val="Table Text Right Bold - BP3"/>
    <w:basedOn w:val="TableTextRightBold-BP4"/>
    <w:rsid w:val="00605F78"/>
  </w:style>
  <w:style w:type="paragraph" w:customStyle="1" w:styleId="TableTextRightBold-BP410pt">
    <w:name w:val="Table Text Right Bold - BP4 10pt"/>
    <w:basedOn w:val="TableTextRightBold-BP4"/>
    <w:rsid w:val="00605F78"/>
    <w:rPr>
      <w:sz w:val="20"/>
    </w:rPr>
  </w:style>
  <w:style w:type="paragraph" w:styleId="TOAHeading">
    <w:name w:val="toa heading"/>
    <w:basedOn w:val="Normal"/>
    <w:next w:val="Normal"/>
    <w:rsid w:val="00605F78"/>
    <w:pPr>
      <w:spacing w:before="120"/>
    </w:pPr>
    <w:rPr>
      <w:b/>
      <w:bCs/>
      <w:szCs w:val="24"/>
    </w:rPr>
  </w:style>
  <w:style w:type="paragraph" w:styleId="TOC1">
    <w:name w:val="toc 1"/>
    <w:basedOn w:val="Normal"/>
    <w:next w:val="Normal"/>
    <w:autoRedefine/>
    <w:rsid w:val="00605F78"/>
  </w:style>
  <w:style w:type="paragraph" w:styleId="TOC2">
    <w:name w:val="toc 2"/>
    <w:basedOn w:val="Normal"/>
    <w:next w:val="Normal"/>
    <w:autoRedefine/>
    <w:rsid w:val="00605F78"/>
    <w:pPr>
      <w:ind w:left="240"/>
    </w:pPr>
  </w:style>
  <w:style w:type="paragraph" w:styleId="TOC3">
    <w:name w:val="toc 3"/>
    <w:basedOn w:val="Normal"/>
    <w:next w:val="Normal"/>
    <w:autoRedefine/>
    <w:rsid w:val="00605F78"/>
    <w:pPr>
      <w:ind w:left="480"/>
    </w:pPr>
  </w:style>
  <w:style w:type="paragraph" w:styleId="TOC4">
    <w:name w:val="toc 4"/>
    <w:basedOn w:val="Normal"/>
    <w:next w:val="Normal"/>
    <w:autoRedefine/>
    <w:rsid w:val="00605F78"/>
    <w:pPr>
      <w:ind w:left="720"/>
    </w:pPr>
  </w:style>
  <w:style w:type="paragraph" w:styleId="TOC5">
    <w:name w:val="toc 5"/>
    <w:basedOn w:val="Normal"/>
    <w:next w:val="Normal"/>
    <w:autoRedefine/>
    <w:rsid w:val="00605F78"/>
    <w:pPr>
      <w:ind w:left="960"/>
    </w:pPr>
  </w:style>
  <w:style w:type="paragraph" w:styleId="TOC6">
    <w:name w:val="toc 6"/>
    <w:basedOn w:val="Normal"/>
    <w:next w:val="Normal"/>
    <w:autoRedefine/>
    <w:rsid w:val="00605F78"/>
    <w:pPr>
      <w:ind w:left="1200"/>
    </w:pPr>
  </w:style>
  <w:style w:type="paragraph" w:styleId="TOC7">
    <w:name w:val="toc 7"/>
    <w:basedOn w:val="Normal"/>
    <w:next w:val="Normal"/>
    <w:autoRedefine/>
    <w:rsid w:val="00605F78"/>
    <w:pPr>
      <w:ind w:left="1440"/>
    </w:pPr>
  </w:style>
  <w:style w:type="paragraph" w:styleId="TOC8">
    <w:name w:val="toc 8"/>
    <w:basedOn w:val="Normal"/>
    <w:next w:val="Normal"/>
    <w:autoRedefine/>
    <w:rsid w:val="00605F78"/>
    <w:pPr>
      <w:ind w:left="1680"/>
    </w:pPr>
  </w:style>
  <w:style w:type="paragraph" w:styleId="TOC9">
    <w:name w:val="toc 9"/>
    <w:basedOn w:val="Normal"/>
    <w:next w:val="Normal"/>
    <w:autoRedefine/>
    <w:rsid w:val="00605F78"/>
    <w:pPr>
      <w:ind w:left="1920"/>
    </w:pPr>
  </w:style>
</w:styles>
</file>

<file path=word/webSettings.xml><?xml version="1.0" encoding="utf-8"?>
<w:webSettings xmlns:r="http://schemas.openxmlformats.org/officeDocument/2006/relationships" xmlns:w="http://schemas.openxmlformats.org/wordprocessingml/2006/main">
  <w:divs>
    <w:div w:id="5135944">
      <w:bodyDiv w:val="1"/>
      <w:marLeft w:val="0"/>
      <w:marRight w:val="0"/>
      <w:marTop w:val="0"/>
      <w:marBottom w:val="0"/>
      <w:divBdr>
        <w:top w:val="none" w:sz="0" w:space="0" w:color="auto"/>
        <w:left w:val="none" w:sz="0" w:space="0" w:color="auto"/>
        <w:bottom w:val="none" w:sz="0" w:space="0" w:color="auto"/>
        <w:right w:val="none" w:sz="0" w:space="0" w:color="auto"/>
      </w:divBdr>
    </w:div>
    <w:div w:id="626815543">
      <w:bodyDiv w:val="1"/>
      <w:marLeft w:val="0"/>
      <w:marRight w:val="0"/>
      <w:marTop w:val="0"/>
      <w:marBottom w:val="0"/>
      <w:divBdr>
        <w:top w:val="none" w:sz="0" w:space="0" w:color="auto"/>
        <w:left w:val="none" w:sz="0" w:space="0" w:color="auto"/>
        <w:bottom w:val="none" w:sz="0" w:space="0" w:color="auto"/>
        <w:right w:val="none" w:sz="0" w:space="0" w:color="auto"/>
      </w:divBdr>
    </w:div>
    <w:div w:id="778063680">
      <w:bodyDiv w:val="1"/>
      <w:marLeft w:val="0"/>
      <w:marRight w:val="0"/>
      <w:marTop w:val="0"/>
      <w:marBottom w:val="0"/>
      <w:divBdr>
        <w:top w:val="none" w:sz="0" w:space="0" w:color="auto"/>
        <w:left w:val="none" w:sz="0" w:space="0" w:color="auto"/>
        <w:bottom w:val="none" w:sz="0" w:space="0" w:color="auto"/>
        <w:right w:val="none" w:sz="0" w:space="0" w:color="auto"/>
      </w:divBdr>
    </w:div>
    <w:div w:id="1262880811">
      <w:bodyDiv w:val="1"/>
      <w:marLeft w:val="0"/>
      <w:marRight w:val="0"/>
      <w:marTop w:val="0"/>
      <w:marBottom w:val="0"/>
      <w:divBdr>
        <w:top w:val="none" w:sz="0" w:space="0" w:color="auto"/>
        <w:left w:val="none" w:sz="0" w:space="0" w:color="auto"/>
        <w:bottom w:val="none" w:sz="0" w:space="0" w:color="auto"/>
        <w:right w:val="none" w:sz="0" w:space="0" w:color="auto"/>
      </w:divBdr>
    </w:div>
    <w:div w:id="1425686776">
      <w:bodyDiv w:val="1"/>
      <w:marLeft w:val="0"/>
      <w:marRight w:val="0"/>
      <w:marTop w:val="0"/>
      <w:marBottom w:val="0"/>
      <w:divBdr>
        <w:top w:val="none" w:sz="0" w:space="0" w:color="auto"/>
        <w:left w:val="none" w:sz="0" w:space="0" w:color="auto"/>
        <w:bottom w:val="none" w:sz="0" w:space="0" w:color="auto"/>
        <w:right w:val="none" w:sz="0" w:space="0" w:color="auto"/>
      </w:divBdr>
    </w:div>
    <w:div w:id="1641569743">
      <w:bodyDiv w:val="1"/>
      <w:marLeft w:val="0"/>
      <w:marRight w:val="0"/>
      <w:marTop w:val="0"/>
      <w:marBottom w:val="0"/>
      <w:divBdr>
        <w:top w:val="none" w:sz="0" w:space="0" w:color="auto"/>
        <w:left w:val="none" w:sz="0" w:space="0" w:color="auto"/>
        <w:bottom w:val="none" w:sz="0" w:space="0" w:color="auto"/>
        <w:right w:val="none" w:sz="0" w:space="0" w:color="auto"/>
      </w:divBdr>
    </w:div>
    <w:div w:id="1836531512">
      <w:bodyDiv w:val="1"/>
      <w:marLeft w:val="0"/>
      <w:marRight w:val="0"/>
      <w:marTop w:val="0"/>
      <w:marBottom w:val="0"/>
      <w:divBdr>
        <w:top w:val="none" w:sz="0" w:space="0" w:color="auto"/>
        <w:left w:val="none" w:sz="0" w:space="0" w:color="auto"/>
        <w:bottom w:val="none" w:sz="0" w:space="0" w:color="auto"/>
        <w:right w:val="none" w:sz="0" w:space="0" w:color="auto"/>
      </w:divBdr>
    </w:div>
    <w:div w:id="199703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5517A-5D2A-4C1C-B222-628C2EB3C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2584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4</vt:lpstr>
    </vt:vector>
  </TitlesOfParts>
  <Company>ACT Government</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3: 5.3 Savings Initiatives</dc:title>
  <dc:subject>5.3 Savings Initiatives</dc:subject>
  <dc:creator>Chief Minister and Treasury Directorate</dc:creator>
  <cp:lastModifiedBy>Keaton Paterson</cp:lastModifiedBy>
  <cp:revision>3</cp:revision>
  <cp:lastPrinted>2013-05-28T06:07:00Z</cp:lastPrinted>
  <dcterms:created xsi:type="dcterms:W3CDTF">2013-05-29T09:50:00Z</dcterms:created>
  <dcterms:modified xsi:type="dcterms:W3CDTF">2013-06-02T07:37:00Z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