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828" w:rsidRPr="00FA01D3" w:rsidRDefault="00F47828" w:rsidP="00FA01D3">
      <w:pPr>
        <w:pStyle w:val="Heading1"/>
      </w:pPr>
      <w:r>
        <w:t>COMMERCE AND WORKS DIRECTORATE</w:t>
      </w:r>
    </w:p>
    <w:p w:rsidR="00F47828" w:rsidRPr="00FA01D3" w:rsidRDefault="00F47828" w:rsidP="00FA01D3">
      <w:pPr>
        <w:pStyle w:val="Heading3"/>
      </w:pPr>
      <w:r w:rsidRPr="00FA01D3">
        <w:t>Purpose</w:t>
      </w:r>
    </w:p>
    <w:p w:rsidR="00F47828" w:rsidRPr="00FA01D3" w:rsidRDefault="00F47828" w:rsidP="0081394C">
      <w:pPr>
        <w:pStyle w:val="BodyText"/>
      </w:pPr>
      <w:r>
        <w:t>Commerce and Works is the transactional centre of the public service, providing cost</w:t>
      </w:r>
      <w:r>
        <w:noBreakHyphen/>
        <w:t xml:space="preserve">efficient services in core administrative activities.  </w:t>
      </w:r>
      <w:r w:rsidRPr="00FA01D3">
        <w:t>This enables agencies to better focus on their core business of providing services to the community.</w:t>
      </w:r>
    </w:p>
    <w:p w:rsidR="00F47828" w:rsidRDefault="00F47828" w:rsidP="0081394C">
      <w:pPr>
        <w:pStyle w:val="BodyText"/>
      </w:pPr>
      <w:r>
        <w:t>The Directorate has three main business functions:  the Shared Services Centre, the ACT Revenue Office and the ACT Insurance Authority (ACTIA).  The Directorate also provides policy advice in respect of government business enterprises.</w:t>
      </w:r>
    </w:p>
    <w:p w:rsidR="00F47828" w:rsidRDefault="00F47828" w:rsidP="0081394C">
      <w:pPr>
        <w:pStyle w:val="BodyText"/>
      </w:pPr>
      <w:r w:rsidRPr="00FA01D3">
        <w:t xml:space="preserve">Shared Services consolidates the core administrative functions </w:t>
      </w:r>
      <w:r>
        <w:t>of Government (</w:t>
      </w:r>
      <w:r w:rsidRPr="00FA01D3">
        <w:t>information and communication technology</w:t>
      </w:r>
      <w:r w:rsidR="00F45E78">
        <w:t xml:space="preserve"> (ICT)</w:t>
      </w:r>
      <w:r w:rsidRPr="00FA01D3">
        <w:t>, procurement, publishing and records services, human resource</w:t>
      </w:r>
      <w:r w:rsidR="00F41142">
        <w:t>s</w:t>
      </w:r>
      <w:r>
        <w:t xml:space="preserve"> </w:t>
      </w:r>
      <w:r w:rsidRPr="00FA01D3">
        <w:t>and finance servi</w:t>
      </w:r>
      <w:r>
        <w:t xml:space="preserve">ces) </w:t>
      </w:r>
      <w:r w:rsidRPr="00FA01D3">
        <w:t xml:space="preserve">to achieve economies of scale, standardised and streamlined processes and an overall reduction in costs to the Territory.  </w:t>
      </w:r>
    </w:p>
    <w:p w:rsidR="00F47828" w:rsidRDefault="00F47828" w:rsidP="0081394C">
      <w:pPr>
        <w:pStyle w:val="BodyText"/>
      </w:pPr>
      <w:r>
        <w:t xml:space="preserve">Shared Services </w:t>
      </w:r>
      <w:r w:rsidRPr="00FA01D3">
        <w:t xml:space="preserve">achieves its objectives by </w:t>
      </w:r>
      <w:r>
        <w:t>working in partnership with its clients to deliver services, at relevant service standards, with efficient processes and protocols which allow for economies of scale in service delivery for all agencies, and provide an efficient and cost effective suite of corporate services.</w:t>
      </w:r>
    </w:p>
    <w:p w:rsidR="00F47828" w:rsidRDefault="00F47828" w:rsidP="0081394C">
      <w:pPr>
        <w:pStyle w:val="BodyText"/>
      </w:pPr>
      <w:r>
        <w:t>The ACT Revenue Office optimises tax revenue collection</w:t>
      </w:r>
      <w:r w:rsidRPr="00903735">
        <w:t xml:space="preserve"> </w:t>
      </w:r>
      <w:r>
        <w:t>through the efficient and effective administration and regulation of the Territory’s taxation system and legislation.  It also provides advice and assistance to clients to help meet their obligations.</w:t>
      </w:r>
    </w:p>
    <w:p w:rsidR="00F47828" w:rsidRDefault="00F47828" w:rsidP="000E7D9B">
      <w:pPr>
        <w:pStyle w:val="BodyText"/>
      </w:pPr>
      <w:r>
        <w:t>ACTIA is a separate reporting entity, which appears in a separate chapter.</w:t>
      </w:r>
    </w:p>
    <w:p w:rsidR="00F47828" w:rsidRPr="00FA01D3" w:rsidRDefault="00F47828" w:rsidP="00FA01D3">
      <w:pPr>
        <w:pStyle w:val="Heading3"/>
      </w:pPr>
      <w:r>
        <w:t>2013-14</w:t>
      </w:r>
      <w:r w:rsidRPr="00FA01D3">
        <w:t xml:space="preserve"> Priorities</w:t>
      </w:r>
    </w:p>
    <w:p w:rsidR="00F47828" w:rsidRDefault="00F47828" w:rsidP="00FA01D3">
      <w:pPr>
        <w:pStyle w:val="BodyText"/>
      </w:pPr>
      <w:r w:rsidRPr="00FA01D3">
        <w:t xml:space="preserve">Strategic and operational issues to be pursued in </w:t>
      </w:r>
      <w:r>
        <w:t>2013</w:t>
      </w:r>
      <w:r>
        <w:noBreakHyphen/>
        <w:t>14</w:t>
      </w:r>
      <w:r w:rsidRPr="00FA01D3">
        <w:t xml:space="preserve"> include:</w:t>
      </w:r>
    </w:p>
    <w:p w:rsidR="00F47828" w:rsidRDefault="00F47828" w:rsidP="000446AB">
      <w:pPr>
        <w:pStyle w:val="BodyText"/>
        <w:numPr>
          <w:ilvl w:val="0"/>
          <w:numId w:val="23"/>
        </w:numPr>
      </w:pPr>
      <w:r>
        <w:t>implementing and monitoring the single partnership agreement outlining the suite of services and service standards provided to our ACT public sector customers;</w:t>
      </w:r>
    </w:p>
    <w:p w:rsidR="00F47828" w:rsidRPr="000E4113" w:rsidRDefault="00F47828" w:rsidP="000446AB">
      <w:pPr>
        <w:pStyle w:val="BodyTextIndent"/>
        <w:numPr>
          <w:ilvl w:val="0"/>
          <w:numId w:val="23"/>
        </w:numPr>
      </w:pPr>
      <w:r w:rsidRPr="000E4113">
        <w:t xml:space="preserve">implementing Active </w:t>
      </w:r>
      <w:r>
        <w:t>C</w:t>
      </w:r>
      <w:r w:rsidRPr="000E4113">
        <w:t>ertification and safety as a weighted criteria;</w:t>
      </w:r>
    </w:p>
    <w:p w:rsidR="00F47828" w:rsidRDefault="00F47828" w:rsidP="000446AB">
      <w:pPr>
        <w:pStyle w:val="BodyTextIndent"/>
        <w:numPr>
          <w:ilvl w:val="0"/>
          <w:numId w:val="23"/>
        </w:numPr>
      </w:pPr>
      <w:r w:rsidRPr="005B13A0">
        <w:t xml:space="preserve">introducing a local industry procurement policy aimed at encouraging local content and involvement in the delivery of </w:t>
      </w:r>
      <w:r w:rsidR="005F3B14">
        <w:t>g</w:t>
      </w:r>
      <w:r w:rsidRPr="005B13A0">
        <w:t xml:space="preserve">oods and </w:t>
      </w:r>
      <w:r w:rsidR="005F3B14">
        <w:t>s</w:t>
      </w:r>
      <w:r w:rsidRPr="005B13A0">
        <w:t>ervices</w:t>
      </w:r>
      <w:r>
        <w:t>;</w:t>
      </w:r>
    </w:p>
    <w:p w:rsidR="00F47828" w:rsidRDefault="00F47828" w:rsidP="000446AB">
      <w:pPr>
        <w:pStyle w:val="BodyTextIndent"/>
        <w:numPr>
          <w:ilvl w:val="0"/>
          <w:numId w:val="23"/>
        </w:numPr>
      </w:pPr>
      <w:r>
        <w:t>strengthening the framework for planning and delivering capital infrastructure;</w:t>
      </w:r>
    </w:p>
    <w:p w:rsidR="00F47828" w:rsidRDefault="00F47828" w:rsidP="000446AB">
      <w:pPr>
        <w:pStyle w:val="BodyTextIndent"/>
        <w:numPr>
          <w:ilvl w:val="0"/>
          <w:numId w:val="23"/>
        </w:numPr>
      </w:pPr>
      <w:r>
        <w:t>enhancing goods and services procurement processes to achieve better value for money and reduce spending across agencies;</w:t>
      </w:r>
    </w:p>
    <w:p w:rsidR="00F47828" w:rsidRPr="000E4113" w:rsidRDefault="00F47828" w:rsidP="000446AB">
      <w:pPr>
        <w:pStyle w:val="BodyTextIndent"/>
        <w:numPr>
          <w:ilvl w:val="0"/>
          <w:numId w:val="23"/>
        </w:numPr>
      </w:pPr>
      <w:r w:rsidRPr="000E4113">
        <w:t xml:space="preserve">enhancing the Territory’s ICT data management capability, by developing cloud strategies and server virtualisation policies; and approaching the market for a modern, energy efficient and highly scalable data centre facility to meet current and future data storage requirements; </w:t>
      </w:r>
    </w:p>
    <w:p w:rsidR="00F47828" w:rsidRPr="000E4113" w:rsidRDefault="00F47828" w:rsidP="000446AB">
      <w:pPr>
        <w:pStyle w:val="BodyTextIndent"/>
        <w:numPr>
          <w:ilvl w:val="0"/>
          <w:numId w:val="23"/>
        </w:numPr>
      </w:pPr>
      <w:r w:rsidRPr="000E4113">
        <w:t xml:space="preserve">continuing the lifecycle management of the ACT Government's fibre network to ensure ongoing reliability and responsiveness of ICT services; </w:t>
      </w:r>
    </w:p>
    <w:p w:rsidR="00F47828" w:rsidRDefault="00F47828" w:rsidP="000446AB">
      <w:pPr>
        <w:pStyle w:val="BodyText"/>
        <w:keepLines w:val="0"/>
        <w:numPr>
          <w:ilvl w:val="0"/>
          <w:numId w:val="24"/>
        </w:numPr>
      </w:pPr>
      <w:r w:rsidRPr="000E4113">
        <w:t>developing further standardisation of H</w:t>
      </w:r>
      <w:r>
        <w:t xml:space="preserve">uman </w:t>
      </w:r>
      <w:r w:rsidRPr="000E4113">
        <w:t>R</w:t>
      </w:r>
      <w:r>
        <w:t>esources</w:t>
      </w:r>
      <w:r w:rsidRPr="000E4113">
        <w:t xml:space="preserve"> </w:t>
      </w:r>
      <w:r w:rsidR="006D60D2">
        <w:t xml:space="preserve">(HR) </w:t>
      </w:r>
      <w:r w:rsidRPr="000E4113">
        <w:t xml:space="preserve">processes across the ACTPS to achieve greater efficiencies and to reduce the ‘red tape’ requirements for Directorates and Shared Services; </w:t>
      </w:r>
    </w:p>
    <w:p w:rsidR="00F47828" w:rsidRPr="000E4113" w:rsidRDefault="00F47828" w:rsidP="000446AB">
      <w:pPr>
        <w:pStyle w:val="BodyText"/>
        <w:keepLines w:val="0"/>
        <w:numPr>
          <w:ilvl w:val="0"/>
          <w:numId w:val="24"/>
        </w:numPr>
      </w:pPr>
      <w:r>
        <w:lastRenderedPageBreak/>
        <w:t>transitioning the whole of government to the new banking service provider Westpac Banking Corporation;</w:t>
      </w:r>
    </w:p>
    <w:p w:rsidR="00F47828" w:rsidRDefault="00F47828" w:rsidP="000446AB">
      <w:pPr>
        <w:pStyle w:val="BodyText"/>
        <w:keepLines w:val="0"/>
        <w:numPr>
          <w:ilvl w:val="0"/>
          <w:numId w:val="24"/>
        </w:numPr>
      </w:pPr>
      <w:r>
        <w:t>developing a policy and practical framework for the whole of government implementation of electronic document management systems;</w:t>
      </w:r>
    </w:p>
    <w:p w:rsidR="00F47828" w:rsidRDefault="00F47828" w:rsidP="000446AB">
      <w:pPr>
        <w:pStyle w:val="BodyText"/>
        <w:keepLines w:val="0"/>
        <w:numPr>
          <w:ilvl w:val="0"/>
          <w:numId w:val="24"/>
        </w:numPr>
      </w:pPr>
      <w:r>
        <w:t>progressing future HR Information Management system solutions, including payroll, for the Government;</w:t>
      </w:r>
    </w:p>
    <w:p w:rsidR="00F47828" w:rsidRDefault="00F47828" w:rsidP="000446AB">
      <w:pPr>
        <w:pStyle w:val="BodyText"/>
        <w:keepLines w:val="0"/>
        <w:numPr>
          <w:ilvl w:val="0"/>
          <w:numId w:val="24"/>
        </w:numPr>
      </w:pPr>
      <w:r>
        <w:t>implementing a new panel of training providers to better meet the needs of the Government and to provide greater efficiencies and consistency across the ACTPS;</w:t>
      </w:r>
    </w:p>
    <w:p w:rsidR="00F47828" w:rsidRPr="000E4113" w:rsidRDefault="00F47828" w:rsidP="000446AB">
      <w:pPr>
        <w:pStyle w:val="BodyTextIndent"/>
        <w:numPr>
          <w:ilvl w:val="0"/>
          <w:numId w:val="11"/>
        </w:numPr>
      </w:pPr>
      <w:r w:rsidRPr="000E4113">
        <w:t xml:space="preserve">implementing identity and access management systems to improve timeliness of access for new staff to government systems and improve system efficiency and administration; </w:t>
      </w:r>
    </w:p>
    <w:p w:rsidR="00F47828" w:rsidRDefault="00F47828" w:rsidP="000446AB">
      <w:pPr>
        <w:pStyle w:val="BodyTextIndent"/>
        <w:numPr>
          <w:ilvl w:val="0"/>
          <w:numId w:val="11"/>
        </w:numPr>
      </w:pPr>
      <w:r>
        <w:t>continuing</w:t>
      </w:r>
      <w:r w:rsidRPr="005B13A0">
        <w:t xml:space="preserve"> awareness and education programs related to the development of procurements projects that offer opport</w:t>
      </w:r>
      <w:r>
        <w:t>unities for social procurements;</w:t>
      </w:r>
    </w:p>
    <w:p w:rsidR="00F47828" w:rsidRDefault="00F47828" w:rsidP="000446AB">
      <w:pPr>
        <w:pStyle w:val="BodyText"/>
        <w:numPr>
          <w:ilvl w:val="0"/>
          <w:numId w:val="23"/>
        </w:numPr>
      </w:pPr>
      <w:r>
        <w:t>continuing implementation of taxation reforms to deliver a fairer, simpler and more efficient taxation system;</w:t>
      </w:r>
    </w:p>
    <w:p w:rsidR="00F47828" w:rsidRDefault="00F47828" w:rsidP="000446AB">
      <w:pPr>
        <w:pStyle w:val="BodyText"/>
        <w:numPr>
          <w:ilvl w:val="0"/>
          <w:numId w:val="23"/>
        </w:numPr>
      </w:pPr>
      <w:r>
        <w:t>progressing key information system</w:t>
      </w:r>
      <w:r w:rsidR="00F41142">
        <w:t>s</w:t>
      </w:r>
      <w:r>
        <w:t xml:space="preserve"> upgrades relating to the Territory’s revenue systems and government financial systems; and </w:t>
      </w:r>
    </w:p>
    <w:p w:rsidR="00F47828" w:rsidRDefault="00F47828" w:rsidP="000446AB">
      <w:pPr>
        <w:pStyle w:val="BodyTextIndent"/>
        <w:numPr>
          <w:ilvl w:val="0"/>
          <w:numId w:val="11"/>
        </w:numPr>
      </w:pPr>
      <w:proofErr w:type="gramStart"/>
      <w:r>
        <w:t>identifying</w:t>
      </w:r>
      <w:proofErr w:type="gramEnd"/>
      <w:r>
        <w:t xml:space="preserve"> potential courses of action relating to outcomes of the </w:t>
      </w:r>
      <w:r w:rsidRPr="0060200F">
        <w:t>ACTTAB Feasibility Study and ACTEW Structural</w:t>
      </w:r>
      <w:r>
        <w:t xml:space="preserve"> Review.</w:t>
      </w:r>
    </w:p>
    <w:p w:rsidR="00F47828" w:rsidRPr="00FA01D3" w:rsidRDefault="00F47828" w:rsidP="00FA01D3">
      <w:pPr>
        <w:pStyle w:val="Heading3"/>
      </w:pPr>
      <w:r w:rsidRPr="00FA01D3">
        <w:t>Business and Corporate Strategies</w:t>
      </w:r>
    </w:p>
    <w:p w:rsidR="00F47828" w:rsidRPr="00FA01D3" w:rsidRDefault="00F47828" w:rsidP="00FA01D3">
      <w:pPr>
        <w:pStyle w:val="BodyText"/>
      </w:pPr>
      <w:r>
        <w:t>The Directorate</w:t>
      </w:r>
      <w:r w:rsidRPr="00FA01D3">
        <w:t xml:space="preserve"> will </w:t>
      </w:r>
      <w:r>
        <w:t>undertake</w:t>
      </w:r>
      <w:r w:rsidRPr="00FA01D3">
        <w:t xml:space="preserve"> a range of business and corporate strategies to achieve its goals and priorities in </w:t>
      </w:r>
      <w:r>
        <w:t>2013</w:t>
      </w:r>
      <w:r>
        <w:noBreakHyphen/>
        <w:t>14</w:t>
      </w:r>
      <w:r w:rsidRPr="00FA01D3">
        <w:t xml:space="preserve"> that include:</w:t>
      </w:r>
    </w:p>
    <w:p w:rsidR="00F47828" w:rsidRDefault="000B0C8C" w:rsidP="000446AB">
      <w:pPr>
        <w:pStyle w:val="BodyTextIndent"/>
        <w:numPr>
          <w:ilvl w:val="0"/>
          <w:numId w:val="11"/>
        </w:numPr>
      </w:pPr>
      <w:r>
        <w:t>provision of best practice and value for money</w:t>
      </w:r>
      <w:r w:rsidR="00F47828">
        <w:t xml:space="preserve"> open plan fit ou</w:t>
      </w:r>
      <w:r>
        <w:t>t for the Gungahlin Office Building</w:t>
      </w:r>
      <w:r w:rsidR="00F47828">
        <w:t>;</w:t>
      </w:r>
    </w:p>
    <w:p w:rsidR="00F47828" w:rsidRPr="00FA01D3" w:rsidRDefault="00F47828" w:rsidP="000446AB">
      <w:pPr>
        <w:pStyle w:val="BodyTextIndent"/>
        <w:numPr>
          <w:ilvl w:val="0"/>
          <w:numId w:val="11"/>
        </w:numPr>
      </w:pPr>
      <w:r w:rsidRPr="00FA01D3">
        <w:t>continued refinement of Shared Services’ activities to improve value for money to government, through benchmarking, use of performance measures and analysis of further business opportunities;</w:t>
      </w:r>
    </w:p>
    <w:p w:rsidR="00F47828" w:rsidRPr="00FA01D3" w:rsidRDefault="00F47828" w:rsidP="000446AB">
      <w:pPr>
        <w:pStyle w:val="BodyTextIndent"/>
        <w:numPr>
          <w:ilvl w:val="0"/>
          <w:numId w:val="11"/>
        </w:numPr>
      </w:pPr>
      <w:r w:rsidRPr="00FA01D3">
        <w:t>improving communications</w:t>
      </w:r>
      <w:r w:rsidR="00FE166F">
        <w:t>,</w:t>
      </w:r>
      <w:r w:rsidRPr="00FA01D3">
        <w:t xml:space="preserve"> both internally and externally</w:t>
      </w:r>
      <w:r w:rsidR="00FE166F">
        <w:t>,</w:t>
      </w:r>
      <w:r w:rsidRPr="00FA01D3">
        <w:t xml:space="preserve"> to create synergies and to enable organisational learning;</w:t>
      </w:r>
    </w:p>
    <w:p w:rsidR="00F47828" w:rsidRDefault="00F47828" w:rsidP="000446AB">
      <w:pPr>
        <w:pStyle w:val="BodyTextIndent"/>
        <w:numPr>
          <w:ilvl w:val="0"/>
          <w:numId w:val="11"/>
        </w:numPr>
      </w:pPr>
      <w:r>
        <w:t xml:space="preserve">improving governance and accountability frameworks; </w:t>
      </w:r>
    </w:p>
    <w:p w:rsidR="00F47828" w:rsidRDefault="00F47828" w:rsidP="000446AB">
      <w:pPr>
        <w:pStyle w:val="BodyTextIndent"/>
        <w:numPr>
          <w:ilvl w:val="0"/>
          <w:numId w:val="11"/>
        </w:numPr>
      </w:pPr>
      <w:r>
        <w:t>building expertise and capability, creating career paths and improving leadership and succession planning through targeted programs;</w:t>
      </w:r>
    </w:p>
    <w:p w:rsidR="00F47828" w:rsidRPr="00FA01D3" w:rsidRDefault="00F47828" w:rsidP="000446AB">
      <w:pPr>
        <w:pStyle w:val="BodyTextIndent"/>
        <w:numPr>
          <w:ilvl w:val="0"/>
          <w:numId w:val="11"/>
        </w:numPr>
      </w:pPr>
      <w:r>
        <w:t xml:space="preserve">improving culture and governance through the development and implementation of a Values and Behaviour/Code of Conduct program, a Health and Wellbeing Framework, and early intervention strategies; </w:t>
      </w:r>
      <w:r w:rsidRPr="00FA01D3">
        <w:t>and</w:t>
      </w:r>
    </w:p>
    <w:p w:rsidR="00F47828" w:rsidRDefault="00F47828" w:rsidP="000446AB">
      <w:pPr>
        <w:pStyle w:val="BodyTextIndent"/>
        <w:numPr>
          <w:ilvl w:val="0"/>
          <w:numId w:val="11"/>
        </w:numPr>
      </w:pPr>
      <w:proofErr w:type="gramStart"/>
      <w:r w:rsidRPr="00FA01D3">
        <w:t>operating</w:t>
      </w:r>
      <w:proofErr w:type="gramEnd"/>
      <w:r w:rsidRPr="00FA01D3">
        <w:t xml:space="preserve"> as a customer service oriented entity subject to the requirements of government policy and legislation.</w:t>
      </w:r>
    </w:p>
    <w:p w:rsidR="00F47828" w:rsidRDefault="00F47828">
      <w:pPr>
        <w:rPr>
          <w:rFonts w:ascii="Arial" w:hAnsi="Arial" w:cs="Arial"/>
          <w:b/>
          <w:bCs/>
          <w:szCs w:val="26"/>
        </w:rPr>
      </w:pPr>
      <w:r>
        <w:br w:type="page"/>
      </w:r>
    </w:p>
    <w:p w:rsidR="00F47828" w:rsidRDefault="00F47828" w:rsidP="0069378D">
      <w:pPr>
        <w:pStyle w:val="Heading3"/>
      </w:pPr>
      <w:r>
        <w:lastRenderedPageBreak/>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F47828" w:rsidTr="0069378D">
        <w:trPr>
          <w:trHeight w:hRule="exact" w:val="510"/>
        </w:trPr>
        <w:tc>
          <w:tcPr>
            <w:tcW w:w="1644" w:type="dxa"/>
            <w:tcBorders>
              <w:top w:val="single" w:sz="4" w:space="0" w:color="auto"/>
              <w:left w:val="nil"/>
              <w:bottom w:val="single" w:sz="4" w:space="0" w:color="auto"/>
              <w:right w:val="nil"/>
            </w:tcBorders>
          </w:tcPr>
          <w:p w:rsidR="00F47828" w:rsidRDefault="00F47828" w:rsidP="0069378D">
            <w:pPr>
              <w:pStyle w:val="TableTextRightBold-BP410pt"/>
            </w:pPr>
            <w:r>
              <w:t>2011-12</w:t>
            </w:r>
          </w:p>
          <w:p w:rsidR="00F47828" w:rsidRDefault="00F47828" w:rsidP="0069378D">
            <w:pPr>
              <w:pStyle w:val="TableTextRightBold-BP410pt"/>
            </w:pPr>
            <w:r>
              <w:t xml:space="preserve">Actual Outcome </w:t>
            </w:r>
          </w:p>
        </w:tc>
        <w:tc>
          <w:tcPr>
            <w:tcW w:w="2552" w:type="dxa"/>
            <w:tcBorders>
              <w:top w:val="single" w:sz="4" w:space="0" w:color="auto"/>
              <w:left w:val="nil"/>
              <w:bottom w:val="single" w:sz="4" w:space="0" w:color="auto"/>
              <w:right w:val="nil"/>
            </w:tcBorders>
            <w:noWrap/>
            <w:tcMar>
              <w:top w:w="18" w:type="dxa"/>
              <w:left w:w="18" w:type="dxa"/>
              <w:bottom w:w="0" w:type="dxa"/>
              <w:right w:w="18" w:type="dxa"/>
            </w:tcMar>
          </w:tcPr>
          <w:p w:rsidR="00F47828" w:rsidRDefault="00F47828" w:rsidP="0069378D">
            <w:pPr>
              <w:pStyle w:val="TableTextRightBold-BP410pt"/>
              <w:rPr>
                <w:rFonts w:ascii="Arial" w:hAnsi="Arial" w:cs="Arial"/>
                <w:bCs/>
              </w:rPr>
            </w:pPr>
          </w:p>
        </w:tc>
        <w:tc>
          <w:tcPr>
            <w:tcW w:w="1644" w:type="dxa"/>
            <w:tcBorders>
              <w:top w:val="single" w:sz="4" w:space="0" w:color="auto"/>
              <w:left w:val="nil"/>
              <w:bottom w:val="single" w:sz="4" w:space="0" w:color="auto"/>
              <w:right w:val="nil"/>
            </w:tcBorders>
          </w:tcPr>
          <w:p w:rsidR="00F47828" w:rsidRDefault="00F47828" w:rsidP="0069378D">
            <w:pPr>
              <w:pStyle w:val="TableTextRightBold-BP410pt"/>
            </w:pPr>
            <w:r>
              <w:t>2012-13</w:t>
            </w:r>
          </w:p>
          <w:p w:rsidR="00F47828" w:rsidRDefault="00F47828" w:rsidP="0069378D">
            <w:pPr>
              <w:pStyle w:val="TableTextRightBold-BP410pt"/>
            </w:pPr>
            <w:r>
              <w:t>Budget</w:t>
            </w:r>
          </w:p>
          <w:p w:rsidR="00F47828" w:rsidRDefault="00F47828" w:rsidP="0069378D">
            <w:pPr>
              <w:pStyle w:val="TableTextRightBold-BP410pt"/>
            </w:pPr>
          </w:p>
        </w:tc>
        <w:tc>
          <w:tcPr>
            <w:tcW w:w="1644" w:type="dxa"/>
            <w:tcBorders>
              <w:top w:val="single" w:sz="4" w:space="0" w:color="auto"/>
              <w:left w:val="nil"/>
              <w:bottom w:val="single" w:sz="4" w:space="0" w:color="auto"/>
              <w:right w:val="nil"/>
            </w:tcBorders>
          </w:tcPr>
          <w:p w:rsidR="00F47828" w:rsidRDefault="00F47828" w:rsidP="0069378D">
            <w:pPr>
              <w:pStyle w:val="TableTextRightBold-BP410pt"/>
            </w:pPr>
            <w:r>
              <w:t>2012-13</w:t>
            </w:r>
          </w:p>
          <w:p w:rsidR="00F47828" w:rsidRDefault="00F47828" w:rsidP="00FE166F">
            <w:pPr>
              <w:pStyle w:val="TableTextRightBold-BP410pt"/>
              <w:rPr>
                <w:rFonts w:ascii="Times New Roman Bold" w:hAnsi="Times New Roman Bold"/>
                <w:vertAlign w:val="superscript"/>
              </w:rPr>
            </w:pPr>
            <w:r>
              <w:t>Est. Outcome</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tcPr>
          <w:p w:rsidR="00F47828" w:rsidRDefault="00F47828" w:rsidP="0069378D">
            <w:pPr>
              <w:pStyle w:val="TableTextRightBold-BP410pt"/>
            </w:pPr>
            <w:r>
              <w:t>2013-14</w:t>
            </w:r>
          </w:p>
          <w:p w:rsidR="00F47828" w:rsidRDefault="00F47828" w:rsidP="0069378D">
            <w:pPr>
              <w:pStyle w:val="TableTextRightBold-BP410pt"/>
            </w:pPr>
            <w:r>
              <w:t xml:space="preserve">Budget </w:t>
            </w:r>
          </w:p>
          <w:p w:rsidR="00F47828" w:rsidRDefault="00F47828" w:rsidP="0069378D">
            <w:pPr>
              <w:pStyle w:val="TableTextRightBold-BP410pt"/>
            </w:pPr>
          </w:p>
        </w:tc>
      </w:tr>
      <w:tr w:rsidR="00F47828" w:rsidTr="0069378D">
        <w:trPr>
          <w:trHeight w:val="392"/>
        </w:trPr>
        <w:tc>
          <w:tcPr>
            <w:tcW w:w="1644" w:type="dxa"/>
            <w:tcBorders>
              <w:top w:val="single" w:sz="4" w:space="0" w:color="auto"/>
              <w:left w:val="nil"/>
              <w:bottom w:val="single" w:sz="4" w:space="0" w:color="auto"/>
              <w:right w:val="nil"/>
            </w:tcBorders>
            <w:vAlign w:val="center"/>
          </w:tcPr>
          <w:p w:rsidR="00F47828" w:rsidRDefault="00F47828" w:rsidP="0069378D">
            <w:pPr>
              <w:pStyle w:val="AITableText"/>
              <w:rPr>
                <w:highlight w:val="yellow"/>
              </w:rPr>
            </w:pPr>
            <w:r>
              <w:rPr>
                <w:rStyle w:val="TableTextRight-BP410ptChar"/>
                <w:sz w:val="18"/>
              </w:rPr>
              <w:t>n/a</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F47828" w:rsidRDefault="00F47828" w:rsidP="0069378D">
            <w:pPr>
              <w:pStyle w:val="TableTextLeftBold-BP410pt"/>
              <w:ind w:hanging="358"/>
              <w:rPr>
                <w:rFonts w:ascii="Times New Roman Bold" w:hAnsi="Times New Roman Bold"/>
                <w:vertAlign w:val="superscript"/>
              </w:rPr>
            </w:pPr>
            <w:r>
              <w:t>Staffing (FTE)</w:t>
            </w:r>
          </w:p>
        </w:tc>
        <w:tc>
          <w:tcPr>
            <w:tcW w:w="1644" w:type="dxa"/>
            <w:tcBorders>
              <w:top w:val="single" w:sz="4" w:space="0" w:color="auto"/>
              <w:left w:val="nil"/>
              <w:bottom w:val="single" w:sz="4" w:space="0" w:color="auto"/>
              <w:right w:val="nil"/>
            </w:tcBorders>
            <w:vAlign w:val="center"/>
          </w:tcPr>
          <w:p w:rsidR="00F47828" w:rsidRDefault="00F47828" w:rsidP="0069378D">
            <w:pPr>
              <w:pStyle w:val="TableTextRight-BP410pt"/>
            </w:pPr>
            <w:r>
              <w:t>n/a</w:t>
            </w:r>
          </w:p>
        </w:tc>
        <w:tc>
          <w:tcPr>
            <w:tcW w:w="1644" w:type="dxa"/>
            <w:tcBorders>
              <w:top w:val="single" w:sz="4" w:space="0" w:color="auto"/>
              <w:left w:val="nil"/>
              <w:bottom w:val="single" w:sz="4" w:space="0" w:color="auto"/>
              <w:right w:val="nil"/>
            </w:tcBorders>
            <w:vAlign w:val="center"/>
          </w:tcPr>
          <w:p w:rsidR="00F47828" w:rsidRPr="005538D4" w:rsidRDefault="00B2293C" w:rsidP="0069378D">
            <w:pPr>
              <w:pStyle w:val="TableTextRight-BP410pt"/>
            </w:pPr>
            <w:r>
              <w:t>83</w:t>
            </w:r>
            <w:r w:rsidR="00FE166F" w:rsidRPr="00487F6B">
              <w:rPr>
                <w:vertAlign w:val="superscript"/>
              </w:rPr>
              <w:t>1</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F47828" w:rsidRPr="005538D4" w:rsidRDefault="00B2293C" w:rsidP="00C62247">
            <w:pPr>
              <w:pStyle w:val="TableTextRight-BP410pt"/>
            </w:pPr>
            <w:r>
              <w:t>1,038</w:t>
            </w:r>
            <w:r w:rsidR="00FE166F" w:rsidRPr="00487F6B">
              <w:rPr>
                <w:vertAlign w:val="superscript"/>
              </w:rPr>
              <w:t>2</w:t>
            </w:r>
          </w:p>
        </w:tc>
      </w:tr>
    </w:tbl>
    <w:p w:rsidR="00F47828" w:rsidRDefault="00F47828" w:rsidP="0069378D">
      <w:pPr>
        <w:pStyle w:val="NoteHeading0"/>
      </w:pPr>
      <w:r>
        <w:t>Notes:</w:t>
      </w:r>
    </w:p>
    <w:p w:rsidR="00F47828" w:rsidRDefault="00F47828" w:rsidP="000446AB">
      <w:pPr>
        <w:pStyle w:val="AINotes"/>
        <w:numPr>
          <w:ilvl w:val="0"/>
          <w:numId w:val="16"/>
        </w:numPr>
      </w:pPr>
      <w:r>
        <w:t xml:space="preserve">The 2012-13 estimated </w:t>
      </w:r>
      <w:proofErr w:type="gramStart"/>
      <w:r>
        <w:t>outcome</w:t>
      </w:r>
      <w:proofErr w:type="gramEnd"/>
      <w:r>
        <w:t xml:space="preserve"> mainly consists of ACT Revenue Office and </w:t>
      </w:r>
      <w:r w:rsidR="00F41142">
        <w:t>G</w:t>
      </w:r>
      <w:r>
        <w:t xml:space="preserve">overnment </w:t>
      </w:r>
      <w:r w:rsidR="00F41142">
        <w:t>B</w:t>
      </w:r>
      <w:r>
        <w:t xml:space="preserve">usiness </w:t>
      </w:r>
      <w:r w:rsidR="00F41142">
        <w:t>E</w:t>
      </w:r>
      <w:r>
        <w:t xml:space="preserve">nterprise </w:t>
      </w:r>
      <w:r w:rsidR="00F41142">
        <w:t xml:space="preserve">staff </w:t>
      </w:r>
      <w:r>
        <w:t>as the Shared Services Centre remains a separate reporting entity until 30 June 2013.</w:t>
      </w:r>
    </w:p>
    <w:p w:rsidR="00F47828" w:rsidRDefault="00F47828" w:rsidP="000446AB">
      <w:pPr>
        <w:pStyle w:val="AINotes"/>
        <w:numPr>
          <w:ilvl w:val="0"/>
          <w:numId w:val="16"/>
        </w:numPr>
      </w:pPr>
      <w:r>
        <w:t xml:space="preserve">The 2013-14 Budget includes </w:t>
      </w:r>
      <w:r w:rsidR="00B2293C">
        <w:t>952</w:t>
      </w:r>
      <w:r>
        <w:t xml:space="preserve"> FTE for Shared Services Centre </w:t>
      </w:r>
      <w:r w:rsidR="00F41142">
        <w:t>transfer</w:t>
      </w:r>
      <w:r w:rsidR="00F45E78">
        <w:t>ring</w:t>
      </w:r>
      <w:r>
        <w:t xml:space="preserve"> to the Commerce </w:t>
      </w:r>
      <w:r w:rsidR="00F41142">
        <w:t>and Works Directorate from 1 July </w:t>
      </w:r>
      <w:r>
        <w:t xml:space="preserve">2013 as part of the administrative arrangement changes. </w:t>
      </w:r>
    </w:p>
    <w:p w:rsidR="00F47828" w:rsidRDefault="00F47828"/>
    <w:p w:rsidR="00F47828" w:rsidRPr="005E544F" w:rsidRDefault="00F47828" w:rsidP="00FD6965">
      <w:pPr>
        <w:pStyle w:val="Heading3TopofPage"/>
      </w:pPr>
      <w:r w:rsidRPr="005E544F">
        <w:t>Strategic Objectives and Indicators</w:t>
      </w:r>
    </w:p>
    <w:p w:rsidR="00F47828" w:rsidRDefault="00F47828" w:rsidP="005E544F">
      <w:pPr>
        <w:pStyle w:val="SI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5E544F">
        <w:t>Strategic Objective 1</w:t>
      </w:r>
    </w:p>
    <w:p w:rsidR="00F47828" w:rsidRPr="00232397" w:rsidRDefault="00CD74DE" w:rsidP="005E544F">
      <w:pPr>
        <w:pStyle w:val="SIHeading2"/>
      </w:pPr>
      <w:r>
        <w:t>Increase the Number and D</w:t>
      </w:r>
      <w:r w:rsidR="00F47828">
        <w:t xml:space="preserve">iversity of </w:t>
      </w:r>
      <w:r>
        <w:t>Channels for Tax Payers to Enquire and T</w:t>
      </w:r>
      <w:r w:rsidR="00F47828">
        <w:t>ransact with the ACT Revenue Office</w:t>
      </w:r>
    </w:p>
    <w:p w:rsidR="00F47828" w:rsidRDefault="00F47828" w:rsidP="005E544F">
      <w:pPr>
        <w:pStyle w:val="BodyText"/>
      </w:pPr>
      <w:r w:rsidRPr="00232397">
        <w:t xml:space="preserve">The </w:t>
      </w:r>
      <w:r>
        <w:t>ACT Revenue Office currently interacts with the public through the following channels:</w:t>
      </w:r>
    </w:p>
    <w:p w:rsidR="00E628F1" w:rsidRDefault="006D60D2" w:rsidP="000446AB">
      <w:pPr>
        <w:pStyle w:val="BodyTextIndent"/>
        <w:numPr>
          <w:ilvl w:val="0"/>
          <w:numId w:val="34"/>
        </w:numPr>
        <w:tabs>
          <w:tab w:val="num" w:pos="360"/>
        </w:tabs>
        <w:ind w:left="360"/>
      </w:pPr>
      <w:r>
        <w:t>t</w:t>
      </w:r>
      <w:r w:rsidR="00F47828">
        <w:t>elephone/fax;</w:t>
      </w:r>
    </w:p>
    <w:p w:rsidR="00E628F1" w:rsidRDefault="00F47828" w:rsidP="000446AB">
      <w:pPr>
        <w:pStyle w:val="BodyTextIndent"/>
        <w:numPr>
          <w:ilvl w:val="0"/>
          <w:numId w:val="34"/>
        </w:numPr>
        <w:tabs>
          <w:tab w:val="num" w:pos="360"/>
        </w:tabs>
        <w:ind w:left="360"/>
      </w:pPr>
      <w:r>
        <w:t>e-mail (</w:t>
      </w:r>
      <w:r w:rsidRPr="00DA2A2D">
        <w:t>http://www.revenue.act.gov.au/functions/feedback_form</w:t>
      </w:r>
      <w:r>
        <w:t>);</w:t>
      </w:r>
    </w:p>
    <w:p w:rsidR="00E628F1" w:rsidRDefault="00F47828" w:rsidP="000446AB">
      <w:pPr>
        <w:pStyle w:val="BodyTextIndent"/>
        <w:numPr>
          <w:ilvl w:val="0"/>
          <w:numId w:val="34"/>
        </w:numPr>
        <w:tabs>
          <w:tab w:val="num" w:pos="360"/>
        </w:tabs>
        <w:ind w:left="360"/>
      </w:pPr>
      <w:r>
        <w:t>website (</w:t>
      </w:r>
      <w:r w:rsidRPr="00DA2A2D">
        <w:t>http://www.revenue.act.gov.au/home</w:t>
      </w:r>
      <w:r>
        <w:t>);</w:t>
      </w:r>
    </w:p>
    <w:p w:rsidR="00E628F1" w:rsidRDefault="00F47828" w:rsidP="000446AB">
      <w:pPr>
        <w:pStyle w:val="BodyTextIndent"/>
        <w:numPr>
          <w:ilvl w:val="0"/>
          <w:numId w:val="34"/>
        </w:numPr>
        <w:tabs>
          <w:tab w:val="num" w:pos="360"/>
        </w:tabs>
        <w:ind w:left="360"/>
      </w:pPr>
      <w:r>
        <w:t xml:space="preserve">customer service centre at </w:t>
      </w:r>
      <w:r w:rsidR="00F41142">
        <w:t xml:space="preserve">the </w:t>
      </w:r>
      <w:r>
        <w:t xml:space="preserve">Nara </w:t>
      </w:r>
      <w:r w:rsidR="00F45E78">
        <w:t>Building</w:t>
      </w:r>
      <w:r>
        <w:t>;</w:t>
      </w:r>
    </w:p>
    <w:p w:rsidR="00E628F1" w:rsidRDefault="00F47828" w:rsidP="000446AB">
      <w:pPr>
        <w:pStyle w:val="BodyTextIndent"/>
        <w:numPr>
          <w:ilvl w:val="0"/>
          <w:numId w:val="34"/>
        </w:numPr>
        <w:tabs>
          <w:tab w:val="num" w:pos="360"/>
        </w:tabs>
        <w:ind w:left="360"/>
      </w:pPr>
      <w:r>
        <w:t>Standard Business Reporting (SBR);</w:t>
      </w:r>
    </w:p>
    <w:p w:rsidR="00E628F1" w:rsidRDefault="00F47828" w:rsidP="000446AB">
      <w:pPr>
        <w:pStyle w:val="BodyTextIndent"/>
        <w:numPr>
          <w:ilvl w:val="0"/>
          <w:numId w:val="34"/>
        </w:numPr>
        <w:tabs>
          <w:tab w:val="num" w:pos="360"/>
        </w:tabs>
        <w:ind w:left="360"/>
      </w:pPr>
      <w:r>
        <w:t xml:space="preserve">Canberra Connect Internet (including </w:t>
      </w:r>
      <w:proofErr w:type="spellStart"/>
      <w:r>
        <w:t>smartform</w:t>
      </w:r>
      <w:proofErr w:type="spellEnd"/>
      <w:r>
        <w:t>) and shopfronts;</w:t>
      </w:r>
    </w:p>
    <w:p w:rsidR="00E628F1" w:rsidRDefault="00F47828" w:rsidP="000446AB">
      <w:pPr>
        <w:pStyle w:val="BodyTextIndent"/>
        <w:numPr>
          <w:ilvl w:val="0"/>
          <w:numId w:val="34"/>
        </w:numPr>
        <w:tabs>
          <w:tab w:val="num" w:pos="360"/>
        </w:tabs>
        <w:ind w:left="360"/>
      </w:pPr>
      <w:smartTag w:uri="urn:schemas-microsoft-com:office:smarttags" w:element="place">
        <w:smartTag w:uri="urn:schemas-microsoft-com:office:smarttags" w:element="country-region">
          <w:r>
            <w:t>Australia</w:t>
          </w:r>
        </w:smartTag>
      </w:smartTag>
      <w:r>
        <w:t xml:space="preserve"> Post;</w:t>
      </w:r>
    </w:p>
    <w:p w:rsidR="00E628F1" w:rsidRDefault="006D60D2" w:rsidP="000446AB">
      <w:pPr>
        <w:pStyle w:val="BodyTextIndent"/>
        <w:numPr>
          <w:ilvl w:val="0"/>
          <w:numId w:val="34"/>
        </w:numPr>
        <w:tabs>
          <w:tab w:val="num" w:pos="360"/>
        </w:tabs>
        <w:ind w:left="360"/>
      </w:pPr>
      <w:r>
        <w:t>r</w:t>
      </w:r>
      <w:r w:rsidR="00F47828">
        <w:t>ates and land tax brochures/pamphlets;</w:t>
      </w:r>
    </w:p>
    <w:p w:rsidR="00E628F1" w:rsidRDefault="006D60D2" w:rsidP="000446AB">
      <w:pPr>
        <w:pStyle w:val="BodyTextIndent"/>
        <w:numPr>
          <w:ilvl w:val="0"/>
          <w:numId w:val="34"/>
        </w:numPr>
        <w:tabs>
          <w:tab w:val="num" w:pos="360"/>
        </w:tabs>
        <w:ind w:left="360"/>
      </w:pPr>
      <w:r>
        <w:t>l</w:t>
      </w:r>
      <w:r w:rsidR="00F47828">
        <w:t>egislation and circulars; and</w:t>
      </w:r>
    </w:p>
    <w:p w:rsidR="00E628F1" w:rsidRDefault="00F47828" w:rsidP="000446AB">
      <w:pPr>
        <w:pStyle w:val="BodyTextIndent"/>
        <w:numPr>
          <w:ilvl w:val="0"/>
          <w:numId w:val="34"/>
        </w:numPr>
        <w:tabs>
          <w:tab w:val="num" w:pos="360"/>
        </w:tabs>
        <w:ind w:left="360"/>
      </w:pPr>
      <w:proofErr w:type="spellStart"/>
      <w:r>
        <w:t>BPay</w:t>
      </w:r>
      <w:proofErr w:type="spellEnd"/>
      <w:r>
        <w:t>, EFT and Direct Debit payment methods.</w:t>
      </w:r>
    </w:p>
    <w:p w:rsidR="00F47828" w:rsidRDefault="00F47828" w:rsidP="005E544F">
      <w:pPr>
        <w:pStyle w:val="BodyText"/>
      </w:pPr>
      <w:r>
        <w:t>The ACT Revenue Office is planning towards increasing the convenience and the options for more interaction through the following channels:</w:t>
      </w:r>
    </w:p>
    <w:p w:rsidR="00E628F1" w:rsidRDefault="00F47828" w:rsidP="000446AB">
      <w:pPr>
        <w:pStyle w:val="BodyTextIndent"/>
        <w:numPr>
          <w:ilvl w:val="0"/>
          <w:numId w:val="34"/>
        </w:numPr>
        <w:tabs>
          <w:tab w:val="num" w:pos="360"/>
        </w:tabs>
        <w:ind w:left="360"/>
      </w:pPr>
      <w:r>
        <w:t>E-lodgement; and</w:t>
      </w:r>
    </w:p>
    <w:p w:rsidR="00E628F1" w:rsidRDefault="00F47828" w:rsidP="000446AB">
      <w:pPr>
        <w:pStyle w:val="BodyTextIndent"/>
        <w:numPr>
          <w:ilvl w:val="0"/>
          <w:numId w:val="34"/>
        </w:numPr>
        <w:tabs>
          <w:tab w:val="num" w:pos="360"/>
        </w:tabs>
        <w:ind w:left="360"/>
      </w:pPr>
      <w:r>
        <w:t>Web based applications.</w:t>
      </w:r>
    </w:p>
    <w:p w:rsidR="00F47828" w:rsidRDefault="00F47828" w:rsidP="005E544F">
      <w:pPr>
        <w:pStyle w:val="SIHeading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rsidR="00F47828" w:rsidRPr="00CF6F54" w:rsidRDefault="00F47828" w:rsidP="003D0BD9">
      <w:pPr>
        <w:pStyle w:val="SIHeading1"/>
      </w:pPr>
      <w:r w:rsidRPr="00CF6F54">
        <w:lastRenderedPageBreak/>
        <w:t xml:space="preserve">Strategic Objective </w:t>
      </w:r>
      <w:r>
        <w:t>2</w:t>
      </w:r>
    </w:p>
    <w:p w:rsidR="00F47828" w:rsidRPr="00232397" w:rsidRDefault="00F47828" w:rsidP="003D0BD9">
      <w:pPr>
        <w:pStyle w:val="SIHeading2"/>
      </w:pPr>
      <w:r>
        <w:t xml:space="preserve">Optimising Use of Government Accommodation </w:t>
      </w:r>
    </w:p>
    <w:p w:rsidR="00F47828" w:rsidRDefault="00F47828" w:rsidP="003D0BD9">
      <w:pPr>
        <w:pStyle w:val="BodyText"/>
      </w:pPr>
      <w:r>
        <w:t>The Government’s objective is to optimise the triple bottom line outcomes of its accommodation portfolio.  This includes delivering improvements in efficiency of existing buildings and consideration of the location of future office space.  The Directorate is responsible for the development and delivery of office accommodation strategies and also manages the leasing of office accommodation from the private sector.</w:t>
      </w:r>
    </w:p>
    <w:p w:rsidR="00F47828" w:rsidRDefault="00F47828" w:rsidP="003D0BD9">
      <w:pPr>
        <w:pStyle w:val="BodyText"/>
      </w:pPr>
      <w:r w:rsidRPr="003D6F2B">
        <w:rPr>
          <w:rFonts w:ascii="Arial" w:hAnsi="Arial"/>
          <w:b/>
          <w:kern w:val="28"/>
          <w:sz w:val="20"/>
        </w:rPr>
        <w:t>Strategic Indicator 1:</w:t>
      </w:r>
      <w:r>
        <w:t xml:space="preserve"> </w:t>
      </w:r>
      <w:r w:rsidR="00842065">
        <w:rPr>
          <w:rFonts w:ascii="Arial" w:hAnsi="Arial" w:cs="Arial"/>
          <w:sz w:val="20"/>
        </w:rPr>
        <w:t>A R</w:t>
      </w:r>
      <w:r w:rsidRPr="006D60D2">
        <w:rPr>
          <w:rFonts w:ascii="Arial" w:hAnsi="Arial" w:cs="Arial"/>
          <w:sz w:val="20"/>
        </w:rPr>
        <w:t>eduction across Government in Average Office Space per Employee</w:t>
      </w:r>
    </w:p>
    <w:p w:rsidR="00F47828" w:rsidRDefault="00F47828" w:rsidP="003D0BD9">
      <w:pPr>
        <w:pStyle w:val="BodyText"/>
      </w:pPr>
      <w:r>
        <w:t xml:space="preserve">The Directorate ensures that office space for employees (as measured by the Utilisation Rate) meets or is less than Government targets, through accommodation strategies, management of office fit out policies and guidelines, and workforce policies such as </w:t>
      </w:r>
      <w:proofErr w:type="spellStart"/>
      <w:r>
        <w:t>teleworking</w:t>
      </w:r>
      <w:proofErr w:type="spellEnd"/>
      <w:r>
        <w:t>.</w:t>
      </w:r>
    </w:p>
    <w:p w:rsidR="00F47828" w:rsidRPr="001228EF" w:rsidRDefault="00F47828" w:rsidP="003D0BD9">
      <w:pPr>
        <w:pStyle w:val="BodyText"/>
      </w:pPr>
      <w:r>
        <w:t xml:space="preserve">The Utilisation Rate is </w:t>
      </w:r>
      <w:r w:rsidR="00DD0EE2">
        <w:t>measured every six months and is calculated by dividing total</w:t>
      </w:r>
      <w:r>
        <w:t xml:space="preserve"> Net Useable Office space by the</w:t>
      </w:r>
      <w:r w:rsidR="00DD0EE2">
        <w:t xml:space="preserve"> total number of staff and includes all</w:t>
      </w:r>
      <w:r>
        <w:t xml:space="preserve"> normal office functions.  The </w:t>
      </w:r>
      <w:r w:rsidR="00F41142">
        <w:t xml:space="preserve">Government has a </w:t>
      </w:r>
      <w:r>
        <w:t xml:space="preserve">long term target </w:t>
      </w:r>
      <w:r w:rsidR="00F41142">
        <w:t xml:space="preserve">of </w:t>
      </w:r>
      <w:r>
        <w:t>15 square met</w:t>
      </w:r>
      <w:r w:rsidR="00F41142">
        <w:t>res</w:t>
      </w:r>
      <w:r>
        <w:t xml:space="preserve"> per employee</w:t>
      </w:r>
      <w:r w:rsidR="00F41142">
        <w:t xml:space="preserve"> for its office accommodation</w:t>
      </w:r>
      <w:r>
        <w:t>.</w:t>
      </w:r>
    </w:p>
    <w:p w:rsidR="00F47828" w:rsidRDefault="00F47828" w:rsidP="00026C7A">
      <w:pPr>
        <w:pStyle w:val="Heading3TopofPage"/>
        <w:keepNext w:val="0"/>
        <w:spacing w:before="240"/>
      </w:pPr>
      <w:r>
        <w:t>Output Classes</w:t>
      </w:r>
    </w:p>
    <w:tbl>
      <w:tblPr>
        <w:tblW w:w="9100" w:type="dxa"/>
        <w:tblLook w:val="0000"/>
      </w:tblPr>
      <w:tblGrid>
        <w:gridCol w:w="3588"/>
        <w:gridCol w:w="1378"/>
        <w:gridCol w:w="1378"/>
        <w:gridCol w:w="1378"/>
        <w:gridCol w:w="1378"/>
      </w:tblGrid>
      <w:tr w:rsidR="00F47828" w:rsidTr="00377450">
        <w:tc>
          <w:tcPr>
            <w:tcW w:w="3544" w:type="dxa"/>
            <w:tcBorders>
              <w:top w:val="single" w:sz="4" w:space="0" w:color="auto"/>
            </w:tcBorders>
          </w:tcPr>
          <w:p w:rsidR="00F47828" w:rsidRDefault="00F47828" w:rsidP="00026C7A">
            <w:pPr>
              <w:rPr>
                <w:rFonts w:ascii="Arial" w:hAnsi="Arial" w:cs="Arial"/>
                <w:b/>
                <w:bCs/>
                <w:color w:val="000000"/>
              </w:rPr>
            </w:pPr>
          </w:p>
        </w:tc>
        <w:tc>
          <w:tcPr>
            <w:tcW w:w="1361" w:type="dxa"/>
            <w:gridSpan w:val="2"/>
            <w:tcBorders>
              <w:top w:val="single" w:sz="4" w:space="0" w:color="auto"/>
              <w:bottom w:val="single" w:sz="4" w:space="0" w:color="auto"/>
            </w:tcBorders>
          </w:tcPr>
          <w:p w:rsidR="00F47828" w:rsidRPr="00842065" w:rsidRDefault="00F47828" w:rsidP="00026C7A">
            <w:pPr>
              <w:pStyle w:val="Heading2"/>
              <w:keepNext w:val="0"/>
              <w:rPr>
                <w:rFonts w:asciiTheme="minorHAnsi" w:hAnsiTheme="minorHAnsi"/>
              </w:rPr>
            </w:pPr>
            <w:r w:rsidRPr="00842065">
              <w:rPr>
                <w:rFonts w:asciiTheme="minorHAnsi" w:hAnsiTheme="minorHAnsi"/>
              </w:rPr>
              <w:t>Total Cost</w:t>
            </w:r>
            <w:r w:rsidRPr="00842065">
              <w:rPr>
                <w:rFonts w:asciiTheme="minorHAnsi" w:hAnsiTheme="minorHAnsi"/>
                <w:vertAlign w:val="superscript"/>
              </w:rPr>
              <w:t>1</w:t>
            </w:r>
          </w:p>
        </w:tc>
        <w:tc>
          <w:tcPr>
            <w:tcW w:w="1361" w:type="dxa"/>
            <w:gridSpan w:val="2"/>
            <w:tcBorders>
              <w:top w:val="single" w:sz="4" w:space="0" w:color="auto"/>
              <w:bottom w:val="single" w:sz="4" w:space="0" w:color="auto"/>
            </w:tcBorders>
          </w:tcPr>
          <w:p w:rsidR="00F47828" w:rsidRPr="00842065" w:rsidRDefault="00F47828" w:rsidP="00026C7A">
            <w:pPr>
              <w:pStyle w:val="Heading2"/>
              <w:keepNext w:val="0"/>
              <w:rPr>
                <w:rFonts w:asciiTheme="minorHAnsi" w:hAnsiTheme="minorHAnsi"/>
              </w:rPr>
            </w:pPr>
            <w:r w:rsidRPr="00842065">
              <w:rPr>
                <w:rFonts w:asciiTheme="minorHAnsi" w:hAnsiTheme="minorHAnsi"/>
              </w:rPr>
              <w:t>Government Payment for Outputs</w:t>
            </w:r>
          </w:p>
        </w:tc>
      </w:tr>
      <w:tr w:rsidR="00F47828" w:rsidTr="00377450">
        <w:tc>
          <w:tcPr>
            <w:tcW w:w="3544" w:type="dxa"/>
            <w:tcBorders>
              <w:bottom w:val="single" w:sz="4" w:space="0" w:color="auto"/>
            </w:tcBorders>
          </w:tcPr>
          <w:p w:rsidR="00F47828" w:rsidRDefault="00F47828" w:rsidP="00026C7A">
            <w:pPr>
              <w:rPr>
                <w:rFonts w:ascii="Arial" w:hAnsi="Arial" w:cs="Arial"/>
                <w:b/>
                <w:bCs/>
                <w:color w:val="000000"/>
                <w:sz w:val="20"/>
              </w:rPr>
            </w:pPr>
          </w:p>
        </w:tc>
        <w:tc>
          <w:tcPr>
            <w:tcW w:w="1361" w:type="dxa"/>
            <w:tcBorders>
              <w:top w:val="single" w:sz="4" w:space="0" w:color="auto"/>
              <w:bottom w:val="single" w:sz="4" w:space="0" w:color="auto"/>
            </w:tcBorders>
          </w:tcPr>
          <w:p w:rsidR="00F47828" w:rsidRPr="00842065" w:rsidRDefault="00F47828" w:rsidP="00026C7A">
            <w:pPr>
              <w:pStyle w:val="Heading6"/>
              <w:keepNext w:val="0"/>
              <w:rPr>
                <w:rFonts w:asciiTheme="minorHAnsi" w:hAnsiTheme="minorHAnsi"/>
              </w:rPr>
            </w:pPr>
            <w:r w:rsidRPr="00842065">
              <w:rPr>
                <w:rFonts w:asciiTheme="minorHAnsi" w:hAnsiTheme="minorHAnsi"/>
              </w:rPr>
              <w:t>2012-13</w:t>
            </w:r>
            <w:r w:rsidRPr="00842065">
              <w:rPr>
                <w:rFonts w:asciiTheme="minorHAnsi" w:hAnsiTheme="minorHAnsi"/>
              </w:rPr>
              <w:br/>
              <w:t>Est. Outcome</w:t>
            </w:r>
            <w:r w:rsidRPr="00842065">
              <w:rPr>
                <w:rFonts w:asciiTheme="minorHAnsi" w:hAnsiTheme="minorHAnsi"/>
              </w:rPr>
              <w:br/>
              <w:t xml:space="preserve">$’000 </w:t>
            </w:r>
          </w:p>
        </w:tc>
        <w:tc>
          <w:tcPr>
            <w:tcW w:w="1361" w:type="dxa"/>
            <w:tcBorders>
              <w:top w:val="single" w:sz="4" w:space="0" w:color="auto"/>
              <w:bottom w:val="single" w:sz="4" w:space="0" w:color="auto"/>
            </w:tcBorders>
          </w:tcPr>
          <w:p w:rsidR="00F47828" w:rsidRPr="00842065" w:rsidRDefault="00F47828" w:rsidP="00026C7A">
            <w:pPr>
              <w:pStyle w:val="Heading6"/>
              <w:keepNext w:val="0"/>
              <w:rPr>
                <w:rFonts w:asciiTheme="minorHAnsi" w:hAnsiTheme="minorHAnsi"/>
              </w:rPr>
            </w:pPr>
            <w:r w:rsidRPr="00842065">
              <w:rPr>
                <w:rFonts w:asciiTheme="minorHAnsi" w:hAnsiTheme="minorHAnsi"/>
              </w:rPr>
              <w:t>2013-14</w:t>
            </w:r>
            <w:r w:rsidRPr="00842065">
              <w:rPr>
                <w:rFonts w:asciiTheme="minorHAnsi" w:hAnsiTheme="minorHAnsi"/>
              </w:rPr>
              <w:br/>
              <w:t>Budget</w:t>
            </w:r>
            <w:r w:rsidRPr="00842065">
              <w:rPr>
                <w:rFonts w:asciiTheme="minorHAnsi" w:hAnsiTheme="minorHAnsi"/>
              </w:rPr>
              <w:br/>
              <w:t>$’000</w:t>
            </w:r>
          </w:p>
        </w:tc>
        <w:tc>
          <w:tcPr>
            <w:tcW w:w="1361" w:type="dxa"/>
            <w:tcBorders>
              <w:top w:val="single" w:sz="4" w:space="0" w:color="auto"/>
              <w:bottom w:val="single" w:sz="4" w:space="0" w:color="auto"/>
            </w:tcBorders>
          </w:tcPr>
          <w:p w:rsidR="00F47828" w:rsidRPr="00842065" w:rsidRDefault="00F47828" w:rsidP="00026C7A">
            <w:pPr>
              <w:pStyle w:val="Heading6"/>
              <w:keepNext w:val="0"/>
              <w:rPr>
                <w:rFonts w:asciiTheme="minorHAnsi" w:hAnsiTheme="minorHAnsi"/>
              </w:rPr>
            </w:pPr>
            <w:r w:rsidRPr="00842065">
              <w:rPr>
                <w:rFonts w:asciiTheme="minorHAnsi" w:hAnsiTheme="minorHAnsi"/>
              </w:rPr>
              <w:t>2012-13</w:t>
            </w:r>
            <w:r w:rsidRPr="00842065">
              <w:rPr>
                <w:rFonts w:asciiTheme="minorHAnsi" w:hAnsiTheme="minorHAnsi"/>
              </w:rPr>
              <w:br/>
              <w:t>Est. Outcome</w:t>
            </w:r>
            <w:r w:rsidRPr="00842065">
              <w:rPr>
                <w:rFonts w:asciiTheme="minorHAnsi" w:hAnsiTheme="minorHAnsi"/>
              </w:rPr>
              <w:br/>
              <w:t>$’000</w:t>
            </w:r>
          </w:p>
        </w:tc>
        <w:tc>
          <w:tcPr>
            <w:tcW w:w="1361" w:type="dxa"/>
            <w:tcBorders>
              <w:top w:val="single" w:sz="4" w:space="0" w:color="auto"/>
              <w:bottom w:val="single" w:sz="4" w:space="0" w:color="auto"/>
            </w:tcBorders>
          </w:tcPr>
          <w:p w:rsidR="00F47828" w:rsidRPr="00842065" w:rsidRDefault="00F47828" w:rsidP="00026C7A">
            <w:pPr>
              <w:pStyle w:val="Heading6"/>
              <w:keepNext w:val="0"/>
              <w:rPr>
                <w:rFonts w:asciiTheme="minorHAnsi" w:hAnsiTheme="minorHAnsi"/>
              </w:rPr>
            </w:pPr>
            <w:r w:rsidRPr="00842065">
              <w:rPr>
                <w:rFonts w:asciiTheme="minorHAnsi" w:hAnsiTheme="minorHAnsi"/>
              </w:rPr>
              <w:t>2013-14</w:t>
            </w:r>
            <w:r w:rsidRPr="00842065">
              <w:rPr>
                <w:rFonts w:asciiTheme="minorHAnsi" w:hAnsiTheme="minorHAnsi"/>
              </w:rPr>
              <w:br/>
              <w:t>Budget</w:t>
            </w:r>
            <w:r w:rsidRPr="00842065">
              <w:rPr>
                <w:rFonts w:asciiTheme="minorHAnsi" w:hAnsiTheme="minorHAnsi"/>
              </w:rPr>
              <w:br/>
              <w:t>$’000</w:t>
            </w:r>
          </w:p>
        </w:tc>
      </w:tr>
      <w:tr w:rsidR="00F47828" w:rsidTr="00377450">
        <w:tc>
          <w:tcPr>
            <w:tcW w:w="3544" w:type="dxa"/>
            <w:tcBorders>
              <w:top w:val="single" w:sz="4" w:space="0" w:color="auto"/>
              <w:bottom w:val="single" w:sz="4" w:space="0" w:color="auto"/>
            </w:tcBorders>
          </w:tcPr>
          <w:p w:rsidR="00F47828" w:rsidRDefault="00F47828" w:rsidP="00026C7A">
            <w:pPr>
              <w:pStyle w:val="Heading7"/>
              <w:keepNext w:val="0"/>
              <w:rPr>
                <w:color w:val="000000"/>
              </w:rPr>
            </w:pPr>
            <w:r>
              <w:rPr>
                <w:color w:val="000000"/>
              </w:rPr>
              <w:t xml:space="preserve">Output Class 1:  </w:t>
            </w:r>
          </w:p>
          <w:p w:rsidR="00F47828" w:rsidRDefault="00F47828" w:rsidP="00026C7A">
            <w:pPr>
              <w:pStyle w:val="Heading7"/>
              <w:keepNext w:val="0"/>
              <w:rPr>
                <w:color w:val="000000"/>
              </w:rPr>
            </w:pPr>
            <w:r>
              <w:rPr>
                <w:color w:val="000000"/>
              </w:rPr>
              <w:t>Revenue and Government Business Management</w:t>
            </w:r>
          </w:p>
        </w:tc>
        <w:tc>
          <w:tcPr>
            <w:tcW w:w="1361" w:type="dxa"/>
            <w:tcBorders>
              <w:top w:val="single" w:sz="4" w:space="0" w:color="auto"/>
              <w:bottom w:val="single" w:sz="4" w:space="0" w:color="auto"/>
            </w:tcBorders>
            <w:vAlign w:val="bottom"/>
          </w:tcPr>
          <w:p w:rsidR="00F47828" w:rsidRDefault="00F47828" w:rsidP="00026C7A">
            <w:pPr>
              <w:pStyle w:val="AITableText"/>
            </w:pPr>
            <w:r>
              <w:t>10,842</w:t>
            </w:r>
          </w:p>
        </w:tc>
        <w:tc>
          <w:tcPr>
            <w:tcW w:w="1361" w:type="dxa"/>
            <w:tcBorders>
              <w:top w:val="single" w:sz="4" w:space="0" w:color="auto"/>
              <w:bottom w:val="single" w:sz="4" w:space="0" w:color="auto"/>
            </w:tcBorders>
            <w:vAlign w:val="bottom"/>
          </w:tcPr>
          <w:p w:rsidR="00F47828" w:rsidRDefault="00F47828" w:rsidP="00026C7A">
            <w:pPr>
              <w:pStyle w:val="AITableText"/>
            </w:pPr>
            <w:r>
              <w:t>22,091</w:t>
            </w:r>
          </w:p>
        </w:tc>
        <w:tc>
          <w:tcPr>
            <w:tcW w:w="1361" w:type="dxa"/>
            <w:tcBorders>
              <w:top w:val="single" w:sz="4" w:space="0" w:color="auto"/>
              <w:bottom w:val="single" w:sz="4" w:space="0" w:color="auto"/>
            </w:tcBorders>
            <w:vAlign w:val="bottom"/>
          </w:tcPr>
          <w:p w:rsidR="00F47828" w:rsidRDefault="00F47828" w:rsidP="00026C7A">
            <w:pPr>
              <w:pStyle w:val="AITableText"/>
            </w:pPr>
            <w:r>
              <w:t>10,430</w:t>
            </w:r>
          </w:p>
        </w:tc>
        <w:tc>
          <w:tcPr>
            <w:tcW w:w="1361" w:type="dxa"/>
            <w:tcBorders>
              <w:top w:val="single" w:sz="4" w:space="0" w:color="auto"/>
              <w:bottom w:val="single" w:sz="4" w:space="0" w:color="auto"/>
            </w:tcBorders>
            <w:vAlign w:val="bottom"/>
          </w:tcPr>
          <w:p w:rsidR="00F47828" w:rsidRDefault="00F47828" w:rsidP="00026C7A">
            <w:pPr>
              <w:pStyle w:val="AITableText"/>
            </w:pPr>
            <w:r>
              <w:t>15,676</w:t>
            </w:r>
          </w:p>
        </w:tc>
      </w:tr>
      <w:tr w:rsidR="00F47828" w:rsidTr="00377450">
        <w:tc>
          <w:tcPr>
            <w:tcW w:w="3544" w:type="dxa"/>
            <w:tcBorders>
              <w:top w:val="single" w:sz="4" w:space="0" w:color="auto"/>
              <w:bottom w:val="single" w:sz="4" w:space="0" w:color="auto"/>
            </w:tcBorders>
          </w:tcPr>
          <w:p w:rsidR="00F47828" w:rsidRDefault="00F47828" w:rsidP="00842065">
            <w:pPr>
              <w:pStyle w:val="Heading7"/>
              <w:keepNext w:val="0"/>
              <w:ind w:left="0" w:firstLine="0"/>
              <w:rPr>
                <w:color w:val="000000"/>
              </w:rPr>
            </w:pPr>
            <w:r>
              <w:rPr>
                <w:color w:val="000000"/>
              </w:rPr>
              <w:t>Output 1.1:  Revenue and Government Business Management</w:t>
            </w:r>
            <w:r w:rsidRPr="00487F6B">
              <w:rPr>
                <w:color w:val="000000"/>
                <w:vertAlign w:val="superscript"/>
              </w:rPr>
              <w:t>2</w:t>
            </w:r>
          </w:p>
        </w:tc>
        <w:tc>
          <w:tcPr>
            <w:tcW w:w="1361" w:type="dxa"/>
            <w:tcBorders>
              <w:top w:val="single" w:sz="4" w:space="0" w:color="auto"/>
              <w:bottom w:val="single" w:sz="4" w:space="0" w:color="auto"/>
            </w:tcBorders>
            <w:vAlign w:val="bottom"/>
          </w:tcPr>
          <w:p w:rsidR="00F47828" w:rsidRDefault="00F47828" w:rsidP="00026C7A">
            <w:pPr>
              <w:pStyle w:val="AITableText"/>
            </w:pPr>
            <w:r>
              <w:t>10,842</w:t>
            </w:r>
          </w:p>
        </w:tc>
        <w:tc>
          <w:tcPr>
            <w:tcW w:w="1361" w:type="dxa"/>
            <w:tcBorders>
              <w:top w:val="single" w:sz="4" w:space="0" w:color="auto"/>
              <w:bottom w:val="single" w:sz="4" w:space="0" w:color="auto"/>
            </w:tcBorders>
            <w:vAlign w:val="bottom"/>
          </w:tcPr>
          <w:p w:rsidR="00F47828" w:rsidRDefault="00F47828" w:rsidP="00026C7A">
            <w:pPr>
              <w:pStyle w:val="AITableText"/>
            </w:pPr>
            <w:r>
              <w:t>22,091</w:t>
            </w:r>
          </w:p>
        </w:tc>
        <w:tc>
          <w:tcPr>
            <w:tcW w:w="1361" w:type="dxa"/>
            <w:tcBorders>
              <w:top w:val="single" w:sz="4" w:space="0" w:color="auto"/>
              <w:bottom w:val="single" w:sz="4" w:space="0" w:color="auto"/>
            </w:tcBorders>
            <w:vAlign w:val="bottom"/>
          </w:tcPr>
          <w:p w:rsidR="00F47828" w:rsidRDefault="00F47828" w:rsidP="00026C7A">
            <w:pPr>
              <w:pStyle w:val="AITableText"/>
            </w:pPr>
            <w:r>
              <w:t>10,430</w:t>
            </w:r>
          </w:p>
        </w:tc>
        <w:tc>
          <w:tcPr>
            <w:tcW w:w="1361" w:type="dxa"/>
            <w:tcBorders>
              <w:top w:val="single" w:sz="4" w:space="0" w:color="auto"/>
              <w:bottom w:val="single" w:sz="4" w:space="0" w:color="auto"/>
            </w:tcBorders>
            <w:vAlign w:val="bottom"/>
          </w:tcPr>
          <w:p w:rsidR="00F47828" w:rsidRDefault="00F47828" w:rsidP="00026C7A">
            <w:pPr>
              <w:pStyle w:val="AITableText"/>
            </w:pPr>
            <w:r>
              <w:t>15,676</w:t>
            </w:r>
          </w:p>
        </w:tc>
      </w:tr>
    </w:tbl>
    <w:p w:rsidR="00F47828" w:rsidRDefault="00F47828" w:rsidP="00026C7A">
      <w:pPr>
        <w:pStyle w:val="NoteHeading0"/>
        <w:rPr>
          <w:vertAlign w:val="superscript"/>
        </w:rPr>
      </w:pPr>
      <w:r>
        <w:t>Notes:</w:t>
      </w:r>
    </w:p>
    <w:p w:rsidR="00F47828" w:rsidRDefault="00E73AF2" w:rsidP="00026C7A">
      <w:pPr>
        <w:pStyle w:val="AINotes"/>
        <w:numPr>
          <w:ilvl w:val="0"/>
          <w:numId w:val="12"/>
        </w:numPr>
      </w:pPr>
      <w:r>
        <w:t>Total cost</w:t>
      </w:r>
      <w:r w:rsidR="00F47828">
        <w:t xml:space="preserve"> includes depreciation and amortisation of $0.185 million in 2012-13 and $0.355 million in 2013-14.</w:t>
      </w:r>
    </w:p>
    <w:p w:rsidR="00F47828" w:rsidRDefault="00F47828" w:rsidP="00026C7A">
      <w:pPr>
        <w:pStyle w:val="AINotes"/>
        <w:numPr>
          <w:ilvl w:val="0"/>
          <w:numId w:val="12"/>
        </w:numPr>
      </w:pPr>
      <w:r>
        <w:rPr>
          <w:rStyle w:val="NoteTextChar"/>
        </w:rPr>
        <w:t>This includes Output 1.3 Revenue Management transferred from the former Treasury Directorate</w:t>
      </w:r>
      <w:r>
        <w:t>.</w:t>
      </w:r>
    </w:p>
    <w:p w:rsidR="00F47828" w:rsidRDefault="00F47828" w:rsidP="0068489F">
      <w:pPr>
        <w:pStyle w:val="Heading4"/>
        <w:keepNext w:val="0"/>
      </w:pPr>
      <w:r>
        <w:t>Output Description</w:t>
      </w:r>
    </w:p>
    <w:p w:rsidR="00F47828" w:rsidRDefault="00F47828" w:rsidP="00026C7A">
      <w:pPr>
        <w:pStyle w:val="BodyText"/>
        <w:keepNext w:val="0"/>
      </w:pPr>
      <w:r w:rsidRPr="00367495">
        <w:t>Revenue and Government Business Management provide</w:t>
      </w:r>
      <w:r>
        <w:t>s</w:t>
      </w:r>
      <w:r w:rsidRPr="00367495">
        <w:t xml:space="preserve"> for the administration of the ACT</w:t>
      </w:r>
      <w:r w:rsidR="00F41142">
        <w:t> </w:t>
      </w:r>
      <w:r w:rsidRPr="00367495">
        <w:t xml:space="preserve">Government's taxation revenue, and advice in regards to Government Business Enterprises.  </w:t>
      </w:r>
    </w:p>
    <w:p w:rsidR="00F47828" w:rsidRDefault="00F47828" w:rsidP="00026C7A">
      <w:pPr>
        <w:pStyle w:val="BodyText"/>
        <w:keepNext w:val="0"/>
      </w:pPr>
      <w:r>
        <w:t>The key outputs to be delivered in 2013-14 include:</w:t>
      </w:r>
    </w:p>
    <w:p w:rsidR="00E628F1" w:rsidRDefault="00F47828" w:rsidP="00026C7A">
      <w:pPr>
        <w:pStyle w:val="BodyTextIndent"/>
        <w:keepNext w:val="0"/>
        <w:numPr>
          <w:ilvl w:val="0"/>
          <w:numId w:val="11"/>
        </w:numPr>
        <w:ind w:left="357" w:hanging="357"/>
      </w:pPr>
      <w:r w:rsidRPr="00367495">
        <w:t>collecting taxation revenue in line with budget estimates</w:t>
      </w:r>
      <w:r>
        <w:t>;</w:t>
      </w:r>
    </w:p>
    <w:p w:rsidR="00E628F1" w:rsidRDefault="00F47828" w:rsidP="00026C7A">
      <w:pPr>
        <w:pStyle w:val="BodyTextIndent"/>
        <w:keepNext w:val="0"/>
        <w:numPr>
          <w:ilvl w:val="0"/>
          <w:numId w:val="11"/>
        </w:numPr>
        <w:ind w:left="357" w:hanging="357"/>
      </w:pPr>
      <w:r w:rsidRPr="00367495">
        <w:t>providing high quality and timely advice to assist taxpayers in meeting their obligation</w:t>
      </w:r>
      <w:r>
        <w:t>;</w:t>
      </w:r>
    </w:p>
    <w:p w:rsidR="00E628F1" w:rsidRDefault="00F47828" w:rsidP="00026C7A">
      <w:pPr>
        <w:pStyle w:val="BodyTextIndent"/>
        <w:keepNext w:val="0"/>
        <w:numPr>
          <w:ilvl w:val="0"/>
          <w:numId w:val="11"/>
        </w:numPr>
        <w:ind w:left="357" w:hanging="357"/>
      </w:pPr>
      <w:r w:rsidRPr="00367495">
        <w:t>processing objections to assessments and decisions, in accordance with timeframes published on the ACT Revenue Office website</w:t>
      </w:r>
      <w:r>
        <w:t>;</w:t>
      </w:r>
    </w:p>
    <w:p w:rsidR="00E628F1" w:rsidRDefault="00F47828" w:rsidP="00026C7A">
      <w:pPr>
        <w:pStyle w:val="BodyTextIndent"/>
        <w:keepNext w:val="0"/>
        <w:numPr>
          <w:ilvl w:val="0"/>
          <w:numId w:val="11"/>
        </w:numPr>
        <w:ind w:left="357" w:hanging="357"/>
      </w:pPr>
      <w:r w:rsidRPr="00367495">
        <w:t xml:space="preserve">processing around </w:t>
      </w:r>
      <w:r w:rsidR="00095996">
        <w:t>2,000</w:t>
      </w:r>
      <w:r w:rsidRPr="00367495">
        <w:t xml:space="preserve"> Home Buyer Concession Scheme transactions and </w:t>
      </w:r>
      <w:r w:rsidR="00095996">
        <w:t>100</w:t>
      </w:r>
      <w:r w:rsidRPr="00367495">
        <w:t xml:space="preserve"> Pensioner Duty Concession Scheme transactions</w:t>
      </w:r>
      <w:r>
        <w:t>;</w:t>
      </w:r>
    </w:p>
    <w:p w:rsidR="00E628F1" w:rsidRDefault="00F47828" w:rsidP="00026C7A">
      <w:pPr>
        <w:pStyle w:val="BodyTextIndent"/>
        <w:keepNext w:val="0"/>
        <w:numPr>
          <w:ilvl w:val="0"/>
          <w:numId w:val="11"/>
        </w:numPr>
        <w:ind w:left="357" w:hanging="357"/>
      </w:pPr>
      <w:r>
        <w:t>processing around 2</w:t>
      </w:r>
      <w:r w:rsidR="00095996">
        <w:t>5</w:t>
      </w:r>
      <w:r>
        <w:t>0 Deferred D</w:t>
      </w:r>
      <w:r w:rsidRPr="00367495">
        <w:t>uty applications</w:t>
      </w:r>
      <w:r>
        <w:t>;</w:t>
      </w:r>
    </w:p>
    <w:p w:rsidR="00026C7A" w:rsidRDefault="00026C7A" w:rsidP="00026C7A">
      <w:pPr>
        <w:pStyle w:val="Heading3TopofPage"/>
        <w:keepNext w:val="0"/>
        <w:spacing w:before="240"/>
      </w:pPr>
      <w:proofErr w:type="gramStart"/>
      <w:r>
        <w:lastRenderedPageBreak/>
        <w:t>Output Classes cont.</w:t>
      </w:r>
      <w:proofErr w:type="gramEnd"/>
    </w:p>
    <w:p w:rsidR="00E628F1" w:rsidRDefault="00F47828" w:rsidP="00026C7A">
      <w:pPr>
        <w:pStyle w:val="BodyTextIndent"/>
        <w:keepNext w:val="0"/>
        <w:numPr>
          <w:ilvl w:val="0"/>
          <w:numId w:val="11"/>
        </w:numPr>
        <w:ind w:left="357" w:hanging="357"/>
      </w:pPr>
      <w:r w:rsidRPr="00367495">
        <w:t xml:space="preserve">processing around </w:t>
      </w:r>
      <w:r w:rsidR="00095996">
        <w:t>1,5</w:t>
      </w:r>
      <w:r w:rsidRPr="00367495">
        <w:t>00 First Home Owner Grant applications</w:t>
      </w:r>
      <w:r>
        <w:t>; and</w:t>
      </w:r>
    </w:p>
    <w:p w:rsidR="00E628F1" w:rsidRDefault="00F47828" w:rsidP="00026C7A">
      <w:pPr>
        <w:pStyle w:val="BodyTextIndent"/>
        <w:keepNext w:val="0"/>
        <w:numPr>
          <w:ilvl w:val="0"/>
          <w:numId w:val="11"/>
        </w:numPr>
        <w:ind w:left="357" w:hanging="357"/>
      </w:pPr>
      <w:proofErr w:type="gramStart"/>
      <w:r w:rsidRPr="00367495">
        <w:t>advice</w:t>
      </w:r>
      <w:proofErr w:type="gramEnd"/>
      <w:r w:rsidRPr="00367495">
        <w:t xml:space="preserve"> on the structure and operation</w:t>
      </w:r>
      <w:r w:rsidR="007D64ED">
        <w:t>s</w:t>
      </w:r>
      <w:r w:rsidRPr="00367495">
        <w:t xml:space="preserve"> of ACTEW and ACTTAB</w:t>
      </w:r>
      <w:r>
        <w:t>.</w:t>
      </w:r>
    </w:p>
    <w:tbl>
      <w:tblPr>
        <w:tblW w:w="9100" w:type="dxa"/>
        <w:tblLook w:val="0000"/>
      </w:tblPr>
      <w:tblGrid>
        <w:gridCol w:w="3588"/>
        <w:gridCol w:w="1378"/>
        <w:gridCol w:w="1378"/>
        <w:gridCol w:w="1378"/>
        <w:gridCol w:w="1378"/>
      </w:tblGrid>
      <w:tr w:rsidR="00F47828" w:rsidTr="00026C7A">
        <w:tc>
          <w:tcPr>
            <w:tcW w:w="3588" w:type="dxa"/>
            <w:tcBorders>
              <w:top w:val="single" w:sz="4" w:space="0" w:color="auto"/>
            </w:tcBorders>
          </w:tcPr>
          <w:p w:rsidR="00F47828" w:rsidRPr="00531CEF" w:rsidRDefault="00F47828" w:rsidP="00026C7A">
            <w:pPr>
              <w:rPr>
                <w:rFonts w:asciiTheme="minorHAnsi" w:hAnsiTheme="minorHAnsi" w:cs="Arial"/>
                <w:b/>
                <w:bCs/>
                <w:color w:val="000000"/>
              </w:rPr>
            </w:pPr>
          </w:p>
        </w:tc>
        <w:tc>
          <w:tcPr>
            <w:tcW w:w="2756" w:type="dxa"/>
            <w:gridSpan w:val="2"/>
            <w:tcBorders>
              <w:top w:val="single" w:sz="4" w:space="0" w:color="auto"/>
              <w:bottom w:val="single" w:sz="4" w:space="0" w:color="auto"/>
            </w:tcBorders>
          </w:tcPr>
          <w:p w:rsidR="00F47828" w:rsidRPr="00531CEF" w:rsidRDefault="00F47828" w:rsidP="00026C7A">
            <w:pPr>
              <w:pStyle w:val="Heading2"/>
              <w:keepNext w:val="0"/>
              <w:rPr>
                <w:rFonts w:asciiTheme="minorHAnsi" w:hAnsiTheme="minorHAnsi"/>
              </w:rPr>
            </w:pPr>
            <w:r w:rsidRPr="00531CEF">
              <w:rPr>
                <w:rFonts w:asciiTheme="minorHAnsi" w:hAnsiTheme="minorHAnsi"/>
              </w:rPr>
              <w:t>Total Cost</w:t>
            </w:r>
            <w:r w:rsidRPr="00531CEF">
              <w:rPr>
                <w:rFonts w:asciiTheme="minorHAnsi" w:hAnsiTheme="minorHAnsi"/>
                <w:vertAlign w:val="superscript"/>
              </w:rPr>
              <w:t>1</w:t>
            </w:r>
          </w:p>
        </w:tc>
        <w:tc>
          <w:tcPr>
            <w:tcW w:w="2756" w:type="dxa"/>
            <w:gridSpan w:val="2"/>
            <w:tcBorders>
              <w:top w:val="single" w:sz="4" w:space="0" w:color="auto"/>
              <w:bottom w:val="single" w:sz="4" w:space="0" w:color="auto"/>
            </w:tcBorders>
          </w:tcPr>
          <w:p w:rsidR="00F47828" w:rsidRPr="00531CEF" w:rsidRDefault="00F47828" w:rsidP="006258F6">
            <w:pPr>
              <w:pStyle w:val="Heading2"/>
              <w:keepNext w:val="0"/>
              <w:rPr>
                <w:rFonts w:asciiTheme="minorHAnsi" w:hAnsiTheme="minorHAnsi"/>
              </w:rPr>
            </w:pPr>
            <w:r w:rsidRPr="00531CEF">
              <w:rPr>
                <w:rFonts w:asciiTheme="minorHAnsi" w:hAnsiTheme="minorHAnsi"/>
              </w:rPr>
              <w:t>Government Payment for Outputs</w:t>
            </w:r>
          </w:p>
        </w:tc>
      </w:tr>
      <w:tr w:rsidR="00F47828" w:rsidTr="00026C7A">
        <w:tc>
          <w:tcPr>
            <w:tcW w:w="3588" w:type="dxa"/>
            <w:tcBorders>
              <w:bottom w:val="single" w:sz="4" w:space="0" w:color="auto"/>
            </w:tcBorders>
          </w:tcPr>
          <w:p w:rsidR="00F47828" w:rsidRPr="00531CEF" w:rsidRDefault="00F47828" w:rsidP="00026C7A">
            <w:pPr>
              <w:rPr>
                <w:rFonts w:asciiTheme="minorHAnsi" w:hAnsiTheme="minorHAnsi" w:cs="Arial"/>
                <w:b/>
                <w:bCs/>
                <w:color w:val="000000"/>
                <w:sz w:val="20"/>
              </w:rPr>
            </w:pP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2012-13</w:t>
            </w:r>
            <w:r w:rsidRPr="00531CEF">
              <w:rPr>
                <w:rFonts w:asciiTheme="minorHAnsi" w:hAnsiTheme="minorHAnsi"/>
              </w:rPr>
              <w:br/>
              <w:t>Est. Outcome</w:t>
            </w:r>
            <w:r w:rsidRPr="00531CEF">
              <w:rPr>
                <w:rFonts w:asciiTheme="minorHAnsi" w:hAnsiTheme="minorHAnsi"/>
              </w:rPr>
              <w:br/>
              <w:t xml:space="preserve">$’000 </w:t>
            </w: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2013-14</w:t>
            </w:r>
            <w:r w:rsidRPr="00531CEF">
              <w:rPr>
                <w:rFonts w:asciiTheme="minorHAnsi" w:hAnsiTheme="minorHAnsi"/>
              </w:rPr>
              <w:br/>
              <w:t>Budget</w:t>
            </w:r>
            <w:r w:rsidRPr="00531CEF">
              <w:rPr>
                <w:rFonts w:asciiTheme="minorHAnsi" w:hAnsiTheme="minorHAnsi"/>
              </w:rPr>
              <w:br/>
              <w:t>$’000</w:t>
            </w: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2012-13</w:t>
            </w:r>
            <w:r w:rsidRPr="00531CEF">
              <w:rPr>
                <w:rFonts w:asciiTheme="minorHAnsi" w:hAnsiTheme="minorHAnsi"/>
              </w:rPr>
              <w:br/>
              <w:t>Est. Outcome</w:t>
            </w:r>
            <w:r w:rsidRPr="00531CEF">
              <w:rPr>
                <w:rFonts w:asciiTheme="minorHAnsi" w:hAnsiTheme="minorHAnsi"/>
              </w:rPr>
              <w:br/>
              <w:t>$’000</w:t>
            </w: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2013-14</w:t>
            </w:r>
            <w:r w:rsidRPr="00531CEF">
              <w:rPr>
                <w:rFonts w:asciiTheme="minorHAnsi" w:hAnsiTheme="minorHAnsi"/>
              </w:rPr>
              <w:br/>
              <w:t>Budget</w:t>
            </w:r>
            <w:r w:rsidRPr="00531CEF">
              <w:rPr>
                <w:rFonts w:asciiTheme="minorHAnsi" w:hAnsiTheme="minorHAnsi"/>
              </w:rPr>
              <w:br/>
              <w:t>$’000</w:t>
            </w:r>
          </w:p>
        </w:tc>
      </w:tr>
      <w:tr w:rsidR="00F47828" w:rsidTr="00026C7A">
        <w:tc>
          <w:tcPr>
            <w:tcW w:w="3588" w:type="dxa"/>
            <w:tcBorders>
              <w:top w:val="single" w:sz="4" w:space="0" w:color="auto"/>
              <w:bottom w:val="single" w:sz="4" w:space="0" w:color="auto"/>
            </w:tcBorders>
          </w:tcPr>
          <w:p w:rsidR="00F47828" w:rsidRPr="00531CEF" w:rsidRDefault="00F47828" w:rsidP="00026C7A">
            <w:pPr>
              <w:pStyle w:val="Heading7"/>
              <w:keepNext w:val="0"/>
              <w:rPr>
                <w:rFonts w:asciiTheme="minorHAnsi" w:hAnsiTheme="minorHAnsi"/>
                <w:color w:val="000000"/>
              </w:rPr>
            </w:pPr>
            <w:r w:rsidRPr="00531CEF">
              <w:rPr>
                <w:rFonts w:asciiTheme="minorHAnsi" w:hAnsiTheme="minorHAnsi"/>
                <w:color w:val="000000"/>
              </w:rPr>
              <w:t xml:space="preserve">Output Class 2:  </w:t>
            </w:r>
          </w:p>
          <w:p w:rsidR="00F47828" w:rsidRPr="00531CEF" w:rsidRDefault="00F47828" w:rsidP="00026C7A">
            <w:pPr>
              <w:pStyle w:val="Heading7"/>
              <w:keepNext w:val="0"/>
              <w:rPr>
                <w:rFonts w:asciiTheme="minorHAnsi" w:hAnsiTheme="minorHAnsi"/>
                <w:color w:val="000000"/>
              </w:rPr>
            </w:pPr>
            <w:r w:rsidRPr="00531CEF">
              <w:rPr>
                <w:rFonts w:asciiTheme="minorHAnsi" w:hAnsiTheme="minorHAnsi"/>
                <w:color w:val="000000"/>
              </w:rPr>
              <w:t xml:space="preserve">Shared Services ICT </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141,705</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10,205</w:t>
            </w:r>
          </w:p>
        </w:tc>
      </w:tr>
      <w:tr w:rsidR="00F47828" w:rsidTr="00026C7A">
        <w:tc>
          <w:tcPr>
            <w:tcW w:w="3588" w:type="dxa"/>
            <w:tcBorders>
              <w:top w:val="single" w:sz="4" w:space="0" w:color="auto"/>
              <w:bottom w:val="single" w:sz="4" w:space="0" w:color="auto"/>
            </w:tcBorders>
          </w:tcPr>
          <w:p w:rsidR="00F47828" w:rsidRPr="00531CEF" w:rsidRDefault="00F47828" w:rsidP="00026C7A">
            <w:pPr>
              <w:pStyle w:val="Heading7"/>
              <w:keepNext w:val="0"/>
              <w:rPr>
                <w:rFonts w:asciiTheme="minorHAnsi" w:hAnsiTheme="minorHAnsi"/>
                <w:color w:val="000000"/>
              </w:rPr>
            </w:pPr>
            <w:r w:rsidRPr="00531CEF">
              <w:rPr>
                <w:rFonts w:asciiTheme="minorHAnsi" w:hAnsiTheme="minorHAnsi"/>
                <w:color w:val="000000"/>
              </w:rPr>
              <w:t>Output 2.1:  Shared Services ICT</w:t>
            </w:r>
            <w:r w:rsidRPr="00531CEF">
              <w:rPr>
                <w:rFonts w:asciiTheme="minorHAnsi" w:hAnsiTheme="minorHAnsi"/>
                <w:color w:val="000000"/>
                <w:vertAlign w:val="superscript"/>
              </w:rPr>
              <w:t>2</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141,705</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10,205</w:t>
            </w:r>
          </w:p>
        </w:tc>
      </w:tr>
    </w:tbl>
    <w:p w:rsidR="00F47828" w:rsidRDefault="00F47828" w:rsidP="00026C7A">
      <w:pPr>
        <w:pStyle w:val="NoteHeading0"/>
        <w:rPr>
          <w:vertAlign w:val="superscript"/>
        </w:rPr>
      </w:pPr>
      <w:r>
        <w:t>Notes:</w:t>
      </w:r>
    </w:p>
    <w:p w:rsidR="00F47828" w:rsidRDefault="00E73AF2" w:rsidP="00026C7A">
      <w:pPr>
        <w:pStyle w:val="AINotes"/>
        <w:numPr>
          <w:ilvl w:val="0"/>
          <w:numId w:val="25"/>
        </w:numPr>
      </w:pPr>
      <w:r>
        <w:t>Total cost</w:t>
      </w:r>
      <w:r w:rsidR="00F47828">
        <w:t xml:space="preserve"> includes depreciation and amortisation of $18.893 million in 2013-14.</w:t>
      </w:r>
    </w:p>
    <w:p w:rsidR="00F47828" w:rsidRDefault="00F47828" w:rsidP="00026C7A">
      <w:pPr>
        <w:pStyle w:val="AINotes"/>
        <w:numPr>
          <w:ilvl w:val="0"/>
          <w:numId w:val="12"/>
        </w:numPr>
      </w:pPr>
      <w:r>
        <w:rPr>
          <w:rStyle w:val="NoteTextChar"/>
        </w:rPr>
        <w:t xml:space="preserve">This includes Output 1.1 </w:t>
      </w:r>
      <w:r>
        <w:rPr>
          <w:color w:val="000000"/>
        </w:rPr>
        <w:t>Shared Services ICT</w:t>
      </w:r>
      <w:r>
        <w:rPr>
          <w:rStyle w:val="NoteTextChar"/>
        </w:rPr>
        <w:t xml:space="preserve"> transferred from the Shared Services Centre</w:t>
      </w:r>
      <w:r>
        <w:t>.</w:t>
      </w:r>
    </w:p>
    <w:p w:rsidR="00F47828" w:rsidRPr="00FA01D3" w:rsidRDefault="00F47828" w:rsidP="00026C7A">
      <w:pPr>
        <w:pStyle w:val="Heading4"/>
        <w:keepNext w:val="0"/>
        <w:keepLines w:val="0"/>
      </w:pPr>
      <w:r w:rsidRPr="00FA01D3">
        <w:t>Output Description</w:t>
      </w:r>
    </w:p>
    <w:p w:rsidR="00F47828" w:rsidRPr="00FA01D3" w:rsidRDefault="00F47828" w:rsidP="00026C7A">
      <w:pPr>
        <w:pStyle w:val="BodyText"/>
        <w:keepNext w:val="0"/>
        <w:keepLines w:val="0"/>
      </w:pPr>
      <w:r w:rsidRPr="008F028D">
        <w:t>Shared Services ICT is a shared ICT service organisation providing a complete range of ICT services to Government, including infrastructure, applications support and development, ICT policy and ICT project services.</w:t>
      </w:r>
    </w:p>
    <w:p w:rsidR="00F47828" w:rsidRPr="00FA01D3" w:rsidRDefault="00F47828" w:rsidP="00026C7A">
      <w:pPr>
        <w:pStyle w:val="BodyText"/>
        <w:keepNext w:val="0"/>
        <w:keepLines w:val="0"/>
      </w:pPr>
      <w:r>
        <w:t>The key outputs to be delivered in 2013-14 include</w:t>
      </w:r>
      <w:r w:rsidRPr="00FA01D3">
        <w:t>:</w:t>
      </w:r>
    </w:p>
    <w:p w:rsidR="00F47828" w:rsidRPr="00FA01D3" w:rsidRDefault="00F47828" w:rsidP="00026C7A">
      <w:pPr>
        <w:pStyle w:val="BodyTextIndent"/>
        <w:keepNext w:val="0"/>
        <w:keepLines w:val="0"/>
        <w:numPr>
          <w:ilvl w:val="0"/>
          <w:numId w:val="11"/>
        </w:numPr>
      </w:pPr>
      <w:r w:rsidRPr="00FA01D3">
        <w:t xml:space="preserve">services to government agencies as outlined in </w:t>
      </w:r>
      <w:r w:rsidR="00F41142">
        <w:t xml:space="preserve">the </w:t>
      </w:r>
      <w:r w:rsidRPr="00FA01D3">
        <w:t>Shared Services ICT catalogue of services and affirmed through various service level and support agreements;</w:t>
      </w:r>
    </w:p>
    <w:p w:rsidR="00E628F1" w:rsidRDefault="00F47828" w:rsidP="00026C7A">
      <w:pPr>
        <w:pStyle w:val="BodyTextIndent"/>
        <w:keepNext w:val="0"/>
        <w:numPr>
          <w:ilvl w:val="0"/>
          <w:numId w:val="11"/>
        </w:numPr>
        <w:ind w:left="357" w:hanging="357"/>
      </w:pPr>
      <w:r w:rsidRPr="00FA01D3">
        <w:t>management of the government data and communications network</w:t>
      </w:r>
      <w:r>
        <w:t>;</w:t>
      </w:r>
    </w:p>
    <w:p w:rsidR="00F47828" w:rsidRPr="00FA01D3" w:rsidRDefault="00F47828" w:rsidP="00026C7A">
      <w:pPr>
        <w:pStyle w:val="BodyTextIndent"/>
        <w:keepNext w:val="0"/>
        <w:keepLines w:val="0"/>
        <w:numPr>
          <w:ilvl w:val="0"/>
          <w:numId w:val="11"/>
        </w:numPr>
      </w:pPr>
      <w:r w:rsidRPr="00FA01D3">
        <w:t>assista</w:t>
      </w:r>
      <w:r>
        <w:t>nce to agencies on ICT security</w:t>
      </w:r>
      <w:r w:rsidRPr="00FA01D3">
        <w:t xml:space="preserve">; </w:t>
      </w:r>
    </w:p>
    <w:p w:rsidR="00F47828" w:rsidRPr="00FA01D3" w:rsidRDefault="00F47828" w:rsidP="00026C7A">
      <w:pPr>
        <w:pStyle w:val="BodyTextIndent"/>
        <w:keepNext w:val="0"/>
        <w:keepLines w:val="0"/>
        <w:numPr>
          <w:ilvl w:val="0"/>
          <w:numId w:val="11"/>
        </w:numPr>
      </w:pPr>
      <w:r w:rsidRPr="00FA01D3">
        <w:t>business systems support; and</w:t>
      </w:r>
    </w:p>
    <w:p w:rsidR="00E628F1" w:rsidRDefault="00F47828" w:rsidP="00026C7A">
      <w:pPr>
        <w:pStyle w:val="BodyTextIndent"/>
        <w:keepNext w:val="0"/>
        <w:keepLines w:val="0"/>
        <w:numPr>
          <w:ilvl w:val="0"/>
          <w:numId w:val="11"/>
        </w:numPr>
        <w:ind w:left="357" w:hanging="357"/>
      </w:pPr>
      <w:proofErr w:type="gramStart"/>
      <w:r w:rsidRPr="00FA01D3">
        <w:t>general</w:t>
      </w:r>
      <w:proofErr w:type="gramEnd"/>
      <w:r w:rsidRPr="00FA01D3">
        <w:t xml:space="preserve"> service and help desk functions</w:t>
      </w:r>
      <w:r>
        <w:t>.</w:t>
      </w:r>
    </w:p>
    <w:tbl>
      <w:tblPr>
        <w:tblW w:w="9100" w:type="dxa"/>
        <w:tblLook w:val="0000"/>
      </w:tblPr>
      <w:tblGrid>
        <w:gridCol w:w="3588"/>
        <w:gridCol w:w="1378"/>
        <w:gridCol w:w="1378"/>
        <w:gridCol w:w="1378"/>
        <w:gridCol w:w="1378"/>
      </w:tblGrid>
      <w:tr w:rsidR="00F47828" w:rsidTr="00026C7A">
        <w:tc>
          <w:tcPr>
            <w:tcW w:w="3588" w:type="dxa"/>
            <w:tcBorders>
              <w:top w:val="single" w:sz="4" w:space="0" w:color="auto"/>
            </w:tcBorders>
          </w:tcPr>
          <w:p w:rsidR="00F47828" w:rsidRDefault="00F47828" w:rsidP="00026C7A">
            <w:pPr>
              <w:rPr>
                <w:rFonts w:ascii="Arial" w:hAnsi="Arial" w:cs="Arial"/>
                <w:b/>
                <w:bCs/>
                <w:color w:val="000000"/>
                <w:sz w:val="20"/>
              </w:rPr>
            </w:pPr>
          </w:p>
        </w:tc>
        <w:tc>
          <w:tcPr>
            <w:tcW w:w="2756" w:type="dxa"/>
            <w:gridSpan w:val="2"/>
            <w:tcBorders>
              <w:top w:val="single" w:sz="4" w:space="0" w:color="auto"/>
              <w:bottom w:val="single" w:sz="4" w:space="0" w:color="auto"/>
            </w:tcBorders>
          </w:tcPr>
          <w:p w:rsidR="00F47828" w:rsidRPr="00531CEF" w:rsidRDefault="00F47828" w:rsidP="00026C7A">
            <w:pPr>
              <w:pStyle w:val="Heading2"/>
              <w:keepNext w:val="0"/>
              <w:rPr>
                <w:rFonts w:asciiTheme="minorHAnsi" w:hAnsiTheme="minorHAnsi"/>
              </w:rPr>
            </w:pPr>
            <w:r w:rsidRPr="00531CEF">
              <w:rPr>
                <w:rFonts w:asciiTheme="minorHAnsi" w:hAnsiTheme="minorHAnsi"/>
              </w:rPr>
              <w:t>Total Cost</w:t>
            </w:r>
            <w:r w:rsidRPr="00531CEF">
              <w:rPr>
                <w:rFonts w:asciiTheme="minorHAnsi" w:hAnsiTheme="minorHAnsi"/>
                <w:vertAlign w:val="superscript"/>
              </w:rPr>
              <w:t>1</w:t>
            </w:r>
          </w:p>
        </w:tc>
        <w:tc>
          <w:tcPr>
            <w:tcW w:w="2756" w:type="dxa"/>
            <w:gridSpan w:val="2"/>
            <w:tcBorders>
              <w:top w:val="single" w:sz="4" w:space="0" w:color="auto"/>
              <w:bottom w:val="single" w:sz="4" w:space="0" w:color="auto"/>
            </w:tcBorders>
          </w:tcPr>
          <w:p w:rsidR="00F47828" w:rsidRPr="00531CEF" w:rsidRDefault="00F47828" w:rsidP="00026C7A">
            <w:pPr>
              <w:pStyle w:val="Heading2"/>
              <w:keepNext w:val="0"/>
              <w:rPr>
                <w:rFonts w:asciiTheme="minorHAnsi" w:hAnsiTheme="minorHAnsi"/>
              </w:rPr>
            </w:pPr>
            <w:r w:rsidRPr="00531CEF">
              <w:rPr>
                <w:rFonts w:asciiTheme="minorHAnsi" w:hAnsiTheme="minorHAnsi"/>
              </w:rPr>
              <w:t>Government Payment for Outputs</w:t>
            </w:r>
          </w:p>
        </w:tc>
      </w:tr>
      <w:tr w:rsidR="00F47828" w:rsidTr="00026C7A">
        <w:tc>
          <w:tcPr>
            <w:tcW w:w="3588" w:type="dxa"/>
            <w:tcBorders>
              <w:bottom w:val="single" w:sz="4" w:space="0" w:color="auto"/>
            </w:tcBorders>
          </w:tcPr>
          <w:p w:rsidR="00F47828" w:rsidRDefault="00F47828" w:rsidP="00026C7A">
            <w:pPr>
              <w:rPr>
                <w:rFonts w:ascii="Arial" w:hAnsi="Arial" w:cs="Arial"/>
                <w:b/>
                <w:bCs/>
                <w:color w:val="000000"/>
                <w:sz w:val="20"/>
              </w:rPr>
            </w:pPr>
          </w:p>
        </w:tc>
        <w:tc>
          <w:tcPr>
            <w:tcW w:w="1378" w:type="dxa"/>
            <w:tcBorders>
              <w:top w:val="single" w:sz="4" w:space="0" w:color="auto"/>
              <w:bottom w:val="single" w:sz="4" w:space="0" w:color="auto"/>
            </w:tcBorders>
          </w:tcPr>
          <w:p w:rsidR="00F47828" w:rsidRDefault="00F47828" w:rsidP="00026C7A">
            <w:pPr>
              <w:pStyle w:val="Heading6"/>
              <w:keepNext w:val="0"/>
            </w:pPr>
            <w:r>
              <w:t>2012-13</w:t>
            </w:r>
            <w:r>
              <w:br/>
              <w:t>Est. Outcome</w:t>
            </w:r>
            <w:r>
              <w:br/>
              <w:t xml:space="preserve">$’000 </w:t>
            </w: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2013-14</w:t>
            </w:r>
            <w:r w:rsidRPr="00531CEF">
              <w:rPr>
                <w:rFonts w:asciiTheme="minorHAnsi" w:hAnsiTheme="minorHAnsi"/>
              </w:rPr>
              <w:br/>
              <w:t>Budget</w:t>
            </w:r>
            <w:r w:rsidRPr="00531CEF">
              <w:rPr>
                <w:rFonts w:asciiTheme="minorHAnsi" w:hAnsiTheme="minorHAnsi"/>
              </w:rPr>
              <w:br/>
              <w:t>$’000</w:t>
            </w: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2012-13</w:t>
            </w:r>
            <w:r w:rsidRPr="00531CEF">
              <w:rPr>
                <w:rFonts w:asciiTheme="minorHAnsi" w:hAnsiTheme="minorHAnsi"/>
              </w:rPr>
              <w:br/>
              <w:t>Est. Outcome</w:t>
            </w:r>
            <w:r w:rsidRPr="00531CEF">
              <w:rPr>
                <w:rFonts w:asciiTheme="minorHAnsi" w:hAnsiTheme="minorHAnsi"/>
              </w:rPr>
              <w:br/>
              <w:t>$’000</w:t>
            </w:r>
          </w:p>
        </w:tc>
        <w:tc>
          <w:tcPr>
            <w:tcW w:w="1378" w:type="dxa"/>
            <w:tcBorders>
              <w:top w:val="single" w:sz="4" w:space="0" w:color="auto"/>
              <w:bottom w:val="single" w:sz="4" w:space="0" w:color="auto"/>
            </w:tcBorders>
          </w:tcPr>
          <w:p w:rsidR="00F47828" w:rsidRPr="00531CEF" w:rsidRDefault="00F47828" w:rsidP="00026C7A">
            <w:pPr>
              <w:pStyle w:val="Heading6"/>
              <w:keepNext w:val="0"/>
              <w:rPr>
                <w:rFonts w:asciiTheme="minorHAnsi" w:hAnsiTheme="minorHAnsi"/>
              </w:rPr>
            </w:pPr>
            <w:r w:rsidRPr="00531CEF">
              <w:rPr>
                <w:rFonts w:asciiTheme="minorHAnsi" w:hAnsiTheme="minorHAnsi"/>
              </w:rPr>
              <w:t>2013-14</w:t>
            </w:r>
            <w:r w:rsidRPr="00531CEF">
              <w:rPr>
                <w:rFonts w:asciiTheme="minorHAnsi" w:hAnsiTheme="minorHAnsi"/>
              </w:rPr>
              <w:br/>
              <w:t>Budget</w:t>
            </w:r>
            <w:r w:rsidRPr="00531CEF">
              <w:rPr>
                <w:rFonts w:asciiTheme="minorHAnsi" w:hAnsiTheme="minorHAnsi"/>
              </w:rPr>
              <w:br/>
              <w:t>$’000</w:t>
            </w:r>
          </w:p>
        </w:tc>
      </w:tr>
      <w:tr w:rsidR="00F47828" w:rsidTr="00026C7A">
        <w:tc>
          <w:tcPr>
            <w:tcW w:w="3588" w:type="dxa"/>
            <w:tcBorders>
              <w:top w:val="single" w:sz="4" w:space="0" w:color="auto"/>
              <w:bottom w:val="single" w:sz="4" w:space="0" w:color="auto"/>
            </w:tcBorders>
          </w:tcPr>
          <w:p w:rsidR="00F47828" w:rsidRDefault="00F47828" w:rsidP="00026C7A">
            <w:pPr>
              <w:pStyle w:val="Heading7"/>
              <w:keepNext w:val="0"/>
              <w:rPr>
                <w:color w:val="000000"/>
              </w:rPr>
            </w:pPr>
            <w:r>
              <w:rPr>
                <w:color w:val="000000"/>
              </w:rPr>
              <w:t xml:space="preserve">Output Class 3:  </w:t>
            </w:r>
          </w:p>
          <w:p w:rsidR="00F47828" w:rsidRDefault="00F47828" w:rsidP="00026C7A">
            <w:pPr>
              <w:pStyle w:val="Heading7"/>
              <w:keepNext w:val="0"/>
              <w:rPr>
                <w:color w:val="000000"/>
              </w:rPr>
            </w:pPr>
            <w:r>
              <w:rPr>
                <w:color w:val="000000"/>
              </w:rPr>
              <w:t xml:space="preserve">Shared Services Procurement </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22,335</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2,285</w:t>
            </w:r>
          </w:p>
        </w:tc>
      </w:tr>
      <w:tr w:rsidR="00F47828" w:rsidTr="00026C7A">
        <w:tc>
          <w:tcPr>
            <w:tcW w:w="3588" w:type="dxa"/>
            <w:tcBorders>
              <w:top w:val="single" w:sz="4" w:space="0" w:color="auto"/>
              <w:bottom w:val="single" w:sz="4" w:space="0" w:color="auto"/>
            </w:tcBorders>
          </w:tcPr>
          <w:p w:rsidR="00F47828" w:rsidRDefault="00F47828" w:rsidP="007D64ED">
            <w:pPr>
              <w:pStyle w:val="Heading7"/>
              <w:keepNext w:val="0"/>
              <w:ind w:left="0" w:firstLine="0"/>
              <w:rPr>
                <w:color w:val="000000"/>
              </w:rPr>
            </w:pPr>
            <w:r>
              <w:rPr>
                <w:color w:val="000000"/>
              </w:rPr>
              <w:t>Output 3.1:  Shared Services Procurement</w:t>
            </w:r>
            <w:r w:rsidRPr="00487F6B">
              <w:rPr>
                <w:color w:val="000000"/>
                <w:vertAlign w:val="superscript"/>
              </w:rPr>
              <w:t>2</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22,335</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n/a</w:t>
            </w:r>
          </w:p>
        </w:tc>
        <w:tc>
          <w:tcPr>
            <w:tcW w:w="1378" w:type="dxa"/>
            <w:tcBorders>
              <w:top w:val="single" w:sz="4" w:space="0" w:color="auto"/>
              <w:bottom w:val="single" w:sz="4" w:space="0" w:color="auto"/>
            </w:tcBorders>
            <w:vAlign w:val="bottom"/>
          </w:tcPr>
          <w:p w:rsidR="00F47828" w:rsidRPr="00531CEF" w:rsidRDefault="00F47828" w:rsidP="00026C7A">
            <w:pPr>
              <w:pStyle w:val="AITableText"/>
              <w:rPr>
                <w:rFonts w:asciiTheme="minorHAnsi" w:hAnsiTheme="minorHAnsi"/>
              </w:rPr>
            </w:pPr>
            <w:r w:rsidRPr="00531CEF">
              <w:rPr>
                <w:rFonts w:asciiTheme="minorHAnsi" w:hAnsiTheme="minorHAnsi"/>
              </w:rPr>
              <w:t>2,285</w:t>
            </w:r>
          </w:p>
        </w:tc>
      </w:tr>
    </w:tbl>
    <w:p w:rsidR="00F47828" w:rsidRDefault="00F47828" w:rsidP="00026C7A">
      <w:pPr>
        <w:pStyle w:val="NoteHeading0"/>
        <w:rPr>
          <w:vertAlign w:val="superscript"/>
        </w:rPr>
      </w:pPr>
      <w:r>
        <w:t>Note</w:t>
      </w:r>
      <w:r w:rsidR="00BA17D9">
        <w:t>s</w:t>
      </w:r>
      <w:r>
        <w:t>:</w:t>
      </w:r>
    </w:p>
    <w:p w:rsidR="00F47828" w:rsidRDefault="00F47828" w:rsidP="00026C7A">
      <w:pPr>
        <w:pStyle w:val="AINotes"/>
        <w:numPr>
          <w:ilvl w:val="0"/>
          <w:numId w:val="26"/>
        </w:numPr>
      </w:pPr>
      <w:r>
        <w:t>Total cost includes depreciation and amortisation of $0.743 million in 2013-14.</w:t>
      </w:r>
    </w:p>
    <w:p w:rsidR="00F47828" w:rsidRDefault="00F47828" w:rsidP="00026C7A">
      <w:pPr>
        <w:pStyle w:val="AINotes"/>
        <w:numPr>
          <w:ilvl w:val="0"/>
          <w:numId w:val="26"/>
        </w:numPr>
      </w:pPr>
      <w:r>
        <w:rPr>
          <w:rStyle w:val="NoteTextChar"/>
        </w:rPr>
        <w:t xml:space="preserve">This includes Output 2.1 </w:t>
      </w:r>
      <w:r w:rsidRPr="008F028D">
        <w:rPr>
          <w:color w:val="000000"/>
        </w:rPr>
        <w:t xml:space="preserve">Shared Services </w:t>
      </w:r>
      <w:r>
        <w:rPr>
          <w:color w:val="000000"/>
        </w:rPr>
        <w:t xml:space="preserve">Procurement </w:t>
      </w:r>
      <w:r>
        <w:rPr>
          <w:rStyle w:val="NoteTextChar"/>
        </w:rPr>
        <w:t>transferred from the Shared Services Centre</w:t>
      </w:r>
      <w:r>
        <w:t>.</w:t>
      </w:r>
    </w:p>
    <w:p w:rsidR="00531CEF" w:rsidRDefault="00531CEF">
      <w:pPr>
        <w:rPr>
          <w:i/>
        </w:rPr>
      </w:pPr>
      <w:r>
        <w:br w:type="page"/>
      </w:r>
    </w:p>
    <w:p w:rsidR="00531CEF" w:rsidRDefault="00531CEF" w:rsidP="00531CEF">
      <w:pPr>
        <w:pStyle w:val="Heading3TopofPage"/>
        <w:keepNext w:val="0"/>
        <w:spacing w:before="240"/>
      </w:pPr>
      <w:proofErr w:type="gramStart"/>
      <w:r>
        <w:lastRenderedPageBreak/>
        <w:t>Output Classes cont.</w:t>
      </w:r>
      <w:proofErr w:type="gramEnd"/>
    </w:p>
    <w:p w:rsidR="00F47828" w:rsidRDefault="00F47828" w:rsidP="00026C7A">
      <w:pPr>
        <w:pStyle w:val="Heading4"/>
        <w:keepNext w:val="0"/>
        <w:keepLines w:val="0"/>
      </w:pPr>
      <w:r>
        <w:t>Output Description</w:t>
      </w:r>
    </w:p>
    <w:p w:rsidR="00F47828" w:rsidRPr="00FA01D3" w:rsidRDefault="00F47828" w:rsidP="00026C7A">
      <w:pPr>
        <w:pStyle w:val="BodyText"/>
        <w:keepNext w:val="0"/>
        <w:keepLines w:val="0"/>
      </w:pPr>
      <w:r w:rsidRPr="008F028D">
        <w:t xml:space="preserve">Shared Services Procurement undertakes procurement activities on behalf of government directorates and agencies for infrastructure, capital works, </w:t>
      </w:r>
      <w:r w:rsidR="00F41142">
        <w:t xml:space="preserve">and </w:t>
      </w:r>
      <w:r w:rsidRPr="008F028D">
        <w:t xml:space="preserve">goods and services.  It advises the Government on procurement and related construction industry policy, is responsible for the development and implementation of the Government's procurement policy, administers a range of pre-qualification schemes, and establishes and manages </w:t>
      </w:r>
      <w:r w:rsidR="006D60D2">
        <w:t>w</w:t>
      </w:r>
      <w:r w:rsidRPr="008F028D">
        <w:t xml:space="preserve">hole of </w:t>
      </w:r>
      <w:r w:rsidR="006D60D2">
        <w:t>g</w:t>
      </w:r>
      <w:r w:rsidRPr="008F028D">
        <w:t>overnment contracts</w:t>
      </w:r>
      <w:r w:rsidRPr="00FA01D3">
        <w:t>.</w:t>
      </w:r>
    </w:p>
    <w:p w:rsidR="00F47828" w:rsidRPr="00FA01D3" w:rsidRDefault="00F47828" w:rsidP="00026C7A">
      <w:pPr>
        <w:pStyle w:val="BodyText"/>
        <w:keepNext w:val="0"/>
        <w:keepLines w:val="0"/>
      </w:pPr>
      <w:r>
        <w:t>The key outputs to be delivered in 2013-14 include</w:t>
      </w:r>
      <w:r w:rsidRPr="00FA01D3">
        <w:t>:</w:t>
      </w:r>
    </w:p>
    <w:p w:rsidR="00F47828" w:rsidRPr="00FA01D3" w:rsidRDefault="00F47828" w:rsidP="00026C7A">
      <w:pPr>
        <w:pStyle w:val="BodyTextIndent"/>
        <w:keepNext w:val="0"/>
        <w:keepLines w:val="0"/>
        <w:numPr>
          <w:ilvl w:val="0"/>
          <w:numId w:val="11"/>
        </w:numPr>
      </w:pPr>
      <w:r w:rsidRPr="00FA01D3">
        <w:t>procurement and associated risk management services to agencies, including delivering capital works projects on behalf of agencies;</w:t>
      </w:r>
    </w:p>
    <w:p w:rsidR="00F47828" w:rsidRPr="00FA01D3" w:rsidRDefault="00F47828" w:rsidP="00026C7A">
      <w:pPr>
        <w:pStyle w:val="BodyTextIndent"/>
        <w:keepNext w:val="0"/>
        <w:keepLines w:val="0"/>
        <w:numPr>
          <w:ilvl w:val="0"/>
          <w:numId w:val="11"/>
        </w:numPr>
      </w:pPr>
      <w:r w:rsidRPr="00FA01D3">
        <w:t>the buyers and sellers information service;</w:t>
      </w:r>
    </w:p>
    <w:p w:rsidR="00F47828" w:rsidRPr="00FA01D3" w:rsidRDefault="00F47828" w:rsidP="00026C7A">
      <w:pPr>
        <w:pStyle w:val="BodyTextIndent"/>
        <w:keepNext w:val="0"/>
        <w:keepLines w:val="0"/>
        <w:numPr>
          <w:ilvl w:val="0"/>
          <w:numId w:val="11"/>
        </w:numPr>
      </w:pPr>
      <w:r w:rsidRPr="00FA01D3">
        <w:t>the Government contracts register;</w:t>
      </w:r>
    </w:p>
    <w:p w:rsidR="00F47828" w:rsidRPr="00FA01D3" w:rsidRDefault="00F47828" w:rsidP="00026C7A">
      <w:pPr>
        <w:pStyle w:val="BodyTextIndent"/>
        <w:keepNext w:val="0"/>
        <w:keepLines w:val="0"/>
        <w:numPr>
          <w:ilvl w:val="0"/>
          <w:numId w:val="11"/>
        </w:numPr>
      </w:pPr>
      <w:r w:rsidRPr="00FA01D3">
        <w:t>supplier pre-qualification arrangements; and</w:t>
      </w:r>
    </w:p>
    <w:p w:rsidR="00E628F1" w:rsidRDefault="00F47828" w:rsidP="00026C7A">
      <w:pPr>
        <w:pStyle w:val="BodyTextIndent"/>
        <w:keepNext w:val="0"/>
        <w:keepLines w:val="0"/>
        <w:numPr>
          <w:ilvl w:val="0"/>
          <w:numId w:val="11"/>
        </w:numPr>
        <w:ind w:left="357" w:hanging="357"/>
      </w:pPr>
      <w:proofErr w:type="gramStart"/>
      <w:r w:rsidRPr="00FA01D3">
        <w:t>secretariat</w:t>
      </w:r>
      <w:proofErr w:type="gramEnd"/>
      <w:r w:rsidRPr="00FA01D3">
        <w:t xml:space="preserve"> support to the Government Procurement Board</w:t>
      </w:r>
      <w:r>
        <w:t>.</w:t>
      </w:r>
    </w:p>
    <w:tbl>
      <w:tblPr>
        <w:tblW w:w="9100" w:type="dxa"/>
        <w:tblLook w:val="0000"/>
      </w:tblPr>
      <w:tblGrid>
        <w:gridCol w:w="3588"/>
        <w:gridCol w:w="1378"/>
        <w:gridCol w:w="1378"/>
        <w:gridCol w:w="1378"/>
        <w:gridCol w:w="1378"/>
      </w:tblGrid>
      <w:tr w:rsidR="00F47828" w:rsidTr="0006306F">
        <w:tc>
          <w:tcPr>
            <w:tcW w:w="3588" w:type="dxa"/>
            <w:tcBorders>
              <w:top w:val="single" w:sz="4" w:space="0" w:color="auto"/>
            </w:tcBorders>
          </w:tcPr>
          <w:p w:rsidR="00F47828" w:rsidRDefault="00F47828" w:rsidP="00026C7A">
            <w:pPr>
              <w:rPr>
                <w:rFonts w:ascii="Arial" w:hAnsi="Arial" w:cs="Arial"/>
                <w:b/>
                <w:bCs/>
                <w:color w:val="000000"/>
                <w:sz w:val="20"/>
              </w:rPr>
            </w:pPr>
          </w:p>
        </w:tc>
        <w:tc>
          <w:tcPr>
            <w:tcW w:w="2756" w:type="dxa"/>
            <w:gridSpan w:val="2"/>
            <w:tcBorders>
              <w:top w:val="single" w:sz="4" w:space="0" w:color="auto"/>
              <w:bottom w:val="single" w:sz="4" w:space="0" w:color="auto"/>
            </w:tcBorders>
          </w:tcPr>
          <w:p w:rsidR="00F47828" w:rsidRPr="007D64ED" w:rsidRDefault="00F47828" w:rsidP="00026C7A">
            <w:pPr>
              <w:pStyle w:val="Heading2"/>
              <w:keepNext w:val="0"/>
              <w:rPr>
                <w:rFonts w:asciiTheme="minorHAnsi" w:hAnsiTheme="minorHAnsi"/>
              </w:rPr>
            </w:pPr>
            <w:r w:rsidRPr="007D64ED">
              <w:rPr>
                <w:rFonts w:asciiTheme="minorHAnsi" w:hAnsiTheme="minorHAnsi"/>
              </w:rPr>
              <w:t>Total Cost</w:t>
            </w:r>
            <w:r w:rsidRPr="007D64ED">
              <w:rPr>
                <w:rFonts w:asciiTheme="minorHAnsi" w:hAnsiTheme="minorHAnsi"/>
                <w:vertAlign w:val="superscript"/>
              </w:rPr>
              <w:t>1</w:t>
            </w:r>
          </w:p>
        </w:tc>
        <w:tc>
          <w:tcPr>
            <w:tcW w:w="2756" w:type="dxa"/>
            <w:gridSpan w:val="2"/>
            <w:tcBorders>
              <w:top w:val="single" w:sz="4" w:space="0" w:color="auto"/>
              <w:bottom w:val="single" w:sz="4" w:space="0" w:color="auto"/>
            </w:tcBorders>
          </w:tcPr>
          <w:p w:rsidR="00F47828" w:rsidRPr="007D64ED" w:rsidRDefault="00F47828" w:rsidP="006258F6">
            <w:pPr>
              <w:pStyle w:val="Heading2"/>
              <w:keepNext w:val="0"/>
              <w:rPr>
                <w:rFonts w:asciiTheme="minorHAnsi" w:hAnsiTheme="minorHAnsi"/>
              </w:rPr>
            </w:pPr>
            <w:r w:rsidRPr="007D64ED">
              <w:rPr>
                <w:rFonts w:asciiTheme="minorHAnsi" w:hAnsiTheme="minorHAnsi"/>
              </w:rPr>
              <w:t>Government Payment for Outputs</w:t>
            </w:r>
          </w:p>
        </w:tc>
      </w:tr>
      <w:tr w:rsidR="00F47828" w:rsidTr="0006306F">
        <w:tc>
          <w:tcPr>
            <w:tcW w:w="3588" w:type="dxa"/>
            <w:tcBorders>
              <w:bottom w:val="single" w:sz="4" w:space="0" w:color="auto"/>
            </w:tcBorders>
          </w:tcPr>
          <w:p w:rsidR="00F47828" w:rsidRDefault="00F47828" w:rsidP="00026C7A">
            <w:pPr>
              <w:rPr>
                <w:rFonts w:ascii="Arial" w:hAnsi="Arial" w:cs="Arial"/>
                <w:b/>
                <w:bCs/>
                <w:color w:val="000000"/>
                <w:sz w:val="20"/>
              </w:rPr>
            </w:pPr>
          </w:p>
        </w:tc>
        <w:tc>
          <w:tcPr>
            <w:tcW w:w="1378" w:type="dxa"/>
            <w:tcBorders>
              <w:top w:val="single" w:sz="4" w:space="0" w:color="auto"/>
              <w:bottom w:val="single" w:sz="4" w:space="0" w:color="auto"/>
            </w:tcBorders>
          </w:tcPr>
          <w:p w:rsidR="00F47828" w:rsidRDefault="00F47828" w:rsidP="00026C7A">
            <w:pPr>
              <w:pStyle w:val="Heading6"/>
              <w:keepNext w:val="0"/>
            </w:pPr>
            <w:r>
              <w:t>2012-13</w:t>
            </w:r>
            <w:r>
              <w:br/>
              <w:t>Est. Outcome</w:t>
            </w:r>
            <w:r>
              <w:br/>
              <w:t xml:space="preserve">$’000 </w:t>
            </w:r>
          </w:p>
        </w:tc>
        <w:tc>
          <w:tcPr>
            <w:tcW w:w="1378" w:type="dxa"/>
            <w:tcBorders>
              <w:top w:val="single" w:sz="4" w:space="0" w:color="auto"/>
              <w:bottom w:val="single" w:sz="4" w:space="0" w:color="auto"/>
            </w:tcBorders>
          </w:tcPr>
          <w:p w:rsidR="00F47828" w:rsidRPr="007D64ED" w:rsidRDefault="00F47828" w:rsidP="00026C7A">
            <w:pPr>
              <w:pStyle w:val="Heading6"/>
              <w:keepNext w:val="0"/>
              <w:rPr>
                <w:rFonts w:asciiTheme="minorHAnsi" w:hAnsiTheme="minorHAnsi"/>
              </w:rPr>
            </w:pPr>
            <w:r w:rsidRPr="007D64ED">
              <w:rPr>
                <w:rFonts w:asciiTheme="minorHAnsi" w:hAnsiTheme="minorHAnsi"/>
              </w:rPr>
              <w:t>2013-14</w:t>
            </w:r>
            <w:r w:rsidRPr="007D64ED">
              <w:rPr>
                <w:rFonts w:asciiTheme="minorHAnsi" w:hAnsiTheme="minorHAnsi"/>
              </w:rPr>
              <w:br/>
              <w:t>Budget</w:t>
            </w:r>
            <w:r w:rsidRPr="007D64ED">
              <w:rPr>
                <w:rFonts w:asciiTheme="minorHAnsi" w:hAnsiTheme="minorHAnsi"/>
              </w:rPr>
              <w:br/>
              <w:t>$’000</w:t>
            </w:r>
          </w:p>
        </w:tc>
        <w:tc>
          <w:tcPr>
            <w:tcW w:w="1378" w:type="dxa"/>
            <w:tcBorders>
              <w:top w:val="single" w:sz="4" w:space="0" w:color="auto"/>
              <w:bottom w:val="single" w:sz="4" w:space="0" w:color="auto"/>
            </w:tcBorders>
          </w:tcPr>
          <w:p w:rsidR="00F47828" w:rsidRPr="007D64ED" w:rsidRDefault="00F47828" w:rsidP="00026C7A">
            <w:pPr>
              <w:pStyle w:val="Heading6"/>
              <w:keepNext w:val="0"/>
              <w:rPr>
                <w:rFonts w:asciiTheme="minorHAnsi" w:hAnsiTheme="minorHAnsi"/>
              </w:rPr>
            </w:pPr>
            <w:r w:rsidRPr="007D64ED">
              <w:rPr>
                <w:rFonts w:asciiTheme="minorHAnsi" w:hAnsiTheme="minorHAnsi"/>
              </w:rPr>
              <w:t>2012-13</w:t>
            </w:r>
            <w:r w:rsidRPr="007D64ED">
              <w:rPr>
                <w:rFonts w:asciiTheme="minorHAnsi" w:hAnsiTheme="minorHAnsi"/>
              </w:rPr>
              <w:br/>
              <w:t>Est. Outcome</w:t>
            </w:r>
            <w:r w:rsidRPr="007D64ED">
              <w:rPr>
                <w:rFonts w:asciiTheme="minorHAnsi" w:hAnsiTheme="minorHAnsi"/>
              </w:rPr>
              <w:br/>
              <w:t>$’000</w:t>
            </w:r>
          </w:p>
        </w:tc>
        <w:tc>
          <w:tcPr>
            <w:tcW w:w="1378" w:type="dxa"/>
            <w:tcBorders>
              <w:top w:val="single" w:sz="4" w:space="0" w:color="auto"/>
              <w:bottom w:val="single" w:sz="4" w:space="0" w:color="auto"/>
            </w:tcBorders>
          </w:tcPr>
          <w:p w:rsidR="00F47828" w:rsidRPr="007D64ED" w:rsidRDefault="00F47828" w:rsidP="00026C7A">
            <w:pPr>
              <w:pStyle w:val="Heading6"/>
              <w:keepNext w:val="0"/>
              <w:rPr>
                <w:rFonts w:asciiTheme="minorHAnsi" w:hAnsiTheme="minorHAnsi"/>
              </w:rPr>
            </w:pPr>
            <w:r w:rsidRPr="007D64ED">
              <w:rPr>
                <w:rFonts w:asciiTheme="minorHAnsi" w:hAnsiTheme="minorHAnsi"/>
              </w:rPr>
              <w:t>2013-14</w:t>
            </w:r>
            <w:r w:rsidRPr="007D64ED">
              <w:rPr>
                <w:rFonts w:asciiTheme="minorHAnsi" w:hAnsiTheme="minorHAnsi"/>
              </w:rPr>
              <w:br/>
              <w:t>Budget</w:t>
            </w:r>
            <w:r w:rsidRPr="007D64ED">
              <w:rPr>
                <w:rFonts w:asciiTheme="minorHAnsi" w:hAnsiTheme="minorHAnsi"/>
              </w:rPr>
              <w:br/>
              <w:t>$’000</w:t>
            </w:r>
          </w:p>
        </w:tc>
      </w:tr>
      <w:tr w:rsidR="00F47828" w:rsidTr="0006306F">
        <w:tc>
          <w:tcPr>
            <w:tcW w:w="3588" w:type="dxa"/>
            <w:tcBorders>
              <w:top w:val="single" w:sz="4" w:space="0" w:color="auto"/>
              <w:bottom w:val="single" w:sz="4" w:space="0" w:color="auto"/>
            </w:tcBorders>
          </w:tcPr>
          <w:p w:rsidR="00F47828" w:rsidRDefault="00F47828" w:rsidP="00026C7A">
            <w:pPr>
              <w:pStyle w:val="Heading7"/>
              <w:keepNext w:val="0"/>
              <w:rPr>
                <w:color w:val="000000"/>
              </w:rPr>
            </w:pPr>
            <w:r>
              <w:rPr>
                <w:color w:val="000000"/>
              </w:rPr>
              <w:t>Output Class 4:</w:t>
            </w:r>
          </w:p>
          <w:p w:rsidR="00F47828" w:rsidRDefault="00F47828" w:rsidP="00026C7A">
            <w:pPr>
              <w:pStyle w:val="Heading7"/>
              <w:keepNext w:val="0"/>
              <w:rPr>
                <w:color w:val="000000"/>
              </w:rPr>
            </w:pPr>
            <w:r>
              <w:rPr>
                <w:color w:val="000000"/>
              </w:rPr>
              <w:t xml:space="preserve">Shared Services Human Resources </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Pr="007D64ED" w:rsidRDefault="00F47828" w:rsidP="00026C7A">
            <w:pPr>
              <w:pStyle w:val="AITableText"/>
              <w:rPr>
                <w:rFonts w:asciiTheme="minorHAnsi" w:hAnsiTheme="minorHAnsi"/>
              </w:rPr>
            </w:pPr>
            <w:r w:rsidRPr="007D64ED">
              <w:rPr>
                <w:rFonts w:asciiTheme="minorHAnsi" w:hAnsiTheme="minorHAnsi"/>
              </w:rPr>
              <w:t>25,612</w:t>
            </w:r>
          </w:p>
        </w:tc>
        <w:tc>
          <w:tcPr>
            <w:tcW w:w="1378" w:type="dxa"/>
            <w:tcBorders>
              <w:top w:val="single" w:sz="4" w:space="0" w:color="auto"/>
              <w:bottom w:val="single" w:sz="4" w:space="0" w:color="auto"/>
            </w:tcBorders>
            <w:vAlign w:val="bottom"/>
          </w:tcPr>
          <w:p w:rsidR="00F47828" w:rsidRPr="007D64ED" w:rsidRDefault="00F47828" w:rsidP="00026C7A">
            <w:pPr>
              <w:pStyle w:val="AITableText"/>
              <w:rPr>
                <w:rFonts w:asciiTheme="minorHAnsi" w:hAnsiTheme="minorHAnsi"/>
              </w:rPr>
            </w:pPr>
            <w:r w:rsidRPr="007D64ED">
              <w:rPr>
                <w:rFonts w:asciiTheme="minorHAnsi" w:hAnsiTheme="minorHAnsi"/>
              </w:rPr>
              <w:t>n/a</w:t>
            </w:r>
          </w:p>
        </w:tc>
        <w:tc>
          <w:tcPr>
            <w:tcW w:w="1378" w:type="dxa"/>
            <w:tcBorders>
              <w:top w:val="single" w:sz="4" w:space="0" w:color="auto"/>
              <w:bottom w:val="single" w:sz="4" w:space="0" w:color="auto"/>
            </w:tcBorders>
            <w:vAlign w:val="bottom"/>
          </w:tcPr>
          <w:p w:rsidR="00F47828" w:rsidRPr="007D64ED" w:rsidRDefault="00F47828" w:rsidP="00026C7A">
            <w:pPr>
              <w:pStyle w:val="AITableText"/>
              <w:rPr>
                <w:rFonts w:asciiTheme="minorHAnsi" w:hAnsiTheme="minorHAnsi"/>
              </w:rPr>
            </w:pPr>
            <w:r w:rsidRPr="007D64ED">
              <w:rPr>
                <w:rFonts w:asciiTheme="minorHAnsi" w:hAnsiTheme="minorHAnsi"/>
              </w:rPr>
              <w:t>2,634</w:t>
            </w:r>
          </w:p>
        </w:tc>
      </w:tr>
      <w:tr w:rsidR="00F47828" w:rsidTr="0006306F">
        <w:tc>
          <w:tcPr>
            <w:tcW w:w="3588" w:type="dxa"/>
            <w:tcBorders>
              <w:top w:val="single" w:sz="4" w:space="0" w:color="auto"/>
              <w:bottom w:val="single" w:sz="4" w:space="0" w:color="auto"/>
            </w:tcBorders>
          </w:tcPr>
          <w:p w:rsidR="00F47828" w:rsidRDefault="00F47828" w:rsidP="007D64ED">
            <w:pPr>
              <w:pStyle w:val="Heading7"/>
              <w:keepNext w:val="0"/>
              <w:ind w:left="0" w:firstLine="0"/>
              <w:rPr>
                <w:color w:val="000000"/>
              </w:rPr>
            </w:pPr>
            <w:r>
              <w:rPr>
                <w:color w:val="000000"/>
              </w:rPr>
              <w:t>Output 4.1:  Shared Services Human Resources</w:t>
            </w:r>
            <w:r w:rsidRPr="00487F6B">
              <w:rPr>
                <w:color w:val="000000"/>
                <w:vertAlign w:val="superscript"/>
              </w:rPr>
              <w:t>2</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Default="00F47828" w:rsidP="00026C7A">
            <w:pPr>
              <w:pStyle w:val="AITableText"/>
            </w:pPr>
            <w:r>
              <w:t>25,612</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Default="00F47828" w:rsidP="00026C7A">
            <w:pPr>
              <w:pStyle w:val="AITableText"/>
            </w:pPr>
            <w:r>
              <w:t>2,634</w:t>
            </w:r>
          </w:p>
        </w:tc>
      </w:tr>
    </w:tbl>
    <w:p w:rsidR="00F47828" w:rsidRDefault="00F47828" w:rsidP="00026C7A">
      <w:pPr>
        <w:pStyle w:val="NoteHeading0"/>
        <w:rPr>
          <w:vertAlign w:val="superscript"/>
        </w:rPr>
      </w:pPr>
      <w:r>
        <w:t>Notes:</w:t>
      </w:r>
    </w:p>
    <w:p w:rsidR="00F47828" w:rsidRDefault="00E73AF2" w:rsidP="00026C7A">
      <w:pPr>
        <w:pStyle w:val="AINotes"/>
        <w:numPr>
          <w:ilvl w:val="0"/>
          <w:numId w:val="27"/>
        </w:numPr>
      </w:pPr>
      <w:r>
        <w:t>Total cost</w:t>
      </w:r>
      <w:r w:rsidR="00F47828">
        <w:t xml:space="preserve"> includes depreciation and amortisation of $0.843 million in 2013-14.</w:t>
      </w:r>
    </w:p>
    <w:p w:rsidR="00F47828" w:rsidRDefault="00F47828" w:rsidP="00026C7A">
      <w:pPr>
        <w:pStyle w:val="AINotes"/>
        <w:numPr>
          <w:ilvl w:val="0"/>
          <w:numId w:val="12"/>
        </w:numPr>
      </w:pPr>
      <w:r>
        <w:rPr>
          <w:rStyle w:val="NoteTextChar"/>
        </w:rPr>
        <w:t xml:space="preserve">This includes Output 3.1 </w:t>
      </w:r>
      <w:r w:rsidRPr="008F028D">
        <w:rPr>
          <w:color w:val="000000"/>
        </w:rPr>
        <w:t xml:space="preserve">Shared Services </w:t>
      </w:r>
      <w:r>
        <w:rPr>
          <w:color w:val="000000"/>
        </w:rPr>
        <w:t xml:space="preserve">Human Resources </w:t>
      </w:r>
      <w:r>
        <w:rPr>
          <w:rStyle w:val="NoteTextChar"/>
        </w:rPr>
        <w:t>transferred from the Shared Services Centre</w:t>
      </w:r>
      <w:r>
        <w:t>.</w:t>
      </w:r>
    </w:p>
    <w:p w:rsidR="00F47828" w:rsidRDefault="00F47828" w:rsidP="00026C7A">
      <w:pPr>
        <w:pStyle w:val="Heading4"/>
        <w:keepNext w:val="0"/>
      </w:pPr>
      <w:r>
        <w:t>Output Description</w:t>
      </w:r>
    </w:p>
    <w:p w:rsidR="00F47828" w:rsidRPr="00FA01D3" w:rsidRDefault="00F47828" w:rsidP="00026C7A">
      <w:pPr>
        <w:pStyle w:val="BodyText"/>
        <w:keepNext w:val="0"/>
        <w:keepLines w:val="0"/>
      </w:pPr>
      <w:r w:rsidRPr="00FA01D3">
        <w:t>Shared Services Human Resources provides tactical and transactional human resource services to directorates and agencies as well as records management services.</w:t>
      </w:r>
    </w:p>
    <w:p w:rsidR="00F47828" w:rsidRPr="00FA01D3" w:rsidRDefault="00F47828" w:rsidP="00026C7A">
      <w:pPr>
        <w:pStyle w:val="BodyText"/>
        <w:keepNext w:val="0"/>
        <w:keepLines w:val="0"/>
      </w:pPr>
      <w:r>
        <w:t>The key outputs to be delivered in 2013-14 include</w:t>
      </w:r>
      <w:r w:rsidRPr="00FA01D3">
        <w:t>:</w:t>
      </w:r>
    </w:p>
    <w:p w:rsidR="00F47828" w:rsidRPr="00FA01D3" w:rsidRDefault="00F47828" w:rsidP="00026C7A">
      <w:pPr>
        <w:pStyle w:val="BodyTextIndent"/>
        <w:keepNext w:val="0"/>
        <w:keepLines w:val="0"/>
        <w:numPr>
          <w:ilvl w:val="0"/>
          <w:numId w:val="11"/>
        </w:numPr>
      </w:pPr>
      <w:r w:rsidRPr="00FA01D3">
        <w:t>payroll and personnel services, including tax payments and salary packaging;</w:t>
      </w:r>
    </w:p>
    <w:p w:rsidR="00F47828" w:rsidRPr="00FA01D3" w:rsidRDefault="00F47828" w:rsidP="00026C7A">
      <w:pPr>
        <w:pStyle w:val="BodyTextIndent"/>
        <w:keepNext w:val="0"/>
        <w:keepLines w:val="0"/>
        <w:numPr>
          <w:ilvl w:val="0"/>
          <w:numId w:val="11"/>
        </w:numPr>
      </w:pPr>
      <w:r w:rsidRPr="00FA01D3">
        <w:t>recruitment services;</w:t>
      </w:r>
    </w:p>
    <w:p w:rsidR="00F47828" w:rsidRPr="00FA01D3" w:rsidRDefault="00F47828" w:rsidP="00026C7A">
      <w:pPr>
        <w:pStyle w:val="BodyTextIndent"/>
        <w:keepNext w:val="0"/>
        <w:keepLines w:val="0"/>
        <w:numPr>
          <w:ilvl w:val="0"/>
          <w:numId w:val="11"/>
        </w:numPr>
      </w:pPr>
      <w:r w:rsidRPr="00FA01D3">
        <w:t>advice and technical support on health and safety management;</w:t>
      </w:r>
    </w:p>
    <w:p w:rsidR="00F47828" w:rsidRPr="00FA01D3" w:rsidRDefault="00F47828" w:rsidP="00026C7A">
      <w:pPr>
        <w:pStyle w:val="BodyTextIndent"/>
        <w:keepNext w:val="0"/>
        <w:keepLines w:val="0"/>
        <w:numPr>
          <w:ilvl w:val="0"/>
          <w:numId w:val="11"/>
        </w:numPr>
      </w:pPr>
      <w:r w:rsidRPr="00FA01D3">
        <w:t>support in the management of employee relations processes;</w:t>
      </w:r>
    </w:p>
    <w:p w:rsidR="00F47828" w:rsidRPr="00FA01D3" w:rsidRDefault="00F47828" w:rsidP="00026C7A">
      <w:pPr>
        <w:pStyle w:val="BodyTextIndent"/>
        <w:keepNext w:val="0"/>
        <w:keepLines w:val="0"/>
        <w:numPr>
          <w:ilvl w:val="0"/>
          <w:numId w:val="11"/>
        </w:numPr>
      </w:pPr>
      <w:r w:rsidRPr="00FA01D3">
        <w:t>injury management services</w:t>
      </w:r>
      <w:r>
        <w:t xml:space="preserve"> for small agencies</w:t>
      </w:r>
      <w:r w:rsidRPr="00FA01D3">
        <w:t>;</w:t>
      </w:r>
    </w:p>
    <w:p w:rsidR="00F47828" w:rsidRPr="00FA01D3" w:rsidRDefault="00F47828" w:rsidP="00026C7A">
      <w:pPr>
        <w:pStyle w:val="BodyTextIndent"/>
        <w:keepNext w:val="0"/>
        <w:keepLines w:val="0"/>
        <w:numPr>
          <w:ilvl w:val="0"/>
          <w:numId w:val="11"/>
        </w:numPr>
      </w:pPr>
      <w:r w:rsidRPr="00FA01D3">
        <w:t>coordination and facilitation of ACT</w:t>
      </w:r>
      <w:r w:rsidR="007D64ED">
        <w:t xml:space="preserve">PS </w:t>
      </w:r>
      <w:r w:rsidR="00F45E78">
        <w:t>wide</w:t>
      </w:r>
      <w:r w:rsidRPr="00FA01D3">
        <w:t xml:space="preserve"> training and development;</w:t>
      </w:r>
    </w:p>
    <w:p w:rsidR="00F47828" w:rsidRPr="00FA01D3" w:rsidRDefault="00F47828" w:rsidP="00026C7A">
      <w:pPr>
        <w:pStyle w:val="BodyTextIndent"/>
        <w:keepNext w:val="0"/>
        <w:keepLines w:val="0"/>
        <w:numPr>
          <w:ilvl w:val="0"/>
          <w:numId w:val="11"/>
        </w:numPr>
      </w:pPr>
      <w:r w:rsidRPr="00FA01D3">
        <w:t xml:space="preserve">statutory and human resources management reporting; </w:t>
      </w:r>
    </w:p>
    <w:p w:rsidR="007D64ED" w:rsidRDefault="00F47828" w:rsidP="00026C7A">
      <w:pPr>
        <w:pStyle w:val="BodyTextIndent"/>
        <w:keepNext w:val="0"/>
        <w:keepLines w:val="0"/>
        <w:numPr>
          <w:ilvl w:val="0"/>
          <w:numId w:val="11"/>
        </w:numPr>
      </w:pPr>
      <w:r w:rsidRPr="00FA01D3">
        <w:t>organisational position and data management;</w:t>
      </w:r>
    </w:p>
    <w:p w:rsidR="007D64ED" w:rsidRDefault="007D64ED" w:rsidP="007D64ED">
      <w:pPr>
        <w:pStyle w:val="Heading3TopofPage"/>
        <w:keepNext w:val="0"/>
        <w:spacing w:before="240"/>
      </w:pPr>
      <w:proofErr w:type="gramStart"/>
      <w:r>
        <w:lastRenderedPageBreak/>
        <w:t>Output Classes cont.</w:t>
      </w:r>
      <w:proofErr w:type="gramEnd"/>
    </w:p>
    <w:p w:rsidR="00F47828" w:rsidRPr="00FA01D3" w:rsidRDefault="00F47828" w:rsidP="00026C7A">
      <w:pPr>
        <w:pStyle w:val="BodyTextIndent"/>
        <w:keepNext w:val="0"/>
        <w:keepLines w:val="0"/>
        <w:numPr>
          <w:ilvl w:val="0"/>
          <w:numId w:val="11"/>
        </w:numPr>
      </w:pPr>
      <w:r w:rsidRPr="00FA01D3">
        <w:t>a full range of record</w:t>
      </w:r>
      <w:r w:rsidR="00F41142">
        <w:t>s</w:t>
      </w:r>
      <w:r w:rsidRPr="00FA01D3">
        <w:t xml:space="preserve"> management, mail room and courier activities to the majority of government directorates; and</w:t>
      </w:r>
    </w:p>
    <w:p w:rsidR="00E628F1" w:rsidRDefault="00F47828" w:rsidP="00026C7A">
      <w:pPr>
        <w:pStyle w:val="BodyTextIndent"/>
        <w:keepNext w:val="0"/>
        <w:numPr>
          <w:ilvl w:val="0"/>
          <w:numId w:val="11"/>
        </w:numPr>
        <w:ind w:left="357" w:hanging="357"/>
      </w:pPr>
      <w:proofErr w:type="gramStart"/>
      <w:r w:rsidRPr="00FA01D3">
        <w:t>the</w:t>
      </w:r>
      <w:proofErr w:type="gramEnd"/>
      <w:r w:rsidRPr="00FA01D3">
        <w:t xml:space="preserve"> broad range of functions listed in the </w:t>
      </w:r>
      <w:r w:rsidRPr="00FA01D3">
        <w:rPr>
          <w:i/>
        </w:rPr>
        <w:t>Territory Records Act 2002</w:t>
      </w:r>
      <w:r w:rsidRPr="00FA01D3">
        <w:t xml:space="preserve"> through the operations of the Territory Records Office</w:t>
      </w:r>
      <w:r>
        <w:t>.</w:t>
      </w:r>
    </w:p>
    <w:tbl>
      <w:tblPr>
        <w:tblW w:w="9100" w:type="dxa"/>
        <w:tblLook w:val="0000"/>
      </w:tblPr>
      <w:tblGrid>
        <w:gridCol w:w="3588"/>
        <w:gridCol w:w="1378"/>
        <w:gridCol w:w="1378"/>
        <w:gridCol w:w="1378"/>
        <w:gridCol w:w="1378"/>
      </w:tblGrid>
      <w:tr w:rsidR="00F47828" w:rsidTr="007D64ED">
        <w:tc>
          <w:tcPr>
            <w:tcW w:w="3588" w:type="dxa"/>
            <w:tcBorders>
              <w:top w:val="single" w:sz="4" w:space="0" w:color="auto"/>
            </w:tcBorders>
          </w:tcPr>
          <w:p w:rsidR="00F47828" w:rsidRDefault="00F47828" w:rsidP="00026C7A">
            <w:pPr>
              <w:rPr>
                <w:rFonts w:ascii="Arial" w:hAnsi="Arial" w:cs="Arial"/>
                <w:b/>
                <w:bCs/>
                <w:color w:val="000000"/>
                <w:sz w:val="20"/>
              </w:rPr>
            </w:pPr>
          </w:p>
        </w:tc>
        <w:tc>
          <w:tcPr>
            <w:tcW w:w="2756" w:type="dxa"/>
            <w:gridSpan w:val="2"/>
            <w:tcBorders>
              <w:top w:val="single" w:sz="4" w:space="0" w:color="auto"/>
              <w:bottom w:val="single" w:sz="4" w:space="0" w:color="auto"/>
            </w:tcBorders>
          </w:tcPr>
          <w:p w:rsidR="00F47828" w:rsidRPr="007D64ED" w:rsidRDefault="00F47828" w:rsidP="00026C7A">
            <w:pPr>
              <w:pStyle w:val="Heading2"/>
              <w:keepNext w:val="0"/>
              <w:rPr>
                <w:rFonts w:asciiTheme="minorHAnsi" w:hAnsiTheme="minorHAnsi"/>
              </w:rPr>
            </w:pPr>
            <w:r w:rsidRPr="007D64ED">
              <w:rPr>
                <w:rFonts w:asciiTheme="minorHAnsi" w:hAnsiTheme="minorHAnsi"/>
              </w:rPr>
              <w:t>Total Cost</w:t>
            </w:r>
            <w:r w:rsidRPr="007D64ED">
              <w:rPr>
                <w:rFonts w:asciiTheme="minorHAnsi" w:hAnsiTheme="minorHAnsi"/>
                <w:vertAlign w:val="superscript"/>
              </w:rPr>
              <w:t>1</w:t>
            </w:r>
          </w:p>
        </w:tc>
        <w:tc>
          <w:tcPr>
            <w:tcW w:w="2756" w:type="dxa"/>
            <w:gridSpan w:val="2"/>
            <w:tcBorders>
              <w:top w:val="single" w:sz="4" w:space="0" w:color="auto"/>
              <w:bottom w:val="single" w:sz="4" w:space="0" w:color="auto"/>
            </w:tcBorders>
          </w:tcPr>
          <w:p w:rsidR="00F47828" w:rsidRPr="007D64ED" w:rsidRDefault="00F47828" w:rsidP="00026C7A">
            <w:pPr>
              <w:pStyle w:val="Heading2"/>
              <w:keepNext w:val="0"/>
              <w:rPr>
                <w:rFonts w:asciiTheme="minorHAnsi" w:hAnsiTheme="minorHAnsi"/>
              </w:rPr>
            </w:pPr>
            <w:r w:rsidRPr="007D64ED">
              <w:rPr>
                <w:rFonts w:asciiTheme="minorHAnsi" w:hAnsiTheme="minorHAnsi"/>
              </w:rPr>
              <w:t>Government Payment for Outputs</w:t>
            </w:r>
          </w:p>
        </w:tc>
      </w:tr>
      <w:tr w:rsidR="00F47828" w:rsidTr="007D64ED">
        <w:tc>
          <w:tcPr>
            <w:tcW w:w="3588" w:type="dxa"/>
            <w:tcBorders>
              <w:bottom w:val="single" w:sz="4" w:space="0" w:color="auto"/>
            </w:tcBorders>
          </w:tcPr>
          <w:p w:rsidR="00F47828" w:rsidRDefault="00F47828" w:rsidP="00026C7A">
            <w:pPr>
              <w:rPr>
                <w:rFonts w:ascii="Arial" w:hAnsi="Arial" w:cs="Arial"/>
                <w:b/>
                <w:bCs/>
                <w:color w:val="000000"/>
                <w:sz w:val="20"/>
              </w:rPr>
            </w:pPr>
          </w:p>
        </w:tc>
        <w:tc>
          <w:tcPr>
            <w:tcW w:w="1378" w:type="dxa"/>
            <w:tcBorders>
              <w:top w:val="single" w:sz="4" w:space="0" w:color="auto"/>
              <w:bottom w:val="single" w:sz="4" w:space="0" w:color="auto"/>
            </w:tcBorders>
          </w:tcPr>
          <w:p w:rsidR="00F47828" w:rsidRDefault="00F47828" w:rsidP="00026C7A">
            <w:pPr>
              <w:pStyle w:val="Heading6"/>
              <w:keepNext w:val="0"/>
            </w:pPr>
            <w:r>
              <w:t>2012-13</w:t>
            </w:r>
            <w:r>
              <w:br/>
              <w:t>Est. Outcome</w:t>
            </w:r>
            <w:r>
              <w:br/>
              <w:t xml:space="preserve">$’000 </w:t>
            </w:r>
          </w:p>
        </w:tc>
        <w:tc>
          <w:tcPr>
            <w:tcW w:w="1378" w:type="dxa"/>
            <w:tcBorders>
              <w:top w:val="single" w:sz="4" w:space="0" w:color="auto"/>
              <w:bottom w:val="single" w:sz="4" w:space="0" w:color="auto"/>
            </w:tcBorders>
          </w:tcPr>
          <w:p w:rsidR="00F47828" w:rsidRPr="007D64ED" w:rsidRDefault="00F47828" w:rsidP="00026C7A">
            <w:pPr>
              <w:pStyle w:val="Heading6"/>
              <w:keepNext w:val="0"/>
              <w:rPr>
                <w:rFonts w:asciiTheme="minorHAnsi" w:hAnsiTheme="minorHAnsi"/>
              </w:rPr>
            </w:pPr>
            <w:r w:rsidRPr="007D64ED">
              <w:rPr>
                <w:rFonts w:asciiTheme="minorHAnsi" w:hAnsiTheme="minorHAnsi"/>
              </w:rPr>
              <w:t>2013-14</w:t>
            </w:r>
            <w:r w:rsidRPr="007D64ED">
              <w:rPr>
                <w:rFonts w:asciiTheme="minorHAnsi" w:hAnsiTheme="minorHAnsi"/>
              </w:rPr>
              <w:br/>
              <w:t>Budget</w:t>
            </w:r>
            <w:r w:rsidRPr="007D64ED">
              <w:rPr>
                <w:rFonts w:asciiTheme="minorHAnsi" w:hAnsiTheme="minorHAnsi"/>
                <w:vertAlign w:val="superscript"/>
              </w:rPr>
              <w:t>2</w:t>
            </w:r>
            <w:r w:rsidRPr="007D64ED">
              <w:rPr>
                <w:rFonts w:asciiTheme="minorHAnsi" w:hAnsiTheme="minorHAnsi"/>
              </w:rPr>
              <w:br/>
              <w:t>$’000</w:t>
            </w:r>
          </w:p>
        </w:tc>
        <w:tc>
          <w:tcPr>
            <w:tcW w:w="1378" w:type="dxa"/>
            <w:tcBorders>
              <w:top w:val="single" w:sz="4" w:space="0" w:color="auto"/>
              <w:bottom w:val="single" w:sz="4" w:space="0" w:color="auto"/>
            </w:tcBorders>
          </w:tcPr>
          <w:p w:rsidR="00F47828" w:rsidRPr="007D64ED" w:rsidRDefault="00F47828" w:rsidP="00026C7A">
            <w:pPr>
              <w:pStyle w:val="Heading6"/>
              <w:keepNext w:val="0"/>
              <w:rPr>
                <w:rFonts w:asciiTheme="minorHAnsi" w:hAnsiTheme="minorHAnsi"/>
              </w:rPr>
            </w:pPr>
            <w:r w:rsidRPr="007D64ED">
              <w:rPr>
                <w:rFonts w:asciiTheme="minorHAnsi" w:hAnsiTheme="minorHAnsi"/>
              </w:rPr>
              <w:t>2012-13</w:t>
            </w:r>
            <w:r w:rsidRPr="007D64ED">
              <w:rPr>
                <w:rFonts w:asciiTheme="minorHAnsi" w:hAnsiTheme="minorHAnsi"/>
              </w:rPr>
              <w:br/>
              <w:t>Est. Outcome</w:t>
            </w:r>
            <w:r w:rsidRPr="007D64ED">
              <w:rPr>
                <w:rFonts w:asciiTheme="minorHAnsi" w:hAnsiTheme="minorHAnsi"/>
              </w:rPr>
              <w:br/>
              <w:t>$’000</w:t>
            </w:r>
          </w:p>
        </w:tc>
        <w:tc>
          <w:tcPr>
            <w:tcW w:w="1378" w:type="dxa"/>
            <w:tcBorders>
              <w:top w:val="single" w:sz="4" w:space="0" w:color="auto"/>
              <w:bottom w:val="single" w:sz="4" w:space="0" w:color="auto"/>
            </w:tcBorders>
          </w:tcPr>
          <w:p w:rsidR="00F47828" w:rsidRPr="007D64ED" w:rsidRDefault="00F47828" w:rsidP="00026C7A">
            <w:pPr>
              <w:pStyle w:val="Heading6"/>
              <w:keepNext w:val="0"/>
              <w:rPr>
                <w:rFonts w:asciiTheme="minorHAnsi" w:hAnsiTheme="minorHAnsi"/>
              </w:rPr>
            </w:pPr>
            <w:r w:rsidRPr="007D64ED">
              <w:rPr>
                <w:rFonts w:asciiTheme="minorHAnsi" w:hAnsiTheme="minorHAnsi"/>
              </w:rPr>
              <w:t>2013-14</w:t>
            </w:r>
            <w:r w:rsidRPr="007D64ED">
              <w:rPr>
                <w:rFonts w:asciiTheme="minorHAnsi" w:hAnsiTheme="minorHAnsi"/>
              </w:rPr>
              <w:br/>
              <w:t>Budget</w:t>
            </w:r>
            <w:r w:rsidRPr="007D64ED">
              <w:rPr>
                <w:rFonts w:asciiTheme="minorHAnsi" w:hAnsiTheme="minorHAnsi"/>
                <w:vertAlign w:val="superscript"/>
              </w:rPr>
              <w:t>2</w:t>
            </w:r>
            <w:r w:rsidRPr="007D64ED">
              <w:rPr>
                <w:rFonts w:asciiTheme="minorHAnsi" w:hAnsiTheme="minorHAnsi"/>
              </w:rPr>
              <w:br/>
              <w:t>$’000</w:t>
            </w:r>
          </w:p>
        </w:tc>
      </w:tr>
      <w:tr w:rsidR="00F47828" w:rsidTr="007D64ED">
        <w:tc>
          <w:tcPr>
            <w:tcW w:w="3588" w:type="dxa"/>
            <w:tcBorders>
              <w:top w:val="single" w:sz="4" w:space="0" w:color="auto"/>
              <w:bottom w:val="single" w:sz="4" w:space="0" w:color="auto"/>
            </w:tcBorders>
          </w:tcPr>
          <w:p w:rsidR="00F47828" w:rsidRDefault="00F47828" w:rsidP="00026C7A">
            <w:pPr>
              <w:pStyle w:val="Heading7"/>
              <w:keepNext w:val="0"/>
              <w:rPr>
                <w:color w:val="000000"/>
              </w:rPr>
            </w:pPr>
            <w:r>
              <w:rPr>
                <w:color w:val="000000"/>
              </w:rPr>
              <w:t xml:space="preserve">Output Class 5: </w:t>
            </w:r>
          </w:p>
          <w:p w:rsidR="00F47828" w:rsidRDefault="00F47828" w:rsidP="00026C7A">
            <w:pPr>
              <w:pStyle w:val="Heading7"/>
              <w:keepNext w:val="0"/>
              <w:rPr>
                <w:color w:val="000000"/>
              </w:rPr>
            </w:pPr>
            <w:r>
              <w:rPr>
                <w:color w:val="000000"/>
              </w:rPr>
              <w:t xml:space="preserve">Shared Services Finance </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Pr="007D64ED" w:rsidRDefault="00F47828" w:rsidP="00026C7A">
            <w:pPr>
              <w:pStyle w:val="AITableText"/>
              <w:rPr>
                <w:rFonts w:asciiTheme="minorHAnsi" w:hAnsiTheme="minorHAnsi"/>
              </w:rPr>
            </w:pPr>
            <w:r w:rsidRPr="007D64ED">
              <w:rPr>
                <w:rFonts w:asciiTheme="minorHAnsi" w:hAnsiTheme="minorHAnsi"/>
              </w:rPr>
              <w:t>15,658</w:t>
            </w:r>
          </w:p>
        </w:tc>
        <w:tc>
          <w:tcPr>
            <w:tcW w:w="1378" w:type="dxa"/>
            <w:tcBorders>
              <w:top w:val="single" w:sz="4" w:space="0" w:color="auto"/>
              <w:bottom w:val="single" w:sz="4" w:space="0" w:color="auto"/>
            </w:tcBorders>
            <w:vAlign w:val="bottom"/>
          </w:tcPr>
          <w:p w:rsidR="00F47828" w:rsidRPr="007D64ED" w:rsidRDefault="00F47828" w:rsidP="00026C7A">
            <w:pPr>
              <w:pStyle w:val="AITableText"/>
              <w:rPr>
                <w:rFonts w:asciiTheme="minorHAnsi" w:hAnsiTheme="minorHAnsi"/>
              </w:rPr>
            </w:pPr>
            <w:r w:rsidRPr="007D64ED">
              <w:rPr>
                <w:rFonts w:asciiTheme="minorHAnsi" w:hAnsiTheme="minorHAnsi"/>
              </w:rPr>
              <w:t>n/a</w:t>
            </w:r>
          </w:p>
        </w:tc>
        <w:tc>
          <w:tcPr>
            <w:tcW w:w="1378" w:type="dxa"/>
            <w:tcBorders>
              <w:top w:val="single" w:sz="4" w:space="0" w:color="auto"/>
              <w:bottom w:val="single" w:sz="4" w:space="0" w:color="auto"/>
            </w:tcBorders>
            <w:vAlign w:val="bottom"/>
          </w:tcPr>
          <w:p w:rsidR="00F47828" w:rsidRPr="007D64ED" w:rsidRDefault="00F47828" w:rsidP="00026C7A">
            <w:pPr>
              <w:pStyle w:val="AITableText"/>
              <w:rPr>
                <w:rFonts w:asciiTheme="minorHAnsi" w:hAnsiTheme="minorHAnsi"/>
              </w:rPr>
            </w:pPr>
            <w:r w:rsidRPr="007D64ED">
              <w:rPr>
                <w:rFonts w:asciiTheme="minorHAnsi" w:hAnsiTheme="minorHAnsi"/>
              </w:rPr>
              <w:t>1,056</w:t>
            </w:r>
          </w:p>
        </w:tc>
      </w:tr>
      <w:tr w:rsidR="00F47828" w:rsidTr="007D64ED">
        <w:tc>
          <w:tcPr>
            <w:tcW w:w="3588" w:type="dxa"/>
            <w:tcBorders>
              <w:top w:val="single" w:sz="4" w:space="0" w:color="auto"/>
              <w:bottom w:val="single" w:sz="4" w:space="0" w:color="auto"/>
            </w:tcBorders>
          </w:tcPr>
          <w:p w:rsidR="00F47828" w:rsidRDefault="00F47828" w:rsidP="00026C7A">
            <w:pPr>
              <w:pStyle w:val="Heading7"/>
              <w:keepNext w:val="0"/>
              <w:rPr>
                <w:color w:val="000000"/>
              </w:rPr>
            </w:pPr>
            <w:r>
              <w:rPr>
                <w:color w:val="000000"/>
              </w:rPr>
              <w:t>Output 5.1:  Shared Service</w:t>
            </w:r>
            <w:r w:rsidR="007D64ED">
              <w:rPr>
                <w:color w:val="000000"/>
              </w:rPr>
              <w:t>s</w:t>
            </w:r>
            <w:r>
              <w:rPr>
                <w:color w:val="000000"/>
              </w:rPr>
              <w:t xml:space="preserve"> Finance</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Default="00F47828" w:rsidP="00026C7A">
            <w:pPr>
              <w:pStyle w:val="AITableText"/>
            </w:pPr>
            <w:r>
              <w:t>15,658</w:t>
            </w:r>
          </w:p>
        </w:tc>
        <w:tc>
          <w:tcPr>
            <w:tcW w:w="1378" w:type="dxa"/>
            <w:tcBorders>
              <w:top w:val="single" w:sz="4" w:space="0" w:color="auto"/>
              <w:bottom w:val="single" w:sz="4" w:space="0" w:color="auto"/>
            </w:tcBorders>
            <w:vAlign w:val="bottom"/>
          </w:tcPr>
          <w:p w:rsidR="00F47828" w:rsidRDefault="00F47828" w:rsidP="00026C7A">
            <w:pPr>
              <w:pStyle w:val="AITableText"/>
            </w:pPr>
            <w:r>
              <w:t>n/a</w:t>
            </w:r>
          </w:p>
        </w:tc>
        <w:tc>
          <w:tcPr>
            <w:tcW w:w="1378" w:type="dxa"/>
            <w:tcBorders>
              <w:top w:val="single" w:sz="4" w:space="0" w:color="auto"/>
              <w:bottom w:val="single" w:sz="4" w:space="0" w:color="auto"/>
            </w:tcBorders>
            <w:vAlign w:val="bottom"/>
          </w:tcPr>
          <w:p w:rsidR="00F47828" w:rsidRDefault="00F47828" w:rsidP="00026C7A">
            <w:pPr>
              <w:pStyle w:val="AITableText"/>
            </w:pPr>
            <w:r>
              <w:t>1,056</w:t>
            </w:r>
          </w:p>
        </w:tc>
      </w:tr>
    </w:tbl>
    <w:p w:rsidR="00F47828" w:rsidRDefault="00F47828" w:rsidP="00026C7A">
      <w:pPr>
        <w:pStyle w:val="NoteHeading0"/>
        <w:rPr>
          <w:vertAlign w:val="superscript"/>
        </w:rPr>
      </w:pPr>
      <w:r>
        <w:t>Notes:</w:t>
      </w:r>
    </w:p>
    <w:p w:rsidR="00F47828" w:rsidRDefault="00E73AF2" w:rsidP="00026C7A">
      <w:pPr>
        <w:pStyle w:val="AINotes"/>
        <w:numPr>
          <w:ilvl w:val="0"/>
          <w:numId w:val="28"/>
        </w:numPr>
      </w:pPr>
      <w:r>
        <w:t>Total cost</w:t>
      </w:r>
      <w:r w:rsidR="00F47828">
        <w:t xml:space="preserve"> includes depreciation and amortisation of $0.326 million in 2013-14.</w:t>
      </w:r>
    </w:p>
    <w:p w:rsidR="00F47828" w:rsidRDefault="00F47828" w:rsidP="00026C7A">
      <w:pPr>
        <w:pStyle w:val="AINotes"/>
        <w:numPr>
          <w:ilvl w:val="0"/>
          <w:numId w:val="12"/>
        </w:numPr>
      </w:pPr>
      <w:r>
        <w:rPr>
          <w:rStyle w:val="NoteTextChar"/>
        </w:rPr>
        <w:t xml:space="preserve">This includes Output 4.1 </w:t>
      </w:r>
      <w:r w:rsidRPr="008F028D">
        <w:rPr>
          <w:color w:val="000000"/>
        </w:rPr>
        <w:t xml:space="preserve">Shared Services </w:t>
      </w:r>
      <w:r>
        <w:rPr>
          <w:color w:val="000000"/>
        </w:rPr>
        <w:t xml:space="preserve">Finance </w:t>
      </w:r>
      <w:r>
        <w:rPr>
          <w:rStyle w:val="NoteTextChar"/>
        </w:rPr>
        <w:t>transferred from the Shared Services Centre</w:t>
      </w:r>
      <w:r>
        <w:t>.</w:t>
      </w:r>
    </w:p>
    <w:p w:rsidR="00F47828" w:rsidRDefault="00F47828" w:rsidP="00026C7A">
      <w:pPr>
        <w:pStyle w:val="Heading4"/>
        <w:keepNext w:val="0"/>
      </w:pPr>
      <w:r>
        <w:t>Output Description</w:t>
      </w:r>
    </w:p>
    <w:p w:rsidR="00F47828" w:rsidRPr="00FA01D3" w:rsidRDefault="00F47828" w:rsidP="00026C7A">
      <w:pPr>
        <w:pStyle w:val="BodyText"/>
        <w:keepNext w:val="0"/>
        <w:keepLines w:val="0"/>
      </w:pPr>
      <w:r w:rsidRPr="00FA01D3">
        <w:t>Shared Services Finance provides tactical and transactional finance services to directorates and agencies as well as publishing services.</w:t>
      </w:r>
    </w:p>
    <w:p w:rsidR="00F47828" w:rsidRPr="00FA01D3" w:rsidRDefault="00F47828" w:rsidP="00026C7A">
      <w:pPr>
        <w:pStyle w:val="BodyText"/>
        <w:keepNext w:val="0"/>
        <w:keepLines w:val="0"/>
      </w:pPr>
      <w:r>
        <w:t>The key outputs to be delivered in 2013-14 include</w:t>
      </w:r>
      <w:r w:rsidRPr="00FA01D3">
        <w:t>:</w:t>
      </w:r>
    </w:p>
    <w:p w:rsidR="00F47828" w:rsidRPr="00FA01D3" w:rsidRDefault="00F47828" w:rsidP="00026C7A">
      <w:pPr>
        <w:pStyle w:val="BodyTextIndent"/>
        <w:keepNext w:val="0"/>
        <w:keepLines w:val="0"/>
        <w:numPr>
          <w:ilvl w:val="0"/>
          <w:numId w:val="11"/>
        </w:numPr>
      </w:pPr>
      <w:r w:rsidRPr="00FA01D3">
        <w:t>accounts payable and some accounts receivable functions;</w:t>
      </w:r>
    </w:p>
    <w:p w:rsidR="00F47828" w:rsidRPr="00FA01D3" w:rsidRDefault="00F47828" w:rsidP="00026C7A">
      <w:pPr>
        <w:pStyle w:val="BodyTextIndent"/>
        <w:keepNext w:val="0"/>
        <w:keepLines w:val="0"/>
        <w:numPr>
          <w:ilvl w:val="0"/>
          <w:numId w:val="11"/>
        </w:numPr>
      </w:pPr>
      <w:r w:rsidRPr="00FA01D3">
        <w:t>general ledgers;</w:t>
      </w:r>
    </w:p>
    <w:p w:rsidR="00F47828" w:rsidRPr="00FA01D3" w:rsidRDefault="00F47828" w:rsidP="00026C7A">
      <w:pPr>
        <w:pStyle w:val="BodyTextIndent"/>
        <w:keepNext w:val="0"/>
        <w:keepLines w:val="0"/>
        <w:numPr>
          <w:ilvl w:val="0"/>
          <w:numId w:val="11"/>
        </w:numPr>
      </w:pPr>
      <w:r w:rsidRPr="00FA01D3">
        <w:t>a fixed assets register;</w:t>
      </w:r>
    </w:p>
    <w:p w:rsidR="00F47828" w:rsidRPr="00FA01D3" w:rsidRDefault="00F47828" w:rsidP="00026C7A">
      <w:pPr>
        <w:pStyle w:val="BodyTextIndent"/>
        <w:keepNext w:val="0"/>
        <w:keepLines w:val="0"/>
        <w:numPr>
          <w:ilvl w:val="0"/>
          <w:numId w:val="11"/>
        </w:numPr>
      </w:pPr>
      <w:r w:rsidRPr="00FA01D3">
        <w:t>the development and maintenance of the Oracle E-Business Suite;</w:t>
      </w:r>
    </w:p>
    <w:p w:rsidR="00F47828" w:rsidRPr="00FA01D3" w:rsidRDefault="00F47828" w:rsidP="00026C7A">
      <w:pPr>
        <w:pStyle w:val="BodyTextIndent"/>
        <w:keepNext w:val="0"/>
        <w:keepLines w:val="0"/>
        <w:numPr>
          <w:ilvl w:val="0"/>
          <w:numId w:val="11"/>
        </w:numPr>
      </w:pPr>
      <w:r w:rsidRPr="00FA01D3">
        <w:t>cash flow management and bank reconciliations;</w:t>
      </w:r>
    </w:p>
    <w:p w:rsidR="00E628F1" w:rsidRDefault="00F47828" w:rsidP="00026C7A">
      <w:pPr>
        <w:pStyle w:val="BodyTextIndent"/>
        <w:keepNext w:val="0"/>
        <w:numPr>
          <w:ilvl w:val="0"/>
          <w:numId w:val="11"/>
        </w:numPr>
        <w:ind w:left="357" w:hanging="357"/>
      </w:pPr>
      <w:r w:rsidRPr="00FA01D3">
        <w:t>tax payments, including returns and advice</w:t>
      </w:r>
      <w:r>
        <w:t xml:space="preserve">; </w:t>
      </w:r>
    </w:p>
    <w:p w:rsidR="00F47828" w:rsidRPr="00FA01D3" w:rsidRDefault="00F47828" w:rsidP="00026C7A">
      <w:pPr>
        <w:pStyle w:val="BodyTextIndent"/>
        <w:keepNext w:val="0"/>
        <w:keepLines w:val="0"/>
        <w:numPr>
          <w:ilvl w:val="0"/>
          <w:numId w:val="11"/>
        </w:numPr>
      </w:pPr>
      <w:r w:rsidRPr="00FA01D3">
        <w:t>financial reporting services; and</w:t>
      </w:r>
    </w:p>
    <w:p w:rsidR="00E628F1" w:rsidRDefault="00F47828" w:rsidP="00026C7A">
      <w:pPr>
        <w:pStyle w:val="BodyTextIndent"/>
        <w:keepNext w:val="0"/>
        <w:numPr>
          <w:ilvl w:val="0"/>
          <w:numId w:val="11"/>
        </w:numPr>
        <w:ind w:left="357" w:hanging="357"/>
      </w:pPr>
      <w:proofErr w:type="gramStart"/>
      <w:r w:rsidRPr="00FA01D3">
        <w:t>in-house</w:t>
      </w:r>
      <w:proofErr w:type="gramEnd"/>
      <w:r w:rsidRPr="00FA01D3">
        <w:t xml:space="preserve"> print and electronic publishing</w:t>
      </w:r>
      <w:r>
        <w:t>.</w:t>
      </w:r>
    </w:p>
    <w:p w:rsidR="003E18FB" w:rsidRDefault="00F47828" w:rsidP="00026C7A">
      <w:pPr>
        <w:pStyle w:val="Heading3"/>
        <w:keepNext w:val="0"/>
      </w:pPr>
      <w:r>
        <w:br w:type="page"/>
      </w:r>
    </w:p>
    <w:p w:rsidR="00F47828" w:rsidRPr="00D61D0B" w:rsidRDefault="00F47828" w:rsidP="00026C7A">
      <w:pPr>
        <w:pStyle w:val="Heading3"/>
        <w:keepNext w:val="0"/>
      </w:pPr>
      <w:r w:rsidRPr="00FA01D3">
        <w:lastRenderedPageBreak/>
        <w:t>Accountability Indicators</w:t>
      </w:r>
    </w:p>
    <w:tbl>
      <w:tblPr>
        <w:tblW w:w="9356" w:type="dxa"/>
        <w:tblLook w:val="0000"/>
      </w:tblPr>
      <w:tblGrid>
        <w:gridCol w:w="5066"/>
        <w:gridCol w:w="1430"/>
        <w:gridCol w:w="1430"/>
        <w:gridCol w:w="1430"/>
      </w:tblGrid>
      <w:tr w:rsidR="00F47828" w:rsidTr="009231A3">
        <w:trPr>
          <w:cantSplit/>
        </w:trPr>
        <w:tc>
          <w:tcPr>
            <w:tcW w:w="5063" w:type="dxa"/>
            <w:tcBorders>
              <w:top w:val="single" w:sz="4" w:space="0" w:color="auto"/>
            </w:tcBorders>
          </w:tcPr>
          <w:p w:rsidR="00F47828" w:rsidRPr="00FA01D3" w:rsidRDefault="00F47828" w:rsidP="005B3EBE">
            <w:pPr>
              <w:rPr>
                <w:rFonts w:cs="Calibri"/>
                <w:sz w:val="20"/>
              </w:rPr>
            </w:pPr>
            <w:r w:rsidRPr="00FA01D3">
              <w:rPr>
                <w:rFonts w:cs="Calibri"/>
                <w:sz w:val="20"/>
              </w:rPr>
              <w:t> </w:t>
            </w:r>
          </w:p>
        </w:tc>
        <w:tc>
          <w:tcPr>
            <w:tcW w:w="1429" w:type="dxa"/>
            <w:tcBorders>
              <w:top w:val="single" w:sz="4" w:space="0" w:color="auto"/>
            </w:tcBorders>
          </w:tcPr>
          <w:p w:rsidR="00F47828" w:rsidRPr="00FA01D3" w:rsidRDefault="00F47828" w:rsidP="009231A3">
            <w:pPr>
              <w:pStyle w:val="Heading6"/>
              <w:rPr>
                <w:rFonts w:cs="Calibri"/>
                <w:bCs/>
              </w:rPr>
            </w:pPr>
            <w:r w:rsidRPr="00FA01D3">
              <w:rPr>
                <w:rFonts w:cs="Calibri"/>
                <w:bCs/>
              </w:rPr>
              <w:t>2012-13</w:t>
            </w:r>
          </w:p>
        </w:tc>
        <w:tc>
          <w:tcPr>
            <w:tcW w:w="1429" w:type="dxa"/>
            <w:tcBorders>
              <w:top w:val="single" w:sz="4" w:space="0" w:color="auto"/>
            </w:tcBorders>
          </w:tcPr>
          <w:p w:rsidR="00F47828" w:rsidRPr="00FA01D3" w:rsidRDefault="00F47828" w:rsidP="009231A3">
            <w:pPr>
              <w:pStyle w:val="Heading6"/>
              <w:rPr>
                <w:rFonts w:cs="Calibri"/>
                <w:bCs/>
              </w:rPr>
            </w:pPr>
            <w:r w:rsidRPr="00FA01D3">
              <w:rPr>
                <w:rFonts w:cs="Calibri"/>
                <w:bCs/>
              </w:rPr>
              <w:t>2012-13</w:t>
            </w:r>
          </w:p>
        </w:tc>
        <w:tc>
          <w:tcPr>
            <w:tcW w:w="1429" w:type="dxa"/>
            <w:tcBorders>
              <w:top w:val="single" w:sz="4" w:space="0" w:color="auto"/>
            </w:tcBorders>
          </w:tcPr>
          <w:p w:rsidR="00F47828" w:rsidRPr="00FA01D3" w:rsidRDefault="00F47828" w:rsidP="009231A3">
            <w:pPr>
              <w:pStyle w:val="Heading6"/>
              <w:rPr>
                <w:rFonts w:cs="Calibri"/>
                <w:bCs/>
              </w:rPr>
            </w:pPr>
            <w:r>
              <w:rPr>
                <w:rFonts w:cs="Calibri"/>
                <w:bCs/>
              </w:rPr>
              <w:t>2013-14</w:t>
            </w:r>
          </w:p>
        </w:tc>
      </w:tr>
      <w:tr w:rsidR="00F47828" w:rsidTr="009231A3">
        <w:trPr>
          <w:cantSplit/>
        </w:trPr>
        <w:tc>
          <w:tcPr>
            <w:tcW w:w="5063" w:type="dxa"/>
            <w:tcBorders>
              <w:bottom w:val="single" w:sz="4" w:space="0" w:color="auto"/>
            </w:tcBorders>
          </w:tcPr>
          <w:p w:rsidR="00F47828" w:rsidRPr="00FA01D3" w:rsidRDefault="00F47828" w:rsidP="005B3EBE">
            <w:pPr>
              <w:rPr>
                <w:rFonts w:cs="Calibri"/>
                <w:sz w:val="20"/>
              </w:rPr>
            </w:pPr>
            <w:r w:rsidRPr="00FA01D3">
              <w:rPr>
                <w:rFonts w:cs="Calibri"/>
                <w:sz w:val="20"/>
              </w:rPr>
              <w:t> </w:t>
            </w:r>
          </w:p>
        </w:tc>
        <w:tc>
          <w:tcPr>
            <w:tcW w:w="1429" w:type="dxa"/>
            <w:tcBorders>
              <w:bottom w:val="single" w:sz="4" w:space="0" w:color="auto"/>
            </w:tcBorders>
          </w:tcPr>
          <w:p w:rsidR="00F47828" w:rsidRPr="00FA01D3" w:rsidRDefault="00F47828" w:rsidP="009231A3">
            <w:pPr>
              <w:pStyle w:val="Heading6"/>
              <w:rPr>
                <w:rFonts w:cs="Calibri"/>
              </w:rPr>
            </w:pPr>
            <w:r w:rsidRPr="00FA01D3">
              <w:rPr>
                <w:rFonts w:cs="Calibri"/>
              </w:rPr>
              <w:t>Targets</w:t>
            </w:r>
          </w:p>
        </w:tc>
        <w:tc>
          <w:tcPr>
            <w:tcW w:w="1429" w:type="dxa"/>
            <w:tcBorders>
              <w:bottom w:val="single" w:sz="4" w:space="0" w:color="auto"/>
            </w:tcBorders>
          </w:tcPr>
          <w:p w:rsidR="00F47828" w:rsidRPr="00FA01D3" w:rsidRDefault="00F47828" w:rsidP="009231A3">
            <w:pPr>
              <w:pStyle w:val="Heading6"/>
              <w:rPr>
                <w:rFonts w:cs="Calibri"/>
              </w:rPr>
            </w:pPr>
            <w:r w:rsidRPr="00FA01D3">
              <w:rPr>
                <w:rFonts w:cs="Calibri"/>
              </w:rPr>
              <w:t>Est. Outcome</w:t>
            </w:r>
          </w:p>
        </w:tc>
        <w:tc>
          <w:tcPr>
            <w:tcW w:w="1429" w:type="dxa"/>
            <w:tcBorders>
              <w:bottom w:val="single" w:sz="4" w:space="0" w:color="auto"/>
            </w:tcBorders>
          </w:tcPr>
          <w:p w:rsidR="00F47828" w:rsidRPr="00FA01D3" w:rsidRDefault="00F47828" w:rsidP="009231A3">
            <w:pPr>
              <w:pStyle w:val="Heading6"/>
              <w:rPr>
                <w:rFonts w:cs="Calibri"/>
              </w:rPr>
            </w:pPr>
            <w:r w:rsidRPr="00FA01D3">
              <w:rPr>
                <w:rFonts w:cs="Calibri"/>
              </w:rPr>
              <w:t>Targets</w:t>
            </w:r>
          </w:p>
        </w:tc>
      </w:tr>
      <w:tr w:rsidR="00F47828" w:rsidTr="00006020">
        <w:trPr>
          <w:cantSplit/>
        </w:trPr>
        <w:tc>
          <w:tcPr>
            <w:tcW w:w="1429" w:type="dxa"/>
            <w:gridSpan w:val="4"/>
            <w:tcBorders>
              <w:top w:val="single" w:sz="4" w:space="0" w:color="auto"/>
              <w:bottom w:val="single" w:sz="4" w:space="0" w:color="auto"/>
            </w:tcBorders>
          </w:tcPr>
          <w:p w:rsidR="00F47828" w:rsidRPr="00FA01D3" w:rsidRDefault="00F47828" w:rsidP="00D61D0B">
            <w:pPr>
              <w:pStyle w:val="Heading7"/>
              <w:rPr>
                <w:rFonts w:cs="Calibri"/>
              </w:rPr>
            </w:pPr>
            <w:r>
              <w:rPr>
                <w:rFonts w:cs="Calibri"/>
              </w:rPr>
              <w:t>Output Class 1</w:t>
            </w:r>
            <w:r w:rsidRPr="00FA01D3">
              <w:rPr>
                <w:rFonts w:cs="Calibri"/>
              </w:rPr>
              <w:t xml:space="preserve">:  </w:t>
            </w:r>
            <w:r>
              <w:rPr>
                <w:rFonts w:cs="Calibri"/>
              </w:rPr>
              <w:t>Revenue and Government Business Management</w:t>
            </w:r>
            <w:r w:rsidRPr="00FA01D3">
              <w:rPr>
                <w:rFonts w:cs="Calibri"/>
              </w:rPr>
              <w:t xml:space="preserve"> </w:t>
            </w:r>
          </w:p>
        </w:tc>
      </w:tr>
      <w:tr w:rsidR="00F47828" w:rsidTr="00006020">
        <w:trPr>
          <w:cantSplit/>
        </w:trPr>
        <w:tc>
          <w:tcPr>
            <w:tcW w:w="1429" w:type="dxa"/>
            <w:gridSpan w:val="4"/>
            <w:tcBorders>
              <w:top w:val="single" w:sz="4" w:space="0" w:color="auto"/>
              <w:bottom w:val="single" w:sz="4" w:space="0" w:color="auto"/>
            </w:tcBorders>
          </w:tcPr>
          <w:p w:rsidR="00F47828" w:rsidRPr="00FA01D3" w:rsidRDefault="00F47828" w:rsidP="005B3EBE">
            <w:pPr>
              <w:pStyle w:val="Heading7"/>
              <w:rPr>
                <w:rFonts w:cs="Calibri"/>
              </w:rPr>
            </w:pPr>
            <w:r>
              <w:rPr>
                <w:rFonts w:cs="Calibri"/>
              </w:rPr>
              <w:t>Output 1</w:t>
            </w:r>
            <w:r w:rsidRPr="00FA01D3">
              <w:rPr>
                <w:rFonts w:cs="Calibri"/>
              </w:rPr>
              <w:t xml:space="preserve">.1:  </w:t>
            </w:r>
            <w:r>
              <w:rPr>
                <w:rFonts w:cs="Calibri"/>
              </w:rPr>
              <w:t>Revenue and Government Business Management</w:t>
            </w:r>
          </w:p>
        </w:tc>
      </w:tr>
      <w:tr w:rsidR="00F47828" w:rsidTr="009231A3">
        <w:trPr>
          <w:cantSplit/>
        </w:trPr>
        <w:tc>
          <w:tcPr>
            <w:tcW w:w="5063" w:type="dxa"/>
          </w:tcPr>
          <w:p w:rsidR="00F47828" w:rsidRPr="00FA01D3" w:rsidRDefault="00F47828" w:rsidP="009231A3">
            <w:pPr>
              <w:pStyle w:val="TableTextIndent"/>
              <w:numPr>
                <w:ilvl w:val="0"/>
                <w:numId w:val="13"/>
              </w:numPr>
              <w:spacing w:before="0"/>
              <w:rPr>
                <w:rFonts w:cs="Calibri"/>
                <w:szCs w:val="20"/>
              </w:rPr>
            </w:pPr>
            <w:r>
              <w:rPr>
                <w:rFonts w:cs="Calibri"/>
                <w:szCs w:val="20"/>
              </w:rPr>
              <w:t>Debt Management – level of overdue debt as a percentage of tax revenue</w:t>
            </w:r>
            <w:r w:rsidRPr="00FA01D3">
              <w:rPr>
                <w:rFonts w:cs="Calibri"/>
                <w:szCs w:val="20"/>
                <w:vertAlign w:val="superscript"/>
              </w:rPr>
              <w:t>1</w:t>
            </w:r>
          </w:p>
        </w:tc>
        <w:tc>
          <w:tcPr>
            <w:tcW w:w="1429" w:type="dxa"/>
          </w:tcPr>
          <w:p w:rsidR="00F47828" w:rsidRDefault="00F47828" w:rsidP="009231A3">
            <w:pPr>
              <w:pStyle w:val="TableTextRight"/>
            </w:pPr>
            <w:r>
              <w:t>n/a</w:t>
            </w:r>
          </w:p>
        </w:tc>
        <w:tc>
          <w:tcPr>
            <w:tcW w:w="1429" w:type="dxa"/>
          </w:tcPr>
          <w:p w:rsidR="00F47828" w:rsidRDefault="00DA0FA3" w:rsidP="009231A3">
            <w:pPr>
              <w:pStyle w:val="TableTextRight"/>
            </w:pPr>
            <w:r>
              <w:t>2.5%</w:t>
            </w:r>
          </w:p>
        </w:tc>
        <w:tc>
          <w:tcPr>
            <w:tcW w:w="1429" w:type="dxa"/>
          </w:tcPr>
          <w:p w:rsidR="00F47828" w:rsidRPr="00FA01D3" w:rsidRDefault="00F47828" w:rsidP="009231A3">
            <w:pPr>
              <w:pStyle w:val="TableTextRight"/>
              <w:rPr>
                <w:rFonts w:cs="Calibri"/>
              </w:rPr>
            </w:pPr>
            <w:r>
              <w:rPr>
                <w:rFonts w:cs="Calibri"/>
              </w:rPr>
              <w:t>2.5%</w:t>
            </w:r>
          </w:p>
        </w:tc>
      </w:tr>
      <w:tr w:rsidR="00F47828" w:rsidTr="009231A3">
        <w:trPr>
          <w:cantSplit/>
        </w:trPr>
        <w:tc>
          <w:tcPr>
            <w:tcW w:w="5063" w:type="dxa"/>
          </w:tcPr>
          <w:p w:rsidR="00F47828" w:rsidRPr="00FA01D3" w:rsidRDefault="00F47828" w:rsidP="009231A3">
            <w:pPr>
              <w:pStyle w:val="TableTextIndent"/>
              <w:numPr>
                <w:ilvl w:val="0"/>
                <w:numId w:val="13"/>
              </w:numPr>
              <w:spacing w:before="0"/>
              <w:rPr>
                <w:rFonts w:cs="Calibri"/>
                <w:szCs w:val="20"/>
              </w:rPr>
            </w:pPr>
            <w:r>
              <w:rPr>
                <w:rFonts w:cs="Calibri"/>
                <w:szCs w:val="20"/>
              </w:rPr>
              <w:t>Compliance revenue per inspector</w:t>
            </w:r>
            <w:r>
              <w:rPr>
                <w:rFonts w:cs="Calibri"/>
                <w:szCs w:val="20"/>
                <w:vertAlign w:val="superscript"/>
              </w:rPr>
              <w:t>2</w:t>
            </w:r>
          </w:p>
        </w:tc>
        <w:tc>
          <w:tcPr>
            <w:tcW w:w="1429" w:type="dxa"/>
          </w:tcPr>
          <w:p w:rsidR="00F47828" w:rsidRDefault="00F47828" w:rsidP="009231A3">
            <w:pPr>
              <w:pStyle w:val="TableTextRight"/>
            </w:pPr>
            <w:r>
              <w:t>n/a</w:t>
            </w:r>
          </w:p>
        </w:tc>
        <w:tc>
          <w:tcPr>
            <w:tcW w:w="1429" w:type="dxa"/>
          </w:tcPr>
          <w:p w:rsidR="00F47828" w:rsidRPr="00DA0FA3" w:rsidRDefault="00DA0FA3" w:rsidP="009231A3">
            <w:pPr>
              <w:pStyle w:val="TableTextRight"/>
              <w:rPr>
                <w:rFonts w:cs="Calibri"/>
              </w:rPr>
            </w:pPr>
            <w:r w:rsidRPr="00DA0FA3">
              <w:rPr>
                <w:rFonts w:cs="Calibri"/>
              </w:rPr>
              <w:t>$243,000</w:t>
            </w:r>
          </w:p>
        </w:tc>
        <w:tc>
          <w:tcPr>
            <w:tcW w:w="1429" w:type="dxa"/>
          </w:tcPr>
          <w:p w:rsidR="00F47828" w:rsidRPr="00DA0FA3" w:rsidRDefault="00F47828" w:rsidP="009231A3">
            <w:pPr>
              <w:pStyle w:val="TableTextRight"/>
              <w:rPr>
                <w:rFonts w:cs="Calibri"/>
              </w:rPr>
            </w:pPr>
            <w:r w:rsidRPr="00DA0FA3">
              <w:rPr>
                <w:rFonts w:cs="Calibri"/>
              </w:rPr>
              <w:t>$360,000</w:t>
            </w:r>
          </w:p>
        </w:tc>
      </w:tr>
      <w:tr w:rsidR="00F47828" w:rsidRPr="00232397" w:rsidTr="009231A3">
        <w:trPr>
          <w:cantSplit/>
          <w:trHeight w:val="80"/>
        </w:trPr>
        <w:tc>
          <w:tcPr>
            <w:tcW w:w="5063" w:type="dxa"/>
            <w:tcBorders>
              <w:bottom w:val="single" w:sz="4" w:space="0" w:color="auto"/>
            </w:tcBorders>
          </w:tcPr>
          <w:p w:rsidR="00F47828" w:rsidRPr="00FA01D3" w:rsidRDefault="00F41142" w:rsidP="009231A3">
            <w:pPr>
              <w:pStyle w:val="TableTextIndent"/>
              <w:numPr>
                <w:ilvl w:val="0"/>
                <w:numId w:val="13"/>
              </w:numPr>
              <w:spacing w:before="0"/>
              <w:rPr>
                <w:rFonts w:cs="Calibri"/>
                <w:szCs w:val="20"/>
              </w:rPr>
            </w:pPr>
            <w:r>
              <w:rPr>
                <w:rFonts w:cs="Calibri"/>
                <w:szCs w:val="20"/>
              </w:rPr>
              <w:t>Average Square Metre</w:t>
            </w:r>
            <w:r w:rsidR="00F47828" w:rsidRPr="00662EB7">
              <w:rPr>
                <w:rFonts w:cs="Calibri"/>
                <w:szCs w:val="20"/>
              </w:rPr>
              <w:t>s of Office Accommodation per Employee</w:t>
            </w:r>
            <w:r w:rsidR="00F47828" w:rsidRPr="00FA01D3">
              <w:rPr>
                <w:rFonts w:cs="Calibri"/>
                <w:szCs w:val="20"/>
                <w:vertAlign w:val="superscript"/>
              </w:rPr>
              <w:t>3</w:t>
            </w:r>
          </w:p>
        </w:tc>
        <w:tc>
          <w:tcPr>
            <w:tcW w:w="1429" w:type="dxa"/>
            <w:tcBorders>
              <w:bottom w:val="single" w:sz="4" w:space="0" w:color="auto"/>
            </w:tcBorders>
          </w:tcPr>
          <w:p w:rsidR="00F47828" w:rsidRPr="00FA01D3" w:rsidRDefault="00F47828" w:rsidP="009231A3">
            <w:pPr>
              <w:pStyle w:val="TableTextRight"/>
              <w:rPr>
                <w:rFonts w:cs="Calibri"/>
              </w:rPr>
            </w:pPr>
            <w:r>
              <w:rPr>
                <w:rFonts w:cs="Calibri"/>
              </w:rPr>
              <w:t>n/a</w:t>
            </w:r>
          </w:p>
        </w:tc>
        <w:tc>
          <w:tcPr>
            <w:tcW w:w="1429" w:type="dxa"/>
            <w:tcBorders>
              <w:bottom w:val="single" w:sz="4" w:space="0" w:color="auto"/>
            </w:tcBorders>
          </w:tcPr>
          <w:p w:rsidR="00F47828" w:rsidRPr="00FA01D3" w:rsidRDefault="00DA0FA3" w:rsidP="009231A3">
            <w:pPr>
              <w:pStyle w:val="TableTextRight"/>
              <w:rPr>
                <w:rFonts w:cs="Calibri"/>
              </w:rPr>
            </w:pPr>
            <w:r>
              <w:t>16</w:t>
            </w:r>
          </w:p>
        </w:tc>
        <w:tc>
          <w:tcPr>
            <w:tcW w:w="1429" w:type="dxa"/>
            <w:tcBorders>
              <w:bottom w:val="single" w:sz="4" w:space="0" w:color="auto"/>
            </w:tcBorders>
          </w:tcPr>
          <w:p w:rsidR="00F47828" w:rsidRPr="00FA01D3" w:rsidRDefault="00F47828" w:rsidP="009231A3">
            <w:pPr>
              <w:pStyle w:val="TableTextRight"/>
              <w:ind w:left="720" w:firstLine="0"/>
              <w:rPr>
                <w:rFonts w:cs="Calibri"/>
                <w:highlight w:val="yellow"/>
              </w:rPr>
            </w:pPr>
            <w:r>
              <w:rPr>
                <w:rFonts w:cs="Calibri"/>
              </w:rPr>
              <w:t>n/a</w:t>
            </w:r>
          </w:p>
        </w:tc>
      </w:tr>
    </w:tbl>
    <w:p w:rsidR="00F47828" w:rsidRPr="00212281" w:rsidRDefault="00F47828" w:rsidP="00EF19BF">
      <w:pPr>
        <w:pStyle w:val="Noteheading"/>
        <w:ind w:left="0"/>
        <w:rPr>
          <w:sz w:val="16"/>
          <w:szCs w:val="16"/>
        </w:rPr>
      </w:pPr>
      <w:r w:rsidRPr="00212281">
        <w:rPr>
          <w:sz w:val="16"/>
          <w:szCs w:val="16"/>
        </w:rPr>
        <w:t>Note</w:t>
      </w:r>
      <w:r w:rsidR="00BA17D9">
        <w:rPr>
          <w:sz w:val="16"/>
          <w:szCs w:val="16"/>
        </w:rPr>
        <w:t>s</w:t>
      </w:r>
      <w:r>
        <w:rPr>
          <w:sz w:val="16"/>
          <w:szCs w:val="16"/>
        </w:rPr>
        <w:t>:</w:t>
      </w:r>
    </w:p>
    <w:p w:rsidR="00F47828" w:rsidRPr="00EF19BF" w:rsidRDefault="00F47828" w:rsidP="000446AB">
      <w:pPr>
        <w:pStyle w:val="AINotes"/>
        <w:numPr>
          <w:ilvl w:val="0"/>
          <w:numId w:val="30"/>
        </w:numPr>
        <w:rPr>
          <w:szCs w:val="16"/>
        </w:rPr>
      </w:pPr>
      <w:r>
        <w:t>‘</w:t>
      </w:r>
      <w:r w:rsidRPr="00232397">
        <w:t>Level of overdue debt’ measures the level of overdue collectable debt as a percentage of forecast tax revenue.  It excludes matters subject to objection and appeals, under liquidation and agreements made by the ACT Government in respect of pending waivers.</w:t>
      </w:r>
      <w:r>
        <w:t xml:space="preserve">  This indicator was previously reported </w:t>
      </w:r>
      <w:r w:rsidRPr="003F1782">
        <w:rPr>
          <w:rStyle w:val="NoteTextChar"/>
        </w:rPr>
        <w:t xml:space="preserve">by the </w:t>
      </w:r>
      <w:r>
        <w:rPr>
          <w:rStyle w:val="NoteTextChar"/>
        </w:rPr>
        <w:t>former Treasury Directorate</w:t>
      </w:r>
      <w:r w:rsidRPr="003F1782">
        <w:rPr>
          <w:rStyle w:val="NoteTextChar"/>
        </w:rPr>
        <w:t xml:space="preserve"> under </w:t>
      </w:r>
      <w:r>
        <w:t>Output 1.3 Revenue Management.</w:t>
      </w:r>
      <w:r w:rsidR="00DA0FA3">
        <w:t xml:space="preserve">  The 2012</w:t>
      </w:r>
      <w:r w:rsidR="00DA0FA3">
        <w:noBreakHyphen/>
        <w:t>13 estimated outcome covers the period 10 November 2012 to 30 June 2013.</w:t>
      </w:r>
    </w:p>
    <w:p w:rsidR="00F47828" w:rsidRDefault="00F47828" w:rsidP="000446AB">
      <w:pPr>
        <w:pStyle w:val="AINotes"/>
        <w:numPr>
          <w:ilvl w:val="0"/>
          <w:numId w:val="30"/>
        </w:numPr>
        <w:rPr>
          <w:szCs w:val="16"/>
        </w:rPr>
      </w:pPr>
      <w:r>
        <w:t xml:space="preserve">This indicator was previously reported </w:t>
      </w:r>
      <w:r w:rsidRPr="003F1782">
        <w:rPr>
          <w:rStyle w:val="NoteTextChar"/>
        </w:rPr>
        <w:t xml:space="preserve">by the </w:t>
      </w:r>
      <w:r>
        <w:rPr>
          <w:rStyle w:val="NoteTextChar"/>
        </w:rPr>
        <w:t>former Treasury Directorate</w:t>
      </w:r>
      <w:r w:rsidRPr="003F1782">
        <w:rPr>
          <w:rStyle w:val="NoteTextChar"/>
        </w:rPr>
        <w:t xml:space="preserve"> under </w:t>
      </w:r>
      <w:r>
        <w:t>Output 1.3 Revenue Management.</w:t>
      </w:r>
      <w:r w:rsidR="00DA0FA3">
        <w:t xml:space="preserve">  The 2012</w:t>
      </w:r>
      <w:r w:rsidR="00DA0FA3">
        <w:noBreakHyphen/>
        <w:t>13 estimated outcome covers the period 10 November 2012 to 30 June 2013.</w:t>
      </w:r>
    </w:p>
    <w:p w:rsidR="00F47828" w:rsidRDefault="00F47828" w:rsidP="000446AB">
      <w:pPr>
        <w:pStyle w:val="AINotes"/>
        <w:numPr>
          <w:ilvl w:val="0"/>
          <w:numId w:val="30"/>
        </w:numPr>
        <w:rPr>
          <w:szCs w:val="16"/>
        </w:rPr>
      </w:pPr>
      <w:r w:rsidRPr="00212661">
        <w:rPr>
          <w:szCs w:val="16"/>
        </w:rPr>
        <w:t xml:space="preserve">This </w:t>
      </w:r>
      <w:r>
        <w:rPr>
          <w:szCs w:val="16"/>
        </w:rPr>
        <w:t xml:space="preserve">indicator was previously reported by the </w:t>
      </w:r>
      <w:r w:rsidRPr="00212661">
        <w:rPr>
          <w:szCs w:val="16"/>
        </w:rPr>
        <w:t>Economic</w:t>
      </w:r>
      <w:r>
        <w:rPr>
          <w:szCs w:val="16"/>
        </w:rPr>
        <w:t xml:space="preserve"> Development Directorate under Output 1.6 Land Strategy and Infrastructure Delivery.  For 2013-14 this indicator is reported under Output Class 3.1 Shared Services Procurement.</w:t>
      </w:r>
    </w:p>
    <w:p w:rsidR="00F47828" w:rsidRPr="0035645F" w:rsidRDefault="00F47828" w:rsidP="002C1833"/>
    <w:tbl>
      <w:tblPr>
        <w:tblW w:w="9356" w:type="dxa"/>
        <w:tblLook w:val="0000"/>
      </w:tblPr>
      <w:tblGrid>
        <w:gridCol w:w="5058"/>
        <w:gridCol w:w="8"/>
        <w:gridCol w:w="1420"/>
        <w:gridCol w:w="10"/>
        <w:gridCol w:w="1418"/>
        <w:gridCol w:w="12"/>
        <w:gridCol w:w="1430"/>
      </w:tblGrid>
      <w:tr w:rsidR="00F41142" w:rsidTr="009231A3">
        <w:trPr>
          <w:cantSplit/>
        </w:trPr>
        <w:tc>
          <w:tcPr>
            <w:tcW w:w="5066" w:type="dxa"/>
            <w:gridSpan w:val="2"/>
            <w:tcBorders>
              <w:top w:val="single" w:sz="4" w:space="0" w:color="auto"/>
            </w:tcBorders>
          </w:tcPr>
          <w:p w:rsidR="00F41142" w:rsidRPr="00FA01D3" w:rsidRDefault="00F41142" w:rsidP="00F41142">
            <w:pPr>
              <w:rPr>
                <w:rFonts w:cs="Calibri"/>
                <w:sz w:val="20"/>
              </w:rPr>
            </w:pPr>
            <w:r w:rsidRPr="00FA01D3">
              <w:rPr>
                <w:rFonts w:cs="Calibri"/>
                <w:sz w:val="20"/>
              </w:rPr>
              <w:t> </w:t>
            </w:r>
          </w:p>
        </w:tc>
        <w:tc>
          <w:tcPr>
            <w:tcW w:w="1430" w:type="dxa"/>
            <w:gridSpan w:val="2"/>
            <w:tcBorders>
              <w:top w:val="single" w:sz="4" w:space="0" w:color="auto"/>
            </w:tcBorders>
          </w:tcPr>
          <w:p w:rsidR="00F41142" w:rsidRPr="00FA01D3" w:rsidRDefault="00F41142" w:rsidP="009231A3">
            <w:pPr>
              <w:pStyle w:val="Heading6"/>
              <w:rPr>
                <w:rFonts w:cs="Calibri"/>
                <w:bCs/>
              </w:rPr>
            </w:pPr>
            <w:r w:rsidRPr="00FA01D3">
              <w:rPr>
                <w:rFonts w:cs="Calibri"/>
                <w:bCs/>
              </w:rPr>
              <w:t>2012-13</w:t>
            </w:r>
          </w:p>
        </w:tc>
        <w:tc>
          <w:tcPr>
            <w:tcW w:w="1430" w:type="dxa"/>
            <w:gridSpan w:val="2"/>
            <w:tcBorders>
              <w:top w:val="single" w:sz="4" w:space="0" w:color="auto"/>
            </w:tcBorders>
          </w:tcPr>
          <w:p w:rsidR="00F41142" w:rsidRPr="00FA01D3" w:rsidRDefault="00F41142" w:rsidP="009231A3">
            <w:pPr>
              <w:pStyle w:val="Heading6"/>
              <w:rPr>
                <w:rFonts w:cs="Calibri"/>
                <w:bCs/>
              </w:rPr>
            </w:pPr>
            <w:r w:rsidRPr="00FA01D3">
              <w:rPr>
                <w:rFonts w:cs="Calibri"/>
                <w:bCs/>
              </w:rPr>
              <w:t>2012-13</w:t>
            </w:r>
          </w:p>
        </w:tc>
        <w:tc>
          <w:tcPr>
            <w:tcW w:w="1430" w:type="dxa"/>
            <w:tcBorders>
              <w:top w:val="single" w:sz="4" w:space="0" w:color="auto"/>
            </w:tcBorders>
          </w:tcPr>
          <w:p w:rsidR="00F41142" w:rsidRPr="00FA01D3" w:rsidRDefault="00F41142" w:rsidP="009231A3">
            <w:pPr>
              <w:pStyle w:val="Heading6"/>
              <w:rPr>
                <w:rFonts w:cs="Calibri"/>
                <w:bCs/>
              </w:rPr>
            </w:pPr>
            <w:r>
              <w:rPr>
                <w:rFonts w:cs="Calibri"/>
                <w:bCs/>
              </w:rPr>
              <w:t>2013-14</w:t>
            </w:r>
          </w:p>
        </w:tc>
      </w:tr>
      <w:tr w:rsidR="00F41142" w:rsidTr="009231A3">
        <w:trPr>
          <w:cantSplit/>
        </w:trPr>
        <w:tc>
          <w:tcPr>
            <w:tcW w:w="5066" w:type="dxa"/>
            <w:gridSpan w:val="2"/>
            <w:tcBorders>
              <w:bottom w:val="single" w:sz="4" w:space="0" w:color="auto"/>
            </w:tcBorders>
          </w:tcPr>
          <w:p w:rsidR="00F41142" w:rsidRPr="00FA01D3" w:rsidRDefault="00F41142" w:rsidP="00F41142">
            <w:pPr>
              <w:rPr>
                <w:rFonts w:cs="Calibri"/>
                <w:sz w:val="20"/>
              </w:rPr>
            </w:pPr>
            <w:r w:rsidRPr="00FA01D3">
              <w:rPr>
                <w:rFonts w:cs="Calibri"/>
                <w:sz w:val="20"/>
              </w:rPr>
              <w:t> </w:t>
            </w:r>
          </w:p>
        </w:tc>
        <w:tc>
          <w:tcPr>
            <w:tcW w:w="1430" w:type="dxa"/>
            <w:gridSpan w:val="2"/>
            <w:tcBorders>
              <w:bottom w:val="single" w:sz="4" w:space="0" w:color="auto"/>
            </w:tcBorders>
          </w:tcPr>
          <w:p w:rsidR="00F41142" w:rsidRPr="00FA01D3" w:rsidRDefault="00F41142" w:rsidP="009231A3">
            <w:pPr>
              <w:pStyle w:val="Heading6"/>
              <w:rPr>
                <w:rFonts w:cs="Calibri"/>
              </w:rPr>
            </w:pPr>
            <w:r w:rsidRPr="00FA01D3">
              <w:rPr>
                <w:rFonts w:cs="Calibri"/>
              </w:rPr>
              <w:t>Targets</w:t>
            </w:r>
          </w:p>
        </w:tc>
        <w:tc>
          <w:tcPr>
            <w:tcW w:w="1430" w:type="dxa"/>
            <w:gridSpan w:val="2"/>
            <w:tcBorders>
              <w:bottom w:val="single" w:sz="4" w:space="0" w:color="auto"/>
            </w:tcBorders>
          </w:tcPr>
          <w:p w:rsidR="00F41142" w:rsidRPr="00FA01D3" w:rsidRDefault="00F41142" w:rsidP="009231A3">
            <w:pPr>
              <w:pStyle w:val="Heading6"/>
              <w:rPr>
                <w:rFonts w:cs="Calibri"/>
              </w:rPr>
            </w:pPr>
            <w:r w:rsidRPr="00FA01D3">
              <w:rPr>
                <w:rFonts w:cs="Calibri"/>
              </w:rPr>
              <w:t>Est. Outcome</w:t>
            </w:r>
          </w:p>
        </w:tc>
        <w:tc>
          <w:tcPr>
            <w:tcW w:w="1430" w:type="dxa"/>
            <w:tcBorders>
              <w:bottom w:val="single" w:sz="4" w:space="0" w:color="auto"/>
            </w:tcBorders>
          </w:tcPr>
          <w:p w:rsidR="00F41142" w:rsidRPr="00FA01D3" w:rsidRDefault="00F41142" w:rsidP="009231A3">
            <w:pPr>
              <w:pStyle w:val="Heading6"/>
              <w:rPr>
                <w:rFonts w:cs="Calibri"/>
              </w:rPr>
            </w:pPr>
            <w:r w:rsidRPr="00FA01D3">
              <w:rPr>
                <w:rFonts w:cs="Calibri"/>
              </w:rPr>
              <w:t>Targets</w:t>
            </w:r>
          </w:p>
        </w:tc>
      </w:tr>
      <w:tr w:rsidR="00F47828" w:rsidRPr="00FA01D3" w:rsidTr="00FB3601">
        <w:trPr>
          <w:trHeight w:val="270"/>
        </w:trPr>
        <w:tc>
          <w:tcPr>
            <w:tcW w:w="5058"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Pr>
                <w:rFonts w:cs="Calibri"/>
              </w:rPr>
              <w:t>Output Class 2</w:t>
            </w:r>
            <w:r w:rsidRPr="00FA01D3">
              <w:rPr>
                <w:rFonts w:cs="Calibri"/>
              </w:rPr>
              <w:t>:  Shared Services ICT</w:t>
            </w:r>
          </w:p>
        </w:tc>
        <w:tc>
          <w:tcPr>
            <w:tcW w:w="1428" w:type="dxa"/>
            <w:gridSpan w:val="2"/>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28" w:type="dxa"/>
            <w:gridSpan w:val="2"/>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42" w:type="dxa"/>
            <w:gridSpan w:val="2"/>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r>
      <w:tr w:rsidR="00F47828" w:rsidRPr="00FA01D3" w:rsidTr="00FB3601">
        <w:trPr>
          <w:trHeight w:val="270"/>
        </w:trPr>
        <w:tc>
          <w:tcPr>
            <w:tcW w:w="5058" w:type="dxa"/>
            <w:tcBorders>
              <w:top w:val="single" w:sz="4" w:space="0" w:color="auto"/>
              <w:left w:val="nil"/>
              <w:bottom w:val="single" w:sz="4" w:space="0" w:color="auto"/>
              <w:right w:val="nil"/>
            </w:tcBorders>
          </w:tcPr>
          <w:p w:rsidR="00F47828" w:rsidRPr="00FA01D3" w:rsidRDefault="00F47828" w:rsidP="00F41142">
            <w:pPr>
              <w:pStyle w:val="Heading7"/>
              <w:rPr>
                <w:rFonts w:cs="Calibri"/>
              </w:rPr>
            </w:pPr>
            <w:r>
              <w:rPr>
                <w:rFonts w:cs="Calibri"/>
              </w:rPr>
              <w:t>Output 2</w:t>
            </w:r>
            <w:r w:rsidRPr="00FA01D3">
              <w:rPr>
                <w:rFonts w:cs="Calibri"/>
              </w:rPr>
              <w:t>.1:  Shared Services ICT</w:t>
            </w:r>
            <w:r w:rsidR="00F41142" w:rsidRPr="00F41142">
              <w:rPr>
                <w:rFonts w:cs="Calibri"/>
                <w:vertAlign w:val="superscript"/>
              </w:rPr>
              <w:t>1</w:t>
            </w:r>
          </w:p>
        </w:tc>
        <w:tc>
          <w:tcPr>
            <w:tcW w:w="1428" w:type="dxa"/>
            <w:gridSpan w:val="2"/>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28" w:type="dxa"/>
            <w:gridSpan w:val="2"/>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42" w:type="dxa"/>
            <w:gridSpan w:val="2"/>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r>
      <w:tr w:rsidR="00F47828" w:rsidRPr="00FA01D3" w:rsidTr="009231A3">
        <w:trPr>
          <w:trHeight w:val="210"/>
        </w:trPr>
        <w:tc>
          <w:tcPr>
            <w:tcW w:w="5058" w:type="dxa"/>
            <w:tcBorders>
              <w:top w:val="single" w:sz="4" w:space="0" w:color="auto"/>
              <w:left w:val="nil"/>
              <w:bottom w:val="nil"/>
              <w:right w:val="nil"/>
            </w:tcBorders>
          </w:tcPr>
          <w:p w:rsidR="00F47828" w:rsidRPr="00FA01D3" w:rsidRDefault="00F47828" w:rsidP="009231A3">
            <w:pPr>
              <w:pStyle w:val="Tabletextindenta"/>
              <w:spacing w:before="0"/>
            </w:pPr>
            <w:r w:rsidRPr="00FA01D3">
              <w:t>Costs compared to peer organisations’ costs, as benchmarked by an independent organisation</w:t>
            </w:r>
          </w:p>
        </w:tc>
        <w:tc>
          <w:tcPr>
            <w:tcW w:w="1428" w:type="dxa"/>
            <w:gridSpan w:val="2"/>
            <w:tcBorders>
              <w:top w:val="single" w:sz="4" w:space="0" w:color="auto"/>
              <w:left w:val="nil"/>
              <w:bottom w:val="nil"/>
              <w:right w:val="nil"/>
            </w:tcBorders>
          </w:tcPr>
          <w:p w:rsidR="00F47828" w:rsidRDefault="00F47828" w:rsidP="009231A3">
            <w:pPr>
              <w:pStyle w:val="TableTextRight"/>
            </w:pPr>
            <w:r>
              <w:t>n/a</w:t>
            </w:r>
          </w:p>
        </w:tc>
        <w:tc>
          <w:tcPr>
            <w:tcW w:w="1428" w:type="dxa"/>
            <w:gridSpan w:val="2"/>
            <w:tcBorders>
              <w:top w:val="single" w:sz="4" w:space="0" w:color="auto"/>
              <w:left w:val="nil"/>
              <w:bottom w:val="nil"/>
              <w:right w:val="nil"/>
            </w:tcBorders>
          </w:tcPr>
          <w:p w:rsidR="00F47828" w:rsidRDefault="00F47828" w:rsidP="009231A3">
            <w:pPr>
              <w:pStyle w:val="TableTextRight"/>
            </w:pPr>
            <w:r>
              <w:t>n/a</w:t>
            </w:r>
          </w:p>
        </w:tc>
        <w:tc>
          <w:tcPr>
            <w:tcW w:w="1442" w:type="dxa"/>
            <w:gridSpan w:val="2"/>
            <w:tcBorders>
              <w:top w:val="single" w:sz="4" w:space="0" w:color="auto"/>
              <w:left w:val="nil"/>
              <w:bottom w:val="nil"/>
              <w:right w:val="nil"/>
            </w:tcBorders>
          </w:tcPr>
          <w:p w:rsidR="00F47828" w:rsidRPr="00FA01D3" w:rsidRDefault="00F47828" w:rsidP="009231A3">
            <w:pPr>
              <w:pStyle w:val="TableTextRight"/>
              <w:rPr>
                <w:rFonts w:cs="Calibri"/>
              </w:rPr>
            </w:pPr>
            <w:r w:rsidRPr="00FA01D3">
              <w:rPr>
                <w:rFonts w:cs="Calibri"/>
              </w:rPr>
              <w:t>Within 5%</w:t>
            </w:r>
          </w:p>
        </w:tc>
      </w:tr>
      <w:tr w:rsidR="00F47828" w:rsidRPr="00FA01D3" w:rsidTr="009231A3">
        <w:trPr>
          <w:trHeight w:val="510"/>
        </w:trPr>
        <w:tc>
          <w:tcPr>
            <w:tcW w:w="5058" w:type="dxa"/>
            <w:tcBorders>
              <w:top w:val="nil"/>
              <w:left w:val="nil"/>
              <w:bottom w:val="nil"/>
              <w:right w:val="nil"/>
            </w:tcBorders>
          </w:tcPr>
          <w:p w:rsidR="00F47828" w:rsidRPr="00FA01D3" w:rsidRDefault="00F47828" w:rsidP="009231A3">
            <w:pPr>
              <w:pStyle w:val="Tabletextindenta"/>
              <w:spacing w:before="0"/>
            </w:pPr>
            <w:r w:rsidRPr="00FA01D3">
              <w:t>Email availability across government during core business hours</w:t>
            </w:r>
            <w:r w:rsidR="00F41142">
              <w:rPr>
                <w:vertAlign w:val="superscript"/>
              </w:rPr>
              <w:t>2</w:t>
            </w:r>
          </w:p>
        </w:tc>
        <w:tc>
          <w:tcPr>
            <w:tcW w:w="1428" w:type="dxa"/>
            <w:gridSpan w:val="2"/>
            <w:tcBorders>
              <w:top w:val="nil"/>
              <w:left w:val="nil"/>
              <w:bottom w:val="nil"/>
              <w:right w:val="nil"/>
            </w:tcBorders>
          </w:tcPr>
          <w:p w:rsidR="00F47828" w:rsidRDefault="00F47828" w:rsidP="009231A3">
            <w:pPr>
              <w:pStyle w:val="TableTextRight"/>
            </w:pPr>
            <w:r>
              <w:t>n/a</w:t>
            </w:r>
          </w:p>
        </w:tc>
        <w:tc>
          <w:tcPr>
            <w:tcW w:w="1428" w:type="dxa"/>
            <w:gridSpan w:val="2"/>
            <w:tcBorders>
              <w:top w:val="nil"/>
              <w:left w:val="nil"/>
              <w:bottom w:val="nil"/>
              <w:right w:val="nil"/>
            </w:tcBorders>
          </w:tcPr>
          <w:p w:rsidR="00F47828" w:rsidRDefault="00F47828" w:rsidP="009231A3">
            <w:pPr>
              <w:pStyle w:val="TableTextRight"/>
            </w:pPr>
            <w:r>
              <w:t>n/a</w:t>
            </w:r>
          </w:p>
        </w:tc>
        <w:tc>
          <w:tcPr>
            <w:tcW w:w="1442" w:type="dxa"/>
            <w:gridSpan w:val="2"/>
            <w:tcBorders>
              <w:top w:val="nil"/>
              <w:left w:val="nil"/>
              <w:bottom w:val="nil"/>
              <w:right w:val="nil"/>
            </w:tcBorders>
          </w:tcPr>
          <w:p w:rsidR="00F47828" w:rsidRPr="00FA01D3" w:rsidRDefault="00F47828" w:rsidP="009231A3">
            <w:pPr>
              <w:pStyle w:val="TableTextRight"/>
              <w:rPr>
                <w:rFonts w:cs="Calibri"/>
              </w:rPr>
            </w:pPr>
            <w:r>
              <w:rPr>
                <w:rFonts w:cs="Calibri"/>
              </w:rPr>
              <w:t>100</w:t>
            </w:r>
            <w:r w:rsidRPr="00FA01D3">
              <w:rPr>
                <w:rFonts w:cs="Calibri"/>
              </w:rPr>
              <w:t>%</w:t>
            </w:r>
          </w:p>
        </w:tc>
      </w:tr>
      <w:tr w:rsidR="00F47828" w:rsidRPr="00FA01D3" w:rsidTr="009231A3">
        <w:trPr>
          <w:trHeight w:val="510"/>
        </w:trPr>
        <w:tc>
          <w:tcPr>
            <w:tcW w:w="5058" w:type="dxa"/>
            <w:tcBorders>
              <w:top w:val="nil"/>
              <w:left w:val="nil"/>
              <w:bottom w:val="nil"/>
              <w:right w:val="nil"/>
            </w:tcBorders>
          </w:tcPr>
          <w:p w:rsidR="00F47828" w:rsidRPr="00FA01D3" w:rsidRDefault="00F47828" w:rsidP="009231A3">
            <w:pPr>
              <w:pStyle w:val="Tabletextindenta"/>
              <w:spacing w:before="0"/>
            </w:pPr>
            <w:r w:rsidRPr="00FA01D3">
              <w:t>Service requests made via the Service Desk are resolved within Service Level Agreements timeframes</w:t>
            </w:r>
            <w:r w:rsidR="00F41142">
              <w:rPr>
                <w:vertAlign w:val="superscript"/>
              </w:rPr>
              <w:t>3</w:t>
            </w:r>
          </w:p>
        </w:tc>
        <w:tc>
          <w:tcPr>
            <w:tcW w:w="1428" w:type="dxa"/>
            <w:gridSpan w:val="2"/>
            <w:tcBorders>
              <w:top w:val="nil"/>
              <w:left w:val="nil"/>
              <w:bottom w:val="nil"/>
              <w:right w:val="nil"/>
            </w:tcBorders>
          </w:tcPr>
          <w:p w:rsidR="00F47828" w:rsidRDefault="00F47828" w:rsidP="009231A3">
            <w:pPr>
              <w:pStyle w:val="TableTextRight"/>
            </w:pPr>
            <w:r>
              <w:t>n/a</w:t>
            </w:r>
          </w:p>
        </w:tc>
        <w:tc>
          <w:tcPr>
            <w:tcW w:w="1428" w:type="dxa"/>
            <w:gridSpan w:val="2"/>
            <w:tcBorders>
              <w:top w:val="nil"/>
              <w:left w:val="nil"/>
              <w:bottom w:val="nil"/>
              <w:right w:val="nil"/>
            </w:tcBorders>
          </w:tcPr>
          <w:p w:rsidR="00F47828" w:rsidRDefault="00F47828" w:rsidP="009231A3">
            <w:pPr>
              <w:pStyle w:val="TableTextRight"/>
            </w:pPr>
            <w:r>
              <w:t>n/a</w:t>
            </w:r>
          </w:p>
        </w:tc>
        <w:tc>
          <w:tcPr>
            <w:tcW w:w="1442" w:type="dxa"/>
            <w:gridSpan w:val="2"/>
            <w:tcBorders>
              <w:top w:val="nil"/>
              <w:left w:val="nil"/>
              <w:bottom w:val="nil"/>
              <w:right w:val="nil"/>
            </w:tcBorders>
          </w:tcPr>
          <w:p w:rsidR="00F47828" w:rsidRPr="00FA01D3" w:rsidRDefault="00F47828" w:rsidP="009231A3">
            <w:pPr>
              <w:pStyle w:val="TableTextRight"/>
              <w:rPr>
                <w:rFonts w:cs="Calibri"/>
                <w:highlight w:val="yellow"/>
              </w:rPr>
            </w:pPr>
            <w:r w:rsidRPr="00FA01D3">
              <w:rPr>
                <w:rFonts w:cs="Calibri"/>
              </w:rPr>
              <w:t>90%</w:t>
            </w:r>
          </w:p>
        </w:tc>
      </w:tr>
      <w:tr w:rsidR="00F47828" w:rsidRPr="00FA01D3" w:rsidTr="009231A3">
        <w:trPr>
          <w:trHeight w:hRule="exact" w:val="539"/>
        </w:trPr>
        <w:tc>
          <w:tcPr>
            <w:tcW w:w="5058" w:type="dxa"/>
            <w:tcBorders>
              <w:top w:val="nil"/>
              <w:left w:val="nil"/>
              <w:right w:val="nil"/>
            </w:tcBorders>
          </w:tcPr>
          <w:p w:rsidR="00F47828" w:rsidRPr="00FA01D3" w:rsidRDefault="00F47828" w:rsidP="009231A3">
            <w:pPr>
              <w:pStyle w:val="Tabletextindenta"/>
              <w:spacing w:before="0"/>
            </w:pPr>
            <w:r w:rsidRPr="00FA01D3">
              <w:t>Average time taken for telephone service requests to be answered by a Service Desk officer</w:t>
            </w:r>
          </w:p>
          <w:p w:rsidR="00F47828" w:rsidRPr="00FA01D3" w:rsidRDefault="00F47828" w:rsidP="009231A3">
            <w:pPr>
              <w:pStyle w:val="Tabletextindenta"/>
              <w:spacing w:before="0"/>
            </w:pPr>
          </w:p>
        </w:tc>
        <w:tc>
          <w:tcPr>
            <w:tcW w:w="1428" w:type="dxa"/>
            <w:gridSpan w:val="2"/>
            <w:tcBorders>
              <w:top w:val="nil"/>
              <w:left w:val="nil"/>
              <w:right w:val="nil"/>
            </w:tcBorders>
          </w:tcPr>
          <w:p w:rsidR="00F47828" w:rsidRDefault="00F47828" w:rsidP="009231A3">
            <w:pPr>
              <w:pStyle w:val="TableTextRight"/>
            </w:pPr>
            <w:r>
              <w:t>n/a</w:t>
            </w:r>
          </w:p>
        </w:tc>
        <w:tc>
          <w:tcPr>
            <w:tcW w:w="1428" w:type="dxa"/>
            <w:gridSpan w:val="2"/>
            <w:tcBorders>
              <w:top w:val="nil"/>
              <w:left w:val="nil"/>
              <w:right w:val="nil"/>
            </w:tcBorders>
          </w:tcPr>
          <w:p w:rsidR="00F47828" w:rsidRDefault="00F47828" w:rsidP="009231A3">
            <w:pPr>
              <w:pStyle w:val="TableTextRight"/>
            </w:pPr>
            <w:r>
              <w:t>n/a</w:t>
            </w:r>
          </w:p>
        </w:tc>
        <w:tc>
          <w:tcPr>
            <w:tcW w:w="1442" w:type="dxa"/>
            <w:gridSpan w:val="2"/>
            <w:tcBorders>
              <w:top w:val="nil"/>
              <w:left w:val="nil"/>
              <w:right w:val="nil"/>
            </w:tcBorders>
          </w:tcPr>
          <w:p w:rsidR="00F47828" w:rsidRPr="00FA01D3" w:rsidRDefault="00F47828" w:rsidP="009231A3">
            <w:pPr>
              <w:pStyle w:val="TableTextRight"/>
              <w:rPr>
                <w:rFonts w:cs="Calibri"/>
              </w:rPr>
            </w:pPr>
            <w:r w:rsidRPr="00FA01D3">
              <w:rPr>
                <w:rFonts w:cs="Calibri"/>
              </w:rPr>
              <w:t>20 seconds</w:t>
            </w:r>
          </w:p>
          <w:p w:rsidR="00F47828" w:rsidRPr="00FA01D3" w:rsidRDefault="00F47828" w:rsidP="009231A3">
            <w:pPr>
              <w:pStyle w:val="TableTextRight"/>
              <w:rPr>
                <w:rFonts w:cs="Calibri"/>
              </w:rPr>
            </w:pPr>
          </w:p>
        </w:tc>
      </w:tr>
      <w:tr w:rsidR="00F47828" w:rsidRPr="00FA01D3" w:rsidTr="009231A3">
        <w:trPr>
          <w:trHeight w:val="558"/>
        </w:trPr>
        <w:tc>
          <w:tcPr>
            <w:tcW w:w="5058" w:type="dxa"/>
            <w:tcBorders>
              <w:top w:val="nil"/>
              <w:left w:val="nil"/>
              <w:bottom w:val="single" w:sz="4" w:space="0" w:color="auto"/>
              <w:right w:val="nil"/>
            </w:tcBorders>
          </w:tcPr>
          <w:p w:rsidR="00F47828" w:rsidRPr="00FA01D3" w:rsidRDefault="00F47828" w:rsidP="009231A3">
            <w:pPr>
              <w:pStyle w:val="Tabletextindenta"/>
              <w:spacing w:before="0"/>
            </w:pPr>
            <w:r w:rsidRPr="00FA01D3">
              <w:t>Number of successful attacks on internally hosted ACT Government web sites</w:t>
            </w:r>
          </w:p>
        </w:tc>
        <w:tc>
          <w:tcPr>
            <w:tcW w:w="1428" w:type="dxa"/>
            <w:gridSpan w:val="2"/>
            <w:tcBorders>
              <w:top w:val="nil"/>
              <w:left w:val="nil"/>
              <w:bottom w:val="single" w:sz="4" w:space="0" w:color="auto"/>
              <w:right w:val="nil"/>
            </w:tcBorders>
          </w:tcPr>
          <w:p w:rsidR="00F47828" w:rsidRDefault="00F47828" w:rsidP="009231A3">
            <w:pPr>
              <w:pStyle w:val="TableTextRight"/>
            </w:pPr>
            <w:r>
              <w:t>n/a</w:t>
            </w:r>
          </w:p>
        </w:tc>
        <w:tc>
          <w:tcPr>
            <w:tcW w:w="1428" w:type="dxa"/>
            <w:gridSpan w:val="2"/>
            <w:tcBorders>
              <w:top w:val="nil"/>
              <w:left w:val="nil"/>
              <w:bottom w:val="single" w:sz="4" w:space="0" w:color="auto"/>
              <w:right w:val="nil"/>
            </w:tcBorders>
          </w:tcPr>
          <w:p w:rsidR="00F47828" w:rsidRDefault="00F47828" w:rsidP="009231A3">
            <w:pPr>
              <w:pStyle w:val="TableTextRight"/>
            </w:pPr>
            <w:r>
              <w:t>n/a</w:t>
            </w:r>
          </w:p>
        </w:tc>
        <w:tc>
          <w:tcPr>
            <w:tcW w:w="1442" w:type="dxa"/>
            <w:gridSpan w:val="2"/>
            <w:tcBorders>
              <w:top w:val="nil"/>
              <w:left w:val="nil"/>
              <w:bottom w:val="single" w:sz="4" w:space="0" w:color="auto"/>
              <w:right w:val="nil"/>
            </w:tcBorders>
          </w:tcPr>
          <w:p w:rsidR="00F47828" w:rsidRPr="00FA01D3" w:rsidRDefault="00F47828" w:rsidP="009231A3">
            <w:pPr>
              <w:pStyle w:val="TableTextRight"/>
              <w:rPr>
                <w:rFonts w:cs="Calibri"/>
              </w:rPr>
            </w:pPr>
            <w:r w:rsidRPr="00FA01D3">
              <w:rPr>
                <w:rFonts w:cs="Calibri"/>
              </w:rPr>
              <w:t>0</w:t>
            </w:r>
          </w:p>
        </w:tc>
      </w:tr>
    </w:tbl>
    <w:p w:rsidR="00F47828" w:rsidRPr="00212281" w:rsidRDefault="00F47828" w:rsidP="00662EB7">
      <w:pPr>
        <w:pStyle w:val="Noteheading"/>
        <w:ind w:left="0"/>
        <w:rPr>
          <w:sz w:val="16"/>
          <w:szCs w:val="16"/>
        </w:rPr>
      </w:pPr>
      <w:r w:rsidRPr="00212281">
        <w:rPr>
          <w:sz w:val="16"/>
          <w:szCs w:val="16"/>
        </w:rPr>
        <w:t>Note</w:t>
      </w:r>
      <w:r w:rsidR="00BA17D9">
        <w:rPr>
          <w:sz w:val="16"/>
          <w:szCs w:val="16"/>
        </w:rPr>
        <w:t>s</w:t>
      </w:r>
      <w:r>
        <w:rPr>
          <w:sz w:val="16"/>
          <w:szCs w:val="16"/>
        </w:rPr>
        <w:t>:</w:t>
      </w:r>
    </w:p>
    <w:p w:rsidR="00F41142" w:rsidRPr="00F41142" w:rsidRDefault="00F41142" w:rsidP="000446AB">
      <w:pPr>
        <w:pStyle w:val="AINotes"/>
        <w:numPr>
          <w:ilvl w:val="0"/>
          <w:numId w:val="35"/>
        </w:numPr>
        <w:rPr>
          <w:szCs w:val="16"/>
        </w:rPr>
      </w:pPr>
      <w:r>
        <w:rPr>
          <w:rStyle w:val="NoteTextChar"/>
        </w:rPr>
        <w:t>These</w:t>
      </w:r>
      <w:r w:rsidRPr="003F1782">
        <w:rPr>
          <w:rStyle w:val="NoteTextChar"/>
        </w:rPr>
        <w:t xml:space="preserve"> indicator</w:t>
      </w:r>
      <w:r>
        <w:rPr>
          <w:rStyle w:val="NoteTextChar"/>
        </w:rPr>
        <w:t>s were</w:t>
      </w:r>
      <w:r w:rsidRPr="003F1782">
        <w:rPr>
          <w:rStyle w:val="NoteTextChar"/>
        </w:rPr>
        <w:t xml:space="preserve"> previously reported by the </w:t>
      </w:r>
      <w:r>
        <w:rPr>
          <w:rStyle w:val="NoteTextChar"/>
        </w:rPr>
        <w:t>Shared Services Centre</w:t>
      </w:r>
      <w:r w:rsidRPr="003F1782">
        <w:rPr>
          <w:rStyle w:val="NoteTextChar"/>
        </w:rPr>
        <w:t xml:space="preserve"> under </w:t>
      </w:r>
      <w:r>
        <w:t xml:space="preserve">Output 1.1 </w:t>
      </w:r>
      <w:r w:rsidRPr="00FA01D3">
        <w:rPr>
          <w:rFonts w:cs="Calibri"/>
        </w:rPr>
        <w:t>Shared Services ICT</w:t>
      </w:r>
      <w:r>
        <w:rPr>
          <w:rFonts w:cs="Calibri"/>
        </w:rPr>
        <w:t>.</w:t>
      </w:r>
    </w:p>
    <w:p w:rsidR="00F47828" w:rsidRDefault="00F47828" w:rsidP="000446AB">
      <w:pPr>
        <w:pStyle w:val="AINotes"/>
        <w:numPr>
          <w:ilvl w:val="0"/>
          <w:numId w:val="35"/>
        </w:numPr>
        <w:rPr>
          <w:szCs w:val="16"/>
        </w:rPr>
      </w:pPr>
      <w:r w:rsidRPr="004526CC">
        <w:rPr>
          <w:szCs w:val="16"/>
        </w:rPr>
        <w:t>Established by determining up-time of each core component of the network across core business hours (Monday to Friday 8am to 6pm).</w:t>
      </w:r>
    </w:p>
    <w:p w:rsidR="00F47828" w:rsidRPr="004526CC" w:rsidRDefault="00F47828" w:rsidP="000446AB">
      <w:pPr>
        <w:pStyle w:val="AINotes"/>
        <w:numPr>
          <w:ilvl w:val="0"/>
          <w:numId w:val="35"/>
        </w:numPr>
        <w:rPr>
          <w:szCs w:val="16"/>
        </w:rPr>
      </w:pPr>
      <w:r w:rsidRPr="004526CC">
        <w:rPr>
          <w:szCs w:val="16"/>
        </w:rPr>
        <w:t xml:space="preserve">Established by determining how </w:t>
      </w:r>
      <w:r>
        <w:rPr>
          <w:szCs w:val="16"/>
        </w:rPr>
        <w:t xml:space="preserve">quickly requests made to </w:t>
      </w:r>
      <w:r w:rsidR="00F41142">
        <w:rPr>
          <w:szCs w:val="16"/>
        </w:rPr>
        <w:t xml:space="preserve">the </w:t>
      </w:r>
      <w:r>
        <w:rPr>
          <w:szCs w:val="16"/>
        </w:rPr>
        <w:t xml:space="preserve">ICT </w:t>
      </w:r>
      <w:r w:rsidRPr="004526CC">
        <w:rPr>
          <w:szCs w:val="16"/>
        </w:rPr>
        <w:t>Service Desk are resolved in comparison to agreed Service Level Agreement timeframes.</w:t>
      </w:r>
    </w:p>
    <w:p w:rsidR="00F41142" w:rsidRDefault="00F41142">
      <w:r>
        <w:br w:type="page"/>
      </w:r>
    </w:p>
    <w:p w:rsidR="00F41142" w:rsidRDefault="00F41142" w:rsidP="00F41142">
      <w:pPr>
        <w:pStyle w:val="Heading3"/>
        <w:spacing w:before="0"/>
      </w:pPr>
      <w:proofErr w:type="gramStart"/>
      <w:r>
        <w:lastRenderedPageBreak/>
        <w:t>Accountability Indicators cont.</w:t>
      </w:r>
      <w:proofErr w:type="gramEnd"/>
    </w:p>
    <w:tbl>
      <w:tblPr>
        <w:tblW w:w="9356" w:type="dxa"/>
        <w:tblLook w:val="0000"/>
      </w:tblPr>
      <w:tblGrid>
        <w:gridCol w:w="5066"/>
        <w:gridCol w:w="1430"/>
        <w:gridCol w:w="1430"/>
        <w:gridCol w:w="1430"/>
      </w:tblGrid>
      <w:tr w:rsidR="00F41142" w:rsidTr="00E64FDB">
        <w:trPr>
          <w:cantSplit/>
        </w:trPr>
        <w:tc>
          <w:tcPr>
            <w:tcW w:w="5066" w:type="dxa"/>
            <w:tcBorders>
              <w:top w:val="single" w:sz="4" w:space="0" w:color="auto"/>
            </w:tcBorders>
          </w:tcPr>
          <w:p w:rsidR="00F41142" w:rsidRPr="00FA01D3" w:rsidRDefault="00F41142" w:rsidP="00F41142">
            <w:pPr>
              <w:rPr>
                <w:rFonts w:cs="Calibri"/>
                <w:sz w:val="20"/>
              </w:rPr>
            </w:pPr>
            <w:r w:rsidRPr="00FA01D3">
              <w:rPr>
                <w:rFonts w:cs="Calibri"/>
                <w:sz w:val="20"/>
              </w:rPr>
              <w:t> </w:t>
            </w:r>
          </w:p>
        </w:tc>
        <w:tc>
          <w:tcPr>
            <w:tcW w:w="1430" w:type="dxa"/>
            <w:tcBorders>
              <w:top w:val="single" w:sz="4" w:space="0" w:color="auto"/>
            </w:tcBorders>
          </w:tcPr>
          <w:p w:rsidR="00F41142" w:rsidRPr="00FA01D3" w:rsidRDefault="00F41142" w:rsidP="00E64FDB">
            <w:pPr>
              <w:pStyle w:val="Heading6"/>
              <w:rPr>
                <w:rFonts w:cs="Calibri"/>
                <w:bCs/>
              </w:rPr>
            </w:pPr>
            <w:r w:rsidRPr="00FA01D3">
              <w:rPr>
                <w:rFonts w:cs="Calibri"/>
                <w:bCs/>
              </w:rPr>
              <w:t>2012-13</w:t>
            </w:r>
          </w:p>
        </w:tc>
        <w:tc>
          <w:tcPr>
            <w:tcW w:w="1430" w:type="dxa"/>
            <w:tcBorders>
              <w:top w:val="single" w:sz="4" w:space="0" w:color="auto"/>
            </w:tcBorders>
          </w:tcPr>
          <w:p w:rsidR="00F41142" w:rsidRPr="00FA01D3" w:rsidRDefault="00F41142" w:rsidP="00E64FDB">
            <w:pPr>
              <w:pStyle w:val="Heading6"/>
              <w:rPr>
                <w:rFonts w:cs="Calibri"/>
                <w:bCs/>
              </w:rPr>
            </w:pPr>
            <w:r w:rsidRPr="00FA01D3">
              <w:rPr>
                <w:rFonts w:cs="Calibri"/>
                <w:bCs/>
              </w:rPr>
              <w:t>2012-13</w:t>
            </w:r>
          </w:p>
        </w:tc>
        <w:tc>
          <w:tcPr>
            <w:tcW w:w="1430" w:type="dxa"/>
            <w:tcBorders>
              <w:top w:val="single" w:sz="4" w:space="0" w:color="auto"/>
            </w:tcBorders>
          </w:tcPr>
          <w:p w:rsidR="00F41142" w:rsidRPr="00FA01D3" w:rsidRDefault="00F41142" w:rsidP="00E64FDB">
            <w:pPr>
              <w:pStyle w:val="Heading6"/>
              <w:rPr>
                <w:rFonts w:cs="Calibri"/>
                <w:bCs/>
              </w:rPr>
            </w:pPr>
            <w:r>
              <w:rPr>
                <w:rFonts w:cs="Calibri"/>
                <w:bCs/>
              </w:rPr>
              <w:t>2013-14</w:t>
            </w:r>
          </w:p>
        </w:tc>
      </w:tr>
      <w:tr w:rsidR="00F41142" w:rsidTr="00E64FDB">
        <w:trPr>
          <w:cantSplit/>
        </w:trPr>
        <w:tc>
          <w:tcPr>
            <w:tcW w:w="5066" w:type="dxa"/>
            <w:tcBorders>
              <w:bottom w:val="single" w:sz="4" w:space="0" w:color="auto"/>
            </w:tcBorders>
          </w:tcPr>
          <w:p w:rsidR="00F41142" w:rsidRPr="00FA01D3" w:rsidRDefault="00F41142" w:rsidP="00F41142">
            <w:pPr>
              <w:rPr>
                <w:rFonts w:cs="Calibri"/>
                <w:sz w:val="20"/>
              </w:rPr>
            </w:pPr>
            <w:r w:rsidRPr="00FA01D3">
              <w:rPr>
                <w:rFonts w:cs="Calibri"/>
                <w:sz w:val="20"/>
              </w:rPr>
              <w:t> </w:t>
            </w:r>
          </w:p>
        </w:tc>
        <w:tc>
          <w:tcPr>
            <w:tcW w:w="1430" w:type="dxa"/>
            <w:tcBorders>
              <w:bottom w:val="single" w:sz="4" w:space="0" w:color="auto"/>
            </w:tcBorders>
          </w:tcPr>
          <w:p w:rsidR="00F41142" w:rsidRPr="00FA01D3" w:rsidRDefault="00F41142" w:rsidP="00E64FDB">
            <w:pPr>
              <w:pStyle w:val="Heading6"/>
              <w:rPr>
                <w:rFonts w:cs="Calibri"/>
              </w:rPr>
            </w:pPr>
            <w:r w:rsidRPr="00FA01D3">
              <w:rPr>
                <w:rFonts w:cs="Calibri"/>
              </w:rPr>
              <w:t>Targets</w:t>
            </w:r>
          </w:p>
        </w:tc>
        <w:tc>
          <w:tcPr>
            <w:tcW w:w="1430" w:type="dxa"/>
            <w:tcBorders>
              <w:bottom w:val="single" w:sz="4" w:space="0" w:color="auto"/>
            </w:tcBorders>
          </w:tcPr>
          <w:p w:rsidR="00F41142" w:rsidRPr="00FA01D3" w:rsidRDefault="00F41142" w:rsidP="00E64FDB">
            <w:pPr>
              <w:pStyle w:val="Heading6"/>
              <w:rPr>
                <w:rFonts w:cs="Calibri"/>
              </w:rPr>
            </w:pPr>
            <w:r w:rsidRPr="00FA01D3">
              <w:rPr>
                <w:rFonts w:cs="Calibri"/>
              </w:rPr>
              <w:t>Est. Outcome</w:t>
            </w:r>
          </w:p>
        </w:tc>
        <w:tc>
          <w:tcPr>
            <w:tcW w:w="1430" w:type="dxa"/>
            <w:tcBorders>
              <w:bottom w:val="single" w:sz="4" w:space="0" w:color="auto"/>
            </w:tcBorders>
          </w:tcPr>
          <w:p w:rsidR="00F41142" w:rsidRPr="00FA01D3" w:rsidRDefault="00F41142" w:rsidP="00E64FDB">
            <w:pPr>
              <w:pStyle w:val="Heading6"/>
              <w:rPr>
                <w:rFonts w:cs="Calibri"/>
              </w:rPr>
            </w:pPr>
            <w:r w:rsidRPr="00FA01D3">
              <w:rPr>
                <w:rFonts w:cs="Calibri"/>
              </w:rPr>
              <w:t>Targets</w:t>
            </w:r>
          </w:p>
        </w:tc>
      </w:tr>
      <w:tr w:rsidR="00F47828" w:rsidRPr="00FA01D3" w:rsidTr="00F41142">
        <w:trPr>
          <w:trHeight w:val="270"/>
        </w:trPr>
        <w:tc>
          <w:tcPr>
            <w:tcW w:w="5066"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Pr>
                <w:rFonts w:cs="Calibri"/>
              </w:rPr>
              <w:t>Output Class 3</w:t>
            </w:r>
            <w:r w:rsidRPr="00FA01D3">
              <w:rPr>
                <w:rFonts w:cs="Calibri"/>
              </w:rPr>
              <w:t xml:space="preserve">:  Shared Services Procurement </w:t>
            </w:r>
          </w:p>
        </w:tc>
        <w:tc>
          <w:tcPr>
            <w:tcW w:w="1430"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30"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30"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r>
      <w:tr w:rsidR="00F47828" w:rsidRPr="00FA01D3" w:rsidTr="00F41142">
        <w:trPr>
          <w:trHeight w:val="270"/>
        </w:trPr>
        <w:tc>
          <w:tcPr>
            <w:tcW w:w="5066"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Pr>
                <w:rFonts w:cs="Calibri"/>
              </w:rPr>
              <w:t>Output 3</w:t>
            </w:r>
            <w:r w:rsidRPr="00FA01D3">
              <w:rPr>
                <w:rFonts w:cs="Calibri"/>
              </w:rPr>
              <w:t xml:space="preserve">.1:  Shared Services Procurement </w:t>
            </w:r>
          </w:p>
        </w:tc>
        <w:tc>
          <w:tcPr>
            <w:tcW w:w="1430"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30"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30"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r>
      <w:tr w:rsidR="00F47828" w:rsidRPr="00FA01D3" w:rsidTr="00E64FDB">
        <w:trPr>
          <w:trHeight w:val="434"/>
        </w:trPr>
        <w:tc>
          <w:tcPr>
            <w:tcW w:w="5066" w:type="dxa"/>
            <w:tcBorders>
              <w:top w:val="single" w:sz="4" w:space="0" w:color="auto"/>
              <w:left w:val="nil"/>
              <w:right w:val="nil"/>
            </w:tcBorders>
          </w:tcPr>
          <w:p w:rsidR="00F47828" w:rsidRPr="00B75502" w:rsidRDefault="00F47828" w:rsidP="00E64FDB">
            <w:pPr>
              <w:pStyle w:val="TableTextIndent"/>
              <w:numPr>
                <w:ilvl w:val="0"/>
                <w:numId w:val="37"/>
              </w:numPr>
              <w:spacing w:before="0"/>
              <w:rPr>
                <w:rFonts w:cs="Calibri"/>
                <w:szCs w:val="20"/>
              </w:rPr>
            </w:pPr>
            <w:r w:rsidRPr="00B75502">
              <w:rPr>
                <w:rFonts w:cs="Calibri"/>
                <w:szCs w:val="20"/>
              </w:rPr>
              <w:t xml:space="preserve">Proportion of </w:t>
            </w:r>
            <w:r w:rsidR="00F41142">
              <w:rPr>
                <w:rFonts w:cs="Calibri"/>
                <w:szCs w:val="20"/>
              </w:rPr>
              <w:t xml:space="preserve">the </w:t>
            </w:r>
            <w:r w:rsidRPr="00B75502">
              <w:rPr>
                <w:rFonts w:cs="Calibri"/>
                <w:szCs w:val="20"/>
              </w:rPr>
              <w:t>Government funded annual capital works program supported with project procurement services</w:t>
            </w:r>
            <w:r w:rsidRPr="00B75502">
              <w:rPr>
                <w:rFonts w:cs="Calibri"/>
                <w:szCs w:val="20"/>
                <w:vertAlign w:val="superscript"/>
              </w:rPr>
              <w:t>1</w:t>
            </w:r>
          </w:p>
        </w:tc>
        <w:tc>
          <w:tcPr>
            <w:tcW w:w="1430" w:type="dxa"/>
            <w:tcBorders>
              <w:top w:val="single" w:sz="4" w:space="0" w:color="auto"/>
              <w:left w:val="nil"/>
              <w:right w:val="nil"/>
            </w:tcBorders>
          </w:tcPr>
          <w:p w:rsidR="00F47828" w:rsidRDefault="00F47828" w:rsidP="00E64FDB">
            <w:pPr>
              <w:pStyle w:val="TableTextRight"/>
            </w:pPr>
            <w:r>
              <w:t>n/a</w:t>
            </w:r>
          </w:p>
        </w:tc>
        <w:tc>
          <w:tcPr>
            <w:tcW w:w="1430" w:type="dxa"/>
            <w:tcBorders>
              <w:top w:val="single" w:sz="4" w:space="0" w:color="auto"/>
              <w:left w:val="nil"/>
              <w:right w:val="nil"/>
            </w:tcBorders>
          </w:tcPr>
          <w:p w:rsidR="00F47828" w:rsidRDefault="00F47828" w:rsidP="00E64FDB">
            <w:pPr>
              <w:pStyle w:val="TableTextRight"/>
            </w:pPr>
            <w:r>
              <w:t>n/a</w:t>
            </w:r>
          </w:p>
        </w:tc>
        <w:tc>
          <w:tcPr>
            <w:tcW w:w="1430" w:type="dxa"/>
            <w:tcBorders>
              <w:top w:val="single" w:sz="4" w:space="0" w:color="auto"/>
              <w:left w:val="nil"/>
              <w:right w:val="nil"/>
            </w:tcBorders>
          </w:tcPr>
          <w:p w:rsidR="00F47828" w:rsidRPr="00FA01D3" w:rsidRDefault="00F47828" w:rsidP="00E64FDB">
            <w:pPr>
              <w:pStyle w:val="TableTextRight"/>
              <w:rPr>
                <w:rFonts w:cs="Calibri"/>
              </w:rPr>
            </w:pPr>
            <w:r w:rsidRPr="00FA01D3">
              <w:rPr>
                <w:rFonts w:cs="Calibri"/>
              </w:rPr>
              <w:t>90%</w:t>
            </w:r>
          </w:p>
        </w:tc>
      </w:tr>
      <w:tr w:rsidR="00F47828" w:rsidRPr="00FA01D3" w:rsidTr="00E64FDB">
        <w:trPr>
          <w:trHeight w:val="535"/>
        </w:trPr>
        <w:tc>
          <w:tcPr>
            <w:tcW w:w="5066" w:type="dxa"/>
            <w:tcBorders>
              <w:top w:val="nil"/>
              <w:left w:val="nil"/>
              <w:bottom w:val="nil"/>
              <w:right w:val="nil"/>
            </w:tcBorders>
          </w:tcPr>
          <w:p w:rsidR="00F47828" w:rsidRPr="00FA01D3" w:rsidRDefault="00F47828" w:rsidP="00E64FDB">
            <w:pPr>
              <w:pStyle w:val="TableTextIndent"/>
              <w:numPr>
                <w:ilvl w:val="0"/>
                <w:numId w:val="13"/>
              </w:numPr>
              <w:spacing w:before="0"/>
              <w:rPr>
                <w:rFonts w:cs="Calibri"/>
                <w:szCs w:val="20"/>
              </w:rPr>
            </w:pPr>
            <w:r w:rsidRPr="00FA01D3">
              <w:rPr>
                <w:rFonts w:cs="Calibri"/>
                <w:szCs w:val="20"/>
              </w:rPr>
              <w:t xml:space="preserve">Proportion of tenders available to potential </w:t>
            </w:r>
            <w:proofErr w:type="spellStart"/>
            <w:r w:rsidRPr="00FA01D3">
              <w:rPr>
                <w:rFonts w:cs="Calibri"/>
                <w:szCs w:val="20"/>
              </w:rPr>
              <w:t>tenderers</w:t>
            </w:r>
            <w:proofErr w:type="spellEnd"/>
            <w:r w:rsidRPr="00FA01D3">
              <w:rPr>
                <w:rFonts w:cs="Calibri"/>
                <w:szCs w:val="20"/>
              </w:rPr>
              <w:t xml:space="preserve"> in electronic format</w:t>
            </w:r>
            <w:r>
              <w:rPr>
                <w:rFonts w:cs="Calibri"/>
                <w:szCs w:val="20"/>
                <w:vertAlign w:val="superscript"/>
              </w:rPr>
              <w:t>2</w:t>
            </w:r>
          </w:p>
        </w:tc>
        <w:tc>
          <w:tcPr>
            <w:tcW w:w="1430" w:type="dxa"/>
            <w:tcBorders>
              <w:top w:val="nil"/>
              <w:left w:val="nil"/>
              <w:bottom w:val="nil"/>
              <w:right w:val="nil"/>
            </w:tcBorders>
          </w:tcPr>
          <w:p w:rsidR="00F47828" w:rsidRDefault="00F47828" w:rsidP="00E64FDB">
            <w:pPr>
              <w:pStyle w:val="TableTextRight"/>
            </w:pPr>
            <w:r>
              <w:t>n/a</w:t>
            </w:r>
          </w:p>
        </w:tc>
        <w:tc>
          <w:tcPr>
            <w:tcW w:w="1430" w:type="dxa"/>
            <w:tcBorders>
              <w:top w:val="nil"/>
              <w:left w:val="nil"/>
              <w:bottom w:val="nil"/>
              <w:right w:val="nil"/>
            </w:tcBorders>
          </w:tcPr>
          <w:p w:rsidR="00F47828" w:rsidRDefault="00F47828" w:rsidP="00E64FDB">
            <w:pPr>
              <w:pStyle w:val="TableTextRight"/>
            </w:pPr>
            <w:r>
              <w:t>n/a</w:t>
            </w:r>
          </w:p>
        </w:tc>
        <w:tc>
          <w:tcPr>
            <w:tcW w:w="1430" w:type="dxa"/>
            <w:tcBorders>
              <w:top w:val="nil"/>
              <w:left w:val="nil"/>
              <w:bottom w:val="nil"/>
              <w:right w:val="nil"/>
            </w:tcBorders>
          </w:tcPr>
          <w:p w:rsidR="00F47828" w:rsidRPr="00FA01D3" w:rsidRDefault="00F47828" w:rsidP="00E64FDB">
            <w:pPr>
              <w:pStyle w:val="TableTextRight"/>
              <w:rPr>
                <w:rFonts w:cs="Calibri"/>
                <w:highlight w:val="yellow"/>
              </w:rPr>
            </w:pPr>
            <w:r>
              <w:rPr>
                <w:rFonts w:cs="Calibri"/>
              </w:rPr>
              <w:t>&gt;6</w:t>
            </w:r>
            <w:r w:rsidRPr="00FA01D3">
              <w:rPr>
                <w:rFonts w:cs="Calibri"/>
              </w:rPr>
              <w:t>0%</w:t>
            </w:r>
          </w:p>
        </w:tc>
      </w:tr>
      <w:tr w:rsidR="00F47828" w:rsidRPr="00FA01D3" w:rsidTr="00E64FDB">
        <w:trPr>
          <w:trHeight w:val="340"/>
        </w:trPr>
        <w:tc>
          <w:tcPr>
            <w:tcW w:w="5066" w:type="dxa"/>
            <w:tcBorders>
              <w:top w:val="nil"/>
              <w:left w:val="nil"/>
              <w:bottom w:val="single" w:sz="4" w:space="0" w:color="auto"/>
              <w:right w:val="nil"/>
            </w:tcBorders>
          </w:tcPr>
          <w:p w:rsidR="00F47828" w:rsidRPr="00FA01D3" w:rsidRDefault="00476B75" w:rsidP="00476B75">
            <w:pPr>
              <w:pStyle w:val="TableTextIndent"/>
              <w:numPr>
                <w:ilvl w:val="0"/>
                <w:numId w:val="13"/>
              </w:numPr>
              <w:spacing w:before="0"/>
              <w:rPr>
                <w:rFonts w:cs="Calibri"/>
                <w:szCs w:val="20"/>
              </w:rPr>
            </w:pPr>
            <w:r>
              <w:rPr>
                <w:rFonts w:cs="Calibri"/>
                <w:szCs w:val="20"/>
              </w:rPr>
              <w:t>Average square m</w:t>
            </w:r>
            <w:r w:rsidR="00F47828" w:rsidRPr="00662EB7">
              <w:rPr>
                <w:rFonts w:cs="Calibri"/>
                <w:szCs w:val="20"/>
              </w:rPr>
              <w:t>et</w:t>
            </w:r>
            <w:r w:rsidR="00F41142">
              <w:rPr>
                <w:rFonts w:cs="Calibri"/>
                <w:szCs w:val="20"/>
              </w:rPr>
              <w:t>re</w:t>
            </w:r>
            <w:r w:rsidR="00F47828" w:rsidRPr="00662EB7">
              <w:rPr>
                <w:rFonts w:cs="Calibri"/>
                <w:szCs w:val="20"/>
              </w:rPr>
              <w:t xml:space="preserve">s of </w:t>
            </w:r>
            <w:r>
              <w:rPr>
                <w:rFonts w:cs="Calibri"/>
                <w:szCs w:val="20"/>
              </w:rPr>
              <w:t>office accommodation per e</w:t>
            </w:r>
            <w:r w:rsidR="00F47828" w:rsidRPr="00662EB7">
              <w:rPr>
                <w:rFonts w:cs="Calibri"/>
                <w:szCs w:val="20"/>
              </w:rPr>
              <w:t>mployee</w:t>
            </w:r>
            <w:r w:rsidR="00F47828" w:rsidRPr="00FA01D3">
              <w:rPr>
                <w:rFonts w:cs="Calibri"/>
                <w:szCs w:val="20"/>
                <w:vertAlign w:val="superscript"/>
              </w:rPr>
              <w:t>3</w:t>
            </w:r>
          </w:p>
        </w:tc>
        <w:tc>
          <w:tcPr>
            <w:tcW w:w="1430" w:type="dxa"/>
            <w:tcBorders>
              <w:top w:val="nil"/>
              <w:left w:val="nil"/>
              <w:bottom w:val="single" w:sz="4" w:space="0" w:color="auto"/>
              <w:right w:val="nil"/>
            </w:tcBorders>
          </w:tcPr>
          <w:p w:rsidR="00F47828" w:rsidRPr="00FA01D3" w:rsidRDefault="00F47828" w:rsidP="00E64FDB">
            <w:pPr>
              <w:pStyle w:val="TableTextRight"/>
              <w:rPr>
                <w:rFonts w:cs="Calibri"/>
              </w:rPr>
            </w:pPr>
            <w:r>
              <w:rPr>
                <w:rFonts w:cs="Calibri"/>
              </w:rPr>
              <w:t>n/a</w:t>
            </w:r>
          </w:p>
        </w:tc>
        <w:tc>
          <w:tcPr>
            <w:tcW w:w="1430" w:type="dxa"/>
            <w:tcBorders>
              <w:top w:val="nil"/>
              <w:left w:val="nil"/>
              <w:bottom w:val="single" w:sz="4" w:space="0" w:color="auto"/>
              <w:right w:val="nil"/>
            </w:tcBorders>
          </w:tcPr>
          <w:p w:rsidR="00F47828" w:rsidRPr="00FA01D3" w:rsidRDefault="00F47828" w:rsidP="00E64FDB">
            <w:pPr>
              <w:pStyle w:val="TableTextRight"/>
              <w:rPr>
                <w:rFonts w:cs="Calibri"/>
              </w:rPr>
            </w:pPr>
            <w:r>
              <w:rPr>
                <w:rFonts w:cs="Calibri"/>
              </w:rPr>
              <w:t>n/a</w:t>
            </w:r>
          </w:p>
        </w:tc>
        <w:tc>
          <w:tcPr>
            <w:tcW w:w="1430" w:type="dxa"/>
            <w:tcBorders>
              <w:top w:val="nil"/>
              <w:left w:val="nil"/>
              <w:bottom w:val="single" w:sz="4" w:space="0" w:color="auto"/>
              <w:right w:val="nil"/>
            </w:tcBorders>
          </w:tcPr>
          <w:p w:rsidR="00F47828" w:rsidRPr="00FA01D3" w:rsidRDefault="00F47828" w:rsidP="00E64FDB">
            <w:pPr>
              <w:pStyle w:val="TableTextRight"/>
              <w:ind w:left="720" w:firstLine="0"/>
              <w:rPr>
                <w:rFonts w:cs="Calibri"/>
                <w:highlight w:val="yellow"/>
              </w:rPr>
            </w:pPr>
            <w:r>
              <w:rPr>
                <w:rFonts w:cs="Calibri"/>
              </w:rPr>
              <w:t>15.5</w:t>
            </w:r>
          </w:p>
        </w:tc>
      </w:tr>
    </w:tbl>
    <w:p w:rsidR="00F47828" w:rsidRDefault="00F47828" w:rsidP="00476B75">
      <w:pPr>
        <w:pStyle w:val="NoteHeading0"/>
      </w:pPr>
      <w:r>
        <w:t>Notes:</w:t>
      </w:r>
    </w:p>
    <w:p w:rsidR="00F47828" w:rsidRPr="005B3EBE" w:rsidRDefault="00F47828" w:rsidP="000446AB">
      <w:pPr>
        <w:pStyle w:val="AINotes"/>
        <w:numPr>
          <w:ilvl w:val="0"/>
          <w:numId w:val="36"/>
        </w:numPr>
        <w:rPr>
          <w:szCs w:val="16"/>
        </w:rPr>
      </w:pPr>
      <w:r>
        <w:t xml:space="preserve">This excludes capital works associated </w:t>
      </w:r>
      <w:r w:rsidRPr="00662EB7">
        <w:t xml:space="preserve">with land development, housing, capital upgrades, capital ICT works, capital grants and </w:t>
      </w:r>
      <w:r>
        <w:t xml:space="preserve">property, </w:t>
      </w:r>
      <w:r w:rsidRPr="00662EB7">
        <w:t>plant and equipment due to the nature of these specific capital works activities.  Whilst individual projects may be completed during the year, the total proportion is measured annually</w:t>
      </w:r>
      <w:r w:rsidRPr="00232397">
        <w:t>.</w:t>
      </w:r>
      <w:r>
        <w:t xml:space="preserve">  </w:t>
      </w:r>
      <w:r w:rsidRPr="003F1782">
        <w:rPr>
          <w:rStyle w:val="NoteTextChar"/>
        </w:rPr>
        <w:t xml:space="preserve">This indicator was previously reported by the </w:t>
      </w:r>
      <w:r>
        <w:rPr>
          <w:rStyle w:val="NoteTextChar"/>
        </w:rPr>
        <w:t>Shared Services Centre</w:t>
      </w:r>
      <w:r w:rsidRPr="003F1782">
        <w:rPr>
          <w:rStyle w:val="NoteTextChar"/>
        </w:rPr>
        <w:t xml:space="preserve"> under </w:t>
      </w:r>
      <w:r>
        <w:t xml:space="preserve">Output 2.1 </w:t>
      </w:r>
      <w:r w:rsidRPr="005B3EBE">
        <w:rPr>
          <w:rFonts w:cs="Calibri"/>
        </w:rPr>
        <w:t>Shared Services Procurement</w:t>
      </w:r>
      <w:r>
        <w:t>.</w:t>
      </w:r>
    </w:p>
    <w:p w:rsidR="00F47828" w:rsidRPr="005B3EBE" w:rsidRDefault="00F47828" w:rsidP="000446AB">
      <w:pPr>
        <w:pStyle w:val="AINotes"/>
        <w:numPr>
          <w:ilvl w:val="0"/>
          <w:numId w:val="36"/>
        </w:numPr>
        <w:rPr>
          <w:szCs w:val="16"/>
        </w:rPr>
      </w:pPr>
      <w:r w:rsidRPr="00212661">
        <w:rPr>
          <w:szCs w:val="16"/>
        </w:rPr>
        <w:t>It measures the proportion of tenders published on the Shared Services Procurement website that are available to the public to download in electronic forma</w:t>
      </w:r>
      <w:r>
        <w:rPr>
          <w:szCs w:val="16"/>
        </w:rPr>
        <w:t xml:space="preserve">t.  </w:t>
      </w:r>
      <w:r w:rsidRPr="003F1782">
        <w:rPr>
          <w:rStyle w:val="NoteTextChar"/>
        </w:rPr>
        <w:t xml:space="preserve">This indicator was previously reported by the </w:t>
      </w:r>
      <w:r>
        <w:rPr>
          <w:rStyle w:val="NoteTextChar"/>
        </w:rPr>
        <w:t>Shared Services Centre</w:t>
      </w:r>
      <w:r w:rsidRPr="003F1782">
        <w:rPr>
          <w:rStyle w:val="NoteTextChar"/>
        </w:rPr>
        <w:t xml:space="preserve"> under </w:t>
      </w:r>
      <w:r>
        <w:t xml:space="preserve">Output 2.1 </w:t>
      </w:r>
      <w:r w:rsidRPr="005B3EBE">
        <w:rPr>
          <w:rFonts w:cs="Calibri"/>
        </w:rPr>
        <w:t>Shared Services Procurement</w:t>
      </w:r>
      <w:r>
        <w:t>.</w:t>
      </w:r>
    </w:p>
    <w:p w:rsidR="00F47828" w:rsidRDefault="00F47828" w:rsidP="000446AB">
      <w:pPr>
        <w:pStyle w:val="AINotes"/>
        <w:numPr>
          <w:ilvl w:val="0"/>
          <w:numId w:val="30"/>
        </w:numPr>
        <w:rPr>
          <w:szCs w:val="16"/>
        </w:rPr>
      </w:pPr>
      <w:r w:rsidRPr="00212661">
        <w:rPr>
          <w:szCs w:val="16"/>
        </w:rPr>
        <w:t xml:space="preserve">This </w:t>
      </w:r>
      <w:r>
        <w:rPr>
          <w:szCs w:val="16"/>
        </w:rPr>
        <w:t xml:space="preserve">indicator was previously reported by the </w:t>
      </w:r>
      <w:r w:rsidRPr="00212661">
        <w:rPr>
          <w:szCs w:val="16"/>
        </w:rPr>
        <w:t>Economic</w:t>
      </w:r>
      <w:r>
        <w:rPr>
          <w:szCs w:val="16"/>
        </w:rPr>
        <w:t xml:space="preserve"> Development Directorate under Output 1.6 Land Strategy and Infrastructure Delivery.  For 2012-13 estimated </w:t>
      </w:r>
      <w:proofErr w:type="gramStart"/>
      <w:r>
        <w:rPr>
          <w:szCs w:val="16"/>
        </w:rPr>
        <w:t>outcome</w:t>
      </w:r>
      <w:proofErr w:type="gramEnd"/>
      <w:r>
        <w:rPr>
          <w:szCs w:val="16"/>
        </w:rPr>
        <w:t xml:space="preserve"> this indicator is reported under Output Class 1.1 Revenue and Government Business Management.</w:t>
      </w:r>
    </w:p>
    <w:p w:rsidR="00F47828" w:rsidRDefault="00F47828" w:rsidP="00DE21FC"/>
    <w:tbl>
      <w:tblPr>
        <w:tblW w:w="9356" w:type="dxa"/>
        <w:tblLook w:val="0000"/>
      </w:tblPr>
      <w:tblGrid>
        <w:gridCol w:w="5066"/>
        <w:gridCol w:w="1430"/>
        <w:gridCol w:w="1430"/>
        <w:gridCol w:w="1430"/>
      </w:tblGrid>
      <w:tr w:rsidR="00F41142" w:rsidTr="00CB694F">
        <w:tc>
          <w:tcPr>
            <w:tcW w:w="5063" w:type="dxa"/>
            <w:tcBorders>
              <w:top w:val="single" w:sz="4" w:space="0" w:color="auto"/>
            </w:tcBorders>
          </w:tcPr>
          <w:p w:rsidR="00F41142" w:rsidRPr="00FA01D3" w:rsidRDefault="00F41142" w:rsidP="00F41142">
            <w:pPr>
              <w:rPr>
                <w:rFonts w:cs="Calibri"/>
                <w:sz w:val="20"/>
              </w:rPr>
            </w:pPr>
            <w:r w:rsidRPr="00FA01D3">
              <w:rPr>
                <w:rFonts w:cs="Calibri"/>
                <w:sz w:val="20"/>
              </w:rPr>
              <w:t> </w:t>
            </w:r>
          </w:p>
        </w:tc>
        <w:tc>
          <w:tcPr>
            <w:tcW w:w="1429" w:type="dxa"/>
            <w:tcBorders>
              <w:top w:val="single" w:sz="4" w:space="0" w:color="auto"/>
            </w:tcBorders>
          </w:tcPr>
          <w:p w:rsidR="00F41142" w:rsidRPr="00FA01D3" w:rsidRDefault="00F41142" w:rsidP="00CB694F">
            <w:pPr>
              <w:pStyle w:val="Heading6"/>
              <w:rPr>
                <w:rFonts w:cs="Calibri"/>
                <w:bCs/>
              </w:rPr>
            </w:pPr>
            <w:r w:rsidRPr="00FA01D3">
              <w:rPr>
                <w:rFonts w:cs="Calibri"/>
                <w:bCs/>
              </w:rPr>
              <w:t>2012-13</w:t>
            </w:r>
          </w:p>
        </w:tc>
        <w:tc>
          <w:tcPr>
            <w:tcW w:w="1429" w:type="dxa"/>
            <w:tcBorders>
              <w:top w:val="single" w:sz="4" w:space="0" w:color="auto"/>
            </w:tcBorders>
          </w:tcPr>
          <w:p w:rsidR="00F41142" w:rsidRPr="00FA01D3" w:rsidRDefault="00F41142" w:rsidP="00CB694F">
            <w:pPr>
              <w:pStyle w:val="Heading6"/>
              <w:rPr>
                <w:rFonts w:cs="Calibri"/>
                <w:bCs/>
              </w:rPr>
            </w:pPr>
            <w:r w:rsidRPr="00FA01D3">
              <w:rPr>
                <w:rFonts w:cs="Calibri"/>
                <w:bCs/>
              </w:rPr>
              <w:t>2012-13</w:t>
            </w:r>
          </w:p>
        </w:tc>
        <w:tc>
          <w:tcPr>
            <w:tcW w:w="1429" w:type="dxa"/>
            <w:tcBorders>
              <w:top w:val="single" w:sz="4" w:space="0" w:color="auto"/>
            </w:tcBorders>
          </w:tcPr>
          <w:p w:rsidR="00F41142" w:rsidRPr="00FA01D3" w:rsidRDefault="00F41142" w:rsidP="00CB694F">
            <w:pPr>
              <w:pStyle w:val="Heading6"/>
              <w:rPr>
                <w:rFonts w:cs="Calibri"/>
                <w:bCs/>
              </w:rPr>
            </w:pPr>
            <w:r>
              <w:rPr>
                <w:rFonts w:cs="Calibri"/>
                <w:bCs/>
              </w:rPr>
              <w:t>2013-14</w:t>
            </w:r>
          </w:p>
        </w:tc>
      </w:tr>
      <w:tr w:rsidR="00F41142" w:rsidTr="00CB694F">
        <w:tc>
          <w:tcPr>
            <w:tcW w:w="5063" w:type="dxa"/>
            <w:tcBorders>
              <w:bottom w:val="single" w:sz="4" w:space="0" w:color="auto"/>
            </w:tcBorders>
          </w:tcPr>
          <w:p w:rsidR="00F41142" w:rsidRPr="00FA01D3" w:rsidRDefault="00F41142" w:rsidP="00F41142">
            <w:pPr>
              <w:rPr>
                <w:rFonts w:cs="Calibri"/>
                <w:sz w:val="20"/>
              </w:rPr>
            </w:pPr>
            <w:r w:rsidRPr="00FA01D3">
              <w:rPr>
                <w:rFonts w:cs="Calibri"/>
                <w:sz w:val="20"/>
              </w:rPr>
              <w:t> </w:t>
            </w:r>
          </w:p>
        </w:tc>
        <w:tc>
          <w:tcPr>
            <w:tcW w:w="1429" w:type="dxa"/>
            <w:tcBorders>
              <w:bottom w:val="single" w:sz="4" w:space="0" w:color="auto"/>
            </w:tcBorders>
          </w:tcPr>
          <w:p w:rsidR="00F41142" w:rsidRPr="00FA01D3" w:rsidRDefault="00F41142" w:rsidP="00CB694F">
            <w:pPr>
              <w:pStyle w:val="Heading6"/>
              <w:rPr>
                <w:rFonts w:cs="Calibri"/>
              </w:rPr>
            </w:pPr>
            <w:r w:rsidRPr="00FA01D3">
              <w:rPr>
                <w:rFonts w:cs="Calibri"/>
              </w:rPr>
              <w:t>Targets</w:t>
            </w:r>
          </w:p>
        </w:tc>
        <w:tc>
          <w:tcPr>
            <w:tcW w:w="1429" w:type="dxa"/>
            <w:tcBorders>
              <w:bottom w:val="single" w:sz="4" w:space="0" w:color="auto"/>
            </w:tcBorders>
          </w:tcPr>
          <w:p w:rsidR="00F41142" w:rsidRPr="00FA01D3" w:rsidRDefault="00F41142" w:rsidP="00CB694F">
            <w:pPr>
              <w:pStyle w:val="Heading6"/>
              <w:rPr>
                <w:rFonts w:cs="Calibri"/>
              </w:rPr>
            </w:pPr>
            <w:r w:rsidRPr="00FA01D3">
              <w:rPr>
                <w:rFonts w:cs="Calibri"/>
              </w:rPr>
              <w:t>Est. Outcome</w:t>
            </w:r>
          </w:p>
        </w:tc>
        <w:tc>
          <w:tcPr>
            <w:tcW w:w="1429" w:type="dxa"/>
            <w:tcBorders>
              <w:bottom w:val="single" w:sz="4" w:space="0" w:color="auto"/>
            </w:tcBorders>
          </w:tcPr>
          <w:p w:rsidR="00F41142" w:rsidRPr="00FA01D3" w:rsidRDefault="00F41142" w:rsidP="00CB694F">
            <w:pPr>
              <w:pStyle w:val="Heading6"/>
              <w:rPr>
                <w:rFonts w:cs="Calibri"/>
              </w:rPr>
            </w:pPr>
            <w:r w:rsidRPr="00FA01D3">
              <w:rPr>
                <w:rFonts w:cs="Calibri"/>
              </w:rPr>
              <w:t>Targets</w:t>
            </w:r>
          </w:p>
        </w:tc>
      </w:tr>
      <w:tr w:rsidR="00F47828" w:rsidRPr="00FA01D3" w:rsidTr="00CB694F">
        <w:trPr>
          <w:trHeight w:val="270"/>
        </w:trPr>
        <w:tc>
          <w:tcPr>
            <w:tcW w:w="5063"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Pr>
                <w:rFonts w:cs="Calibri"/>
              </w:rPr>
              <w:t>Output Class 4</w:t>
            </w:r>
            <w:r w:rsidRPr="00FA01D3">
              <w:rPr>
                <w:rFonts w:cs="Calibri"/>
              </w:rPr>
              <w:t>:  Shared Services Human Resources</w:t>
            </w:r>
          </w:p>
        </w:tc>
        <w:tc>
          <w:tcPr>
            <w:tcW w:w="1429"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r>
      <w:tr w:rsidR="00F47828" w:rsidRPr="00FA01D3" w:rsidTr="00CB694F">
        <w:trPr>
          <w:trHeight w:val="270"/>
        </w:trPr>
        <w:tc>
          <w:tcPr>
            <w:tcW w:w="5063"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Pr>
                <w:rFonts w:cs="Calibri"/>
              </w:rPr>
              <w:t>Output 4</w:t>
            </w:r>
            <w:r w:rsidRPr="00FA01D3">
              <w:rPr>
                <w:rFonts w:cs="Calibri"/>
              </w:rPr>
              <w:t>.1:  Shared Services Human Resources</w:t>
            </w:r>
            <w:r w:rsidR="00F41142">
              <w:rPr>
                <w:rFonts w:cs="Calibri"/>
                <w:vertAlign w:val="superscript"/>
              </w:rPr>
              <w:t>1</w:t>
            </w:r>
          </w:p>
        </w:tc>
        <w:tc>
          <w:tcPr>
            <w:tcW w:w="1429"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c>
          <w:tcPr>
            <w:tcW w:w="1429" w:type="dxa"/>
            <w:tcBorders>
              <w:top w:val="single" w:sz="4" w:space="0" w:color="auto"/>
              <w:left w:val="nil"/>
              <w:bottom w:val="single" w:sz="4" w:space="0" w:color="auto"/>
              <w:right w:val="nil"/>
            </w:tcBorders>
          </w:tcPr>
          <w:p w:rsidR="00F47828" w:rsidRPr="00FA01D3" w:rsidRDefault="00F47828" w:rsidP="00FB3601">
            <w:pPr>
              <w:pStyle w:val="Heading7"/>
              <w:rPr>
                <w:rFonts w:cs="Calibri"/>
              </w:rPr>
            </w:pPr>
            <w:r w:rsidRPr="00FA01D3">
              <w:rPr>
                <w:rFonts w:cs="Calibri"/>
              </w:rPr>
              <w:t> </w:t>
            </w:r>
          </w:p>
        </w:tc>
      </w:tr>
      <w:tr w:rsidR="00F47828" w:rsidRPr="00FA01D3" w:rsidTr="00CB694F">
        <w:trPr>
          <w:trHeight w:val="510"/>
        </w:trPr>
        <w:tc>
          <w:tcPr>
            <w:tcW w:w="5063" w:type="dxa"/>
            <w:tcBorders>
              <w:top w:val="single" w:sz="4" w:space="0" w:color="auto"/>
              <w:left w:val="nil"/>
              <w:bottom w:val="nil"/>
              <w:right w:val="nil"/>
            </w:tcBorders>
          </w:tcPr>
          <w:p w:rsidR="00F47828" w:rsidRPr="00E26118" w:rsidRDefault="00F47828" w:rsidP="00CB694F">
            <w:pPr>
              <w:pStyle w:val="TableTextIndent"/>
              <w:numPr>
                <w:ilvl w:val="0"/>
                <w:numId w:val="32"/>
              </w:numPr>
              <w:spacing w:before="0"/>
              <w:rPr>
                <w:rFonts w:cs="Calibri"/>
                <w:szCs w:val="20"/>
              </w:rPr>
            </w:pPr>
            <w:r w:rsidRPr="00E26118">
              <w:rPr>
                <w:rFonts w:cs="Calibri"/>
                <w:szCs w:val="20"/>
              </w:rPr>
              <w:t>Service requests made via the Integrated Customer Service system resolved within 5 working days</w:t>
            </w:r>
          </w:p>
        </w:tc>
        <w:tc>
          <w:tcPr>
            <w:tcW w:w="1429" w:type="dxa"/>
            <w:tcBorders>
              <w:top w:val="single" w:sz="4" w:space="0" w:color="auto"/>
              <w:left w:val="nil"/>
              <w:bottom w:val="nil"/>
              <w:right w:val="nil"/>
            </w:tcBorders>
          </w:tcPr>
          <w:p w:rsidR="00F47828" w:rsidRDefault="00F47828" w:rsidP="00CB694F">
            <w:pPr>
              <w:pStyle w:val="TableTextRight"/>
            </w:pPr>
            <w:r>
              <w:t>n/a</w:t>
            </w:r>
          </w:p>
        </w:tc>
        <w:tc>
          <w:tcPr>
            <w:tcW w:w="1429" w:type="dxa"/>
            <w:tcBorders>
              <w:top w:val="single" w:sz="4" w:space="0" w:color="auto"/>
              <w:left w:val="nil"/>
              <w:bottom w:val="nil"/>
              <w:right w:val="nil"/>
            </w:tcBorders>
          </w:tcPr>
          <w:p w:rsidR="00F47828" w:rsidRDefault="00F47828" w:rsidP="00CB694F">
            <w:pPr>
              <w:pStyle w:val="TableTextRight"/>
            </w:pPr>
            <w:r>
              <w:t>n/a</w:t>
            </w:r>
          </w:p>
        </w:tc>
        <w:tc>
          <w:tcPr>
            <w:tcW w:w="1429" w:type="dxa"/>
            <w:tcBorders>
              <w:top w:val="single" w:sz="4" w:space="0" w:color="auto"/>
              <w:left w:val="nil"/>
              <w:bottom w:val="nil"/>
              <w:right w:val="nil"/>
            </w:tcBorders>
          </w:tcPr>
          <w:p w:rsidR="00F47828" w:rsidRPr="00FA01D3" w:rsidRDefault="00F47828" w:rsidP="00CB694F">
            <w:pPr>
              <w:pStyle w:val="TableNumbersRight"/>
              <w:rPr>
                <w:rFonts w:cs="Calibri"/>
                <w:szCs w:val="20"/>
              </w:rPr>
            </w:pPr>
            <w:r>
              <w:rPr>
                <w:rFonts w:cs="Calibri"/>
                <w:szCs w:val="20"/>
              </w:rPr>
              <w:t>95</w:t>
            </w:r>
            <w:r w:rsidRPr="00FA01D3">
              <w:rPr>
                <w:rFonts w:cs="Calibri"/>
                <w:szCs w:val="20"/>
              </w:rPr>
              <w:t>%</w:t>
            </w:r>
          </w:p>
        </w:tc>
      </w:tr>
      <w:tr w:rsidR="00F47828" w:rsidRPr="00FA01D3" w:rsidTr="00CB694F">
        <w:trPr>
          <w:trHeight w:val="765"/>
        </w:trPr>
        <w:tc>
          <w:tcPr>
            <w:tcW w:w="5063" w:type="dxa"/>
            <w:tcBorders>
              <w:top w:val="nil"/>
              <w:left w:val="nil"/>
              <w:right w:val="nil"/>
            </w:tcBorders>
          </w:tcPr>
          <w:p w:rsidR="00F47828" w:rsidRPr="00FA01D3" w:rsidRDefault="00F47828" w:rsidP="00CB694F">
            <w:pPr>
              <w:pStyle w:val="TableTextIndent"/>
              <w:numPr>
                <w:ilvl w:val="0"/>
                <w:numId w:val="13"/>
              </w:numPr>
              <w:spacing w:before="0"/>
              <w:rPr>
                <w:rFonts w:cs="Calibri"/>
                <w:szCs w:val="20"/>
              </w:rPr>
            </w:pPr>
            <w:r w:rsidRPr="00FA01D3">
              <w:rPr>
                <w:rFonts w:cs="Calibri"/>
                <w:szCs w:val="20"/>
              </w:rPr>
              <w:t xml:space="preserve">Data for Annual Reports and the Workforce Profile are </w:t>
            </w:r>
            <w:r>
              <w:rPr>
                <w:rFonts w:cs="Calibri"/>
                <w:szCs w:val="20"/>
              </w:rPr>
              <w:t>supplied to the Chief Minister and Treasury Directorate</w:t>
            </w:r>
            <w:r w:rsidRPr="00FA01D3">
              <w:rPr>
                <w:rFonts w:cs="Calibri"/>
                <w:szCs w:val="20"/>
              </w:rPr>
              <w:t xml:space="preserve"> in accordance with the agreed timeframe</w:t>
            </w:r>
          </w:p>
        </w:tc>
        <w:tc>
          <w:tcPr>
            <w:tcW w:w="1429" w:type="dxa"/>
            <w:tcBorders>
              <w:top w:val="nil"/>
              <w:left w:val="nil"/>
              <w:right w:val="nil"/>
            </w:tcBorders>
          </w:tcPr>
          <w:p w:rsidR="00F47828" w:rsidRDefault="00F47828" w:rsidP="00CB694F">
            <w:pPr>
              <w:pStyle w:val="TableTextRight"/>
            </w:pPr>
            <w:r>
              <w:t>n/a</w:t>
            </w:r>
          </w:p>
        </w:tc>
        <w:tc>
          <w:tcPr>
            <w:tcW w:w="1429" w:type="dxa"/>
            <w:tcBorders>
              <w:top w:val="nil"/>
              <w:left w:val="nil"/>
              <w:right w:val="nil"/>
            </w:tcBorders>
          </w:tcPr>
          <w:p w:rsidR="00F47828" w:rsidRDefault="00F47828" w:rsidP="00CB694F">
            <w:pPr>
              <w:pStyle w:val="TableTextRight"/>
            </w:pPr>
            <w:r>
              <w:t>n/a</w:t>
            </w:r>
          </w:p>
        </w:tc>
        <w:tc>
          <w:tcPr>
            <w:tcW w:w="1429" w:type="dxa"/>
            <w:tcBorders>
              <w:top w:val="nil"/>
              <w:left w:val="nil"/>
              <w:right w:val="nil"/>
            </w:tcBorders>
          </w:tcPr>
          <w:p w:rsidR="00F47828" w:rsidRPr="00FA01D3" w:rsidRDefault="00F47828" w:rsidP="00CB694F">
            <w:pPr>
              <w:pStyle w:val="TableNumbersRight"/>
              <w:rPr>
                <w:rFonts w:cs="Calibri"/>
                <w:szCs w:val="20"/>
              </w:rPr>
            </w:pPr>
            <w:r w:rsidRPr="00FA01D3">
              <w:rPr>
                <w:rFonts w:cs="Calibri"/>
                <w:szCs w:val="20"/>
              </w:rPr>
              <w:t>100%</w:t>
            </w:r>
          </w:p>
        </w:tc>
      </w:tr>
      <w:tr w:rsidR="00F47828" w:rsidRPr="00FA01D3" w:rsidTr="00CB694F">
        <w:trPr>
          <w:trHeight w:val="720"/>
        </w:trPr>
        <w:tc>
          <w:tcPr>
            <w:tcW w:w="5063" w:type="dxa"/>
            <w:tcBorders>
              <w:top w:val="nil"/>
              <w:left w:val="nil"/>
              <w:bottom w:val="single" w:sz="4" w:space="0" w:color="auto"/>
              <w:right w:val="nil"/>
            </w:tcBorders>
          </w:tcPr>
          <w:p w:rsidR="00F47828" w:rsidRPr="00FA01D3" w:rsidRDefault="00476B75" w:rsidP="00CB694F">
            <w:pPr>
              <w:pStyle w:val="TableTextIndent"/>
              <w:numPr>
                <w:ilvl w:val="0"/>
                <w:numId w:val="13"/>
              </w:numPr>
              <w:spacing w:before="0"/>
              <w:rPr>
                <w:rFonts w:cs="Calibri"/>
                <w:szCs w:val="20"/>
              </w:rPr>
            </w:pPr>
            <w:r>
              <w:rPr>
                <w:rFonts w:cs="Calibri"/>
                <w:szCs w:val="20"/>
              </w:rPr>
              <w:t>Performance standards in recruitment s</w:t>
            </w:r>
            <w:r w:rsidR="00F47828" w:rsidRPr="00FA01D3">
              <w:rPr>
                <w:rFonts w:cs="Calibri"/>
                <w:szCs w:val="20"/>
              </w:rPr>
              <w:t>ervices for permanent and temporary vacancies service specifications achieved</w:t>
            </w:r>
            <w:r w:rsidR="00F41142">
              <w:rPr>
                <w:rFonts w:cs="Calibri"/>
                <w:szCs w:val="20"/>
                <w:vertAlign w:val="superscript"/>
              </w:rPr>
              <w:t>2</w:t>
            </w:r>
          </w:p>
        </w:tc>
        <w:tc>
          <w:tcPr>
            <w:tcW w:w="1429" w:type="dxa"/>
            <w:tcBorders>
              <w:top w:val="nil"/>
              <w:left w:val="nil"/>
              <w:bottom w:val="single" w:sz="4" w:space="0" w:color="auto"/>
              <w:right w:val="nil"/>
            </w:tcBorders>
          </w:tcPr>
          <w:p w:rsidR="00F47828" w:rsidRDefault="00F47828" w:rsidP="00CB694F">
            <w:pPr>
              <w:pStyle w:val="TableTextRight"/>
            </w:pPr>
            <w:r>
              <w:t>n/a</w:t>
            </w:r>
          </w:p>
        </w:tc>
        <w:tc>
          <w:tcPr>
            <w:tcW w:w="1429" w:type="dxa"/>
            <w:tcBorders>
              <w:top w:val="nil"/>
              <w:left w:val="nil"/>
              <w:bottom w:val="single" w:sz="4" w:space="0" w:color="auto"/>
              <w:right w:val="nil"/>
            </w:tcBorders>
          </w:tcPr>
          <w:p w:rsidR="00F47828" w:rsidRDefault="00F47828" w:rsidP="00CB694F">
            <w:pPr>
              <w:pStyle w:val="TableTextRight"/>
            </w:pPr>
            <w:r>
              <w:t>n/a</w:t>
            </w:r>
          </w:p>
        </w:tc>
        <w:tc>
          <w:tcPr>
            <w:tcW w:w="1429" w:type="dxa"/>
            <w:tcBorders>
              <w:top w:val="nil"/>
              <w:left w:val="nil"/>
              <w:bottom w:val="single" w:sz="4" w:space="0" w:color="auto"/>
              <w:right w:val="nil"/>
            </w:tcBorders>
          </w:tcPr>
          <w:p w:rsidR="00F47828" w:rsidRPr="00FA01D3" w:rsidRDefault="00F47828" w:rsidP="00CB694F">
            <w:pPr>
              <w:pStyle w:val="TableNumbersRight"/>
              <w:rPr>
                <w:rFonts w:cs="Calibri"/>
                <w:szCs w:val="20"/>
              </w:rPr>
            </w:pPr>
            <w:r w:rsidRPr="00FA01D3">
              <w:rPr>
                <w:rFonts w:cs="Calibri"/>
                <w:szCs w:val="20"/>
              </w:rPr>
              <w:t>95%</w:t>
            </w:r>
          </w:p>
        </w:tc>
      </w:tr>
    </w:tbl>
    <w:p w:rsidR="00F47828" w:rsidRDefault="00F47828" w:rsidP="00476B75">
      <w:pPr>
        <w:pStyle w:val="NoteHeading0"/>
      </w:pPr>
      <w:r>
        <w:t>Note</w:t>
      </w:r>
      <w:r w:rsidR="00BA17D9">
        <w:t>s</w:t>
      </w:r>
      <w:r>
        <w:t>:</w:t>
      </w:r>
    </w:p>
    <w:p w:rsidR="00F41142" w:rsidRDefault="00F41142" w:rsidP="00F41142">
      <w:pPr>
        <w:pStyle w:val="AINotes"/>
        <w:numPr>
          <w:ilvl w:val="0"/>
          <w:numId w:val="29"/>
        </w:numPr>
      </w:pPr>
      <w:r>
        <w:rPr>
          <w:rStyle w:val="NoteTextChar"/>
        </w:rPr>
        <w:t>These</w:t>
      </w:r>
      <w:r w:rsidRPr="003F1782">
        <w:rPr>
          <w:rStyle w:val="NoteTextChar"/>
        </w:rPr>
        <w:t xml:space="preserve"> indicator</w:t>
      </w:r>
      <w:r>
        <w:rPr>
          <w:rStyle w:val="NoteTextChar"/>
        </w:rPr>
        <w:t>s were</w:t>
      </w:r>
      <w:r w:rsidRPr="003F1782">
        <w:rPr>
          <w:rStyle w:val="NoteTextChar"/>
        </w:rPr>
        <w:t xml:space="preserve"> previously reported by the </w:t>
      </w:r>
      <w:r>
        <w:rPr>
          <w:rStyle w:val="NoteTextChar"/>
        </w:rPr>
        <w:t>Shared Services Centre</w:t>
      </w:r>
      <w:r w:rsidRPr="003F1782">
        <w:rPr>
          <w:rStyle w:val="NoteTextChar"/>
        </w:rPr>
        <w:t xml:space="preserve"> under </w:t>
      </w:r>
      <w:r>
        <w:t xml:space="preserve">Output 3.1 </w:t>
      </w:r>
      <w:r w:rsidRPr="00212661">
        <w:rPr>
          <w:rFonts w:cs="Calibri"/>
        </w:rPr>
        <w:t xml:space="preserve">Shared Services </w:t>
      </w:r>
      <w:r w:rsidRPr="00FA01D3">
        <w:rPr>
          <w:rFonts w:cs="Calibri"/>
        </w:rPr>
        <w:t>Human Resources</w:t>
      </w:r>
      <w:r>
        <w:rPr>
          <w:rFonts w:cs="Calibri"/>
        </w:rPr>
        <w:t>.</w:t>
      </w:r>
    </w:p>
    <w:p w:rsidR="00F47828" w:rsidRDefault="00F47828" w:rsidP="000446AB">
      <w:pPr>
        <w:pStyle w:val="AINotes"/>
        <w:numPr>
          <w:ilvl w:val="0"/>
          <w:numId w:val="29"/>
        </w:numPr>
      </w:pPr>
      <w:r>
        <w:t>Represents the overall average of performance standards in recruitment service specifications being achieved.</w:t>
      </w:r>
    </w:p>
    <w:p w:rsidR="00F41142" w:rsidRDefault="00F41142">
      <w:r>
        <w:br w:type="page"/>
      </w:r>
    </w:p>
    <w:p w:rsidR="00674D43" w:rsidRDefault="00674D43" w:rsidP="00674D43">
      <w:pPr>
        <w:pStyle w:val="Heading3"/>
        <w:spacing w:before="0"/>
      </w:pPr>
      <w:proofErr w:type="gramStart"/>
      <w:r>
        <w:lastRenderedPageBreak/>
        <w:t>Accountability Indicators cont.</w:t>
      </w:r>
      <w:proofErr w:type="gramEnd"/>
    </w:p>
    <w:tbl>
      <w:tblPr>
        <w:tblW w:w="9356" w:type="dxa"/>
        <w:tblLook w:val="0000"/>
      </w:tblPr>
      <w:tblGrid>
        <w:gridCol w:w="5066"/>
        <w:gridCol w:w="1430"/>
        <w:gridCol w:w="1430"/>
        <w:gridCol w:w="1430"/>
      </w:tblGrid>
      <w:tr w:rsidR="00F41142" w:rsidTr="00580BE7">
        <w:tc>
          <w:tcPr>
            <w:tcW w:w="5066" w:type="dxa"/>
            <w:tcBorders>
              <w:top w:val="single" w:sz="4" w:space="0" w:color="auto"/>
            </w:tcBorders>
          </w:tcPr>
          <w:p w:rsidR="00F41142" w:rsidRPr="00FA01D3" w:rsidRDefault="00F41142" w:rsidP="00F41142">
            <w:pPr>
              <w:rPr>
                <w:rFonts w:cs="Calibri"/>
                <w:sz w:val="20"/>
              </w:rPr>
            </w:pPr>
            <w:r w:rsidRPr="00FA01D3">
              <w:rPr>
                <w:rFonts w:cs="Calibri"/>
                <w:sz w:val="20"/>
              </w:rPr>
              <w:t> </w:t>
            </w:r>
          </w:p>
        </w:tc>
        <w:tc>
          <w:tcPr>
            <w:tcW w:w="1430" w:type="dxa"/>
            <w:tcBorders>
              <w:top w:val="single" w:sz="4" w:space="0" w:color="auto"/>
            </w:tcBorders>
          </w:tcPr>
          <w:p w:rsidR="00F41142" w:rsidRPr="00FA01D3" w:rsidRDefault="00F41142" w:rsidP="005D4207">
            <w:pPr>
              <w:pStyle w:val="Heading6"/>
              <w:rPr>
                <w:rFonts w:cs="Calibri"/>
                <w:bCs/>
              </w:rPr>
            </w:pPr>
            <w:r w:rsidRPr="00FA01D3">
              <w:rPr>
                <w:rFonts w:cs="Calibri"/>
                <w:bCs/>
              </w:rPr>
              <w:t>2012-13</w:t>
            </w:r>
          </w:p>
        </w:tc>
        <w:tc>
          <w:tcPr>
            <w:tcW w:w="1430" w:type="dxa"/>
            <w:tcBorders>
              <w:top w:val="single" w:sz="4" w:space="0" w:color="auto"/>
            </w:tcBorders>
          </w:tcPr>
          <w:p w:rsidR="00F41142" w:rsidRPr="00FA01D3" w:rsidRDefault="00F41142" w:rsidP="005D4207">
            <w:pPr>
              <w:pStyle w:val="Heading6"/>
              <w:rPr>
                <w:rFonts w:cs="Calibri"/>
                <w:bCs/>
              </w:rPr>
            </w:pPr>
            <w:r w:rsidRPr="00FA01D3">
              <w:rPr>
                <w:rFonts w:cs="Calibri"/>
                <w:bCs/>
              </w:rPr>
              <w:t>2012-13</w:t>
            </w:r>
          </w:p>
        </w:tc>
        <w:tc>
          <w:tcPr>
            <w:tcW w:w="1430" w:type="dxa"/>
            <w:tcBorders>
              <w:top w:val="single" w:sz="4" w:space="0" w:color="auto"/>
            </w:tcBorders>
          </w:tcPr>
          <w:p w:rsidR="00F41142" w:rsidRPr="00FA01D3" w:rsidRDefault="00F41142" w:rsidP="005D4207">
            <w:pPr>
              <w:pStyle w:val="Heading6"/>
              <w:rPr>
                <w:rFonts w:cs="Calibri"/>
                <w:bCs/>
              </w:rPr>
            </w:pPr>
            <w:r>
              <w:rPr>
                <w:rFonts w:cs="Calibri"/>
                <w:bCs/>
              </w:rPr>
              <w:t>2013-14</w:t>
            </w:r>
          </w:p>
        </w:tc>
      </w:tr>
      <w:tr w:rsidR="00F41142" w:rsidTr="00580BE7">
        <w:tc>
          <w:tcPr>
            <w:tcW w:w="5066" w:type="dxa"/>
            <w:tcBorders>
              <w:bottom w:val="single" w:sz="4" w:space="0" w:color="auto"/>
            </w:tcBorders>
          </w:tcPr>
          <w:p w:rsidR="00F41142" w:rsidRPr="00FA01D3" w:rsidRDefault="00F41142" w:rsidP="00F41142">
            <w:pPr>
              <w:rPr>
                <w:rFonts w:cs="Calibri"/>
                <w:sz w:val="20"/>
              </w:rPr>
            </w:pPr>
            <w:r w:rsidRPr="00FA01D3">
              <w:rPr>
                <w:rFonts w:cs="Calibri"/>
                <w:sz w:val="20"/>
              </w:rPr>
              <w:t> </w:t>
            </w:r>
          </w:p>
        </w:tc>
        <w:tc>
          <w:tcPr>
            <w:tcW w:w="1430" w:type="dxa"/>
            <w:tcBorders>
              <w:bottom w:val="single" w:sz="4" w:space="0" w:color="auto"/>
            </w:tcBorders>
          </w:tcPr>
          <w:p w:rsidR="00F41142" w:rsidRPr="00FA01D3" w:rsidRDefault="00F41142" w:rsidP="005D4207">
            <w:pPr>
              <w:pStyle w:val="Heading6"/>
              <w:rPr>
                <w:rFonts w:cs="Calibri"/>
              </w:rPr>
            </w:pPr>
            <w:r w:rsidRPr="00FA01D3">
              <w:rPr>
                <w:rFonts w:cs="Calibri"/>
              </w:rPr>
              <w:t>Targets</w:t>
            </w:r>
          </w:p>
        </w:tc>
        <w:tc>
          <w:tcPr>
            <w:tcW w:w="1430" w:type="dxa"/>
            <w:tcBorders>
              <w:bottom w:val="single" w:sz="4" w:space="0" w:color="auto"/>
            </w:tcBorders>
          </w:tcPr>
          <w:p w:rsidR="00F41142" w:rsidRPr="00FA01D3" w:rsidRDefault="00F41142" w:rsidP="005D4207">
            <w:pPr>
              <w:pStyle w:val="Heading6"/>
              <w:rPr>
                <w:rFonts w:cs="Calibri"/>
              </w:rPr>
            </w:pPr>
            <w:r w:rsidRPr="00FA01D3">
              <w:rPr>
                <w:rFonts w:cs="Calibri"/>
              </w:rPr>
              <w:t>Est. Outcome</w:t>
            </w:r>
          </w:p>
        </w:tc>
        <w:tc>
          <w:tcPr>
            <w:tcW w:w="1430" w:type="dxa"/>
            <w:tcBorders>
              <w:bottom w:val="single" w:sz="4" w:space="0" w:color="auto"/>
            </w:tcBorders>
          </w:tcPr>
          <w:p w:rsidR="00F41142" w:rsidRPr="00FA01D3" w:rsidRDefault="00F41142" w:rsidP="005D4207">
            <w:pPr>
              <w:pStyle w:val="Heading6"/>
              <w:rPr>
                <w:rFonts w:cs="Calibri"/>
              </w:rPr>
            </w:pPr>
            <w:r w:rsidRPr="00FA01D3">
              <w:rPr>
                <w:rFonts w:cs="Calibri"/>
              </w:rPr>
              <w:t>Targets</w:t>
            </w:r>
          </w:p>
        </w:tc>
      </w:tr>
      <w:tr w:rsidR="00F47828" w:rsidTr="00580BE7">
        <w:trPr>
          <w:trHeight w:val="270"/>
        </w:trPr>
        <w:tc>
          <w:tcPr>
            <w:tcW w:w="5066" w:type="dxa"/>
            <w:tcBorders>
              <w:top w:val="single" w:sz="4" w:space="0" w:color="auto"/>
              <w:left w:val="nil"/>
              <w:bottom w:val="single" w:sz="4" w:space="0" w:color="auto"/>
              <w:right w:val="nil"/>
            </w:tcBorders>
          </w:tcPr>
          <w:p w:rsidR="00F47828" w:rsidRDefault="00F47828" w:rsidP="00FB3601">
            <w:pPr>
              <w:pStyle w:val="Heading7"/>
            </w:pPr>
            <w:r>
              <w:t xml:space="preserve">Output Class 5:  Shared Services Finance </w:t>
            </w:r>
          </w:p>
        </w:tc>
        <w:tc>
          <w:tcPr>
            <w:tcW w:w="1430" w:type="dxa"/>
            <w:tcBorders>
              <w:top w:val="single" w:sz="4" w:space="0" w:color="auto"/>
              <w:left w:val="nil"/>
              <w:bottom w:val="single" w:sz="4" w:space="0" w:color="auto"/>
              <w:right w:val="nil"/>
            </w:tcBorders>
          </w:tcPr>
          <w:p w:rsidR="00F47828" w:rsidRDefault="00F47828" w:rsidP="00FB3601">
            <w:pPr>
              <w:pStyle w:val="Heading7"/>
            </w:pPr>
            <w:r>
              <w:t> </w:t>
            </w:r>
          </w:p>
        </w:tc>
        <w:tc>
          <w:tcPr>
            <w:tcW w:w="1430" w:type="dxa"/>
            <w:tcBorders>
              <w:top w:val="single" w:sz="4" w:space="0" w:color="auto"/>
              <w:left w:val="nil"/>
              <w:bottom w:val="single" w:sz="4" w:space="0" w:color="auto"/>
              <w:right w:val="nil"/>
            </w:tcBorders>
          </w:tcPr>
          <w:p w:rsidR="00F47828" w:rsidRDefault="00F47828" w:rsidP="00FB3601">
            <w:pPr>
              <w:pStyle w:val="Heading7"/>
            </w:pPr>
            <w:r>
              <w:t> </w:t>
            </w:r>
          </w:p>
        </w:tc>
        <w:tc>
          <w:tcPr>
            <w:tcW w:w="1430" w:type="dxa"/>
            <w:tcBorders>
              <w:top w:val="single" w:sz="4" w:space="0" w:color="auto"/>
              <w:left w:val="nil"/>
              <w:bottom w:val="single" w:sz="4" w:space="0" w:color="auto"/>
              <w:right w:val="nil"/>
            </w:tcBorders>
          </w:tcPr>
          <w:p w:rsidR="00F47828" w:rsidRDefault="00F47828" w:rsidP="00FB3601">
            <w:pPr>
              <w:pStyle w:val="Heading7"/>
            </w:pPr>
            <w:r>
              <w:t> </w:t>
            </w:r>
          </w:p>
        </w:tc>
      </w:tr>
      <w:tr w:rsidR="00F47828" w:rsidTr="00580BE7">
        <w:trPr>
          <w:trHeight w:val="270"/>
        </w:trPr>
        <w:tc>
          <w:tcPr>
            <w:tcW w:w="5066" w:type="dxa"/>
            <w:tcBorders>
              <w:top w:val="single" w:sz="4" w:space="0" w:color="auto"/>
              <w:left w:val="nil"/>
              <w:bottom w:val="single" w:sz="4" w:space="0" w:color="auto"/>
              <w:right w:val="nil"/>
            </w:tcBorders>
          </w:tcPr>
          <w:p w:rsidR="00F47828" w:rsidRDefault="00F47828" w:rsidP="00FB3601">
            <w:pPr>
              <w:pStyle w:val="Heading7"/>
            </w:pPr>
            <w:r>
              <w:t>Output 5.1:  Shared Services Finance</w:t>
            </w:r>
            <w:r w:rsidR="00F41142">
              <w:rPr>
                <w:vertAlign w:val="superscript"/>
              </w:rPr>
              <w:t>1</w:t>
            </w:r>
          </w:p>
        </w:tc>
        <w:tc>
          <w:tcPr>
            <w:tcW w:w="1430" w:type="dxa"/>
            <w:tcBorders>
              <w:top w:val="single" w:sz="4" w:space="0" w:color="auto"/>
              <w:left w:val="nil"/>
              <w:bottom w:val="single" w:sz="4" w:space="0" w:color="auto"/>
              <w:right w:val="nil"/>
            </w:tcBorders>
          </w:tcPr>
          <w:p w:rsidR="00F47828" w:rsidRDefault="00F47828" w:rsidP="00FB3601">
            <w:pPr>
              <w:pStyle w:val="Heading7"/>
            </w:pPr>
            <w:r>
              <w:t> </w:t>
            </w:r>
          </w:p>
        </w:tc>
        <w:tc>
          <w:tcPr>
            <w:tcW w:w="1430" w:type="dxa"/>
            <w:tcBorders>
              <w:top w:val="single" w:sz="4" w:space="0" w:color="auto"/>
              <w:left w:val="nil"/>
              <w:bottom w:val="single" w:sz="4" w:space="0" w:color="auto"/>
              <w:right w:val="nil"/>
            </w:tcBorders>
          </w:tcPr>
          <w:p w:rsidR="00F47828" w:rsidRDefault="00F47828" w:rsidP="00FB3601">
            <w:pPr>
              <w:pStyle w:val="Heading7"/>
            </w:pPr>
            <w:r>
              <w:t> </w:t>
            </w:r>
          </w:p>
        </w:tc>
        <w:tc>
          <w:tcPr>
            <w:tcW w:w="1430" w:type="dxa"/>
            <w:tcBorders>
              <w:top w:val="single" w:sz="4" w:space="0" w:color="auto"/>
              <w:left w:val="nil"/>
              <w:bottom w:val="single" w:sz="4" w:space="0" w:color="auto"/>
              <w:right w:val="nil"/>
            </w:tcBorders>
          </w:tcPr>
          <w:p w:rsidR="00F47828" w:rsidRDefault="00F47828" w:rsidP="00FB3601">
            <w:pPr>
              <w:pStyle w:val="Heading7"/>
            </w:pPr>
            <w:r>
              <w:t> </w:t>
            </w:r>
          </w:p>
        </w:tc>
      </w:tr>
      <w:tr w:rsidR="00F47828" w:rsidTr="00580BE7">
        <w:trPr>
          <w:trHeight w:val="510"/>
        </w:trPr>
        <w:tc>
          <w:tcPr>
            <w:tcW w:w="5066" w:type="dxa"/>
            <w:tcBorders>
              <w:top w:val="single" w:sz="4" w:space="0" w:color="auto"/>
              <w:left w:val="nil"/>
              <w:bottom w:val="nil"/>
              <w:right w:val="nil"/>
            </w:tcBorders>
          </w:tcPr>
          <w:p w:rsidR="00F47828" w:rsidRDefault="00F47828" w:rsidP="005D4207">
            <w:pPr>
              <w:pStyle w:val="TableTextIndent"/>
              <w:numPr>
                <w:ilvl w:val="0"/>
                <w:numId w:val="31"/>
              </w:numPr>
              <w:spacing w:before="0"/>
            </w:pPr>
            <w:r>
              <w:t>Business Activity Statements completed in accordance with ATO deadline</w:t>
            </w:r>
          </w:p>
        </w:tc>
        <w:tc>
          <w:tcPr>
            <w:tcW w:w="1430" w:type="dxa"/>
            <w:tcBorders>
              <w:top w:val="single" w:sz="4" w:space="0" w:color="auto"/>
              <w:left w:val="nil"/>
              <w:bottom w:val="nil"/>
              <w:right w:val="nil"/>
            </w:tcBorders>
          </w:tcPr>
          <w:p w:rsidR="00F47828" w:rsidRDefault="00F47828" w:rsidP="005D4207">
            <w:pPr>
              <w:pStyle w:val="TableTextRight"/>
            </w:pPr>
            <w:r>
              <w:t>n/a</w:t>
            </w:r>
          </w:p>
        </w:tc>
        <w:tc>
          <w:tcPr>
            <w:tcW w:w="1430" w:type="dxa"/>
            <w:tcBorders>
              <w:top w:val="single" w:sz="4" w:space="0" w:color="auto"/>
              <w:left w:val="nil"/>
              <w:bottom w:val="nil"/>
              <w:right w:val="nil"/>
            </w:tcBorders>
          </w:tcPr>
          <w:p w:rsidR="00F47828" w:rsidRDefault="00F47828" w:rsidP="005D4207">
            <w:pPr>
              <w:pStyle w:val="TableTextRight"/>
            </w:pPr>
            <w:r>
              <w:t>n/a</w:t>
            </w:r>
          </w:p>
        </w:tc>
        <w:tc>
          <w:tcPr>
            <w:tcW w:w="1430" w:type="dxa"/>
            <w:tcBorders>
              <w:top w:val="single" w:sz="4" w:space="0" w:color="auto"/>
              <w:left w:val="nil"/>
              <w:bottom w:val="nil"/>
              <w:right w:val="nil"/>
            </w:tcBorders>
          </w:tcPr>
          <w:p w:rsidR="00F47828" w:rsidRDefault="00F47828" w:rsidP="005D4207">
            <w:pPr>
              <w:pStyle w:val="AITableText"/>
            </w:pPr>
            <w:r>
              <w:t>100%</w:t>
            </w:r>
          </w:p>
        </w:tc>
      </w:tr>
      <w:tr w:rsidR="00F47828" w:rsidTr="00580BE7">
        <w:trPr>
          <w:trHeight w:val="520"/>
        </w:trPr>
        <w:tc>
          <w:tcPr>
            <w:tcW w:w="5066" w:type="dxa"/>
            <w:tcBorders>
              <w:top w:val="nil"/>
              <w:left w:val="nil"/>
              <w:bottom w:val="nil"/>
              <w:right w:val="nil"/>
            </w:tcBorders>
          </w:tcPr>
          <w:p w:rsidR="00F47828" w:rsidRDefault="00F47828" w:rsidP="005D4207">
            <w:pPr>
              <w:pStyle w:val="TableTextIndent"/>
              <w:numPr>
                <w:ilvl w:val="0"/>
                <w:numId w:val="13"/>
              </w:numPr>
              <w:spacing w:before="0"/>
            </w:pPr>
            <w:r>
              <w:t>Fringe Benefits Tax Return submitted to the ATO in accordance with ATO deadline</w:t>
            </w:r>
          </w:p>
        </w:tc>
        <w:tc>
          <w:tcPr>
            <w:tcW w:w="1430" w:type="dxa"/>
            <w:tcBorders>
              <w:top w:val="nil"/>
              <w:left w:val="nil"/>
              <w:bottom w:val="nil"/>
              <w:right w:val="nil"/>
            </w:tcBorders>
          </w:tcPr>
          <w:p w:rsidR="00F47828" w:rsidRDefault="00F47828" w:rsidP="005D4207">
            <w:pPr>
              <w:pStyle w:val="TableTextRight"/>
            </w:pPr>
            <w:r>
              <w:t>n/a</w:t>
            </w:r>
          </w:p>
        </w:tc>
        <w:tc>
          <w:tcPr>
            <w:tcW w:w="1430" w:type="dxa"/>
            <w:tcBorders>
              <w:top w:val="nil"/>
              <w:left w:val="nil"/>
              <w:bottom w:val="nil"/>
              <w:right w:val="nil"/>
            </w:tcBorders>
          </w:tcPr>
          <w:p w:rsidR="00F47828" w:rsidRDefault="00F47828" w:rsidP="005D4207">
            <w:pPr>
              <w:pStyle w:val="TableTextRight"/>
            </w:pPr>
            <w:r>
              <w:t>n/a</w:t>
            </w:r>
          </w:p>
        </w:tc>
        <w:tc>
          <w:tcPr>
            <w:tcW w:w="1430" w:type="dxa"/>
            <w:tcBorders>
              <w:top w:val="nil"/>
              <w:left w:val="nil"/>
              <w:bottom w:val="nil"/>
              <w:right w:val="nil"/>
            </w:tcBorders>
          </w:tcPr>
          <w:p w:rsidR="00F47828" w:rsidRDefault="00F47828" w:rsidP="005D4207">
            <w:pPr>
              <w:pStyle w:val="AITableText"/>
            </w:pPr>
            <w:r>
              <w:t>100%</w:t>
            </w:r>
          </w:p>
        </w:tc>
      </w:tr>
      <w:tr w:rsidR="00F47828" w:rsidTr="00580BE7">
        <w:trPr>
          <w:trHeight w:val="490"/>
        </w:trPr>
        <w:tc>
          <w:tcPr>
            <w:tcW w:w="5066" w:type="dxa"/>
            <w:tcBorders>
              <w:top w:val="nil"/>
              <w:left w:val="nil"/>
              <w:bottom w:val="nil"/>
              <w:right w:val="nil"/>
            </w:tcBorders>
          </w:tcPr>
          <w:p w:rsidR="00F47828" w:rsidRDefault="00F47828" w:rsidP="005D4207">
            <w:pPr>
              <w:pStyle w:val="TableTextIndent"/>
              <w:numPr>
                <w:ilvl w:val="0"/>
                <w:numId w:val="13"/>
              </w:numPr>
              <w:spacing w:before="0"/>
            </w:pPr>
            <w:r>
              <w:t>Monthly financial information available for use by agencies by 6</w:t>
            </w:r>
            <w:r>
              <w:rPr>
                <w:vertAlign w:val="superscript"/>
              </w:rPr>
              <w:t>th</w:t>
            </w:r>
            <w:r>
              <w:t xml:space="preserve"> working day of the month</w:t>
            </w:r>
          </w:p>
        </w:tc>
        <w:tc>
          <w:tcPr>
            <w:tcW w:w="1430" w:type="dxa"/>
            <w:tcBorders>
              <w:top w:val="nil"/>
              <w:left w:val="nil"/>
              <w:bottom w:val="nil"/>
              <w:right w:val="nil"/>
            </w:tcBorders>
          </w:tcPr>
          <w:p w:rsidR="00F47828" w:rsidRDefault="00F47828" w:rsidP="005D4207">
            <w:pPr>
              <w:pStyle w:val="TableTextRight"/>
            </w:pPr>
            <w:r>
              <w:t>n/a</w:t>
            </w:r>
          </w:p>
        </w:tc>
        <w:tc>
          <w:tcPr>
            <w:tcW w:w="1430" w:type="dxa"/>
            <w:tcBorders>
              <w:top w:val="nil"/>
              <w:left w:val="nil"/>
              <w:bottom w:val="nil"/>
              <w:right w:val="nil"/>
            </w:tcBorders>
          </w:tcPr>
          <w:p w:rsidR="00F47828" w:rsidRDefault="00F47828" w:rsidP="005D4207">
            <w:pPr>
              <w:pStyle w:val="TableTextRight"/>
            </w:pPr>
            <w:r>
              <w:t>n/a</w:t>
            </w:r>
          </w:p>
        </w:tc>
        <w:tc>
          <w:tcPr>
            <w:tcW w:w="1430" w:type="dxa"/>
            <w:tcBorders>
              <w:top w:val="nil"/>
              <w:left w:val="nil"/>
              <w:bottom w:val="nil"/>
              <w:right w:val="nil"/>
            </w:tcBorders>
          </w:tcPr>
          <w:p w:rsidR="00F47828" w:rsidRDefault="00F47828" w:rsidP="005D4207">
            <w:pPr>
              <w:pStyle w:val="AITableText"/>
            </w:pPr>
            <w:r>
              <w:t>100%</w:t>
            </w:r>
          </w:p>
        </w:tc>
      </w:tr>
      <w:tr w:rsidR="00F47828" w:rsidTr="00580BE7">
        <w:trPr>
          <w:trHeight w:val="490"/>
        </w:trPr>
        <w:tc>
          <w:tcPr>
            <w:tcW w:w="5066" w:type="dxa"/>
            <w:tcBorders>
              <w:top w:val="nil"/>
              <w:left w:val="nil"/>
              <w:right w:val="nil"/>
            </w:tcBorders>
          </w:tcPr>
          <w:p w:rsidR="00F47828" w:rsidRDefault="00F47828" w:rsidP="005D4207">
            <w:pPr>
              <w:pStyle w:val="TableTextIndent"/>
              <w:numPr>
                <w:ilvl w:val="0"/>
                <w:numId w:val="13"/>
              </w:numPr>
              <w:spacing w:before="0"/>
            </w:pPr>
            <w:r>
              <w:t>Annual financial statements completed and sent to agencies by 9</w:t>
            </w:r>
            <w:r>
              <w:rPr>
                <w:vertAlign w:val="superscript"/>
              </w:rPr>
              <w:t>th</w:t>
            </w:r>
            <w:r>
              <w:t xml:space="preserve"> working day of July</w:t>
            </w:r>
            <w:r w:rsidR="00F41142">
              <w:rPr>
                <w:vertAlign w:val="superscript"/>
              </w:rPr>
              <w:t>2</w:t>
            </w:r>
          </w:p>
        </w:tc>
        <w:tc>
          <w:tcPr>
            <w:tcW w:w="1430" w:type="dxa"/>
            <w:tcBorders>
              <w:top w:val="nil"/>
              <w:left w:val="nil"/>
              <w:right w:val="nil"/>
            </w:tcBorders>
          </w:tcPr>
          <w:p w:rsidR="00F47828" w:rsidRDefault="00F47828" w:rsidP="005D4207">
            <w:pPr>
              <w:pStyle w:val="TableTextRight"/>
            </w:pPr>
            <w:r>
              <w:t>n/a</w:t>
            </w:r>
          </w:p>
        </w:tc>
        <w:tc>
          <w:tcPr>
            <w:tcW w:w="1430" w:type="dxa"/>
            <w:tcBorders>
              <w:top w:val="nil"/>
              <w:left w:val="nil"/>
              <w:right w:val="nil"/>
            </w:tcBorders>
          </w:tcPr>
          <w:p w:rsidR="00F47828" w:rsidRDefault="00F47828" w:rsidP="005D4207">
            <w:pPr>
              <w:pStyle w:val="TableTextRight"/>
            </w:pPr>
            <w:r>
              <w:t>n/a</w:t>
            </w:r>
          </w:p>
        </w:tc>
        <w:tc>
          <w:tcPr>
            <w:tcW w:w="1430" w:type="dxa"/>
            <w:tcBorders>
              <w:top w:val="nil"/>
              <w:left w:val="nil"/>
              <w:right w:val="nil"/>
            </w:tcBorders>
          </w:tcPr>
          <w:p w:rsidR="00F47828" w:rsidRDefault="00F47828" w:rsidP="005D4207">
            <w:pPr>
              <w:pStyle w:val="AITableText"/>
            </w:pPr>
            <w:r>
              <w:t>n/a</w:t>
            </w:r>
          </w:p>
        </w:tc>
      </w:tr>
      <w:tr w:rsidR="00F47828" w:rsidTr="00580BE7">
        <w:trPr>
          <w:trHeight w:val="490"/>
        </w:trPr>
        <w:tc>
          <w:tcPr>
            <w:tcW w:w="5066" w:type="dxa"/>
            <w:tcBorders>
              <w:top w:val="nil"/>
              <w:left w:val="nil"/>
              <w:right w:val="nil"/>
            </w:tcBorders>
          </w:tcPr>
          <w:p w:rsidR="00F47828" w:rsidRDefault="00F47828" w:rsidP="005D4207">
            <w:pPr>
              <w:pStyle w:val="TableTextIndent"/>
              <w:numPr>
                <w:ilvl w:val="0"/>
                <w:numId w:val="13"/>
              </w:numPr>
              <w:spacing w:before="0"/>
            </w:pPr>
            <w:r>
              <w:t>Annual financial statements completed and sent to agencies by 10</w:t>
            </w:r>
            <w:r>
              <w:rPr>
                <w:vertAlign w:val="superscript"/>
              </w:rPr>
              <w:t>th</w:t>
            </w:r>
            <w:r>
              <w:t xml:space="preserve"> working day of July</w:t>
            </w:r>
            <w:r w:rsidR="00F41142">
              <w:rPr>
                <w:vertAlign w:val="superscript"/>
              </w:rPr>
              <w:t>2</w:t>
            </w:r>
          </w:p>
        </w:tc>
        <w:tc>
          <w:tcPr>
            <w:tcW w:w="1430" w:type="dxa"/>
            <w:tcBorders>
              <w:top w:val="nil"/>
              <w:left w:val="nil"/>
              <w:right w:val="nil"/>
            </w:tcBorders>
          </w:tcPr>
          <w:p w:rsidR="00F47828" w:rsidRDefault="00F47828" w:rsidP="005D4207">
            <w:pPr>
              <w:pStyle w:val="TableTextRight"/>
            </w:pPr>
            <w:r>
              <w:t>n/a</w:t>
            </w:r>
          </w:p>
        </w:tc>
        <w:tc>
          <w:tcPr>
            <w:tcW w:w="1430" w:type="dxa"/>
            <w:tcBorders>
              <w:top w:val="nil"/>
              <w:left w:val="nil"/>
              <w:right w:val="nil"/>
            </w:tcBorders>
          </w:tcPr>
          <w:p w:rsidR="00F47828" w:rsidRDefault="00F47828" w:rsidP="005D4207">
            <w:pPr>
              <w:pStyle w:val="TableTextRight"/>
            </w:pPr>
            <w:r>
              <w:t>n/a</w:t>
            </w:r>
          </w:p>
        </w:tc>
        <w:tc>
          <w:tcPr>
            <w:tcW w:w="1430" w:type="dxa"/>
            <w:tcBorders>
              <w:top w:val="nil"/>
              <w:left w:val="nil"/>
              <w:right w:val="nil"/>
            </w:tcBorders>
          </w:tcPr>
          <w:p w:rsidR="00F47828" w:rsidRDefault="00F47828" w:rsidP="005D4207">
            <w:pPr>
              <w:pStyle w:val="AITableText"/>
            </w:pPr>
            <w:r>
              <w:t>100%</w:t>
            </w:r>
          </w:p>
        </w:tc>
      </w:tr>
      <w:tr w:rsidR="00F47828" w:rsidTr="00580BE7">
        <w:trPr>
          <w:trHeight w:val="496"/>
        </w:trPr>
        <w:tc>
          <w:tcPr>
            <w:tcW w:w="5066" w:type="dxa"/>
            <w:tcBorders>
              <w:top w:val="nil"/>
              <w:left w:val="nil"/>
              <w:bottom w:val="single" w:sz="4" w:space="0" w:color="auto"/>
              <w:right w:val="nil"/>
            </w:tcBorders>
          </w:tcPr>
          <w:p w:rsidR="00F47828" w:rsidRDefault="00F47828" w:rsidP="005D4207">
            <w:pPr>
              <w:pStyle w:val="TableTextIndent"/>
              <w:numPr>
                <w:ilvl w:val="0"/>
                <w:numId w:val="13"/>
              </w:numPr>
              <w:spacing w:before="0"/>
            </w:pPr>
            <w:r>
              <w:t>Average time (i.e. working days) taken to enter accounts payable invoices into Oracle following receipt at Shared Services Finance from agencies</w:t>
            </w:r>
          </w:p>
        </w:tc>
        <w:tc>
          <w:tcPr>
            <w:tcW w:w="1430" w:type="dxa"/>
            <w:tcBorders>
              <w:top w:val="nil"/>
              <w:left w:val="nil"/>
              <w:bottom w:val="single" w:sz="4" w:space="0" w:color="auto"/>
              <w:right w:val="nil"/>
            </w:tcBorders>
          </w:tcPr>
          <w:p w:rsidR="00F47828" w:rsidRDefault="00F47828" w:rsidP="005D4207">
            <w:pPr>
              <w:pStyle w:val="TableTextRight"/>
            </w:pPr>
            <w:r>
              <w:t>n/a</w:t>
            </w:r>
          </w:p>
        </w:tc>
        <w:tc>
          <w:tcPr>
            <w:tcW w:w="1430" w:type="dxa"/>
            <w:tcBorders>
              <w:top w:val="nil"/>
              <w:left w:val="nil"/>
              <w:bottom w:val="single" w:sz="4" w:space="0" w:color="auto"/>
              <w:right w:val="nil"/>
            </w:tcBorders>
          </w:tcPr>
          <w:p w:rsidR="00F47828" w:rsidRDefault="00F47828" w:rsidP="005D4207">
            <w:pPr>
              <w:pStyle w:val="TableTextRight"/>
            </w:pPr>
            <w:r>
              <w:t>n/a</w:t>
            </w:r>
          </w:p>
        </w:tc>
        <w:tc>
          <w:tcPr>
            <w:tcW w:w="1430" w:type="dxa"/>
            <w:tcBorders>
              <w:top w:val="nil"/>
              <w:left w:val="nil"/>
              <w:bottom w:val="single" w:sz="4" w:space="0" w:color="auto"/>
              <w:right w:val="nil"/>
            </w:tcBorders>
          </w:tcPr>
          <w:p w:rsidR="00F47828" w:rsidRDefault="00F47828" w:rsidP="005D4207">
            <w:pPr>
              <w:pStyle w:val="AITableText"/>
            </w:pPr>
            <w:r>
              <w:t>2</w:t>
            </w:r>
          </w:p>
        </w:tc>
      </w:tr>
    </w:tbl>
    <w:p w:rsidR="00F47828" w:rsidRDefault="00F47828" w:rsidP="00032B5F">
      <w:pPr>
        <w:pStyle w:val="NoteHeading0"/>
      </w:pPr>
      <w:r>
        <w:t>Note</w:t>
      </w:r>
      <w:r w:rsidR="00BA17D9">
        <w:t>s</w:t>
      </w:r>
      <w:r>
        <w:t>:</w:t>
      </w:r>
    </w:p>
    <w:p w:rsidR="00F41142" w:rsidRDefault="00F41142" w:rsidP="000446AB">
      <w:pPr>
        <w:pStyle w:val="AINotes"/>
        <w:numPr>
          <w:ilvl w:val="0"/>
          <w:numId w:val="33"/>
        </w:numPr>
      </w:pPr>
      <w:r>
        <w:rPr>
          <w:rStyle w:val="NoteTextChar"/>
        </w:rPr>
        <w:t>These</w:t>
      </w:r>
      <w:r w:rsidRPr="003F1782">
        <w:rPr>
          <w:rStyle w:val="NoteTextChar"/>
        </w:rPr>
        <w:t xml:space="preserve"> indicator</w:t>
      </w:r>
      <w:r>
        <w:rPr>
          <w:rStyle w:val="NoteTextChar"/>
        </w:rPr>
        <w:t xml:space="preserve">s were </w:t>
      </w:r>
      <w:r w:rsidRPr="003F1782">
        <w:rPr>
          <w:rStyle w:val="NoteTextChar"/>
        </w:rPr>
        <w:t xml:space="preserve">previously reported by the </w:t>
      </w:r>
      <w:r>
        <w:rPr>
          <w:rStyle w:val="NoteTextChar"/>
        </w:rPr>
        <w:t>Shared Services Centre</w:t>
      </w:r>
      <w:r w:rsidRPr="003F1782">
        <w:rPr>
          <w:rStyle w:val="NoteTextChar"/>
        </w:rPr>
        <w:t xml:space="preserve"> under </w:t>
      </w:r>
      <w:r>
        <w:t xml:space="preserve">Output 4.1 </w:t>
      </w:r>
      <w:r w:rsidRPr="00212661">
        <w:rPr>
          <w:rFonts w:cs="Calibri"/>
        </w:rPr>
        <w:t xml:space="preserve">Shared Services </w:t>
      </w:r>
      <w:r>
        <w:t>Finance.</w:t>
      </w:r>
    </w:p>
    <w:p w:rsidR="00F47828" w:rsidRDefault="00F47828" w:rsidP="000446AB">
      <w:pPr>
        <w:pStyle w:val="AINotes"/>
        <w:numPr>
          <w:ilvl w:val="0"/>
          <w:numId w:val="33"/>
        </w:numPr>
      </w:pPr>
      <w:r w:rsidRPr="001E5122">
        <w:t>Measure amended from 9</w:t>
      </w:r>
      <w:r w:rsidRPr="005D11CF">
        <w:rPr>
          <w:vertAlign w:val="superscript"/>
        </w:rPr>
        <w:t>th</w:t>
      </w:r>
      <w:r>
        <w:t xml:space="preserve"> working day</w:t>
      </w:r>
      <w:r w:rsidRPr="001E5122">
        <w:t xml:space="preserve"> to 10</w:t>
      </w:r>
      <w:r w:rsidRPr="005D11CF">
        <w:rPr>
          <w:vertAlign w:val="superscript"/>
        </w:rPr>
        <w:t>th</w:t>
      </w:r>
      <w:r>
        <w:t xml:space="preserve"> working day in </w:t>
      </w:r>
      <w:r w:rsidRPr="001E5122">
        <w:t>2013-14.</w:t>
      </w:r>
    </w:p>
    <w:p w:rsidR="00F47828" w:rsidRDefault="00F47828" w:rsidP="00B60BD3">
      <w:pPr>
        <w:pStyle w:val="AINotes"/>
        <w:numPr>
          <w:ilvl w:val="0"/>
          <w:numId w:val="0"/>
        </w:numPr>
        <w:ind w:left="357"/>
        <w:rPr>
          <w:rFonts w:cs="Calibri"/>
        </w:rPr>
      </w:pPr>
    </w:p>
    <w:p w:rsidR="00F47828" w:rsidRDefault="00F47828" w:rsidP="00B60BD3">
      <w:pPr>
        <w:pStyle w:val="AINotes"/>
        <w:numPr>
          <w:ilvl w:val="0"/>
          <w:numId w:val="0"/>
        </w:numPr>
        <w:ind w:left="357"/>
      </w:pPr>
    </w:p>
    <w:p w:rsidR="00F47828" w:rsidRDefault="00F47828" w:rsidP="00CC4DB6">
      <w:pPr>
        <w:pStyle w:val="BodyText"/>
      </w:pPr>
    </w:p>
    <w:p w:rsidR="006D60D2" w:rsidRDefault="006D60D2">
      <w:pPr>
        <w:rPr>
          <w:rFonts w:ascii="Arial" w:hAnsi="Arial"/>
          <w:b/>
          <w:bCs/>
          <w:szCs w:val="26"/>
          <w:lang w:eastAsia="en-AU"/>
        </w:rPr>
      </w:pPr>
      <w:r>
        <w:br w:type="page"/>
      </w:r>
    </w:p>
    <w:p w:rsidR="00F47828" w:rsidRDefault="00F47828" w:rsidP="00B60BD3">
      <w:pPr>
        <w:pStyle w:val="Heading3TopofPage"/>
      </w:pPr>
      <w:r w:rsidRPr="00CF5E6E">
        <w:lastRenderedPageBreak/>
        <w:t>Changes to Appropriation</w:t>
      </w:r>
    </w:p>
    <w:tbl>
      <w:tblPr>
        <w:tblW w:w="9356" w:type="dxa"/>
        <w:tblLook w:val="04A0"/>
      </w:tblPr>
      <w:tblGrid>
        <w:gridCol w:w="4556"/>
        <w:gridCol w:w="960"/>
        <w:gridCol w:w="960"/>
        <w:gridCol w:w="960"/>
        <w:gridCol w:w="960"/>
        <w:gridCol w:w="960"/>
      </w:tblGrid>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D533FB">
            <w:pPr>
              <w:rPr>
                <w:b/>
                <w:bCs/>
                <w:sz w:val="18"/>
                <w:szCs w:val="18"/>
                <w:lang w:eastAsia="en-AU"/>
              </w:rPr>
            </w:pPr>
            <w:r w:rsidRPr="003F1686">
              <w:rPr>
                <w:b/>
                <w:bCs/>
                <w:sz w:val="18"/>
                <w:szCs w:val="18"/>
                <w:lang w:eastAsia="en-AU"/>
              </w:rPr>
              <w:t>Changes to Appropriation - Controlled</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single" w:sz="4" w:space="0" w:color="auto"/>
              <w:left w:val="nil"/>
              <w:bottom w:val="nil"/>
              <w:right w:val="nil"/>
            </w:tcBorders>
            <w:shd w:val="clear" w:color="auto" w:fill="auto"/>
            <w:hideMark/>
          </w:tcPr>
          <w:p w:rsidR="00A1292C" w:rsidRPr="003F1686" w:rsidRDefault="00A1292C" w:rsidP="00D533FB">
            <w:pPr>
              <w:rPr>
                <w:b/>
                <w:bCs/>
                <w:sz w:val="18"/>
                <w:szCs w:val="18"/>
                <w:lang w:eastAsia="en-AU"/>
              </w:rPr>
            </w:pPr>
            <w:r w:rsidRPr="003F168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2016-17</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D533FB">
            <w:pPr>
              <w:rPr>
                <w:b/>
                <w:bCs/>
                <w:sz w:val="18"/>
                <w:szCs w:val="18"/>
                <w:lang w:eastAsia="en-AU"/>
              </w:rPr>
            </w:pPr>
            <w:r w:rsidRPr="003F1686">
              <w:rPr>
                <w:b/>
                <w:bCs/>
                <w:sz w:val="18"/>
                <w:szCs w:val="18"/>
                <w:lang w:eastAsia="en-AU"/>
              </w:rPr>
              <w:t>Government Payment for Outputs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 Out.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Budget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Estimate</w:t>
            </w:r>
          </w:p>
        </w:tc>
      </w:tr>
      <w:tr w:rsidR="00A1292C" w:rsidRPr="003F1686" w:rsidTr="00D533FB">
        <w:trPr>
          <w:trHeight w:val="240"/>
        </w:trPr>
        <w:tc>
          <w:tcPr>
            <w:tcW w:w="4556" w:type="dxa"/>
            <w:tcBorders>
              <w:top w:val="nil"/>
              <w:left w:val="nil"/>
              <w:bottom w:val="single" w:sz="4" w:space="0" w:color="auto"/>
              <w:right w:val="nil"/>
            </w:tcBorders>
            <w:shd w:val="clear" w:color="auto" w:fill="auto"/>
            <w:hideMark/>
          </w:tcPr>
          <w:p w:rsidR="00A1292C" w:rsidRPr="003F1686" w:rsidRDefault="00A1292C" w:rsidP="00D533FB">
            <w:pPr>
              <w:rPr>
                <w:b/>
                <w:bCs/>
                <w:sz w:val="18"/>
                <w:szCs w:val="18"/>
                <w:lang w:eastAsia="en-AU"/>
              </w:rPr>
            </w:pPr>
            <w:r w:rsidRPr="003F168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D533FB">
            <w:pPr>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2012-13 Budget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2nd Appropriation</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Investment in Finance and Human Resources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1,000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Increase Tax Compliance Activity</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567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577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588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598 </w:t>
            </w:r>
          </w:p>
        </w:tc>
      </w:tr>
      <w:tr w:rsidR="00A1292C" w:rsidRPr="003F1686" w:rsidTr="00D533FB">
        <w:trPr>
          <w:trHeight w:val="48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Increase in Application Fee for Certificate of Rates, Land</w:t>
            </w:r>
            <w:r w:rsidR="00E73AF2">
              <w:rPr>
                <w:sz w:val="18"/>
                <w:szCs w:val="18"/>
                <w:lang w:eastAsia="en-AU"/>
              </w:rPr>
              <w:t xml:space="preserve"> </w:t>
            </w:r>
            <w:r w:rsidRPr="003F1686">
              <w:rPr>
                <w:sz w:val="18"/>
                <w:szCs w:val="18"/>
                <w:lang w:eastAsia="en-AU"/>
              </w:rPr>
              <w:t>Tax and Other Charges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250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250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250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250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Storage Network Switch Refresh</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160 </w:t>
            </w:r>
          </w:p>
        </w:tc>
      </w:tr>
      <w:tr w:rsidR="00A1292C" w:rsidRPr="003F1686" w:rsidTr="00D533FB">
        <w:trPr>
          <w:trHeight w:val="480"/>
        </w:trPr>
        <w:tc>
          <w:tcPr>
            <w:tcW w:w="4556" w:type="dxa"/>
            <w:tcBorders>
              <w:top w:val="nil"/>
              <w:left w:val="nil"/>
              <w:bottom w:val="nil"/>
              <w:right w:val="nil"/>
            </w:tcBorders>
            <w:shd w:val="clear" w:color="auto" w:fill="auto"/>
            <w:hideMark/>
          </w:tcPr>
          <w:p w:rsidR="00D00B48" w:rsidRPr="003F1686" w:rsidRDefault="00A1292C" w:rsidP="00E73AF2">
            <w:pPr>
              <w:ind w:left="142" w:hanging="142"/>
              <w:rPr>
                <w:sz w:val="18"/>
                <w:szCs w:val="18"/>
                <w:lang w:eastAsia="en-AU"/>
              </w:rPr>
            </w:pPr>
            <w:r w:rsidRPr="003F1686">
              <w:rPr>
                <w:sz w:val="18"/>
                <w:szCs w:val="18"/>
                <w:lang w:eastAsia="en-AU"/>
              </w:rPr>
              <w:t>Application Security Assurance and Web Inspection System</w:t>
            </w:r>
            <w:r w:rsidR="00E73AF2">
              <w:rPr>
                <w:sz w:val="18"/>
                <w:szCs w:val="18"/>
                <w:lang w:eastAsia="en-AU"/>
              </w:rPr>
              <w:t xml:space="preserve"> </w:t>
            </w:r>
            <w:r w:rsidRPr="003F1686">
              <w:rPr>
                <w:sz w:val="18"/>
                <w:szCs w:val="18"/>
                <w:lang w:eastAsia="en-AU"/>
              </w:rPr>
              <w:t>(ASAWIS)</w:t>
            </w:r>
            <w:r w:rsidR="00D00B48">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20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Functions from Treasury</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10,678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14,245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14,557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14,771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15,024 </w:t>
            </w:r>
          </w:p>
        </w:tc>
      </w:tr>
      <w:tr w:rsidR="00A1292C" w:rsidRPr="003F1686" w:rsidTr="00D533FB">
        <w:trPr>
          <w:trHeight w:val="48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00D00B48" w:rsidRPr="003F1686">
              <w:rPr>
                <w:sz w:val="18"/>
                <w:szCs w:val="18"/>
                <w:lang w:eastAsia="en-AU"/>
              </w:rPr>
              <w:t>Administration</w:t>
            </w:r>
            <w:r w:rsidRPr="003F1686">
              <w:rPr>
                <w:sz w:val="18"/>
                <w:szCs w:val="18"/>
                <w:lang w:eastAsia="en-AU"/>
              </w:rPr>
              <w:t xml:space="preserve"> of Taxation Management</w:t>
            </w:r>
            <w:r w:rsidR="00E73AF2">
              <w:rPr>
                <w:sz w:val="18"/>
                <w:szCs w:val="18"/>
                <w:lang w:eastAsia="en-AU"/>
              </w:rPr>
              <w:t xml:space="preserve"> </w:t>
            </w:r>
            <w:r w:rsidRPr="003F1686">
              <w:rPr>
                <w:sz w:val="18"/>
                <w:szCs w:val="18"/>
                <w:lang w:eastAsia="en-AU"/>
              </w:rPr>
              <w:t>Framework from CMTD</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8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8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9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9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Functions from Shared Services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14,568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13,371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12,259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12,472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Government Accommodation Strategy from EDD</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366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604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614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624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634 </w:t>
            </w:r>
          </w:p>
        </w:tc>
      </w:tr>
      <w:tr w:rsidR="00A1292C" w:rsidRPr="003F1686" w:rsidTr="00D533FB">
        <w:trPr>
          <w:trHeight w:val="48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Revised Funding Profile</w:t>
            </w:r>
            <w:r w:rsidR="00D00B48">
              <w:rPr>
                <w:sz w:val="18"/>
                <w:szCs w:val="18"/>
                <w:lang w:eastAsia="en-AU"/>
              </w:rPr>
              <w:t xml:space="preserve"> – </w:t>
            </w:r>
            <w:r w:rsidRPr="003F1686">
              <w:rPr>
                <w:sz w:val="18"/>
                <w:szCs w:val="18"/>
                <w:lang w:eastAsia="en-AU"/>
              </w:rPr>
              <w:t>Investment in Finance and HR</w:t>
            </w:r>
            <w:r w:rsidR="00E73AF2">
              <w:rPr>
                <w:sz w:val="18"/>
                <w:szCs w:val="18"/>
                <w:lang w:eastAsia="en-AU"/>
              </w:rPr>
              <w:t xml:space="preserve"> </w:t>
            </w:r>
            <w:r w:rsidRPr="003F1686">
              <w:rPr>
                <w:sz w:val="18"/>
                <w:szCs w:val="18"/>
                <w:lang w:eastAsia="en-AU"/>
              </w:rPr>
              <w:t>Improvement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(1,000)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1,000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Revised Funding Profile</w:t>
            </w:r>
            <w:r w:rsidR="00D00B48">
              <w:rPr>
                <w:sz w:val="18"/>
                <w:szCs w:val="18"/>
                <w:lang w:eastAsia="en-AU"/>
              </w:rPr>
              <w:t xml:space="preserve"> – </w:t>
            </w:r>
            <w:r w:rsidRPr="003F1686">
              <w:rPr>
                <w:sz w:val="18"/>
                <w:szCs w:val="18"/>
                <w:lang w:eastAsia="en-AU"/>
              </w:rPr>
              <w:t>Oracle E-Business Suite Upgrade</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(401)</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401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F41142" w:rsidP="00E73AF2">
            <w:pPr>
              <w:ind w:left="142" w:hanging="142"/>
              <w:rPr>
                <w:sz w:val="18"/>
                <w:szCs w:val="18"/>
                <w:lang w:eastAsia="en-AU"/>
              </w:rPr>
            </w:pPr>
            <w:r>
              <w:rPr>
                <w:sz w:val="18"/>
                <w:szCs w:val="18"/>
                <w:lang w:eastAsia="en-AU"/>
              </w:rPr>
              <w:t>Revised Funding Profile</w:t>
            </w:r>
            <w:r w:rsidR="00D00B48">
              <w:rPr>
                <w:sz w:val="18"/>
                <w:szCs w:val="18"/>
                <w:lang w:eastAsia="en-AU"/>
              </w:rPr>
              <w:t xml:space="preserve"> – </w:t>
            </w:r>
            <w:r>
              <w:rPr>
                <w:sz w:val="18"/>
                <w:szCs w:val="18"/>
                <w:lang w:eastAsia="en-AU"/>
              </w:rPr>
              <w:t xml:space="preserve">Whole </w:t>
            </w:r>
            <w:r w:rsidR="00A1292C" w:rsidRPr="003F1686">
              <w:rPr>
                <w:sz w:val="18"/>
                <w:szCs w:val="18"/>
                <w:lang w:eastAsia="en-AU"/>
              </w:rPr>
              <w:t>of</w:t>
            </w:r>
            <w:r>
              <w:rPr>
                <w:sz w:val="18"/>
                <w:szCs w:val="18"/>
                <w:lang w:eastAsia="en-AU"/>
              </w:rPr>
              <w:t xml:space="preserve"> </w:t>
            </w:r>
            <w:r w:rsidR="00A1292C" w:rsidRPr="003F1686">
              <w:rPr>
                <w:sz w:val="18"/>
                <w:szCs w:val="18"/>
                <w:lang w:eastAsia="en-AU"/>
              </w:rPr>
              <w:t xml:space="preserve">Government Banking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(213)</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213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single" w:sz="4" w:space="0" w:color="auto"/>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10,430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31,856</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29,397</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28,521</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29,167</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Changes to Appropriation - Territorial</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single" w:sz="4" w:space="0" w:color="auto"/>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2016-17</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Payment for Expenses on Behalf of Territory</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 Out.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Budget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Estimate</w:t>
            </w:r>
          </w:p>
        </w:tc>
      </w:tr>
      <w:tr w:rsidR="00A1292C" w:rsidRPr="003F1686" w:rsidTr="00D533FB">
        <w:trPr>
          <w:trHeight w:val="240"/>
        </w:trPr>
        <w:tc>
          <w:tcPr>
            <w:tcW w:w="4556" w:type="dxa"/>
            <w:tcBorders>
              <w:top w:val="nil"/>
              <w:left w:val="nil"/>
              <w:bottom w:val="single" w:sz="4" w:space="0" w:color="auto"/>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$'000</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2012-13 Budget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0</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b/>
                <w:bCs/>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Retargeting of First Home Owner Grant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(4,398)</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(8,273)</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(8,480)</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(8,692)</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Functions from Treasury</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9,925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17,460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17,460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17,460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17,460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Land Rent Purchase to First Home Owner Grant</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2,500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r w:rsidRPr="003F1686">
              <w:rPr>
                <w:sz w:val="18"/>
                <w:szCs w:val="18"/>
                <w:lang w:eastAsia="en-AU"/>
              </w:rPr>
              <w:t>Commonwealth Grants – First Home Owner Boost NP</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(287)</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3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r w:rsidRPr="003F1686">
              <w:rPr>
                <w:sz w:val="18"/>
                <w:szCs w:val="18"/>
                <w:lang w:eastAsia="en-AU"/>
              </w:rPr>
              <w:t xml:space="preserve">- </w:t>
            </w:r>
          </w:p>
        </w:tc>
      </w:tr>
      <w:tr w:rsidR="00A1292C" w:rsidRPr="003F1686" w:rsidTr="00D533FB">
        <w:trPr>
          <w:trHeight w:val="240"/>
        </w:trPr>
        <w:tc>
          <w:tcPr>
            <w:tcW w:w="4556" w:type="dxa"/>
            <w:tcBorders>
              <w:top w:val="nil"/>
              <w:left w:val="nil"/>
              <w:bottom w:val="nil"/>
              <w:right w:val="nil"/>
            </w:tcBorders>
            <w:shd w:val="clear" w:color="auto" w:fill="auto"/>
            <w:hideMark/>
          </w:tcPr>
          <w:p w:rsidR="00A1292C" w:rsidRPr="003F1686" w:rsidRDefault="00A1292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A1292C" w:rsidRPr="003F1686" w:rsidRDefault="00A1292C" w:rsidP="00D533FB">
            <w:pPr>
              <w:jc w:val="right"/>
              <w:rPr>
                <w:sz w:val="18"/>
                <w:szCs w:val="18"/>
                <w:lang w:eastAsia="en-AU"/>
              </w:rPr>
            </w:pPr>
          </w:p>
        </w:tc>
      </w:tr>
      <w:tr w:rsidR="00A1292C" w:rsidRPr="003F1686" w:rsidTr="00D533FB">
        <w:trPr>
          <w:trHeight w:val="240"/>
        </w:trPr>
        <w:tc>
          <w:tcPr>
            <w:tcW w:w="4556" w:type="dxa"/>
            <w:tcBorders>
              <w:top w:val="nil"/>
              <w:left w:val="nil"/>
              <w:bottom w:val="single" w:sz="4" w:space="0" w:color="auto"/>
              <w:right w:val="nil"/>
            </w:tcBorders>
            <w:shd w:val="clear" w:color="auto" w:fill="auto"/>
            <w:hideMark/>
          </w:tcPr>
          <w:p w:rsidR="00A1292C" w:rsidRPr="003F1686" w:rsidRDefault="00A1292C" w:rsidP="00E73AF2">
            <w:pPr>
              <w:ind w:left="142" w:hanging="142"/>
              <w:rPr>
                <w:b/>
                <w:bCs/>
                <w:sz w:val="18"/>
                <w:szCs w:val="18"/>
                <w:lang w:eastAsia="en-AU"/>
              </w:rPr>
            </w:pPr>
            <w:r w:rsidRPr="003F1686">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12,138</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13,065</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9,187</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8,980</w:t>
            </w:r>
          </w:p>
        </w:tc>
        <w:tc>
          <w:tcPr>
            <w:tcW w:w="960" w:type="dxa"/>
            <w:tcBorders>
              <w:top w:val="nil"/>
              <w:left w:val="nil"/>
              <w:bottom w:val="single" w:sz="4" w:space="0" w:color="auto"/>
              <w:right w:val="nil"/>
            </w:tcBorders>
            <w:shd w:val="clear" w:color="auto" w:fill="auto"/>
            <w:noWrap/>
            <w:hideMark/>
          </w:tcPr>
          <w:p w:rsidR="00A1292C" w:rsidRPr="003F1686" w:rsidRDefault="00A1292C" w:rsidP="00D533FB">
            <w:pPr>
              <w:jc w:val="right"/>
              <w:rPr>
                <w:b/>
                <w:bCs/>
                <w:sz w:val="18"/>
                <w:szCs w:val="18"/>
                <w:lang w:eastAsia="en-AU"/>
              </w:rPr>
            </w:pPr>
            <w:r w:rsidRPr="003F1686">
              <w:rPr>
                <w:b/>
                <w:bCs/>
                <w:sz w:val="18"/>
                <w:szCs w:val="18"/>
                <w:lang w:eastAsia="en-AU"/>
              </w:rPr>
              <w:t>8,768</w:t>
            </w:r>
          </w:p>
        </w:tc>
      </w:tr>
    </w:tbl>
    <w:p w:rsidR="00A1292C" w:rsidRDefault="00A1292C" w:rsidP="00A1292C">
      <w:pPr>
        <w:pStyle w:val="BodyText"/>
        <w:rPr>
          <w:lang w:eastAsia="en-AU"/>
        </w:rPr>
      </w:pPr>
    </w:p>
    <w:p w:rsidR="00A1292C" w:rsidRDefault="00A1292C">
      <w:pPr>
        <w:rPr>
          <w:lang w:eastAsia="en-AU"/>
        </w:rPr>
      </w:pPr>
      <w:r>
        <w:rPr>
          <w:lang w:eastAsia="en-AU"/>
        </w:rPr>
        <w:br w:type="page"/>
      </w:r>
    </w:p>
    <w:p w:rsidR="00A1292C" w:rsidRDefault="00A1292C" w:rsidP="00A1292C">
      <w:pPr>
        <w:pStyle w:val="Heading3TopofPage"/>
      </w:pPr>
      <w:proofErr w:type="gramStart"/>
      <w:r w:rsidRPr="00CF5E6E">
        <w:lastRenderedPageBreak/>
        <w:t>Changes to Appropriation</w:t>
      </w:r>
      <w:r>
        <w:t xml:space="preserve"> cont.</w:t>
      </w:r>
      <w:proofErr w:type="gramEnd"/>
    </w:p>
    <w:tbl>
      <w:tblPr>
        <w:tblW w:w="9356" w:type="dxa"/>
        <w:tblLook w:val="04A0"/>
      </w:tblPr>
      <w:tblGrid>
        <w:gridCol w:w="4556"/>
        <w:gridCol w:w="960"/>
        <w:gridCol w:w="960"/>
        <w:gridCol w:w="960"/>
        <w:gridCol w:w="960"/>
        <w:gridCol w:w="960"/>
      </w:tblGrid>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D533FB">
            <w:pPr>
              <w:rPr>
                <w:b/>
                <w:bCs/>
                <w:sz w:val="18"/>
                <w:szCs w:val="18"/>
                <w:lang w:eastAsia="en-AU"/>
              </w:rPr>
            </w:pPr>
            <w:r w:rsidRPr="003F1686">
              <w:rPr>
                <w:b/>
                <w:bCs/>
                <w:sz w:val="18"/>
                <w:szCs w:val="18"/>
                <w:lang w:eastAsia="en-AU"/>
              </w:rPr>
              <w:t>Changes to Appropriation - Controlled</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single" w:sz="4" w:space="0" w:color="auto"/>
              <w:left w:val="nil"/>
              <w:bottom w:val="nil"/>
              <w:right w:val="nil"/>
            </w:tcBorders>
            <w:shd w:val="clear" w:color="auto" w:fill="auto"/>
            <w:hideMark/>
          </w:tcPr>
          <w:p w:rsidR="005513BC" w:rsidRPr="003F1686" w:rsidRDefault="005513BC" w:rsidP="00D533FB">
            <w:pPr>
              <w:rPr>
                <w:b/>
                <w:bCs/>
                <w:sz w:val="18"/>
                <w:szCs w:val="18"/>
                <w:lang w:eastAsia="en-AU"/>
              </w:rPr>
            </w:pPr>
            <w:r w:rsidRPr="003F168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2016-17</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D533FB">
            <w:pPr>
              <w:rPr>
                <w:b/>
                <w:bCs/>
                <w:sz w:val="18"/>
                <w:szCs w:val="18"/>
                <w:lang w:eastAsia="en-AU"/>
              </w:rPr>
            </w:pPr>
            <w:r w:rsidRPr="003F1686">
              <w:rPr>
                <w:b/>
                <w:bCs/>
                <w:sz w:val="18"/>
                <w:szCs w:val="18"/>
                <w:lang w:eastAsia="en-AU"/>
              </w:rPr>
              <w:t>Capital Injections</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 Out.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Budget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Estimate</w:t>
            </w:r>
          </w:p>
        </w:tc>
      </w:tr>
      <w:tr w:rsidR="005513BC" w:rsidRPr="003F1686" w:rsidTr="00D533FB">
        <w:trPr>
          <w:trHeight w:val="240"/>
        </w:trPr>
        <w:tc>
          <w:tcPr>
            <w:tcW w:w="4556" w:type="dxa"/>
            <w:tcBorders>
              <w:top w:val="nil"/>
              <w:left w:val="nil"/>
              <w:bottom w:val="single" w:sz="4" w:space="0" w:color="auto"/>
              <w:right w:val="nil"/>
            </w:tcBorders>
            <w:shd w:val="clear" w:color="auto" w:fill="auto"/>
            <w:hideMark/>
          </w:tcPr>
          <w:p w:rsidR="005513BC" w:rsidRPr="003F1686" w:rsidRDefault="005513BC" w:rsidP="00D533FB">
            <w:pPr>
              <w:rPr>
                <w:b/>
                <w:bCs/>
                <w:sz w:val="18"/>
                <w:szCs w:val="18"/>
                <w:lang w:eastAsia="en-AU"/>
              </w:rPr>
            </w:pPr>
            <w:r w:rsidRPr="003F168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2012-13 Budget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2013-14 Budget Policy Adjustments</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 xml:space="preserve">Whole of Government Digital Network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6,661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2,504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1,722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Storage Network Switch Refresh</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1,020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48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Application Security Assurance and Web Inspection System (ASAWIS)</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250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Oracle System from Treasury</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4,500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C03B0D" w:rsidP="00E73AF2">
            <w:pPr>
              <w:ind w:left="142" w:hanging="142"/>
              <w:rPr>
                <w:sz w:val="18"/>
                <w:szCs w:val="18"/>
                <w:lang w:eastAsia="en-AU"/>
              </w:rPr>
            </w:pPr>
            <w:r>
              <w:rPr>
                <w:sz w:val="18"/>
                <w:szCs w:val="18"/>
                <w:lang w:eastAsia="en-AU"/>
              </w:rPr>
              <w:t>Transfer</w:t>
            </w:r>
            <w:r w:rsidR="00D00B48">
              <w:rPr>
                <w:sz w:val="18"/>
                <w:szCs w:val="18"/>
                <w:lang w:eastAsia="en-AU"/>
              </w:rPr>
              <w:t xml:space="preserve"> – </w:t>
            </w:r>
            <w:r>
              <w:rPr>
                <w:sz w:val="18"/>
                <w:szCs w:val="18"/>
                <w:lang w:eastAsia="en-AU"/>
              </w:rPr>
              <w:t xml:space="preserve">Whole of </w:t>
            </w:r>
            <w:r w:rsidR="005513BC" w:rsidRPr="003F1686">
              <w:rPr>
                <w:sz w:val="18"/>
                <w:szCs w:val="18"/>
                <w:lang w:eastAsia="en-AU"/>
              </w:rPr>
              <w:t>Government Banking from Treasury</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841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Functions of Shared Services from SSC</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6,939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2,000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1,000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1,000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Revised Funding Profile</w:t>
            </w:r>
            <w:r w:rsidR="00D00B48">
              <w:rPr>
                <w:sz w:val="18"/>
                <w:szCs w:val="18"/>
                <w:lang w:eastAsia="en-AU"/>
              </w:rPr>
              <w:t xml:space="preserve"> – </w:t>
            </w:r>
            <w:r w:rsidRPr="003F1686">
              <w:rPr>
                <w:sz w:val="18"/>
                <w:szCs w:val="18"/>
                <w:lang w:eastAsia="en-AU"/>
              </w:rPr>
              <w:t>Oracle E-Business Suite Upgrade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(2,380)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2,380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Revised Fundi</w:t>
            </w:r>
            <w:r w:rsidR="00C03B0D">
              <w:rPr>
                <w:sz w:val="18"/>
                <w:szCs w:val="18"/>
                <w:lang w:eastAsia="en-AU"/>
              </w:rPr>
              <w:t xml:space="preserve">ng Profile – Whole of </w:t>
            </w:r>
            <w:r w:rsidRPr="003F1686">
              <w:rPr>
                <w:sz w:val="18"/>
                <w:szCs w:val="18"/>
                <w:lang w:eastAsia="en-AU"/>
              </w:rPr>
              <w:t>Government Banking</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(278)</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278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single" w:sz="4" w:space="0" w:color="auto"/>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2,683</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17,528</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4,504</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2,722</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1,000</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Changes to Appropriation - Territorial</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single" w:sz="4" w:space="0" w:color="auto"/>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 </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2012-13</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2013-14</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2014-15</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2015-16</w:t>
            </w:r>
          </w:p>
        </w:tc>
        <w:tc>
          <w:tcPr>
            <w:tcW w:w="960" w:type="dxa"/>
            <w:tcBorders>
              <w:top w:val="single" w:sz="4" w:space="0" w:color="auto"/>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2016-17</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Capital Injections</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 Out.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Budget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Estimate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Estimate</w:t>
            </w:r>
          </w:p>
        </w:tc>
      </w:tr>
      <w:tr w:rsidR="005513BC" w:rsidRPr="003F1686" w:rsidTr="00D533FB">
        <w:trPr>
          <w:trHeight w:val="240"/>
        </w:trPr>
        <w:tc>
          <w:tcPr>
            <w:tcW w:w="4556" w:type="dxa"/>
            <w:tcBorders>
              <w:top w:val="nil"/>
              <w:left w:val="nil"/>
              <w:bottom w:val="single" w:sz="4" w:space="0" w:color="auto"/>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 </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$'000</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2012-13 Budget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0</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2nd Appropriation</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b/>
                <w:bCs/>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Land Rent Scheme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112,156</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2013-14 Budget Technical Adjustments</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Functions from Treasury</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9,045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22,300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22,300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22,300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22,300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Transfer</w:t>
            </w:r>
            <w:r w:rsidR="00D00B48">
              <w:rPr>
                <w:sz w:val="18"/>
                <w:szCs w:val="18"/>
                <w:lang w:eastAsia="en-AU"/>
              </w:rPr>
              <w:t xml:space="preserve"> – </w:t>
            </w:r>
            <w:r w:rsidRPr="003F1686">
              <w:rPr>
                <w:sz w:val="18"/>
                <w:szCs w:val="18"/>
                <w:lang w:eastAsia="en-AU"/>
              </w:rPr>
              <w:t>Land Rent Purchase to First Home Owner Grant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(2,500)</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C03B0D" w:rsidP="006B5B21">
            <w:pPr>
              <w:ind w:left="142" w:hanging="142"/>
              <w:rPr>
                <w:sz w:val="18"/>
                <w:szCs w:val="18"/>
                <w:lang w:eastAsia="en-AU"/>
              </w:rPr>
            </w:pPr>
            <w:r>
              <w:rPr>
                <w:sz w:val="18"/>
                <w:szCs w:val="18"/>
                <w:lang w:eastAsia="en-AU"/>
              </w:rPr>
              <w:t xml:space="preserve">Revised Funding Profile – </w:t>
            </w:r>
            <w:r w:rsidR="006B5B21">
              <w:rPr>
                <w:sz w:val="18"/>
                <w:szCs w:val="18"/>
                <w:lang w:eastAsia="en-AU"/>
              </w:rPr>
              <w:t>Land Rent</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(23,162)</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23,162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r w:rsidRPr="003F1686">
              <w:rPr>
                <w:sz w:val="18"/>
                <w:szCs w:val="18"/>
                <w:lang w:eastAsia="en-AU"/>
              </w:rPr>
              <w:t>Land Rent Scheme</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70,838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r w:rsidRPr="003F1686">
              <w:rPr>
                <w:sz w:val="18"/>
                <w:szCs w:val="18"/>
                <w:lang w:eastAsia="en-AU"/>
              </w:rPr>
              <w:t xml:space="preserve">- </w:t>
            </w:r>
          </w:p>
        </w:tc>
      </w:tr>
      <w:tr w:rsidR="005513BC" w:rsidRPr="003F1686" w:rsidTr="00D533FB">
        <w:trPr>
          <w:trHeight w:val="240"/>
        </w:trPr>
        <w:tc>
          <w:tcPr>
            <w:tcW w:w="4556" w:type="dxa"/>
            <w:tcBorders>
              <w:top w:val="nil"/>
              <w:left w:val="nil"/>
              <w:bottom w:val="nil"/>
              <w:right w:val="nil"/>
            </w:tcBorders>
            <w:shd w:val="clear" w:color="auto" w:fill="auto"/>
            <w:hideMark/>
          </w:tcPr>
          <w:p w:rsidR="005513BC" w:rsidRPr="003F1686" w:rsidRDefault="005513BC" w:rsidP="00E73AF2">
            <w:pPr>
              <w:ind w:left="142" w:hanging="142"/>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c>
          <w:tcPr>
            <w:tcW w:w="960" w:type="dxa"/>
            <w:tcBorders>
              <w:top w:val="nil"/>
              <w:left w:val="nil"/>
              <w:bottom w:val="nil"/>
              <w:right w:val="nil"/>
            </w:tcBorders>
            <w:shd w:val="clear" w:color="auto" w:fill="auto"/>
            <w:noWrap/>
            <w:hideMark/>
          </w:tcPr>
          <w:p w:rsidR="005513BC" w:rsidRPr="003F1686" w:rsidRDefault="005513BC" w:rsidP="00D533FB">
            <w:pPr>
              <w:jc w:val="right"/>
              <w:rPr>
                <w:sz w:val="18"/>
                <w:szCs w:val="18"/>
                <w:lang w:eastAsia="en-AU"/>
              </w:rPr>
            </w:pPr>
          </w:p>
        </w:tc>
      </w:tr>
      <w:tr w:rsidR="005513BC" w:rsidRPr="003F1686" w:rsidTr="00D533FB">
        <w:trPr>
          <w:trHeight w:val="240"/>
        </w:trPr>
        <w:tc>
          <w:tcPr>
            <w:tcW w:w="4556" w:type="dxa"/>
            <w:tcBorders>
              <w:top w:val="nil"/>
              <w:left w:val="nil"/>
              <w:bottom w:val="single" w:sz="4" w:space="0" w:color="auto"/>
              <w:right w:val="nil"/>
            </w:tcBorders>
            <w:shd w:val="clear" w:color="auto" w:fill="auto"/>
            <w:hideMark/>
          </w:tcPr>
          <w:p w:rsidR="005513BC" w:rsidRPr="003F1686" w:rsidRDefault="005513BC" w:rsidP="00E73AF2">
            <w:pPr>
              <w:ind w:left="142" w:hanging="142"/>
              <w:rPr>
                <w:b/>
                <w:bCs/>
                <w:sz w:val="18"/>
                <w:szCs w:val="18"/>
                <w:lang w:eastAsia="en-AU"/>
              </w:rPr>
            </w:pPr>
            <w:r w:rsidRPr="003F1686">
              <w:rPr>
                <w:b/>
                <w:bCs/>
                <w:sz w:val="18"/>
                <w:szCs w:val="18"/>
                <w:lang w:eastAsia="en-AU"/>
              </w:rPr>
              <w:t>2013-14 Budget</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95,539</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116,300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22,300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22,300</w:t>
            </w:r>
          </w:p>
        </w:tc>
        <w:tc>
          <w:tcPr>
            <w:tcW w:w="960" w:type="dxa"/>
            <w:tcBorders>
              <w:top w:val="nil"/>
              <w:left w:val="nil"/>
              <w:bottom w:val="single" w:sz="4" w:space="0" w:color="auto"/>
              <w:right w:val="nil"/>
            </w:tcBorders>
            <w:shd w:val="clear" w:color="auto" w:fill="auto"/>
            <w:noWrap/>
            <w:hideMark/>
          </w:tcPr>
          <w:p w:rsidR="005513BC" w:rsidRPr="003F1686" w:rsidRDefault="005513BC" w:rsidP="00D533FB">
            <w:pPr>
              <w:jc w:val="right"/>
              <w:rPr>
                <w:b/>
                <w:bCs/>
                <w:sz w:val="18"/>
                <w:szCs w:val="18"/>
                <w:lang w:eastAsia="en-AU"/>
              </w:rPr>
            </w:pPr>
            <w:r w:rsidRPr="003F1686">
              <w:rPr>
                <w:b/>
                <w:bCs/>
                <w:sz w:val="18"/>
                <w:szCs w:val="18"/>
                <w:lang w:eastAsia="en-AU"/>
              </w:rPr>
              <w:t>22,300</w:t>
            </w:r>
          </w:p>
        </w:tc>
      </w:tr>
    </w:tbl>
    <w:p w:rsidR="00A1292C" w:rsidRPr="00A1292C" w:rsidRDefault="00A1292C" w:rsidP="00A1292C">
      <w:pPr>
        <w:pStyle w:val="BodyText"/>
        <w:rPr>
          <w:lang w:eastAsia="en-AU"/>
        </w:rPr>
      </w:pPr>
    </w:p>
    <w:p w:rsidR="00F47828" w:rsidRPr="00CF5E6E" w:rsidRDefault="00F47828" w:rsidP="00B60BD3">
      <w:pPr>
        <w:rPr>
          <w:sz w:val="2"/>
          <w:szCs w:val="2"/>
          <w:highlight w:val="yellow"/>
        </w:rPr>
      </w:pPr>
      <w:r w:rsidRPr="00CF5E6E">
        <w:rPr>
          <w:highlight w:val="yellow"/>
        </w:rPr>
        <w:br w:type="page"/>
      </w:r>
    </w:p>
    <w:tbl>
      <w:tblPr>
        <w:tblW w:w="9356" w:type="dxa"/>
        <w:tblLook w:val="04A0"/>
      </w:tblPr>
      <w:tblGrid>
        <w:gridCol w:w="1049"/>
        <w:gridCol w:w="2384"/>
        <w:gridCol w:w="1102"/>
        <w:gridCol w:w="1050"/>
        <w:gridCol w:w="621"/>
        <w:gridCol w:w="1050"/>
        <w:gridCol w:w="1050"/>
        <w:gridCol w:w="1050"/>
      </w:tblGrid>
      <w:tr w:rsidR="005C0788" w:rsidTr="009D7024">
        <w:trPr>
          <w:tblHeader/>
        </w:trPr>
        <w:tc>
          <w:tcPr>
            <w:tcW w:w="9356" w:type="dxa"/>
            <w:gridSpan w:val="8"/>
            <w:tcBorders>
              <w:top w:val="nil"/>
              <w:left w:val="nil"/>
              <w:bottom w:val="nil"/>
              <w:right w:val="nil"/>
            </w:tcBorders>
            <w:shd w:val="clear" w:color="000000" w:fill="FFFFFF"/>
            <w:hideMark/>
          </w:tcPr>
          <w:p w:rsidR="005C0788" w:rsidRPr="003F1686" w:rsidRDefault="005C0788" w:rsidP="009D7024">
            <w:pPr>
              <w:jc w:val="center"/>
              <w:rPr>
                <w:rFonts w:ascii="Arial" w:hAnsi="Arial" w:cs="Arial"/>
                <w:b/>
                <w:bCs/>
                <w:szCs w:val="24"/>
              </w:rPr>
            </w:pPr>
            <w:bookmarkStart w:id="0" w:name="RANGE!A1:H40"/>
            <w:bookmarkStart w:id="1" w:name="RANGE!A1:H51"/>
            <w:bookmarkEnd w:id="0"/>
            <w:bookmarkEnd w:id="1"/>
            <w:r w:rsidRPr="003F1686">
              <w:rPr>
                <w:rFonts w:ascii="Arial" w:hAnsi="Arial" w:cs="Arial"/>
                <w:b/>
                <w:bCs/>
                <w:szCs w:val="24"/>
              </w:rPr>
              <w:lastRenderedPageBreak/>
              <w:t>Commerce and Works Directorate</w:t>
            </w:r>
          </w:p>
        </w:tc>
      </w:tr>
      <w:tr w:rsidR="005C0788" w:rsidTr="009D7024">
        <w:trPr>
          <w:tblHeader/>
        </w:trPr>
        <w:tc>
          <w:tcPr>
            <w:tcW w:w="9356" w:type="dxa"/>
            <w:gridSpan w:val="8"/>
            <w:tcBorders>
              <w:top w:val="nil"/>
              <w:left w:val="nil"/>
              <w:bottom w:val="nil"/>
              <w:right w:val="nil"/>
            </w:tcBorders>
            <w:shd w:val="clear" w:color="000000" w:fill="FFFFFF"/>
            <w:hideMark/>
          </w:tcPr>
          <w:p w:rsidR="005C0788" w:rsidRPr="003F1686" w:rsidRDefault="005C0788" w:rsidP="009D7024">
            <w:pPr>
              <w:jc w:val="center"/>
              <w:rPr>
                <w:rFonts w:ascii="Arial" w:hAnsi="Arial" w:cs="Arial"/>
                <w:b/>
                <w:bCs/>
                <w:szCs w:val="24"/>
              </w:rPr>
            </w:pPr>
            <w:r w:rsidRPr="003F1686">
              <w:rPr>
                <w:rFonts w:ascii="Arial" w:hAnsi="Arial" w:cs="Arial"/>
                <w:b/>
                <w:bCs/>
                <w:szCs w:val="24"/>
              </w:rPr>
              <w:t>Operating Statement</w:t>
            </w:r>
          </w:p>
        </w:tc>
      </w:tr>
      <w:tr w:rsidR="005C0788" w:rsidTr="009D7024">
        <w:trPr>
          <w:tblHeader/>
        </w:trPr>
        <w:tc>
          <w:tcPr>
            <w:tcW w:w="1049"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2016-17</w:t>
            </w:r>
          </w:p>
        </w:tc>
      </w:tr>
      <w:tr w:rsidR="005C0788" w:rsidTr="009D7024">
        <w:trPr>
          <w:tblHeader/>
        </w:trPr>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Var</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Estimate</w:t>
            </w:r>
          </w:p>
        </w:tc>
      </w:tr>
      <w:tr w:rsidR="005C0788" w:rsidTr="009D7024">
        <w:trPr>
          <w:tblHeader/>
        </w:trPr>
        <w:tc>
          <w:tcPr>
            <w:tcW w:w="1049"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b/>
                <w:bCs/>
                <w:sz w:val="18"/>
                <w:szCs w:val="18"/>
              </w:rPr>
            </w:pPr>
            <w:r>
              <w:rPr>
                <w:b/>
                <w:bCs/>
                <w:sz w:val="18"/>
                <w:szCs w:val="18"/>
              </w:rPr>
              <w:t>$'000</w:t>
            </w:r>
          </w:p>
        </w:tc>
      </w:tr>
      <w:tr w:rsidR="005C0788" w:rsidTr="009D7024">
        <w:trPr>
          <w:tblHeader/>
        </w:trPr>
        <w:tc>
          <w:tcPr>
            <w:tcW w:w="1049"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i/>
                <w:iCs/>
                <w:sz w:val="18"/>
                <w:szCs w:val="18"/>
              </w:rPr>
            </w:pPr>
            <w:r>
              <w:rPr>
                <w:b/>
                <w:bCs/>
                <w:i/>
                <w:iCs/>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10,430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31,856</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205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29,397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28,521</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29,167</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370</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376</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382</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388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xml:space="preserve">User Charges - ACT </w:t>
            </w:r>
            <w:r>
              <w:rPr>
                <w:sz w:val="18"/>
                <w:szCs w:val="18"/>
              </w:rPr>
              <w:br/>
              <w:t xml:space="preserve">   Government</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181,641</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184,522</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187,498</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190,579</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236</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240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244</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248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1,822</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1,851</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1,881</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1,911</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Resources Received</w:t>
            </w:r>
            <w:r>
              <w:rPr>
                <w:sz w:val="18"/>
                <w:szCs w:val="18"/>
              </w:rPr>
              <w:br/>
              <w:t xml:space="preserve">   Free of Charge</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504</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1,004</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99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1,029</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1,037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1,045</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10,941</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216,929</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217,415</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219,563</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223,338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10,941</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216,929</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217,415</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219,563</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223,338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5,525</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95,535</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96,857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97,620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98,834</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557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14,287</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14,008</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13,697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13,468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4,575</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90,637</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91,010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92,132</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94,674</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185</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21,160</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22,922</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23,079</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23,338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16</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16</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16</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16</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5,341</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425</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436</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447</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458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10,842</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227,401</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225,249</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226,991</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230,788</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99</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-10,472</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-7,834</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-7,428</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-7,450</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3486" w:type="dxa"/>
            <w:gridSpan w:val="2"/>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Other Comprehensive Income</w:t>
            </w:r>
          </w:p>
          <w:p w:rsidR="005C0788" w:rsidRDefault="005C0788" w:rsidP="009D7024">
            <w:pPr>
              <w:ind w:left="142" w:hanging="142"/>
              <w:rPr>
                <w:i/>
                <w:sz w:val="18"/>
                <w:szCs w:val="18"/>
              </w:rPr>
            </w:pPr>
            <w:r>
              <w:rPr>
                <w:i/>
                <w:sz w:val="18"/>
                <w:szCs w:val="18"/>
              </w:rPr>
              <w:t xml:space="preserve">   </w:t>
            </w:r>
            <w:r w:rsidRPr="007B5375">
              <w:rPr>
                <w:i/>
                <w:sz w:val="18"/>
                <w:szCs w:val="18"/>
              </w:rPr>
              <w:t xml:space="preserve"> Items that will not be </w:t>
            </w:r>
          </w:p>
          <w:p w:rsidR="005C0788" w:rsidRDefault="005C0788" w:rsidP="009D7024">
            <w:pPr>
              <w:ind w:left="142" w:hanging="142"/>
              <w:rPr>
                <w:i/>
                <w:sz w:val="18"/>
                <w:szCs w:val="18"/>
              </w:rPr>
            </w:pPr>
            <w:r>
              <w:rPr>
                <w:i/>
                <w:sz w:val="18"/>
                <w:szCs w:val="18"/>
              </w:rPr>
              <w:t xml:space="preserve">   reclassified subsequently</w:t>
            </w:r>
          </w:p>
          <w:p w:rsidR="005C0788" w:rsidRPr="007B5375" w:rsidRDefault="005C0788" w:rsidP="009D7024">
            <w:pPr>
              <w:ind w:left="142" w:hanging="142"/>
              <w:rPr>
                <w:sz w:val="16"/>
                <w:szCs w:val="16"/>
              </w:rPr>
            </w:pPr>
            <w:r>
              <w:rPr>
                <w:i/>
                <w:sz w:val="18"/>
                <w:szCs w:val="18"/>
              </w:rPr>
              <w:t xml:space="preserve">   </w:t>
            </w:r>
            <w:r w:rsidRPr="007B5375">
              <w:rPr>
                <w:i/>
                <w:sz w:val="18"/>
                <w:szCs w:val="18"/>
              </w:rPr>
              <w:t>to profit or loss</w:t>
            </w:r>
            <w:r w:rsidRPr="007B5375">
              <w:rPr>
                <w:sz w:val="16"/>
                <w:szCs w:val="16"/>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5C0788" w:rsidRDefault="005C0788" w:rsidP="009D7024">
            <w:pPr>
              <w:rPr>
                <w:sz w:val="18"/>
                <w:szCs w:val="18"/>
              </w:rPr>
            </w:pPr>
            <w:r>
              <w:rPr>
                <w:sz w:val="18"/>
                <w:szCs w:val="18"/>
              </w:rPr>
              <w:t xml:space="preserve">Inc/Dec in Asset Revaluation </w:t>
            </w:r>
            <w:r>
              <w:rPr>
                <w:sz w:val="18"/>
                <w:szCs w:val="18"/>
              </w:rPr>
              <w:br/>
              <w:t xml:space="preserve">   Reserve Surpluses</w:t>
            </w:r>
          </w:p>
        </w:tc>
        <w:tc>
          <w:tcPr>
            <w:tcW w:w="1102"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10,293</w:t>
            </w:r>
          </w:p>
        </w:tc>
        <w:tc>
          <w:tcPr>
            <w:tcW w:w="621"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sz w:val="18"/>
                <w:szCs w:val="18"/>
              </w:rPr>
            </w:pPr>
            <w:r>
              <w:rPr>
                <w:sz w:val="18"/>
                <w:szCs w:val="18"/>
              </w:rPr>
              <w:t>0</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Total Other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10,293</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xml:space="preserve">#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w:t>
            </w:r>
          </w:p>
        </w:tc>
      </w:tr>
      <w:tr w:rsidR="005C0788" w:rsidTr="009D7024">
        <w:tc>
          <w:tcPr>
            <w:tcW w:w="1049"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0</w:t>
            </w:r>
          </w:p>
        </w:tc>
        <w:tc>
          <w:tcPr>
            <w:tcW w:w="2384" w:type="dxa"/>
            <w:tcBorders>
              <w:top w:val="nil"/>
              <w:left w:val="nil"/>
              <w:bottom w:val="nil"/>
              <w:right w:val="nil"/>
            </w:tcBorders>
            <w:shd w:val="clear" w:color="000000" w:fill="FFFFFF"/>
            <w:hideMark/>
          </w:tcPr>
          <w:p w:rsidR="005C0788" w:rsidRDefault="005C0788" w:rsidP="009D7024">
            <w:pPr>
              <w:rPr>
                <w:b/>
                <w:bCs/>
                <w:sz w:val="18"/>
                <w:szCs w:val="18"/>
              </w:rPr>
            </w:pPr>
            <w:r>
              <w:rPr>
                <w:b/>
                <w:bCs/>
                <w:sz w:val="18"/>
                <w:szCs w:val="18"/>
              </w:rPr>
              <w:t>Total Comprehensive</w:t>
            </w:r>
            <w:r>
              <w:rPr>
                <w:b/>
                <w:bCs/>
                <w:sz w:val="18"/>
                <w:szCs w:val="18"/>
              </w:rPr>
              <w:br/>
              <w:t xml:space="preserve">   Income</w:t>
            </w:r>
          </w:p>
        </w:tc>
        <w:tc>
          <w:tcPr>
            <w:tcW w:w="1102"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99</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-179</w:t>
            </w:r>
          </w:p>
        </w:tc>
        <w:tc>
          <w:tcPr>
            <w:tcW w:w="621"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 xml:space="preserve">-281 </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-7,834</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-7,428</w:t>
            </w:r>
          </w:p>
        </w:tc>
        <w:tc>
          <w:tcPr>
            <w:tcW w:w="1050" w:type="dxa"/>
            <w:tcBorders>
              <w:top w:val="nil"/>
              <w:left w:val="nil"/>
              <w:bottom w:val="nil"/>
              <w:right w:val="nil"/>
            </w:tcBorders>
            <w:shd w:val="clear" w:color="000000" w:fill="FFFFFF"/>
            <w:hideMark/>
          </w:tcPr>
          <w:p w:rsidR="005C0788" w:rsidRDefault="005C0788" w:rsidP="009D7024">
            <w:pPr>
              <w:ind w:left="-283"/>
              <w:jc w:val="right"/>
              <w:rPr>
                <w:b/>
                <w:bCs/>
                <w:sz w:val="18"/>
                <w:szCs w:val="18"/>
              </w:rPr>
            </w:pPr>
            <w:r>
              <w:rPr>
                <w:b/>
                <w:bCs/>
                <w:sz w:val="18"/>
                <w:szCs w:val="18"/>
              </w:rPr>
              <w:t>-7,450</w:t>
            </w:r>
          </w:p>
        </w:tc>
      </w:tr>
      <w:tr w:rsidR="005C0788" w:rsidTr="009D7024">
        <w:tc>
          <w:tcPr>
            <w:tcW w:w="1049"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5C0788" w:rsidRDefault="005C0788" w:rsidP="009D7024">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5C0788" w:rsidRDefault="005C0788" w:rsidP="009D7024">
            <w:pPr>
              <w:ind w:left="-283"/>
              <w:jc w:val="right"/>
              <w:rPr>
                <w:sz w:val="18"/>
                <w:szCs w:val="18"/>
              </w:rPr>
            </w:pPr>
            <w:r>
              <w:rPr>
                <w:sz w:val="18"/>
                <w:szCs w:val="18"/>
              </w:rPr>
              <w:t> </w:t>
            </w:r>
          </w:p>
        </w:tc>
      </w:tr>
    </w:tbl>
    <w:p w:rsidR="006D60D2" w:rsidRDefault="006D60D2">
      <w:r>
        <w:br w:type="page"/>
      </w:r>
    </w:p>
    <w:tbl>
      <w:tblPr>
        <w:tblW w:w="9392" w:type="dxa"/>
        <w:tblLook w:val="04A0"/>
      </w:tblPr>
      <w:tblGrid>
        <w:gridCol w:w="1054"/>
        <w:gridCol w:w="2392"/>
        <w:gridCol w:w="1106"/>
        <w:gridCol w:w="1054"/>
        <w:gridCol w:w="624"/>
        <w:gridCol w:w="1054"/>
        <w:gridCol w:w="1054"/>
        <w:gridCol w:w="1054"/>
      </w:tblGrid>
      <w:tr w:rsidR="003F0D7C" w:rsidTr="009D7024">
        <w:trPr>
          <w:tblHeader/>
        </w:trPr>
        <w:tc>
          <w:tcPr>
            <w:tcW w:w="9392" w:type="dxa"/>
            <w:gridSpan w:val="8"/>
            <w:tcBorders>
              <w:top w:val="nil"/>
              <w:left w:val="nil"/>
              <w:bottom w:val="nil"/>
              <w:right w:val="nil"/>
            </w:tcBorders>
            <w:shd w:val="clear" w:color="000000" w:fill="FFFFFF"/>
            <w:noWrap/>
            <w:vAlign w:val="bottom"/>
            <w:hideMark/>
          </w:tcPr>
          <w:p w:rsidR="003F0D7C" w:rsidRPr="007B5375" w:rsidRDefault="003F0D7C" w:rsidP="009D7024">
            <w:pPr>
              <w:jc w:val="center"/>
              <w:rPr>
                <w:rFonts w:ascii="Arial" w:hAnsi="Arial" w:cs="Arial"/>
                <w:b/>
                <w:bCs/>
                <w:szCs w:val="24"/>
              </w:rPr>
            </w:pPr>
            <w:r w:rsidRPr="007B5375">
              <w:rPr>
                <w:rFonts w:ascii="Arial" w:hAnsi="Arial" w:cs="Arial"/>
                <w:b/>
                <w:bCs/>
                <w:szCs w:val="24"/>
              </w:rPr>
              <w:lastRenderedPageBreak/>
              <w:t>Commerce and Works Directorate</w:t>
            </w:r>
          </w:p>
        </w:tc>
      </w:tr>
      <w:tr w:rsidR="003F0D7C" w:rsidTr="009D7024">
        <w:trPr>
          <w:tblHeader/>
        </w:trPr>
        <w:tc>
          <w:tcPr>
            <w:tcW w:w="9392" w:type="dxa"/>
            <w:gridSpan w:val="8"/>
            <w:tcBorders>
              <w:top w:val="nil"/>
              <w:left w:val="nil"/>
              <w:bottom w:val="nil"/>
              <w:right w:val="nil"/>
            </w:tcBorders>
            <w:shd w:val="clear" w:color="000000" w:fill="FFFFFF"/>
            <w:noWrap/>
            <w:vAlign w:val="bottom"/>
            <w:hideMark/>
          </w:tcPr>
          <w:p w:rsidR="003F0D7C" w:rsidRPr="007B5375" w:rsidRDefault="003F0D7C" w:rsidP="009D7024">
            <w:pPr>
              <w:jc w:val="center"/>
              <w:rPr>
                <w:rFonts w:ascii="Arial" w:hAnsi="Arial" w:cs="Arial"/>
                <w:b/>
                <w:bCs/>
                <w:szCs w:val="24"/>
              </w:rPr>
            </w:pPr>
            <w:r w:rsidRPr="007B5375">
              <w:rPr>
                <w:rFonts w:ascii="Arial" w:hAnsi="Arial" w:cs="Arial"/>
                <w:b/>
                <w:bCs/>
                <w:szCs w:val="24"/>
              </w:rPr>
              <w:t>Balance Sheet</w:t>
            </w:r>
          </w:p>
        </w:tc>
      </w:tr>
      <w:tr w:rsidR="003F0D7C" w:rsidTr="009D7024">
        <w:trPr>
          <w:tblHeader/>
        </w:trPr>
        <w:tc>
          <w:tcPr>
            <w:tcW w:w="1054"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3F0D7C" w:rsidRDefault="003F0D7C" w:rsidP="009D7024">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3F0D7C" w:rsidRDefault="003F0D7C" w:rsidP="009D7024">
            <w:pPr>
              <w:ind w:left="-283"/>
              <w:jc w:val="right"/>
              <w:rPr>
                <w:b/>
                <w:bCs/>
                <w:sz w:val="18"/>
                <w:szCs w:val="18"/>
              </w:rPr>
            </w:pPr>
            <w:r>
              <w:rPr>
                <w:b/>
                <w:bCs/>
                <w:sz w:val="18"/>
                <w:szCs w:val="18"/>
              </w:rPr>
              <w:t>Estimate</w:t>
            </w:r>
          </w:p>
        </w:tc>
      </w:tr>
      <w:tr w:rsidR="003F0D7C" w:rsidTr="009D7024">
        <w:trPr>
          <w:tblHeader/>
        </w:trPr>
        <w:tc>
          <w:tcPr>
            <w:tcW w:w="1054"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3F0D7C" w:rsidRDefault="003F0D7C" w:rsidP="009D7024">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6"/>
                <w:szCs w:val="16"/>
              </w:rPr>
            </w:pPr>
            <w:r>
              <w:rPr>
                <w:b/>
                <w:bCs/>
                <w:sz w:val="16"/>
                <w:szCs w:val="16"/>
              </w:rPr>
              <w:t>as at 30/6/17</w:t>
            </w:r>
          </w:p>
        </w:tc>
      </w:tr>
      <w:tr w:rsidR="003F0D7C" w:rsidTr="009D7024">
        <w:trPr>
          <w:tblHeader/>
        </w:trPr>
        <w:tc>
          <w:tcPr>
            <w:tcW w:w="1054"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3F0D7C" w:rsidRDefault="003F0D7C" w:rsidP="009D7024">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3F0D7C" w:rsidRDefault="003F0D7C" w:rsidP="009D7024">
            <w:pPr>
              <w:ind w:left="-283"/>
              <w:jc w:val="right"/>
              <w:rPr>
                <w:b/>
                <w:bCs/>
                <w:sz w:val="18"/>
                <w:szCs w:val="18"/>
              </w:rPr>
            </w:pPr>
            <w:r>
              <w:rPr>
                <w:b/>
                <w:bCs/>
                <w:sz w:val="18"/>
                <w:szCs w:val="18"/>
              </w:rPr>
              <w:t>$'000</w:t>
            </w:r>
          </w:p>
        </w:tc>
      </w:tr>
      <w:tr w:rsidR="003F0D7C" w:rsidTr="009D7024">
        <w:trPr>
          <w:tblHeader/>
        </w:trPr>
        <w:tc>
          <w:tcPr>
            <w:tcW w:w="1054" w:type="dxa"/>
            <w:tcBorders>
              <w:top w:val="nil"/>
              <w:left w:val="nil"/>
              <w:bottom w:val="nil"/>
              <w:right w:val="nil"/>
            </w:tcBorders>
            <w:shd w:val="clear" w:color="000000" w:fill="FFFFFF"/>
            <w:noWrap/>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3F0D7C" w:rsidRDefault="003F0D7C" w:rsidP="009D7024">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3F0D7C" w:rsidRDefault="003F0D7C" w:rsidP="009D7024">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3F0D7C" w:rsidRDefault="003F0D7C" w:rsidP="009D7024">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3F0D7C" w:rsidRDefault="003F0D7C" w:rsidP="009D7024">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3F0D7C" w:rsidRDefault="003F0D7C" w:rsidP="009D7024">
            <w:pPr>
              <w:ind w:left="-283"/>
              <w:jc w:val="right"/>
              <w:rPr>
                <w:i/>
                <w:iCs/>
                <w:sz w:val="18"/>
                <w:szCs w:val="18"/>
              </w:rPr>
            </w:pPr>
            <w:r>
              <w:rPr>
                <w:i/>
                <w:iCs/>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Cash and Cash</w:t>
            </w:r>
            <w:r>
              <w:rPr>
                <w:sz w:val="18"/>
                <w:szCs w:val="18"/>
              </w:rPr>
              <w:br/>
              <w:t xml:space="preserve">   Equivalents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1,443</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26,252</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24,088</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21,971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20,052</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688</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43,969</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44,111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44,252</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44,414</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Assets Held for Sale</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18</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4,711</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4,781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4,851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4,921</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2,149</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74,953</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73,001</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71,095</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69,408</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296</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258</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-13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197</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111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25</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97</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62,706</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59,056</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53,023</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44,924</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1,309</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6,480</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395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5,091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4,146</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3,286</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3,102</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2,194</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-29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2,194</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2,194</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2,194</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C03B0D" w:rsidP="009D7024">
            <w:pPr>
              <w:rPr>
                <w:sz w:val="18"/>
                <w:szCs w:val="18"/>
              </w:rPr>
            </w:pPr>
            <w:r>
              <w:rPr>
                <w:sz w:val="18"/>
                <w:szCs w:val="18"/>
              </w:rPr>
              <w:t xml:space="preserve">Other Non </w:t>
            </w:r>
            <w:r w:rsidR="003F0D7C">
              <w:rPr>
                <w:sz w:val="18"/>
                <w:szCs w:val="18"/>
              </w:rPr>
              <w:t>Current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177</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177</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177</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177</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4,804</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71,815</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66,715</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59,651</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50,606</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6,953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146,768</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139,716</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130,746</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120,014</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495</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27,245</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27,300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27,354</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27,408</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35</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461</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461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461</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461</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3,655</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33,758</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824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35,883</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38,007</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40,128</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9,352</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9,532</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9,712</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9,892</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4,185</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70,816</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73,176</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75,534</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77,889</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338</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338</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338</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338</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212</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2,423</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2,425</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2,427</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2,429</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C03B0D" w:rsidP="009D7024">
            <w:pPr>
              <w:rPr>
                <w:sz w:val="18"/>
                <w:szCs w:val="18"/>
              </w:rPr>
            </w:pPr>
            <w:r>
              <w:rPr>
                <w:sz w:val="18"/>
                <w:szCs w:val="18"/>
              </w:rPr>
              <w:t xml:space="preserve">Other Non </w:t>
            </w:r>
            <w:r w:rsidR="003F0D7C">
              <w:rPr>
                <w:sz w:val="18"/>
                <w:szCs w:val="18"/>
              </w:rPr>
              <w:t>Current</w:t>
            </w:r>
            <w:r w:rsidR="003F0D7C">
              <w:rPr>
                <w:sz w:val="18"/>
                <w:szCs w:val="18"/>
              </w:rPr>
              <w:br/>
              <w:t xml:space="preserve">   Provisions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64</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64</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64</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64</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212</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2,825</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2,827</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2,829</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2,831</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4,397</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73,641</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76,003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78,363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80,720</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2,556</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73,127</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63,713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52,383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39,294</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3F0D7C" w:rsidRDefault="003F0D7C" w:rsidP="009D7024">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2,556</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62,834</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53,420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42,090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29,001</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3F0D7C" w:rsidRDefault="003F0D7C" w:rsidP="009D7024">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10,293</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10,293</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3F0D7C" w:rsidRDefault="003F0D7C" w:rsidP="009D7024">
            <w:pPr>
              <w:ind w:left="-283"/>
              <w:jc w:val="right"/>
              <w:rPr>
                <w:sz w:val="18"/>
                <w:szCs w:val="18"/>
              </w:rPr>
            </w:pPr>
            <w:r>
              <w:rPr>
                <w:sz w:val="18"/>
                <w:szCs w:val="18"/>
              </w:rPr>
              <w:t> </w:t>
            </w:r>
          </w:p>
        </w:tc>
      </w:tr>
      <w:tr w:rsidR="003F0D7C" w:rsidTr="009D7024">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3F0D7C" w:rsidRDefault="003F0D7C" w:rsidP="009D7024">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2,556</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73,127</w:t>
            </w:r>
          </w:p>
        </w:tc>
        <w:tc>
          <w:tcPr>
            <w:tcW w:w="62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63,713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52,383</w:t>
            </w:r>
          </w:p>
        </w:tc>
        <w:tc>
          <w:tcPr>
            <w:tcW w:w="1054" w:type="dxa"/>
            <w:tcBorders>
              <w:top w:val="nil"/>
              <w:left w:val="nil"/>
              <w:bottom w:val="nil"/>
              <w:right w:val="nil"/>
            </w:tcBorders>
            <w:shd w:val="clear" w:color="000000" w:fill="FFFFFF"/>
            <w:hideMark/>
          </w:tcPr>
          <w:p w:rsidR="003F0D7C" w:rsidRDefault="003F0D7C" w:rsidP="009D7024">
            <w:pPr>
              <w:ind w:left="-283"/>
              <w:jc w:val="right"/>
              <w:rPr>
                <w:b/>
                <w:bCs/>
                <w:sz w:val="18"/>
                <w:szCs w:val="18"/>
              </w:rPr>
            </w:pPr>
            <w:r>
              <w:rPr>
                <w:b/>
                <w:bCs/>
                <w:sz w:val="18"/>
                <w:szCs w:val="18"/>
              </w:rPr>
              <w:t>39,294</w:t>
            </w:r>
          </w:p>
        </w:tc>
      </w:tr>
      <w:tr w:rsidR="003F0D7C" w:rsidTr="009D7024">
        <w:tc>
          <w:tcPr>
            <w:tcW w:w="1054"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3F0D7C" w:rsidRDefault="003F0D7C" w:rsidP="009D7024">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3F0D7C" w:rsidRDefault="003F0D7C" w:rsidP="009D7024">
            <w:pPr>
              <w:ind w:left="-283"/>
              <w:jc w:val="right"/>
              <w:rPr>
                <w:sz w:val="18"/>
                <w:szCs w:val="18"/>
              </w:rPr>
            </w:pPr>
            <w:r>
              <w:rPr>
                <w:sz w:val="18"/>
                <w:szCs w:val="18"/>
              </w:rPr>
              <w:t> </w:t>
            </w:r>
          </w:p>
        </w:tc>
      </w:tr>
    </w:tbl>
    <w:p w:rsidR="005C0788" w:rsidRDefault="005C0788"/>
    <w:p w:rsidR="003F0D7C" w:rsidRDefault="006D60D2">
      <w:r>
        <w:br w:type="page"/>
      </w:r>
    </w:p>
    <w:tbl>
      <w:tblPr>
        <w:tblW w:w="9356" w:type="dxa"/>
        <w:tblLook w:val="04A0"/>
      </w:tblPr>
      <w:tblGrid>
        <w:gridCol w:w="1054"/>
        <w:gridCol w:w="2392"/>
        <w:gridCol w:w="1106"/>
        <w:gridCol w:w="1054"/>
        <w:gridCol w:w="624"/>
        <w:gridCol w:w="1054"/>
        <w:gridCol w:w="1054"/>
        <w:gridCol w:w="1054"/>
      </w:tblGrid>
      <w:tr w:rsidR="009D7024" w:rsidTr="009D7024">
        <w:trPr>
          <w:tblHeader/>
        </w:trPr>
        <w:tc>
          <w:tcPr>
            <w:tcW w:w="9392" w:type="dxa"/>
            <w:gridSpan w:val="8"/>
            <w:tcBorders>
              <w:top w:val="nil"/>
              <w:left w:val="nil"/>
              <w:bottom w:val="nil"/>
              <w:right w:val="nil"/>
            </w:tcBorders>
            <w:shd w:val="clear" w:color="000000" w:fill="FFFFFF"/>
            <w:noWrap/>
            <w:vAlign w:val="bottom"/>
            <w:hideMark/>
          </w:tcPr>
          <w:p w:rsidR="009D7024" w:rsidRPr="007B5375" w:rsidRDefault="009D7024" w:rsidP="009D7024">
            <w:pPr>
              <w:jc w:val="center"/>
              <w:rPr>
                <w:rFonts w:ascii="Arial" w:hAnsi="Arial" w:cs="Arial"/>
                <w:b/>
                <w:bCs/>
                <w:szCs w:val="24"/>
              </w:rPr>
            </w:pPr>
            <w:bookmarkStart w:id="2" w:name="RANGE!A1:H36"/>
            <w:r w:rsidRPr="007B5375">
              <w:rPr>
                <w:rFonts w:ascii="Arial" w:hAnsi="Arial" w:cs="Arial"/>
                <w:b/>
                <w:bCs/>
                <w:szCs w:val="24"/>
              </w:rPr>
              <w:lastRenderedPageBreak/>
              <w:t>Commerce and Works Directorate</w:t>
            </w:r>
            <w:bookmarkEnd w:id="2"/>
          </w:p>
        </w:tc>
      </w:tr>
      <w:tr w:rsidR="009D7024" w:rsidTr="009D7024">
        <w:trPr>
          <w:tblHeader/>
        </w:trPr>
        <w:tc>
          <w:tcPr>
            <w:tcW w:w="9392" w:type="dxa"/>
            <w:gridSpan w:val="8"/>
            <w:tcBorders>
              <w:top w:val="nil"/>
              <w:left w:val="nil"/>
              <w:bottom w:val="nil"/>
              <w:right w:val="nil"/>
            </w:tcBorders>
            <w:shd w:val="clear" w:color="000000" w:fill="FFFFFF"/>
            <w:noWrap/>
            <w:vAlign w:val="bottom"/>
            <w:hideMark/>
          </w:tcPr>
          <w:p w:rsidR="009D7024" w:rsidRPr="007B5375" w:rsidRDefault="009D7024" w:rsidP="009D7024">
            <w:pPr>
              <w:jc w:val="center"/>
              <w:rPr>
                <w:rFonts w:ascii="Arial" w:hAnsi="Arial" w:cs="Arial"/>
                <w:b/>
                <w:bCs/>
                <w:szCs w:val="24"/>
              </w:rPr>
            </w:pPr>
            <w:r w:rsidRPr="007B5375">
              <w:rPr>
                <w:rFonts w:ascii="Arial" w:hAnsi="Arial" w:cs="Arial"/>
                <w:b/>
                <w:bCs/>
                <w:szCs w:val="24"/>
              </w:rPr>
              <w:t>Statement of Changes in Equity</w:t>
            </w:r>
          </w:p>
        </w:tc>
      </w:tr>
      <w:tr w:rsidR="009D7024" w:rsidTr="009D7024">
        <w:trPr>
          <w:tblHeader/>
        </w:trPr>
        <w:tc>
          <w:tcPr>
            <w:tcW w:w="1054"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9D7024" w:rsidRDefault="009D7024" w:rsidP="009D7024">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Estimate</w:t>
            </w:r>
          </w:p>
        </w:tc>
      </w:tr>
      <w:tr w:rsidR="009D7024" w:rsidTr="009D7024">
        <w:trPr>
          <w:tblHeader/>
        </w:trPr>
        <w:tc>
          <w:tcPr>
            <w:tcW w:w="1054"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9D7024" w:rsidRDefault="009D7024" w:rsidP="009D7024">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9D7024" w:rsidRDefault="009D7024" w:rsidP="009D7024">
            <w:pPr>
              <w:ind w:left="-283"/>
              <w:jc w:val="right"/>
              <w:rPr>
                <w:b/>
                <w:bCs/>
                <w:sz w:val="16"/>
                <w:szCs w:val="16"/>
              </w:rPr>
            </w:pPr>
            <w:r>
              <w:rPr>
                <w:b/>
                <w:bCs/>
                <w:sz w:val="16"/>
                <w:szCs w:val="16"/>
              </w:rPr>
              <w:t>as at 30/6/17</w:t>
            </w:r>
          </w:p>
        </w:tc>
      </w:tr>
      <w:tr w:rsidR="009D7024" w:rsidTr="009D7024">
        <w:trPr>
          <w:tblHeader/>
        </w:trPr>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9D7024" w:rsidRDefault="009D7024" w:rsidP="009D7024">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$'000</w:t>
            </w:r>
          </w:p>
        </w:tc>
      </w:tr>
      <w:tr w:rsidR="009D7024" w:rsidTr="009D7024">
        <w:trPr>
          <w:tblHeader/>
        </w:trPr>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2,556</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62,834</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53,420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42,090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7024" w:rsidRDefault="009D7024" w:rsidP="009D7024">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D7024" w:rsidRDefault="009D7024" w:rsidP="009D7024">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2,556</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73,127</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63,713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52,383</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7024" w:rsidRDefault="009D7024" w:rsidP="009D7024">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99</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-10,472</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-7,834</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-7,428</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-7,450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7024" w:rsidRDefault="009D7024" w:rsidP="009D7024">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D7024" w:rsidRDefault="009D7024" w:rsidP="009D7024">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99</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-179</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xml:space="preserve">-281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-7,834</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-7,428</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-7,450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9D7024" w:rsidRDefault="009D7024" w:rsidP="009D7024">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D7024" w:rsidRDefault="009D7024" w:rsidP="009D7024">
            <w:pPr>
              <w:rPr>
                <w:b/>
                <w:bCs/>
                <w:sz w:val="18"/>
                <w:szCs w:val="18"/>
              </w:rPr>
            </w:pPr>
            <w:r>
              <w:rPr>
                <w:b/>
                <w:bCs/>
                <w:sz w:val="18"/>
                <w:szCs w:val="18"/>
              </w:rPr>
              <w:t>Transactions Involving Owners</w:t>
            </w:r>
          </w:p>
          <w:p w:rsidR="009D7024" w:rsidRDefault="009D7024" w:rsidP="009D7024">
            <w:pPr>
              <w:rPr>
                <w:b/>
                <w:bCs/>
                <w:sz w:val="18"/>
                <w:szCs w:val="18"/>
              </w:rPr>
            </w:pPr>
            <w:r>
              <w:rPr>
                <w:b/>
                <w:bCs/>
                <w:sz w:val="18"/>
                <w:szCs w:val="18"/>
              </w:rPr>
              <w:t>Affecting Accumulated Funds</w:t>
            </w:r>
          </w:p>
          <w:p w:rsidR="009D7024" w:rsidRDefault="009D7024" w:rsidP="009D7024">
            <w:pPr>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2,683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17,528</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553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4,504</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2,722</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1,000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7024" w:rsidRDefault="009D7024" w:rsidP="009D7024">
            <w:pPr>
              <w:rPr>
                <w:sz w:val="18"/>
                <w:szCs w:val="18"/>
              </w:rPr>
            </w:pPr>
            <w:r>
              <w:rPr>
                <w:sz w:val="18"/>
                <w:szCs w:val="18"/>
              </w:rPr>
              <w:t>Capital Distributions</w:t>
            </w:r>
            <w:r>
              <w:rPr>
                <w:sz w:val="18"/>
                <w:szCs w:val="18"/>
              </w:rPr>
              <w:br/>
              <w:t xml:space="preserve">   to Government</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-5,999</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-6,084</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-6,624</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-6,639</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7024" w:rsidRDefault="009D7024" w:rsidP="009D7024">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-226</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59,221</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D7024" w:rsidRDefault="009D7024" w:rsidP="009D7024">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2,457</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70,750</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-1,580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-3,902</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-5,639</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2,556</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62,834</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53,420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42,090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29,001</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D7024" w:rsidRDefault="009D7024" w:rsidP="009D7024">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10,293</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9D7024" w:rsidRDefault="009D7024" w:rsidP="009D7024">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sz w:val="18"/>
                <w:szCs w:val="18"/>
              </w:rPr>
            </w:pPr>
            <w:r>
              <w:rPr>
                <w:sz w:val="18"/>
                <w:szCs w:val="18"/>
              </w:rPr>
              <w:t> </w:t>
            </w:r>
          </w:p>
        </w:tc>
      </w:tr>
      <w:tr w:rsidR="009D7024" w:rsidTr="009D7024">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D7024" w:rsidRDefault="009D7024" w:rsidP="009D7024">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2,556</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73,127</w:t>
            </w:r>
          </w:p>
        </w:tc>
        <w:tc>
          <w:tcPr>
            <w:tcW w:w="62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63,713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52,383</w:t>
            </w:r>
          </w:p>
        </w:tc>
        <w:tc>
          <w:tcPr>
            <w:tcW w:w="1054" w:type="dxa"/>
            <w:tcBorders>
              <w:top w:val="nil"/>
              <w:left w:val="nil"/>
              <w:bottom w:val="nil"/>
              <w:right w:val="nil"/>
            </w:tcBorders>
            <w:shd w:val="clear" w:color="000000" w:fill="FFFFFF"/>
            <w:noWrap/>
            <w:hideMark/>
          </w:tcPr>
          <w:p w:rsidR="009D7024" w:rsidRDefault="009D7024" w:rsidP="009D7024">
            <w:pPr>
              <w:ind w:left="-283"/>
              <w:jc w:val="right"/>
              <w:rPr>
                <w:b/>
                <w:bCs/>
                <w:sz w:val="18"/>
                <w:szCs w:val="18"/>
              </w:rPr>
            </w:pPr>
            <w:r>
              <w:rPr>
                <w:b/>
                <w:bCs/>
                <w:sz w:val="18"/>
                <w:szCs w:val="18"/>
              </w:rPr>
              <w:t>39,294</w:t>
            </w:r>
          </w:p>
        </w:tc>
      </w:tr>
      <w:tr w:rsidR="009D7024" w:rsidTr="009D7024">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9D7024" w:rsidRDefault="009D7024" w:rsidP="009D7024">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9D7024" w:rsidRDefault="009D7024" w:rsidP="009D7024">
            <w:pPr>
              <w:ind w:left="-283"/>
              <w:jc w:val="right"/>
              <w:rPr>
                <w:b/>
                <w:bCs/>
                <w:sz w:val="18"/>
                <w:szCs w:val="18"/>
              </w:rPr>
            </w:pPr>
            <w:r>
              <w:rPr>
                <w:b/>
                <w:bCs/>
                <w:sz w:val="18"/>
                <w:szCs w:val="18"/>
              </w:rPr>
              <w:t> </w:t>
            </w:r>
          </w:p>
        </w:tc>
      </w:tr>
    </w:tbl>
    <w:p w:rsidR="003F0D7C" w:rsidRDefault="003F0D7C"/>
    <w:p w:rsidR="009D7024" w:rsidRDefault="003F0D7C">
      <w:r>
        <w:br w:type="page"/>
      </w:r>
    </w:p>
    <w:tbl>
      <w:tblPr>
        <w:tblW w:w="9392" w:type="dxa"/>
        <w:tblLook w:val="04A0"/>
      </w:tblPr>
      <w:tblGrid>
        <w:gridCol w:w="1054"/>
        <w:gridCol w:w="2392"/>
        <w:gridCol w:w="1106"/>
        <w:gridCol w:w="1054"/>
        <w:gridCol w:w="624"/>
        <w:gridCol w:w="1054"/>
        <w:gridCol w:w="1054"/>
        <w:gridCol w:w="1054"/>
      </w:tblGrid>
      <w:tr w:rsidR="00F90DA2" w:rsidTr="00E73AF2">
        <w:trPr>
          <w:tblHeader/>
        </w:trPr>
        <w:tc>
          <w:tcPr>
            <w:tcW w:w="9392" w:type="dxa"/>
            <w:gridSpan w:val="8"/>
            <w:tcBorders>
              <w:top w:val="nil"/>
              <w:left w:val="nil"/>
              <w:bottom w:val="nil"/>
              <w:right w:val="nil"/>
            </w:tcBorders>
            <w:shd w:val="clear" w:color="000000" w:fill="FFFFFF"/>
            <w:noWrap/>
            <w:vAlign w:val="bottom"/>
            <w:hideMark/>
          </w:tcPr>
          <w:p w:rsidR="00F90DA2" w:rsidRPr="00AB3ECD" w:rsidRDefault="00F90DA2" w:rsidP="007E2F86">
            <w:pPr>
              <w:jc w:val="center"/>
              <w:rPr>
                <w:rFonts w:ascii="Arial" w:hAnsi="Arial" w:cs="Arial"/>
                <w:b/>
                <w:bCs/>
                <w:szCs w:val="24"/>
              </w:rPr>
            </w:pPr>
            <w:bookmarkStart w:id="3" w:name="RANGE!A1:H59"/>
            <w:r w:rsidRPr="00AB3ECD">
              <w:rPr>
                <w:rFonts w:ascii="Arial" w:hAnsi="Arial" w:cs="Arial"/>
                <w:b/>
                <w:bCs/>
                <w:szCs w:val="24"/>
              </w:rPr>
              <w:lastRenderedPageBreak/>
              <w:t>Commerce and Works Directorate</w:t>
            </w:r>
            <w:bookmarkEnd w:id="3"/>
          </w:p>
        </w:tc>
      </w:tr>
      <w:tr w:rsidR="00F90DA2" w:rsidTr="00E73AF2">
        <w:trPr>
          <w:tblHeader/>
        </w:trPr>
        <w:tc>
          <w:tcPr>
            <w:tcW w:w="9392" w:type="dxa"/>
            <w:gridSpan w:val="8"/>
            <w:tcBorders>
              <w:top w:val="nil"/>
              <w:left w:val="nil"/>
              <w:bottom w:val="nil"/>
              <w:right w:val="nil"/>
            </w:tcBorders>
            <w:shd w:val="clear" w:color="000000" w:fill="FFFFFF"/>
            <w:noWrap/>
            <w:vAlign w:val="bottom"/>
            <w:hideMark/>
          </w:tcPr>
          <w:p w:rsidR="00F90DA2" w:rsidRPr="00AB3ECD" w:rsidRDefault="00F90DA2" w:rsidP="007E2F86">
            <w:pPr>
              <w:jc w:val="center"/>
              <w:rPr>
                <w:rFonts w:ascii="Arial" w:hAnsi="Arial" w:cs="Arial"/>
                <w:b/>
                <w:bCs/>
                <w:szCs w:val="24"/>
              </w:rPr>
            </w:pPr>
            <w:r w:rsidRPr="00AB3ECD">
              <w:rPr>
                <w:rFonts w:ascii="Arial" w:hAnsi="Arial" w:cs="Arial"/>
                <w:b/>
                <w:bCs/>
                <w:szCs w:val="24"/>
              </w:rPr>
              <w:t>Cash Flow Statement</w:t>
            </w:r>
          </w:p>
        </w:tc>
      </w:tr>
      <w:tr w:rsidR="00F90DA2" w:rsidTr="00E73AF2">
        <w:trPr>
          <w:tblHeader/>
        </w:trPr>
        <w:tc>
          <w:tcPr>
            <w:tcW w:w="1054"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F90DA2" w:rsidRDefault="00F90DA2"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2016-17</w:t>
            </w:r>
          </w:p>
        </w:tc>
      </w:tr>
      <w:tr w:rsidR="00F90DA2" w:rsidTr="00E73AF2">
        <w:trPr>
          <w:tblHeader/>
        </w:trPr>
        <w:tc>
          <w:tcPr>
            <w:tcW w:w="1054" w:type="dxa"/>
            <w:tcBorders>
              <w:top w:val="nil"/>
              <w:left w:val="nil"/>
              <w:bottom w:val="nil"/>
              <w:right w:val="nil"/>
            </w:tcBorders>
            <w:shd w:val="clear" w:color="000000" w:fill="FFFFFF"/>
            <w:hideMark/>
          </w:tcPr>
          <w:p w:rsidR="00F90DA2" w:rsidRDefault="00F90DA2" w:rsidP="007E2F8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F90DA2" w:rsidRDefault="00F90DA2"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F90DA2" w:rsidRDefault="00F90DA2" w:rsidP="007E2F8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F90DA2" w:rsidRDefault="00F90DA2" w:rsidP="007E2F8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F90DA2" w:rsidRDefault="00F90DA2" w:rsidP="007E2F8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Estimate</w:t>
            </w:r>
          </w:p>
        </w:tc>
      </w:tr>
      <w:tr w:rsidR="00F90DA2" w:rsidTr="00E73AF2">
        <w:trPr>
          <w:tblHeader/>
        </w:trPr>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F90DA2" w:rsidRDefault="00F90DA2"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$'000</w:t>
            </w:r>
          </w:p>
        </w:tc>
      </w:tr>
      <w:tr w:rsidR="00F90DA2" w:rsidTr="00E73AF2">
        <w:trPr>
          <w:trHeight w:hRule="exact" w:val="113"/>
          <w:tblHeader/>
        </w:trPr>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90DA2" w:rsidRDefault="00F90DA2"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90DA2" w:rsidRPr="00E73AF2" w:rsidRDefault="00F90DA2" w:rsidP="007E2F86">
            <w:pPr>
              <w:rPr>
                <w:sz w:val="16"/>
                <w:szCs w:val="16"/>
              </w:rPr>
            </w:pPr>
            <w:r w:rsidRPr="00E73AF2">
              <w:rPr>
                <w:b/>
                <w:bCs/>
                <w:sz w:val="16"/>
                <w:szCs w:val="16"/>
              </w:rPr>
              <w:t>CASH FLOWS FROM OPERATING ACTIVITIES</w:t>
            </w:r>
            <w:r w:rsidRPr="00E73AF2">
              <w:rPr>
                <w:sz w:val="16"/>
                <w:szCs w:val="16"/>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rPr>
                <w:sz w:val="16"/>
                <w:szCs w:val="16"/>
              </w:rPr>
            </w:pPr>
            <w:r w:rsidRPr="00E73AF2">
              <w:rPr>
                <w:sz w:val="16"/>
                <w:szCs w:val="16"/>
              </w:rPr>
              <w:t>Cash from Government</w:t>
            </w:r>
            <w:r w:rsidR="005D7ABC">
              <w:rPr>
                <w:sz w:val="16"/>
                <w:szCs w:val="16"/>
              </w:rPr>
              <w:t xml:space="preserve"> </w:t>
            </w:r>
            <w:r w:rsidRPr="00E73AF2">
              <w:rPr>
                <w:sz w:val="16"/>
                <w:szCs w:val="16"/>
              </w:rPr>
              <w:br/>
              <w:t xml:space="preserve">   for Outputs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10,430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31,856</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205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29,397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28,521</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29,167</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User Charges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182,848</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185,747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188,726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192,152</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Interest Received</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236</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240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244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248</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Other 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686,929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696,615</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707,490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724,525</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Operating 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10,437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901,869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911,999</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924,981</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946,092</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Payments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Related to Employees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5,525</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94,305</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95,590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96,329</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97,522</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Related to Superannuation</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556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14,287</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14,008</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13,697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13,469</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5D7ABC">
            <w:pPr>
              <w:rPr>
                <w:sz w:val="16"/>
                <w:szCs w:val="16"/>
              </w:rPr>
            </w:pPr>
            <w:r w:rsidRPr="00E73AF2">
              <w:rPr>
                <w:sz w:val="16"/>
                <w:szCs w:val="16"/>
              </w:rPr>
              <w:t>Related to Supplies and</w:t>
            </w:r>
            <w:r w:rsidR="005D7ABC">
              <w:rPr>
                <w:sz w:val="16"/>
                <w:szCs w:val="16"/>
              </w:rPr>
              <w:t xml:space="preserve"> </w:t>
            </w:r>
            <w:r w:rsidRPr="00E73AF2">
              <w:rPr>
                <w:sz w:val="16"/>
                <w:szCs w:val="16"/>
              </w:rPr>
              <w:t>Services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4,072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90,476</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90,848</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91,986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94,567</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Borrowing Costs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16</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16</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Other</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685,470</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695,136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705,993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723,004</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Operating Payments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10,153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884,554</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895,598</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908,021</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928,578</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E73AF2" w:rsidRPr="00E73AF2" w:rsidRDefault="00F90DA2" w:rsidP="00E73AF2">
            <w:pPr>
              <w:rPr>
                <w:b/>
                <w:bCs/>
                <w:sz w:val="16"/>
                <w:szCs w:val="16"/>
              </w:rPr>
            </w:pPr>
            <w:r w:rsidRPr="00E73AF2">
              <w:rPr>
                <w:b/>
                <w:bCs/>
                <w:sz w:val="16"/>
                <w:szCs w:val="16"/>
              </w:rPr>
              <w:t xml:space="preserve">NET CASH </w:t>
            </w:r>
            <w:r w:rsidR="00E73AF2" w:rsidRPr="00E73AF2">
              <w:rPr>
                <w:b/>
                <w:bCs/>
                <w:sz w:val="16"/>
                <w:szCs w:val="16"/>
              </w:rPr>
              <w:t xml:space="preserve">INFLOW/(OUTFLOW)   </w:t>
            </w:r>
          </w:p>
          <w:p w:rsidR="00F90DA2" w:rsidRPr="00E73AF2" w:rsidRDefault="00E73AF2" w:rsidP="00E73AF2">
            <w:pPr>
              <w:rPr>
                <w:b/>
                <w:bCs/>
                <w:sz w:val="16"/>
                <w:szCs w:val="16"/>
              </w:rPr>
            </w:pPr>
            <w:r>
              <w:rPr>
                <w:b/>
                <w:bCs/>
                <w:sz w:val="16"/>
                <w:szCs w:val="16"/>
              </w:rPr>
              <w:t xml:space="preserve">   </w:t>
            </w:r>
            <w:r w:rsidR="00F90DA2" w:rsidRPr="00E73AF2">
              <w:rPr>
                <w:b/>
                <w:bCs/>
                <w:sz w:val="16"/>
                <w:szCs w:val="16"/>
              </w:rPr>
              <w:t>FROM</w:t>
            </w:r>
            <w:r>
              <w:rPr>
                <w:b/>
                <w:bCs/>
                <w:sz w:val="16"/>
                <w:szCs w:val="16"/>
              </w:rPr>
              <w:t xml:space="preserve"> </w:t>
            </w:r>
            <w:r w:rsidR="00F90DA2" w:rsidRPr="00E73AF2">
              <w:rPr>
                <w:b/>
                <w:bCs/>
                <w:sz w:val="16"/>
                <w:szCs w:val="16"/>
              </w:rPr>
              <w:t>OPERATING ACTIVITIES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284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17,315</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16,401</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16,960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17,514</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90DA2" w:rsidRPr="00E73AF2" w:rsidRDefault="00F90DA2" w:rsidP="007E2F86">
            <w:pPr>
              <w:rPr>
                <w:sz w:val="16"/>
                <w:szCs w:val="16"/>
              </w:rPr>
            </w:pPr>
            <w:r w:rsidRPr="00E73AF2">
              <w:rPr>
                <w:b/>
                <w:bCs/>
                <w:sz w:val="16"/>
                <w:szCs w:val="16"/>
              </w:rPr>
              <w:t>CASH FLOWS FROM INVESTING ACTIVITIES</w:t>
            </w:r>
            <w:r w:rsidRPr="00E73AF2">
              <w:rPr>
                <w:sz w:val="16"/>
                <w:szCs w:val="16"/>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5D7ABC">
            <w:pPr>
              <w:rPr>
                <w:sz w:val="16"/>
                <w:szCs w:val="16"/>
              </w:rPr>
            </w:pPr>
            <w:r w:rsidRPr="00E73AF2">
              <w:rPr>
                <w:sz w:val="16"/>
                <w:szCs w:val="16"/>
              </w:rPr>
              <w:t>Proceeds from Sale of</w:t>
            </w:r>
            <w:r w:rsidR="005D7ABC" w:rsidRPr="00E73AF2">
              <w:rPr>
                <w:sz w:val="16"/>
                <w:szCs w:val="16"/>
              </w:rPr>
              <w:t xml:space="preserve"> Property, </w:t>
            </w:r>
            <w:r w:rsidR="005D7ABC">
              <w:rPr>
                <w:sz w:val="16"/>
                <w:szCs w:val="16"/>
              </w:rPr>
              <w:t xml:space="preserve"> </w:t>
            </w:r>
            <w:r w:rsidRPr="00E73AF2">
              <w:rPr>
                <w:sz w:val="16"/>
                <w:szCs w:val="16"/>
              </w:rPr>
              <w:br/>
              <w:t xml:space="preserve">   Plant</w:t>
            </w:r>
            <w:r w:rsidR="005D7ABC" w:rsidRPr="00E73AF2">
              <w:rPr>
                <w:sz w:val="16"/>
                <w:szCs w:val="16"/>
              </w:rPr>
              <w:t xml:space="preserve"> and Equipment</w:t>
            </w:r>
            <w:r w:rsidR="005D7ABC">
              <w:rPr>
                <w:sz w:val="16"/>
                <w:szCs w:val="16"/>
              </w:rPr>
              <w:t xml:space="preserve"> </w:t>
            </w:r>
            <w:r w:rsidRPr="00E73AF2">
              <w:rPr>
                <w:sz w:val="16"/>
                <w:szCs w:val="16"/>
              </w:rPr>
              <w:t xml:space="preserve">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329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335</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341</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347</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rPr>
                <w:sz w:val="16"/>
                <w:szCs w:val="16"/>
              </w:rPr>
            </w:pPr>
            <w:r w:rsidRPr="00E73AF2">
              <w:rPr>
                <w:sz w:val="16"/>
                <w:szCs w:val="16"/>
              </w:rPr>
              <w:t>Repayment of Home Loan</w:t>
            </w:r>
            <w:r w:rsidRPr="00E73AF2">
              <w:rPr>
                <w:sz w:val="16"/>
                <w:szCs w:val="16"/>
              </w:rPr>
              <w:br/>
              <w:t xml:space="preserve">   Principal</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78</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102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125</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125</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Investing 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407</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437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466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472</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Payments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color w:val="0000FF"/>
                <w:sz w:val="18"/>
                <w:szCs w:val="18"/>
              </w:rPr>
            </w:pPr>
            <w:r>
              <w:rPr>
                <w:color w:val="0000FF"/>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5D7ABC">
            <w:pPr>
              <w:rPr>
                <w:sz w:val="16"/>
                <w:szCs w:val="16"/>
              </w:rPr>
            </w:pPr>
            <w:r w:rsidRPr="00E73AF2">
              <w:rPr>
                <w:sz w:val="16"/>
                <w:szCs w:val="16"/>
              </w:rPr>
              <w:t>Purchase of Property, Plant</w:t>
            </w:r>
            <w:r w:rsidR="005D7ABC" w:rsidRPr="00E73AF2">
              <w:rPr>
                <w:sz w:val="16"/>
                <w:szCs w:val="16"/>
              </w:rPr>
              <w:t xml:space="preserve"> and</w:t>
            </w:r>
            <w:r w:rsidRPr="00E73AF2">
              <w:rPr>
                <w:sz w:val="16"/>
                <w:szCs w:val="16"/>
              </w:rPr>
              <w:br/>
              <w:t xml:space="preserve">   Equipment and</w:t>
            </w:r>
            <w:r w:rsidR="005D7ABC" w:rsidRPr="00E73AF2">
              <w:rPr>
                <w:sz w:val="16"/>
                <w:szCs w:val="16"/>
              </w:rPr>
              <w:t xml:space="preserve"> Capital Works</w:t>
            </w:r>
            <w:r w:rsidRPr="00E73AF2">
              <w:rPr>
                <w:sz w:val="16"/>
                <w:szCs w:val="16"/>
              </w:rPr>
              <w:t xml:space="preserve">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27,601</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17,248</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15,466</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14,088</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5D7ABC">
            <w:pPr>
              <w:rPr>
                <w:sz w:val="16"/>
                <w:szCs w:val="16"/>
              </w:rPr>
            </w:pPr>
            <w:r w:rsidRPr="00E73AF2">
              <w:rPr>
                <w:sz w:val="16"/>
                <w:szCs w:val="16"/>
              </w:rPr>
              <w:t>Purchase of Land and</w:t>
            </w:r>
            <w:r w:rsidR="005D7ABC">
              <w:rPr>
                <w:sz w:val="16"/>
                <w:szCs w:val="16"/>
              </w:rPr>
              <w:t xml:space="preserve"> </w:t>
            </w:r>
            <w:r w:rsidR="005D7ABC" w:rsidRPr="00E73AF2">
              <w:rPr>
                <w:sz w:val="16"/>
                <w:szCs w:val="16"/>
              </w:rPr>
              <w:t>Intangibles</w:t>
            </w:r>
            <w:r w:rsidRPr="00E73AF2">
              <w:rPr>
                <w:sz w:val="16"/>
                <w:szCs w:val="16"/>
              </w:rPr>
              <w:t xml:space="preserve">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2,683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3,658</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36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 xml:space="preserve">Issue of Loan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64</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62</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Investing Payments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2,683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31,323</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17,312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15,528</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14,150</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F90DA2" w:rsidRPr="00E73AF2" w:rsidRDefault="00F90DA2" w:rsidP="00E73AF2">
            <w:pPr>
              <w:rPr>
                <w:b/>
                <w:bCs/>
                <w:sz w:val="16"/>
                <w:szCs w:val="16"/>
              </w:rPr>
            </w:pPr>
            <w:r w:rsidRPr="00E73AF2">
              <w:rPr>
                <w:b/>
                <w:bCs/>
                <w:sz w:val="16"/>
                <w:szCs w:val="16"/>
              </w:rPr>
              <w:t>NET CASH INFLOW/</w:t>
            </w:r>
            <w:r w:rsidR="00E73AF2" w:rsidRPr="00E73AF2">
              <w:rPr>
                <w:b/>
                <w:bCs/>
                <w:sz w:val="16"/>
                <w:szCs w:val="16"/>
              </w:rPr>
              <w:t>(OUTFLOW)</w:t>
            </w:r>
            <w:r w:rsidRPr="00E73AF2">
              <w:rPr>
                <w:b/>
                <w:bCs/>
                <w:sz w:val="16"/>
                <w:szCs w:val="16"/>
              </w:rPr>
              <w:br/>
              <w:t xml:space="preserve">   FROM</w:t>
            </w:r>
            <w:r w:rsidR="00E73AF2">
              <w:rPr>
                <w:b/>
                <w:bCs/>
                <w:sz w:val="16"/>
                <w:szCs w:val="16"/>
              </w:rPr>
              <w:t xml:space="preserve"> I</w:t>
            </w:r>
            <w:r w:rsidRPr="00E73AF2">
              <w:rPr>
                <w:b/>
                <w:bCs/>
                <w:sz w:val="16"/>
                <w:szCs w:val="16"/>
              </w:rPr>
              <w:t>NVESTING ACTIVITIES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-2,683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-30,916</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-16,875</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-15,062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-13,678</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Default="00F90DA2"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F90DA2" w:rsidRPr="00E73AF2" w:rsidRDefault="00F90DA2" w:rsidP="007E2F86">
            <w:pPr>
              <w:rPr>
                <w:sz w:val="16"/>
                <w:szCs w:val="16"/>
              </w:rPr>
            </w:pPr>
            <w:r w:rsidRPr="00E73AF2">
              <w:rPr>
                <w:b/>
                <w:bCs/>
                <w:sz w:val="16"/>
                <w:szCs w:val="16"/>
              </w:rPr>
              <w:t>CASH FLOWS FROM FINANCING ACTIVITIES</w:t>
            </w:r>
            <w:r w:rsidRPr="00E73AF2">
              <w:rPr>
                <w:sz w:val="16"/>
                <w:szCs w:val="16"/>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rPr>
                <w:sz w:val="16"/>
                <w:szCs w:val="16"/>
              </w:rPr>
            </w:pPr>
            <w:r w:rsidRPr="00E73AF2">
              <w:rPr>
                <w:sz w:val="16"/>
                <w:szCs w:val="16"/>
              </w:rPr>
              <w:t>Capital Injections from</w:t>
            </w:r>
            <w:r w:rsidRPr="00E73AF2">
              <w:rPr>
                <w:sz w:val="16"/>
                <w:szCs w:val="16"/>
              </w:rPr>
              <w:br/>
              <w:t xml:space="preserve">   Government</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2,683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17,528</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553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4,504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2,722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1,000</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rPr>
                <w:sz w:val="16"/>
                <w:szCs w:val="16"/>
              </w:rPr>
            </w:pPr>
            <w:r w:rsidRPr="00E73AF2">
              <w:rPr>
                <w:sz w:val="16"/>
                <w:szCs w:val="16"/>
              </w:rPr>
              <w:t>Receipt of Transferred</w:t>
            </w:r>
            <w:r w:rsidRPr="00E73AF2">
              <w:rPr>
                <w:sz w:val="16"/>
                <w:szCs w:val="16"/>
              </w:rPr>
              <w:br/>
              <w:t xml:space="preserve">   Cash Balances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1,159</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26,991</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Financing Receipts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3,842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44,519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4,504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2,722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1,000</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Payments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Distributions to Government</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5,999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6,084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6,624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6,639</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Repayment of Finance Leases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110</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110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113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116</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Financing Payments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6,109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6,194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6,737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6,755</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F90DA2" w:rsidRPr="00E73AF2" w:rsidRDefault="00F90DA2" w:rsidP="00E73AF2">
            <w:pPr>
              <w:rPr>
                <w:b/>
                <w:bCs/>
                <w:sz w:val="16"/>
                <w:szCs w:val="16"/>
              </w:rPr>
            </w:pPr>
            <w:r w:rsidRPr="00E73AF2">
              <w:rPr>
                <w:b/>
                <w:bCs/>
                <w:sz w:val="16"/>
                <w:szCs w:val="16"/>
              </w:rPr>
              <w:t>NET CASH INFLOW/</w:t>
            </w:r>
            <w:r w:rsidR="00E73AF2" w:rsidRPr="00E73AF2">
              <w:rPr>
                <w:b/>
                <w:bCs/>
                <w:sz w:val="16"/>
                <w:szCs w:val="16"/>
              </w:rPr>
              <w:t>(OUTFLOW)</w:t>
            </w:r>
            <w:r w:rsidRPr="00E73AF2">
              <w:rPr>
                <w:b/>
                <w:bCs/>
                <w:sz w:val="16"/>
                <w:szCs w:val="16"/>
              </w:rPr>
              <w:br/>
              <w:t xml:space="preserve">   FROM</w:t>
            </w:r>
            <w:r w:rsidR="00E73AF2">
              <w:rPr>
                <w:b/>
                <w:bCs/>
                <w:sz w:val="16"/>
                <w:szCs w:val="16"/>
              </w:rPr>
              <w:t xml:space="preserve"> </w:t>
            </w:r>
            <w:r w:rsidRPr="00E73AF2">
              <w:rPr>
                <w:b/>
                <w:bCs/>
                <w:sz w:val="16"/>
                <w:szCs w:val="16"/>
              </w:rPr>
              <w:t>FINANCING ACTIVITIES</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3,842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38,410</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900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-1,690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-4,015</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-5,755</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b/>
                <w:bCs/>
                <w:sz w:val="16"/>
                <w:szCs w:val="16"/>
              </w:rPr>
            </w:pPr>
            <w:r w:rsidRPr="00E73AF2">
              <w:rPr>
                <w:b/>
                <w:bCs/>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rPr>
                <w:b/>
                <w:bCs/>
                <w:sz w:val="16"/>
                <w:szCs w:val="16"/>
              </w:rPr>
            </w:pPr>
            <w:r w:rsidRPr="00E73AF2">
              <w:rPr>
                <w:b/>
                <w:bCs/>
                <w:sz w:val="16"/>
                <w:szCs w:val="16"/>
              </w:rPr>
              <w:t>NET INCREASE / (DECREASE)</w:t>
            </w:r>
            <w:r w:rsidRPr="00E73AF2">
              <w:rPr>
                <w:b/>
                <w:bCs/>
                <w:sz w:val="16"/>
                <w:szCs w:val="16"/>
              </w:rPr>
              <w:br/>
              <w:t xml:space="preserve">   IN CASH HELD</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1,443</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24,809</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-2,164</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-2,117</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-1,919</w:t>
            </w:r>
          </w:p>
        </w:tc>
      </w:tr>
      <w:tr w:rsidR="00F90DA2" w:rsidTr="00E73AF2">
        <w:trPr>
          <w:trHeight w:hRule="exact" w:val="113"/>
        </w:trPr>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F90DA2" w:rsidRPr="00E73AF2" w:rsidRDefault="00F90DA2" w:rsidP="007E2F86">
            <w:pPr>
              <w:rPr>
                <w:sz w:val="16"/>
                <w:szCs w:val="16"/>
              </w:rPr>
            </w:pPr>
            <w:r w:rsidRPr="00E73AF2">
              <w:rPr>
                <w:sz w:val="16"/>
                <w:szCs w:val="16"/>
              </w:rPr>
              <w:t> </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rPr>
                <w:b/>
                <w:bCs/>
                <w:sz w:val="16"/>
                <w:szCs w:val="16"/>
              </w:rPr>
            </w:pPr>
            <w:r w:rsidRPr="00E73AF2">
              <w:rPr>
                <w:b/>
                <w:bCs/>
                <w:sz w:val="16"/>
                <w:szCs w:val="16"/>
              </w:rPr>
              <w:t>CASH AT THE BEGINNING OF</w:t>
            </w:r>
            <w:r w:rsidRPr="00E73AF2">
              <w:rPr>
                <w:b/>
                <w:bCs/>
                <w:sz w:val="16"/>
                <w:szCs w:val="16"/>
              </w:rPr>
              <w:br/>
              <w:t xml:space="preserve">   REPORTING PERIOD</w:t>
            </w:r>
          </w:p>
        </w:tc>
        <w:tc>
          <w:tcPr>
            <w:tcW w:w="1106"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1,443</w:t>
            </w:r>
          </w:p>
        </w:tc>
        <w:tc>
          <w:tcPr>
            <w:tcW w:w="62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26,252</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24,088</w:t>
            </w:r>
          </w:p>
        </w:tc>
        <w:tc>
          <w:tcPr>
            <w:tcW w:w="1054" w:type="dxa"/>
            <w:tcBorders>
              <w:top w:val="nil"/>
              <w:left w:val="nil"/>
              <w:bottom w:val="nil"/>
              <w:right w:val="nil"/>
            </w:tcBorders>
            <w:shd w:val="clear" w:color="000000" w:fill="FFFFFF"/>
            <w:noWrap/>
            <w:hideMark/>
          </w:tcPr>
          <w:p w:rsidR="00F90DA2" w:rsidRDefault="00F90DA2" w:rsidP="007E2F86">
            <w:pPr>
              <w:ind w:left="-283"/>
              <w:jc w:val="right"/>
              <w:rPr>
                <w:b/>
                <w:bCs/>
                <w:sz w:val="18"/>
                <w:szCs w:val="18"/>
              </w:rPr>
            </w:pPr>
            <w:r>
              <w:rPr>
                <w:b/>
                <w:bCs/>
                <w:sz w:val="18"/>
                <w:szCs w:val="18"/>
              </w:rPr>
              <w:t>21,971</w:t>
            </w:r>
          </w:p>
        </w:tc>
      </w:tr>
      <w:tr w:rsidR="00F90DA2" w:rsidTr="00E73AF2">
        <w:tc>
          <w:tcPr>
            <w:tcW w:w="1054"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F90DA2" w:rsidRPr="00E73AF2" w:rsidRDefault="00F90DA2" w:rsidP="007E2F86">
            <w:pPr>
              <w:spacing w:before="60"/>
              <w:rPr>
                <w:b/>
                <w:bCs/>
                <w:sz w:val="16"/>
                <w:szCs w:val="16"/>
              </w:rPr>
            </w:pPr>
            <w:r w:rsidRPr="00E73AF2">
              <w:rPr>
                <w:b/>
                <w:bCs/>
                <w:sz w:val="16"/>
                <w:szCs w:val="16"/>
              </w:rPr>
              <w:t>CASH AT THE END OF</w:t>
            </w:r>
            <w:r w:rsidRPr="00E73AF2">
              <w:rPr>
                <w:b/>
                <w:bCs/>
                <w:sz w:val="16"/>
                <w:szCs w:val="16"/>
              </w:rPr>
              <w:br/>
              <w:t xml:space="preserve">   REPORTING PERIOD</w:t>
            </w:r>
          </w:p>
        </w:tc>
        <w:tc>
          <w:tcPr>
            <w:tcW w:w="1106"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1,443</w:t>
            </w:r>
          </w:p>
        </w:tc>
        <w:tc>
          <w:tcPr>
            <w:tcW w:w="1054"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26,252</w:t>
            </w:r>
          </w:p>
        </w:tc>
        <w:tc>
          <w:tcPr>
            <w:tcW w:w="624"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24,088</w:t>
            </w:r>
          </w:p>
        </w:tc>
        <w:tc>
          <w:tcPr>
            <w:tcW w:w="1054"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21,971</w:t>
            </w:r>
          </w:p>
        </w:tc>
        <w:tc>
          <w:tcPr>
            <w:tcW w:w="1054" w:type="dxa"/>
            <w:tcBorders>
              <w:top w:val="nil"/>
              <w:left w:val="nil"/>
              <w:bottom w:val="nil"/>
              <w:right w:val="nil"/>
            </w:tcBorders>
            <w:shd w:val="clear" w:color="000000" w:fill="FFFFFF"/>
            <w:noWrap/>
            <w:hideMark/>
          </w:tcPr>
          <w:p w:rsidR="00F90DA2" w:rsidRDefault="00F90DA2" w:rsidP="007E2F86">
            <w:pPr>
              <w:spacing w:before="60"/>
              <w:ind w:left="-283"/>
              <w:jc w:val="right"/>
              <w:rPr>
                <w:b/>
                <w:bCs/>
                <w:sz w:val="18"/>
                <w:szCs w:val="18"/>
              </w:rPr>
            </w:pPr>
            <w:r>
              <w:rPr>
                <w:b/>
                <w:bCs/>
                <w:sz w:val="18"/>
                <w:szCs w:val="18"/>
              </w:rPr>
              <w:t>20,052</w:t>
            </w:r>
          </w:p>
        </w:tc>
      </w:tr>
      <w:tr w:rsidR="00F90DA2" w:rsidTr="00E73AF2">
        <w:trPr>
          <w:trHeight w:hRule="exact" w:val="113"/>
        </w:trPr>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F90DA2" w:rsidRDefault="00F90DA2" w:rsidP="007E2F8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F90DA2" w:rsidRDefault="00F90DA2" w:rsidP="007E2F8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hideMark/>
          </w:tcPr>
          <w:p w:rsidR="00F90DA2" w:rsidRDefault="00F90DA2" w:rsidP="007E2F86">
            <w:pPr>
              <w:ind w:left="-283"/>
              <w:jc w:val="right"/>
              <w:rPr>
                <w:sz w:val="18"/>
                <w:szCs w:val="18"/>
              </w:rPr>
            </w:pPr>
            <w:r>
              <w:rPr>
                <w:sz w:val="18"/>
                <w:szCs w:val="18"/>
              </w:rPr>
              <w:t> </w:t>
            </w:r>
          </w:p>
        </w:tc>
      </w:tr>
    </w:tbl>
    <w:p w:rsidR="009D7024" w:rsidRDefault="009D7024"/>
    <w:p w:rsidR="00395DC0" w:rsidRPr="007B33F2" w:rsidRDefault="00395DC0" w:rsidP="00395DC0">
      <w:pPr>
        <w:pStyle w:val="Heading3"/>
      </w:pPr>
      <w:r w:rsidRPr="007B33F2">
        <w:lastRenderedPageBreak/>
        <w:t>Notes to the Budget Statements</w:t>
      </w:r>
    </w:p>
    <w:p w:rsidR="00395DC0" w:rsidRDefault="00395DC0" w:rsidP="00395DC0">
      <w:pPr>
        <w:pStyle w:val="BodyText"/>
        <w:jc w:val="left"/>
      </w:pPr>
      <w:r w:rsidRPr="007B33F2">
        <w:t>Significant variations are as follows:</w:t>
      </w:r>
    </w:p>
    <w:p w:rsidR="00395DC0" w:rsidRDefault="00395DC0" w:rsidP="003825CB">
      <w:pPr>
        <w:pStyle w:val="BodyText"/>
      </w:pPr>
      <w:r>
        <w:t xml:space="preserve">The budgeted financial statements for the 2012-13 estimated </w:t>
      </w:r>
      <w:proofErr w:type="gramStart"/>
      <w:r>
        <w:t>outcome</w:t>
      </w:r>
      <w:proofErr w:type="gramEnd"/>
      <w:r>
        <w:t xml:space="preserve"> reflect the transfer </w:t>
      </w:r>
      <w:r w:rsidR="00C03B0D">
        <w:t xml:space="preserve">of functions </w:t>
      </w:r>
      <w:r>
        <w:t xml:space="preserve">from the former Treasury Directorate and the Economic Development Directorate </w:t>
      </w:r>
      <w:r w:rsidR="00C03B0D">
        <w:t xml:space="preserve">(EDD) </w:t>
      </w:r>
      <w:r>
        <w:t xml:space="preserve">as part of the administrative arrangement changes.  The 2013-14 Budget reflects the transfer of the Shared Services Centre from 1 July 2013, the full year effect of the transfer from the former Treasury Directorate and </w:t>
      </w:r>
      <w:r w:rsidR="00C03B0D">
        <w:t>EDD</w:t>
      </w:r>
      <w:r>
        <w:t>, 2013-14 new initiatives and the rollover of 2012-13 initiatives.</w:t>
      </w:r>
    </w:p>
    <w:p w:rsidR="00395DC0" w:rsidRDefault="00395DC0" w:rsidP="007933F5">
      <w:pPr>
        <w:pStyle w:val="Heading4"/>
      </w:pPr>
      <w:r w:rsidRPr="007B33F2">
        <w:t>Operating Statement</w:t>
      </w:r>
    </w:p>
    <w:p w:rsidR="00395DC0" w:rsidRPr="00073450" w:rsidRDefault="00395DC0" w:rsidP="00395DC0">
      <w:pPr>
        <w:pStyle w:val="BodyTextIndent"/>
        <w:numPr>
          <w:ilvl w:val="0"/>
          <w:numId w:val="11"/>
        </w:numPr>
        <w:jc w:val="left"/>
      </w:pPr>
      <w:r w:rsidRPr="00073450">
        <w:t xml:space="preserve">government payment for outputs:   </w:t>
      </w:r>
    </w:p>
    <w:p w:rsidR="00395DC0" w:rsidRPr="00073450" w:rsidRDefault="00395DC0" w:rsidP="003825CB">
      <w:pPr>
        <w:pStyle w:val="BodyTextIndent2"/>
        <w:spacing w:after="100"/>
        <w:ind w:left="714" w:hanging="357"/>
      </w:pPr>
      <w:r>
        <w:t>the increase of $10.430</w:t>
      </w:r>
      <w:r w:rsidRPr="00073450">
        <w:t> million in the 2012-13 estimated outco</w:t>
      </w:r>
      <w:r>
        <w:t xml:space="preserve">me from the original budget is </w:t>
      </w:r>
      <w:r w:rsidRPr="00073450">
        <w:t xml:space="preserve">due to the </w:t>
      </w:r>
      <w:r>
        <w:t xml:space="preserve">transfer of funds from </w:t>
      </w:r>
      <w:r w:rsidR="00C03B0D">
        <w:t>EDD</w:t>
      </w:r>
      <w:r>
        <w:t xml:space="preserve"> and the former Treasury Directorate ($11.044 million), partially offset by the rollover of funding from 2012</w:t>
      </w:r>
      <w:r>
        <w:noBreakHyphen/>
        <w:t>13 to 2013</w:t>
      </w:r>
      <w:r>
        <w:noBreakHyphen/>
        <w:t>14 for the Investment in Finance an</w:t>
      </w:r>
      <w:r w:rsidR="00C03B0D">
        <w:t>d HR Improvement, the Oracle E-</w:t>
      </w:r>
      <w:r>
        <w:t>Business Suite Upgrade and the Whole of Government Banking ($1.614 million) initiatives and additional appropriation for Revenue and Government Business Management ($1 million)</w:t>
      </w:r>
      <w:r w:rsidRPr="00073450">
        <w:t xml:space="preserve">; and </w:t>
      </w:r>
    </w:p>
    <w:p w:rsidR="00395DC0" w:rsidRDefault="00395DC0" w:rsidP="003825CB">
      <w:pPr>
        <w:pStyle w:val="BodyTextIndent2"/>
        <w:spacing w:after="100"/>
        <w:ind w:left="714" w:hanging="357"/>
      </w:pPr>
      <w:r>
        <w:t>the increase of $21.426</w:t>
      </w:r>
      <w:r w:rsidRPr="00073450">
        <w:t> million in the 2013-14 Budget from the 2012-13 estimat</w:t>
      </w:r>
      <w:r>
        <w:t xml:space="preserve">ed outcome is mainly due to the transfer of the Shared Services Centre (Shared Services) from 1 July 2013 ($14.568 million) and the full year effect of the transfer </w:t>
      </w:r>
      <w:r w:rsidR="00C03B0D">
        <w:t xml:space="preserve">of functions </w:t>
      </w:r>
      <w:r>
        <w:t xml:space="preserve">from </w:t>
      </w:r>
      <w:r w:rsidR="00C03B0D">
        <w:t>EDD</w:t>
      </w:r>
      <w:r>
        <w:t xml:space="preserve"> and the former Treasury Directorate </w:t>
      </w:r>
      <w:r w:rsidRPr="003C7E8A">
        <w:t>($</w:t>
      </w:r>
      <w:r>
        <w:t>3</w:t>
      </w:r>
      <w:r w:rsidRPr="003C7E8A">
        <w:t>.</w:t>
      </w:r>
      <w:r>
        <w:t>805</w:t>
      </w:r>
      <w:r w:rsidRPr="003C7E8A">
        <w:t> million</w:t>
      </w:r>
      <w:r>
        <w:t xml:space="preserve">); the rollover of funding for the Investment in Finance and HR Improvement, the </w:t>
      </w:r>
      <w:r w:rsidR="007E0AFD">
        <w:t>Oracle E</w:t>
      </w:r>
      <w:r w:rsidR="007E0AFD">
        <w:noBreakHyphen/>
      </w:r>
      <w:proofErr w:type="spellStart"/>
      <w:r>
        <w:t>Business</w:t>
      </w:r>
      <w:proofErr w:type="spellEnd"/>
      <w:r>
        <w:t xml:space="preserve"> Suite Upgrade, the Whole of Governm</w:t>
      </w:r>
      <w:r w:rsidR="007E0AFD">
        <w:t>ent Banking initiatives ($1.614 </w:t>
      </w:r>
      <w:r>
        <w:t>million) from 2012</w:t>
      </w:r>
      <w:r>
        <w:noBreakHyphen/>
        <w:t>13 to 2013</w:t>
      </w:r>
      <w:r>
        <w:noBreakHyphen/>
        <w:t xml:space="preserve">14 and the </w:t>
      </w:r>
      <w:r w:rsidRPr="00073450">
        <w:t>increase in funding in 2013</w:t>
      </w:r>
      <w:r>
        <w:noBreakHyphen/>
      </w:r>
      <w:r w:rsidRPr="00073450">
        <w:t xml:space="preserve">14 for </w:t>
      </w:r>
      <w:r w:rsidRPr="00AC59A9">
        <w:t xml:space="preserve">the Increase Tax Compliance </w:t>
      </w:r>
      <w:r>
        <w:t>A</w:t>
      </w:r>
      <w:r w:rsidRPr="00AC59A9">
        <w:t>ctivity ($</w:t>
      </w:r>
      <w:r>
        <w:t>0.567</w:t>
      </w:r>
      <w:r w:rsidR="00C03B0D">
        <w:t> </w:t>
      </w:r>
      <w:r>
        <w:t>million) and Increase in Application Fee for Certificate of Rates, Land Tax and Other Charges ($0.250 million) initiatives.  This is partially offset by the effect of the additional appropriation for Revenue and Government Business Management in 2012</w:t>
      </w:r>
      <w:r>
        <w:noBreakHyphen/>
        <w:t>13 ($1 million).</w:t>
      </w:r>
    </w:p>
    <w:p w:rsidR="00395DC0" w:rsidRDefault="00395DC0" w:rsidP="003825CB">
      <w:pPr>
        <w:pStyle w:val="BodyTextIndent2"/>
        <w:numPr>
          <w:ilvl w:val="0"/>
          <w:numId w:val="11"/>
        </w:numPr>
        <w:ind w:left="357" w:hanging="357"/>
      </w:pPr>
      <w:proofErr w:type="gramStart"/>
      <w:r w:rsidRPr="00594A35">
        <w:t>user</w:t>
      </w:r>
      <w:proofErr w:type="gramEnd"/>
      <w:r w:rsidRPr="00594A35">
        <w:t xml:space="preserve"> charges – ACT Government: </w:t>
      </w:r>
      <w:r w:rsidR="005D7ABC">
        <w:t xml:space="preserve"> </w:t>
      </w:r>
      <w:r>
        <w:t>the increase of $181.634</w:t>
      </w:r>
      <w:r w:rsidRPr="00594A35">
        <w:t xml:space="preserve"> million in the 2013-14 Budget from the 2012-13 estimated outcome is mainly due </w:t>
      </w:r>
      <w:r>
        <w:t>to the transfer of Shared Services from 1 July 2013 ($181.632 million).</w:t>
      </w:r>
    </w:p>
    <w:p w:rsidR="00395DC0" w:rsidRDefault="00395DC0" w:rsidP="003825CB">
      <w:pPr>
        <w:pStyle w:val="BodyTextIndent2"/>
        <w:numPr>
          <w:ilvl w:val="0"/>
          <w:numId w:val="11"/>
        </w:numPr>
        <w:ind w:left="357" w:hanging="357"/>
      </w:pPr>
      <w:proofErr w:type="gramStart"/>
      <w:r>
        <w:t>other</w:t>
      </w:r>
      <w:proofErr w:type="gramEnd"/>
      <w:r>
        <w:t xml:space="preserve"> revenue: </w:t>
      </w:r>
      <w:r w:rsidR="005D7ABC">
        <w:t xml:space="preserve"> </w:t>
      </w:r>
      <w:r>
        <w:t>the increase of $1.822</w:t>
      </w:r>
      <w:r w:rsidRPr="00594A35">
        <w:t xml:space="preserve"> million in the 2013-14 Budget from the 2012-13 estimated outcome is due </w:t>
      </w:r>
      <w:r>
        <w:t>to the transfer of Shared Services from 1 July 2013.</w:t>
      </w:r>
    </w:p>
    <w:p w:rsidR="00395DC0" w:rsidRPr="00594A35" w:rsidRDefault="00395DC0" w:rsidP="003825CB">
      <w:pPr>
        <w:pStyle w:val="BodyTextIndent2"/>
        <w:numPr>
          <w:ilvl w:val="0"/>
          <w:numId w:val="11"/>
        </w:numPr>
        <w:ind w:hanging="357"/>
      </w:pPr>
      <w:r>
        <w:t>resources received free of charge:</w:t>
      </w:r>
    </w:p>
    <w:p w:rsidR="00395DC0" w:rsidRDefault="00395DC0" w:rsidP="003825CB">
      <w:pPr>
        <w:pStyle w:val="BodyTextIndent2"/>
        <w:ind w:hanging="357"/>
      </w:pPr>
      <w:r>
        <w:t>the increase of $0.504</w:t>
      </w:r>
      <w:r w:rsidRPr="00594A35">
        <w:t> million in the 2012-13 estimated outcome from the origin</w:t>
      </w:r>
      <w:r>
        <w:t xml:space="preserve">al budget is due to </w:t>
      </w:r>
      <w:r w:rsidRPr="00073450">
        <w:t xml:space="preserve">the </w:t>
      </w:r>
      <w:r>
        <w:t xml:space="preserve">transfer </w:t>
      </w:r>
      <w:r w:rsidR="00C03B0D">
        <w:t xml:space="preserve">of functions </w:t>
      </w:r>
      <w:r>
        <w:t>from the former Treasury Directorate</w:t>
      </w:r>
      <w:r w:rsidRPr="00594A35">
        <w:t>; and</w:t>
      </w:r>
    </w:p>
    <w:p w:rsidR="00395DC0" w:rsidRPr="007134DE" w:rsidRDefault="00395DC0" w:rsidP="003825CB">
      <w:pPr>
        <w:pStyle w:val="BodyTextIndent2"/>
        <w:ind w:left="714" w:hanging="357"/>
      </w:pPr>
      <w:proofErr w:type="gramStart"/>
      <w:r>
        <w:t>increase</w:t>
      </w:r>
      <w:proofErr w:type="gramEnd"/>
      <w:r>
        <w:t xml:space="preserve"> of $0.5 </w:t>
      </w:r>
      <w:r w:rsidRPr="00594A35">
        <w:t>million in the 2013-14 Budget from the 2012-13 esti</w:t>
      </w:r>
      <w:r>
        <w:t xml:space="preserve">mated outcome is </w:t>
      </w:r>
      <w:r w:rsidRPr="00594A35">
        <w:t xml:space="preserve">due to </w:t>
      </w:r>
      <w:r>
        <w:t xml:space="preserve">the transfer of Shared Services from 1 July 2013 ($0.3 million) and the full year effect of the transfer </w:t>
      </w:r>
      <w:r w:rsidR="00C03B0D">
        <w:t xml:space="preserve">of functions </w:t>
      </w:r>
      <w:r>
        <w:t>from the former Treasury Directorate ($0.2</w:t>
      </w:r>
      <w:r w:rsidR="00C03B0D">
        <w:t> </w:t>
      </w:r>
      <w:r>
        <w:t>million).</w:t>
      </w:r>
    </w:p>
    <w:p w:rsidR="005D7ABC" w:rsidRDefault="005D7ABC">
      <w:r>
        <w:br w:type="page"/>
      </w:r>
    </w:p>
    <w:p w:rsidR="00F47828" w:rsidRPr="00594A35" w:rsidRDefault="00F47828" w:rsidP="003825CB">
      <w:pPr>
        <w:pStyle w:val="BodyTextIndent2"/>
        <w:numPr>
          <w:ilvl w:val="0"/>
          <w:numId w:val="11"/>
        </w:numPr>
        <w:ind w:hanging="357"/>
      </w:pPr>
      <w:r w:rsidRPr="00594A35">
        <w:lastRenderedPageBreak/>
        <w:t xml:space="preserve">employee and superannuation expenses:  </w:t>
      </w:r>
    </w:p>
    <w:p w:rsidR="00F47828" w:rsidRPr="00594A35" w:rsidRDefault="00F47828" w:rsidP="003825CB">
      <w:pPr>
        <w:pStyle w:val="BodyTextIndent2"/>
        <w:ind w:hanging="357"/>
      </w:pPr>
      <w:r>
        <w:t>the increase of $6.082</w:t>
      </w:r>
      <w:r w:rsidRPr="00594A35">
        <w:t> million in the 2012-13 estimated outcome from the origin</w:t>
      </w:r>
      <w:r>
        <w:t xml:space="preserve">al budget is due to </w:t>
      </w:r>
      <w:r w:rsidRPr="00073450">
        <w:t xml:space="preserve">the </w:t>
      </w:r>
      <w:r>
        <w:t xml:space="preserve">transfer </w:t>
      </w:r>
      <w:r w:rsidR="00C03B0D">
        <w:t xml:space="preserve">of functions </w:t>
      </w:r>
      <w:r>
        <w:t xml:space="preserve">from the former Treasury Directorate and </w:t>
      </w:r>
      <w:r w:rsidR="00C03B0D">
        <w:t>EDD</w:t>
      </w:r>
      <w:r w:rsidRPr="00594A35">
        <w:t>; and</w:t>
      </w:r>
    </w:p>
    <w:p w:rsidR="00F47828" w:rsidRPr="00594A35" w:rsidRDefault="00F47828" w:rsidP="00EF05E0">
      <w:pPr>
        <w:pStyle w:val="BodyTextIndent2"/>
        <w:keepNext w:val="0"/>
        <w:ind w:hanging="357"/>
      </w:pPr>
      <w:r>
        <w:t>the increase of $103.740</w:t>
      </w:r>
      <w:r w:rsidRPr="00594A35">
        <w:t xml:space="preserve"> million in the 2013-14 Budget from the 2012-13 estimated outcome is mainly due to </w:t>
      </w:r>
      <w:r>
        <w:t>the transfer of Shared Services from 1 July 2013 ($99.</w:t>
      </w:r>
      <w:r w:rsidR="003D7F0B">
        <w:t>837 million) and the full year e</w:t>
      </w:r>
      <w:r>
        <w:t xml:space="preserve">ffect of the transfer from </w:t>
      </w:r>
      <w:r w:rsidR="000313CE">
        <w:t>EDD</w:t>
      </w:r>
      <w:r>
        <w:t xml:space="preserve"> and the former Treasury Directorate ($3.221</w:t>
      </w:r>
      <w:r w:rsidRPr="00F03818">
        <w:t xml:space="preserve"> </w:t>
      </w:r>
      <w:r>
        <w:t>million)</w:t>
      </w:r>
      <w:r w:rsidR="00C03B0D">
        <w:t>,</w:t>
      </w:r>
      <w:r w:rsidR="005D7ABC">
        <w:t xml:space="preserve"> </w:t>
      </w:r>
      <w:r>
        <w:t xml:space="preserve">the </w:t>
      </w:r>
      <w:r w:rsidRPr="00073450">
        <w:t>increase in funding in 2013</w:t>
      </w:r>
      <w:r w:rsidR="00AA2E02">
        <w:noBreakHyphen/>
      </w:r>
      <w:r w:rsidRPr="00073450">
        <w:t xml:space="preserve">14 for the </w:t>
      </w:r>
      <w:r>
        <w:t xml:space="preserve">Increase </w:t>
      </w:r>
      <w:r w:rsidRPr="00F03818">
        <w:t xml:space="preserve">Tax Compliance </w:t>
      </w:r>
      <w:r w:rsidR="007D5481">
        <w:t>A</w:t>
      </w:r>
      <w:r w:rsidRPr="00F03818">
        <w:t>ctivity</w:t>
      </w:r>
      <w:r>
        <w:t xml:space="preserve"> ($0.482 million) and the</w:t>
      </w:r>
      <w:r w:rsidR="00F03818">
        <w:t xml:space="preserve"> </w:t>
      </w:r>
      <w:r w:rsidR="00C03B0D">
        <w:t>i</w:t>
      </w:r>
      <w:r w:rsidR="00F03818" w:rsidRPr="00F03818">
        <w:t xml:space="preserve">ncrease in </w:t>
      </w:r>
      <w:r w:rsidRPr="00F03818">
        <w:t xml:space="preserve">Application Fee for Certificate of Rates, Land </w:t>
      </w:r>
      <w:r w:rsidR="00F03818" w:rsidRPr="00F03818">
        <w:t>T</w:t>
      </w:r>
      <w:r w:rsidRPr="00F03818">
        <w:t>ax and Other Charges ($0.</w:t>
      </w:r>
      <w:r>
        <w:t>2</w:t>
      </w:r>
      <w:r w:rsidR="00F03818">
        <w:t> </w:t>
      </w:r>
      <w:r>
        <w:t>million) initiatives.</w:t>
      </w:r>
    </w:p>
    <w:p w:rsidR="00F47828" w:rsidRPr="00594A35" w:rsidRDefault="00F47828" w:rsidP="00EF05E0">
      <w:pPr>
        <w:pStyle w:val="BodyTextIndent"/>
        <w:keepNext w:val="0"/>
        <w:numPr>
          <w:ilvl w:val="0"/>
          <w:numId w:val="11"/>
        </w:numPr>
      </w:pPr>
      <w:r w:rsidRPr="00594A35">
        <w:t xml:space="preserve">supplies and services:  </w:t>
      </w:r>
    </w:p>
    <w:p w:rsidR="00F47828" w:rsidRPr="00594A35" w:rsidRDefault="00F47828" w:rsidP="00EF05E0">
      <w:pPr>
        <w:pStyle w:val="BodyTextIndent2"/>
        <w:keepNext w:val="0"/>
        <w:keepLines w:val="0"/>
        <w:spacing w:after="100"/>
      </w:pPr>
      <w:r>
        <w:t>the increase of $4.575</w:t>
      </w:r>
      <w:r w:rsidRPr="00594A35">
        <w:t xml:space="preserve"> million in the 2012-13 estimated outcome from the original budget is mainly due to </w:t>
      </w:r>
      <w:r w:rsidRPr="00073450">
        <w:t xml:space="preserve">the </w:t>
      </w:r>
      <w:r>
        <w:t xml:space="preserve">transfer </w:t>
      </w:r>
      <w:r w:rsidR="00C03B0D">
        <w:t xml:space="preserve">of functions </w:t>
      </w:r>
      <w:r>
        <w:t xml:space="preserve">from the former Treasury Directorate and </w:t>
      </w:r>
      <w:r w:rsidR="00C03B0D">
        <w:t>EDD</w:t>
      </w:r>
      <w:r>
        <w:t xml:space="preserve"> ($5.189 million), partially offset by the rollover of funding from 2012-</w:t>
      </w:r>
      <w:r w:rsidR="00C03B0D">
        <w:t>13 to 2013-14 for the Oracle E-</w:t>
      </w:r>
      <w:r>
        <w:t>Business Suite Upgrade and the Whole of Government Banking ($0.614</w:t>
      </w:r>
      <w:r w:rsidR="00C03B0D">
        <w:t> </w:t>
      </w:r>
      <w:r>
        <w:t>million) initiatives</w:t>
      </w:r>
      <w:r w:rsidRPr="00594A35">
        <w:t>; and</w:t>
      </w:r>
    </w:p>
    <w:p w:rsidR="00F47828" w:rsidRDefault="00F47828" w:rsidP="00EF05E0">
      <w:pPr>
        <w:pStyle w:val="BodyTextIndent2"/>
        <w:keepNext w:val="0"/>
        <w:keepLines w:val="0"/>
        <w:spacing w:after="100"/>
      </w:pPr>
      <w:r>
        <w:t>the increase of $86.062</w:t>
      </w:r>
      <w:r w:rsidRPr="00594A35">
        <w:t xml:space="preserve"> million in the 2013-14 Budget from the 2012-13 estimated outcome is mainly due to </w:t>
      </w:r>
      <w:r>
        <w:t xml:space="preserve">the transfer of Shared Services from 1 July 2013 ($83.616 million) and the full year </w:t>
      </w:r>
      <w:r w:rsidR="003D7F0B">
        <w:t>e</w:t>
      </w:r>
      <w:r>
        <w:t xml:space="preserve">ffect of the transfer </w:t>
      </w:r>
      <w:r w:rsidR="00C03B0D">
        <w:t xml:space="preserve">of functions </w:t>
      </w:r>
      <w:r>
        <w:t xml:space="preserve">from the former Treasury Directorate and </w:t>
      </w:r>
      <w:r w:rsidR="00C03B0D">
        <w:t>EDD</w:t>
      </w:r>
      <w:r>
        <w:t xml:space="preserve"> ($1.</w:t>
      </w:r>
      <w:r w:rsidR="00C03B0D">
        <w:t>076</w:t>
      </w:r>
      <w:r>
        <w:t xml:space="preserve"> million) and the rollover of funding ($</w:t>
      </w:r>
      <w:r w:rsidR="00DA5337">
        <w:t>0</w:t>
      </w:r>
      <w:r w:rsidR="001621D6">
        <w:t>.</w:t>
      </w:r>
      <w:r w:rsidR="00DA5337">
        <w:t>614</w:t>
      </w:r>
      <w:r>
        <w:t> million) from 2012-13 to 2013-14</w:t>
      </w:r>
      <w:r w:rsidRPr="00594A35">
        <w:t xml:space="preserve">.  </w:t>
      </w:r>
    </w:p>
    <w:p w:rsidR="00F47828" w:rsidRDefault="00F47828" w:rsidP="00EF05E0">
      <w:pPr>
        <w:pStyle w:val="BodyTextIndent2"/>
        <w:keepNext w:val="0"/>
        <w:numPr>
          <w:ilvl w:val="0"/>
          <w:numId w:val="39"/>
        </w:numPr>
      </w:pPr>
      <w:proofErr w:type="gramStart"/>
      <w:r w:rsidRPr="001066EC">
        <w:t>depreciation</w:t>
      </w:r>
      <w:proofErr w:type="gramEnd"/>
      <w:r w:rsidRPr="001066EC">
        <w:t xml:space="preserve"> and amort</w:t>
      </w:r>
      <w:r>
        <w:t>isation:  the increase of $20.975</w:t>
      </w:r>
      <w:r w:rsidRPr="001066EC">
        <w:t> million in the 2013-14 Budget from the 2012-13 estimated outcome is mainly due to</w:t>
      </w:r>
      <w:r>
        <w:t xml:space="preserve"> the transfer of Shared Services from 1 July 2013 ($20.705 million)</w:t>
      </w:r>
      <w:r w:rsidRPr="001066EC">
        <w:t>.</w:t>
      </w:r>
    </w:p>
    <w:p w:rsidR="00F47828" w:rsidRDefault="00F47828" w:rsidP="00EF05E0">
      <w:pPr>
        <w:pStyle w:val="BodyTextIndent2"/>
        <w:keepNext w:val="0"/>
        <w:numPr>
          <w:ilvl w:val="0"/>
          <w:numId w:val="39"/>
        </w:numPr>
      </w:pPr>
      <w:proofErr w:type="gramStart"/>
      <w:r>
        <w:t>grants</w:t>
      </w:r>
      <w:proofErr w:type="gramEnd"/>
      <w:r>
        <w:t xml:space="preserve"> and purchased services: </w:t>
      </w:r>
      <w:r w:rsidR="005D7ABC">
        <w:t xml:space="preserve"> </w:t>
      </w:r>
      <w:r>
        <w:t>the increase of $5.341</w:t>
      </w:r>
      <w:r w:rsidRPr="001066EC">
        <w:t> million in the 2013-14 Budget from the 2012-13 estimated outcome is due to</w:t>
      </w:r>
      <w:r>
        <w:t xml:space="preserve"> the transfer </w:t>
      </w:r>
      <w:r w:rsidR="00C03B0D">
        <w:t xml:space="preserve">of functions </w:t>
      </w:r>
      <w:r>
        <w:t>from the former Treasury Directorate</w:t>
      </w:r>
      <w:r w:rsidR="00EF05E0">
        <w:t>.</w:t>
      </w:r>
    </w:p>
    <w:p w:rsidR="0095339E" w:rsidRPr="007933F5" w:rsidRDefault="00F47828" w:rsidP="007933F5">
      <w:pPr>
        <w:pStyle w:val="Heading4"/>
      </w:pPr>
      <w:r w:rsidRPr="007933F5">
        <w:t>Balance Sheet</w:t>
      </w:r>
    </w:p>
    <w:p w:rsidR="00F47828" w:rsidRPr="00594A35" w:rsidRDefault="00F47828" w:rsidP="00EF05E0">
      <w:pPr>
        <w:pStyle w:val="BodyTextIndent2"/>
        <w:keepNext w:val="0"/>
        <w:numPr>
          <w:ilvl w:val="0"/>
          <w:numId w:val="39"/>
        </w:numPr>
      </w:pPr>
      <w:r>
        <w:t>cash and cash equivalents:</w:t>
      </w:r>
    </w:p>
    <w:p w:rsidR="00F47828" w:rsidRDefault="00F47828" w:rsidP="00EF05E0">
      <w:pPr>
        <w:pStyle w:val="BodyTextIndent2"/>
        <w:keepNext w:val="0"/>
      </w:pPr>
      <w:r>
        <w:t>the increase of $1.443</w:t>
      </w:r>
      <w:r w:rsidRPr="00594A35">
        <w:t> million in the 2012-13 estimated outcome from the origin</w:t>
      </w:r>
      <w:r>
        <w:t xml:space="preserve">al budget is due to </w:t>
      </w:r>
      <w:r w:rsidRPr="00073450">
        <w:t xml:space="preserve">the </w:t>
      </w:r>
      <w:r>
        <w:t xml:space="preserve">transfer </w:t>
      </w:r>
      <w:r w:rsidR="00C03B0D">
        <w:t xml:space="preserve">of functions </w:t>
      </w:r>
      <w:r>
        <w:t>from the former Treasury Directorate</w:t>
      </w:r>
      <w:r w:rsidRPr="00594A35">
        <w:t xml:space="preserve">; </w:t>
      </w:r>
      <w:r>
        <w:t>and</w:t>
      </w:r>
    </w:p>
    <w:p w:rsidR="00F47828" w:rsidRDefault="00F47828" w:rsidP="00EF05E0">
      <w:pPr>
        <w:pStyle w:val="BodyTextIndent2"/>
        <w:keepNext w:val="0"/>
      </w:pPr>
      <w:proofErr w:type="gramStart"/>
      <w:r>
        <w:t>the</w:t>
      </w:r>
      <w:proofErr w:type="gramEnd"/>
      <w:r>
        <w:t xml:space="preserve"> increase of $24.809</w:t>
      </w:r>
      <w:r w:rsidRPr="00594A35">
        <w:t> million in the 2013-14 Budget from the 2012-13 estimated outcome</w:t>
      </w:r>
      <w:r>
        <w:t xml:space="preserve"> is </w:t>
      </w:r>
      <w:r w:rsidRPr="00594A35">
        <w:t xml:space="preserve">mainly due </w:t>
      </w:r>
      <w:r>
        <w:t>to the transfer of Shared Services from 1 July 2013 ($24.726 million).</w:t>
      </w:r>
    </w:p>
    <w:p w:rsidR="00F47828" w:rsidRPr="00594A35" w:rsidRDefault="00C03B0D" w:rsidP="00EF05E0">
      <w:pPr>
        <w:pStyle w:val="BodyTextIndent2"/>
        <w:keepNext w:val="0"/>
        <w:numPr>
          <w:ilvl w:val="0"/>
          <w:numId w:val="11"/>
        </w:numPr>
      </w:pPr>
      <w:r>
        <w:t xml:space="preserve">current </w:t>
      </w:r>
      <w:r w:rsidR="00F47828">
        <w:t>receivables:</w:t>
      </w:r>
    </w:p>
    <w:p w:rsidR="00F47828" w:rsidRDefault="00F47828" w:rsidP="00EF05E0">
      <w:pPr>
        <w:pStyle w:val="BodyTextIndent2"/>
        <w:keepNext w:val="0"/>
      </w:pPr>
      <w:r>
        <w:t>the increase of $0.688</w:t>
      </w:r>
      <w:r w:rsidRPr="00594A35">
        <w:t> million in the 2012-13 estimated outcome from the origin</w:t>
      </w:r>
      <w:r>
        <w:t xml:space="preserve">al budget is due to </w:t>
      </w:r>
      <w:r w:rsidRPr="00073450">
        <w:t xml:space="preserve">the </w:t>
      </w:r>
      <w:r>
        <w:t xml:space="preserve">transfer </w:t>
      </w:r>
      <w:r w:rsidR="00C03B0D">
        <w:t xml:space="preserve">of functions </w:t>
      </w:r>
      <w:r>
        <w:t>from the former Treasury Directorate</w:t>
      </w:r>
      <w:r w:rsidRPr="00594A35">
        <w:t xml:space="preserve">; </w:t>
      </w:r>
      <w:r>
        <w:t>and</w:t>
      </w:r>
    </w:p>
    <w:p w:rsidR="00F47828" w:rsidRDefault="00F47828" w:rsidP="00EF05E0">
      <w:pPr>
        <w:pStyle w:val="BodyTextIndent2"/>
        <w:keepNext w:val="0"/>
      </w:pPr>
      <w:proofErr w:type="gramStart"/>
      <w:r>
        <w:t>the</w:t>
      </w:r>
      <w:proofErr w:type="gramEnd"/>
      <w:r>
        <w:t xml:space="preserve"> increase of $43.281</w:t>
      </w:r>
      <w:r w:rsidRPr="00594A35">
        <w:t> million in the 2013-14 Budget from the 2012-13 estimated outcome</w:t>
      </w:r>
      <w:r>
        <w:t xml:space="preserve"> is </w:t>
      </w:r>
      <w:r w:rsidRPr="00594A35">
        <w:t xml:space="preserve">mainly due </w:t>
      </w:r>
      <w:r>
        <w:t>to the transfer of Shared Services from 1 July 2013 ($43.231 million).</w:t>
      </w:r>
    </w:p>
    <w:p w:rsidR="00F47828" w:rsidRDefault="00F47828" w:rsidP="00EF05E0">
      <w:pPr>
        <w:pStyle w:val="BodyTextIndent2"/>
        <w:keepNext w:val="0"/>
        <w:numPr>
          <w:ilvl w:val="0"/>
          <w:numId w:val="40"/>
        </w:numPr>
      </w:pPr>
      <w:proofErr w:type="gramStart"/>
      <w:r>
        <w:lastRenderedPageBreak/>
        <w:t>other</w:t>
      </w:r>
      <w:proofErr w:type="gramEnd"/>
      <w:r>
        <w:t xml:space="preserve"> current assets:  the increase of $4.693</w:t>
      </w:r>
      <w:r w:rsidRPr="001066EC">
        <w:t> million in the 2013-14 Budget from the 2012</w:t>
      </w:r>
      <w:r>
        <w:t xml:space="preserve">-13 estimated outcome is </w:t>
      </w:r>
      <w:r w:rsidRPr="001066EC">
        <w:t>due to</w:t>
      </w:r>
      <w:r>
        <w:t xml:space="preserve"> the transfer of S</w:t>
      </w:r>
      <w:r w:rsidR="007E0AFD">
        <w:t>hared Services from 1 July 2013.</w:t>
      </w:r>
    </w:p>
    <w:p w:rsidR="00F47828" w:rsidRDefault="00F47828" w:rsidP="00EF05E0">
      <w:pPr>
        <w:pStyle w:val="BodyTextIndent2"/>
        <w:keepNext w:val="0"/>
        <w:numPr>
          <w:ilvl w:val="0"/>
          <w:numId w:val="40"/>
        </w:numPr>
      </w:pPr>
      <w:proofErr w:type="gramStart"/>
      <w:r>
        <w:t>property</w:t>
      </w:r>
      <w:proofErr w:type="gramEnd"/>
      <w:r>
        <w:t>, plant and equipment:  the increase of $62.609</w:t>
      </w:r>
      <w:r w:rsidRPr="001066EC">
        <w:t> million in the 2013-14 Budget from the 2012</w:t>
      </w:r>
      <w:r>
        <w:t xml:space="preserve">-13 estimated outcome is </w:t>
      </w:r>
      <w:r w:rsidRPr="00594A35">
        <w:t xml:space="preserve">mainly due </w:t>
      </w:r>
      <w:r>
        <w:t>to the transfer of Shared Services from 1 July 2013 ($54.930 million) and the Whole of Government Digital Network Replacement ($6.661 million) and the Storage Network Switch Refresh ($1.020 million) initiatives</w:t>
      </w:r>
      <w:r w:rsidRPr="001066EC">
        <w:t>.</w:t>
      </w:r>
    </w:p>
    <w:p w:rsidR="00F47828" w:rsidRPr="00594A35" w:rsidRDefault="00F47828" w:rsidP="00EF05E0">
      <w:pPr>
        <w:pStyle w:val="BodyTextIndent2"/>
        <w:keepNext w:val="0"/>
        <w:numPr>
          <w:ilvl w:val="0"/>
          <w:numId w:val="11"/>
        </w:numPr>
      </w:pPr>
      <w:r>
        <w:t>intangibles:</w:t>
      </w:r>
    </w:p>
    <w:p w:rsidR="00F47828" w:rsidRDefault="00F47828" w:rsidP="00EF05E0">
      <w:pPr>
        <w:pStyle w:val="BodyTextIndent2"/>
        <w:keepNext w:val="0"/>
      </w:pPr>
      <w:r>
        <w:t>the increase of $1.309</w:t>
      </w:r>
      <w:r w:rsidRPr="00594A35">
        <w:t> million in the 2012-13 estimated outcome from the origin</w:t>
      </w:r>
      <w:r>
        <w:t xml:space="preserve">al budget is due to </w:t>
      </w:r>
      <w:r w:rsidRPr="00073450">
        <w:t xml:space="preserve">the </w:t>
      </w:r>
      <w:r>
        <w:t>transfer</w:t>
      </w:r>
      <w:r w:rsidR="00C03B0D">
        <w:t xml:space="preserve"> of functions</w:t>
      </w:r>
      <w:r>
        <w:t xml:space="preserve"> from the former Treasury Directorate</w:t>
      </w:r>
      <w:r w:rsidRPr="00594A35">
        <w:t xml:space="preserve">; </w:t>
      </w:r>
      <w:r>
        <w:t>and</w:t>
      </w:r>
    </w:p>
    <w:p w:rsidR="00F47828" w:rsidRDefault="00F47828" w:rsidP="00EF05E0">
      <w:pPr>
        <w:pStyle w:val="BodyTextIndent2"/>
        <w:keepNext w:val="0"/>
      </w:pPr>
      <w:proofErr w:type="gramStart"/>
      <w:r>
        <w:t>the</w:t>
      </w:r>
      <w:proofErr w:type="gramEnd"/>
      <w:r>
        <w:t xml:space="preserve"> increase of $5.171</w:t>
      </w:r>
      <w:r w:rsidRPr="00594A35">
        <w:t> million in the 2013-14 Budget from the 2012-13 estimated outcome</w:t>
      </w:r>
      <w:r>
        <w:t xml:space="preserve"> is </w:t>
      </w:r>
      <w:r w:rsidRPr="00594A35">
        <w:t xml:space="preserve">mainly due </w:t>
      </w:r>
      <w:r>
        <w:t xml:space="preserve">to the transfer of Shared Services from 1 July 2013 ($4.373 million) </w:t>
      </w:r>
      <w:r w:rsidR="00C03B0D">
        <w:t>and the rollover of the Investment in Finance and HR</w:t>
      </w:r>
      <w:r w:rsidR="00661B5A">
        <w:t xml:space="preserve"> Improvement initiative ($1 million)</w:t>
      </w:r>
      <w:r>
        <w:t>.</w:t>
      </w:r>
    </w:p>
    <w:p w:rsidR="00F47828" w:rsidRDefault="00F47828" w:rsidP="00EF05E0">
      <w:pPr>
        <w:pStyle w:val="BodyTextIndent2"/>
        <w:keepNext w:val="0"/>
        <w:keepLines w:val="0"/>
        <w:numPr>
          <w:ilvl w:val="0"/>
          <w:numId w:val="38"/>
        </w:numPr>
        <w:spacing w:after="100"/>
      </w:pPr>
      <w:proofErr w:type="gramStart"/>
      <w:r>
        <w:t>capital</w:t>
      </w:r>
      <w:proofErr w:type="gramEnd"/>
      <w:r>
        <w:t xml:space="preserve"> works in progress:  the increase of $3.102</w:t>
      </w:r>
      <w:r w:rsidRPr="001066EC">
        <w:t xml:space="preserve"> million in the </w:t>
      </w:r>
      <w:r w:rsidRPr="00594A35">
        <w:t>2012-13 estimated outcome from the origin</w:t>
      </w:r>
      <w:r>
        <w:t xml:space="preserve">al budget is due to </w:t>
      </w:r>
      <w:r w:rsidRPr="00073450">
        <w:t xml:space="preserve">the </w:t>
      </w:r>
      <w:r>
        <w:t xml:space="preserve">transfer </w:t>
      </w:r>
      <w:r w:rsidR="00661B5A">
        <w:t xml:space="preserve">of functions </w:t>
      </w:r>
      <w:r>
        <w:t>from</w:t>
      </w:r>
      <w:r w:rsidR="007E0AFD">
        <w:t xml:space="preserve"> the former Treasury Directorate</w:t>
      </w:r>
      <w:r>
        <w:t xml:space="preserve">. </w:t>
      </w:r>
    </w:p>
    <w:p w:rsidR="00F47828" w:rsidRDefault="00661B5A" w:rsidP="00EF05E0">
      <w:pPr>
        <w:pStyle w:val="BodyTextIndent2"/>
        <w:keepNext w:val="0"/>
        <w:keepLines w:val="0"/>
        <w:numPr>
          <w:ilvl w:val="0"/>
          <w:numId w:val="38"/>
        </w:numPr>
        <w:spacing w:after="100"/>
      </w:pPr>
      <w:proofErr w:type="gramStart"/>
      <w:r>
        <w:t>current</w:t>
      </w:r>
      <w:proofErr w:type="gramEnd"/>
      <w:r>
        <w:t xml:space="preserve"> </w:t>
      </w:r>
      <w:r w:rsidR="00F47828">
        <w:t>payables:  the increase of $26.750</w:t>
      </w:r>
      <w:r w:rsidR="00F47828" w:rsidRPr="001066EC">
        <w:t> million in the 2013-14 Budget from the 2012</w:t>
      </w:r>
      <w:r w:rsidR="007E0AFD">
        <w:noBreakHyphen/>
      </w:r>
      <w:r w:rsidR="00F47828">
        <w:t xml:space="preserve">13 estimated outcome is </w:t>
      </w:r>
      <w:r w:rsidR="00F47828" w:rsidRPr="00594A35">
        <w:t xml:space="preserve">mainly due </w:t>
      </w:r>
      <w:r w:rsidR="00F47828">
        <w:t xml:space="preserve">to the transfer of Shared Services from 1 July 2013 ($26.764 million). </w:t>
      </w:r>
    </w:p>
    <w:p w:rsidR="00F47828" w:rsidRPr="00594A35" w:rsidRDefault="00F47828" w:rsidP="00EF05E0">
      <w:pPr>
        <w:pStyle w:val="BodyTextIndent2"/>
        <w:keepNext w:val="0"/>
        <w:numPr>
          <w:ilvl w:val="0"/>
          <w:numId w:val="11"/>
        </w:numPr>
      </w:pPr>
      <w:r>
        <w:t xml:space="preserve">current and </w:t>
      </w:r>
      <w:proofErr w:type="spellStart"/>
      <w:r>
        <w:t>non current</w:t>
      </w:r>
      <w:proofErr w:type="spellEnd"/>
      <w:r>
        <w:t xml:space="preserve"> employee benefits:</w:t>
      </w:r>
    </w:p>
    <w:p w:rsidR="00F47828" w:rsidRDefault="00F47828" w:rsidP="00EF05E0">
      <w:pPr>
        <w:pStyle w:val="BodyTextIndent2"/>
        <w:keepNext w:val="0"/>
      </w:pPr>
      <w:r>
        <w:t>the increase of $3.867</w:t>
      </w:r>
      <w:r w:rsidRPr="00594A35">
        <w:t> million in the 2012-13 estimated outcome from the origin</w:t>
      </w:r>
      <w:r>
        <w:t xml:space="preserve">al budget is due to </w:t>
      </w:r>
      <w:r w:rsidRPr="00073450">
        <w:t xml:space="preserve">the </w:t>
      </w:r>
      <w:r>
        <w:t xml:space="preserve">transfer </w:t>
      </w:r>
      <w:r w:rsidR="00661B5A">
        <w:t xml:space="preserve">of functions </w:t>
      </w:r>
      <w:r>
        <w:t xml:space="preserve">from </w:t>
      </w:r>
      <w:r w:rsidR="00661B5A">
        <w:t>EDD</w:t>
      </w:r>
      <w:r>
        <w:t xml:space="preserve"> and the former Treasury Directorate</w:t>
      </w:r>
      <w:r w:rsidRPr="00594A35">
        <w:t xml:space="preserve">; </w:t>
      </w:r>
      <w:r>
        <w:t>and</w:t>
      </w:r>
    </w:p>
    <w:p w:rsidR="00F47828" w:rsidRDefault="00F47828" w:rsidP="00EF05E0">
      <w:pPr>
        <w:pStyle w:val="BodyTextIndent2"/>
        <w:keepNext w:val="0"/>
      </w:pPr>
      <w:proofErr w:type="gramStart"/>
      <w:r>
        <w:t>the</w:t>
      </w:r>
      <w:proofErr w:type="gramEnd"/>
      <w:r>
        <w:t xml:space="preserve"> increase of $32.314</w:t>
      </w:r>
      <w:r w:rsidRPr="00594A35">
        <w:t> million in the 2013-14 Budget from the 2012-13 estimated outcome</w:t>
      </w:r>
      <w:r>
        <w:t xml:space="preserve"> is </w:t>
      </w:r>
      <w:r w:rsidRPr="00594A35">
        <w:t xml:space="preserve">mainly due </w:t>
      </w:r>
      <w:r>
        <w:t>to the transfer of Shared Services from 1 July 2013 ($32.233 million).</w:t>
      </w:r>
    </w:p>
    <w:p w:rsidR="00F47828" w:rsidRDefault="00F47828" w:rsidP="00EF05E0">
      <w:pPr>
        <w:pStyle w:val="BodyTextIndent2"/>
        <w:keepNext w:val="0"/>
        <w:keepLines w:val="0"/>
        <w:numPr>
          <w:ilvl w:val="0"/>
          <w:numId w:val="38"/>
        </w:numPr>
        <w:spacing w:after="100"/>
      </w:pPr>
      <w:proofErr w:type="gramStart"/>
      <w:r>
        <w:t>other</w:t>
      </w:r>
      <w:proofErr w:type="gramEnd"/>
      <w:r>
        <w:t xml:space="preserve"> liabilities:  the increase of $9.352</w:t>
      </w:r>
      <w:r w:rsidRPr="001066EC">
        <w:t> million in the 2013-14 Budget from the 2012</w:t>
      </w:r>
      <w:r>
        <w:t xml:space="preserve">-13 estimated outcome is </w:t>
      </w:r>
      <w:r w:rsidRPr="00594A35">
        <w:t xml:space="preserve">due </w:t>
      </w:r>
      <w:r>
        <w:t xml:space="preserve">to the transfer of Shared Services from 1 July 2013. </w:t>
      </w:r>
    </w:p>
    <w:p w:rsidR="00F47828" w:rsidRPr="007933F5" w:rsidRDefault="00F47828" w:rsidP="005E3FB3">
      <w:pPr>
        <w:pStyle w:val="Heading4"/>
        <w:keepNext w:val="0"/>
      </w:pPr>
      <w:r w:rsidRPr="007933F5">
        <w:t>Statement of Change</w:t>
      </w:r>
      <w:r w:rsidR="0095339E" w:rsidRPr="007933F5">
        <w:t>s</w:t>
      </w:r>
      <w:r w:rsidRPr="007933F5">
        <w:t xml:space="preserve"> in Equity</w:t>
      </w:r>
    </w:p>
    <w:p w:rsidR="00F47828" w:rsidRDefault="00F47828" w:rsidP="005E3FB3">
      <w:pPr>
        <w:pStyle w:val="BodyTextIndent2"/>
        <w:keepNext w:val="0"/>
        <w:keepLines w:val="0"/>
        <w:numPr>
          <w:ilvl w:val="0"/>
          <w:numId w:val="0"/>
        </w:numPr>
        <w:spacing w:after="100"/>
      </w:pPr>
      <w:r>
        <w:t>Variations in the statement are explained in the notes above.</w:t>
      </w:r>
    </w:p>
    <w:p w:rsidR="00F47828" w:rsidRPr="007933F5" w:rsidRDefault="00F47828" w:rsidP="005E3FB3">
      <w:pPr>
        <w:pStyle w:val="Heading4"/>
        <w:keepNext w:val="0"/>
      </w:pPr>
      <w:r w:rsidRPr="007933F5">
        <w:t>Cash Flow Statement</w:t>
      </w:r>
    </w:p>
    <w:p w:rsidR="00F47828" w:rsidRDefault="00F47828" w:rsidP="005E3FB3">
      <w:pPr>
        <w:pStyle w:val="BodyTextIndent2"/>
        <w:keepNext w:val="0"/>
        <w:keepLines w:val="0"/>
        <w:numPr>
          <w:ilvl w:val="0"/>
          <w:numId w:val="0"/>
        </w:numPr>
        <w:spacing w:after="100"/>
      </w:pPr>
      <w:r>
        <w:t>Variations in the cash flows from operating activities and cash flows from investing activities are explained in the notes above.</w:t>
      </w:r>
    </w:p>
    <w:p w:rsidR="00F47828" w:rsidRPr="00594A35" w:rsidRDefault="00F47828" w:rsidP="005E3FB3">
      <w:pPr>
        <w:pStyle w:val="BodyTextIndent2"/>
        <w:keepNext w:val="0"/>
        <w:numPr>
          <w:ilvl w:val="0"/>
          <w:numId w:val="11"/>
        </w:numPr>
      </w:pPr>
      <w:r>
        <w:t>capital injections from government:</w:t>
      </w:r>
    </w:p>
    <w:p w:rsidR="00F47828" w:rsidRDefault="00F47828" w:rsidP="005E3FB3">
      <w:pPr>
        <w:pStyle w:val="BodyTextIndent2"/>
        <w:keepNext w:val="0"/>
      </w:pPr>
      <w:r>
        <w:t>the increase of $2.683</w:t>
      </w:r>
      <w:r w:rsidRPr="00594A35">
        <w:t> million in the 2012-13 estimated outcome from the origin</w:t>
      </w:r>
      <w:r>
        <w:t xml:space="preserve">al budget is due to </w:t>
      </w:r>
      <w:r w:rsidRPr="00073450">
        <w:t xml:space="preserve">the </w:t>
      </w:r>
      <w:r>
        <w:t xml:space="preserve">transfer </w:t>
      </w:r>
      <w:r w:rsidR="00661B5A">
        <w:t xml:space="preserve">of functions </w:t>
      </w:r>
      <w:r>
        <w:t>from the former Treasury Directorate</w:t>
      </w:r>
      <w:r w:rsidRPr="00594A35">
        <w:t xml:space="preserve">; </w:t>
      </w:r>
      <w:r>
        <w:t>and</w:t>
      </w:r>
    </w:p>
    <w:p w:rsidR="00F47828" w:rsidRDefault="00F47828" w:rsidP="000549BE">
      <w:pPr>
        <w:pStyle w:val="BodyTextIndent2"/>
      </w:pPr>
      <w:proofErr w:type="gramStart"/>
      <w:r>
        <w:lastRenderedPageBreak/>
        <w:t>the</w:t>
      </w:r>
      <w:proofErr w:type="gramEnd"/>
      <w:r>
        <w:t xml:space="preserve"> increase of $14.845</w:t>
      </w:r>
      <w:r w:rsidRPr="00594A35">
        <w:t> million in the 2013-14 Budget from the 2012-13 estimated outcome</w:t>
      </w:r>
      <w:r>
        <w:t xml:space="preserve"> is </w:t>
      </w:r>
      <w:r w:rsidRPr="00594A35">
        <w:t xml:space="preserve">mainly due </w:t>
      </w:r>
      <w:r>
        <w:t>to the transfer of Shared Services from 1 July 2013 ($6.939 million)</w:t>
      </w:r>
      <w:r w:rsidR="007933F5">
        <w:t xml:space="preserve">, </w:t>
      </w:r>
      <w:r>
        <w:t>and funding for the Whole of Government Digital Network Replacement ($6.661 million) and Storage Network Switch Refresh ($1.020 million) initiatives.</w:t>
      </w:r>
    </w:p>
    <w:p w:rsidR="00F47828" w:rsidRDefault="00F47828" w:rsidP="000446AB">
      <w:pPr>
        <w:pStyle w:val="BodyTextIndent2"/>
        <w:numPr>
          <w:ilvl w:val="0"/>
          <w:numId w:val="38"/>
        </w:numPr>
      </w:pPr>
      <w:proofErr w:type="gramStart"/>
      <w:r>
        <w:t>receipt</w:t>
      </w:r>
      <w:proofErr w:type="gramEnd"/>
      <w:r>
        <w:t xml:space="preserve"> of transferred cash balances: </w:t>
      </w:r>
      <w:r w:rsidR="007E0AFD">
        <w:t xml:space="preserve"> </w:t>
      </w:r>
      <w:r>
        <w:t>the increase of $25.832</w:t>
      </w:r>
      <w:r w:rsidRPr="001066EC">
        <w:t> million in the 2013</w:t>
      </w:r>
      <w:r w:rsidR="00661B5A">
        <w:noBreakHyphen/>
      </w:r>
      <w:r w:rsidRPr="001066EC">
        <w:t>14</w:t>
      </w:r>
      <w:r w:rsidR="00661B5A">
        <w:t> </w:t>
      </w:r>
      <w:r w:rsidRPr="001066EC">
        <w:t>Budget from the 2012</w:t>
      </w:r>
      <w:r>
        <w:t xml:space="preserve">-13 estimated outcome is </w:t>
      </w:r>
      <w:r w:rsidRPr="001066EC">
        <w:t>due to</w:t>
      </w:r>
      <w:r>
        <w:t xml:space="preserve"> th</w:t>
      </w:r>
      <w:r w:rsidR="007933F5">
        <w:t>e transfer of Shared </w:t>
      </w:r>
      <w:r>
        <w:t>Services from 1 July 2013.</w:t>
      </w:r>
    </w:p>
    <w:p w:rsidR="0095339E" w:rsidRDefault="00F47828" w:rsidP="000446AB">
      <w:pPr>
        <w:pStyle w:val="BodyTextIndent2"/>
        <w:numPr>
          <w:ilvl w:val="0"/>
          <w:numId w:val="38"/>
        </w:numPr>
      </w:pPr>
      <w:proofErr w:type="gramStart"/>
      <w:r>
        <w:t>distribution</w:t>
      </w:r>
      <w:proofErr w:type="gramEnd"/>
      <w:r>
        <w:t xml:space="preserve"> to government: </w:t>
      </w:r>
      <w:r w:rsidR="007E0AFD">
        <w:t xml:space="preserve"> </w:t>
      </w:r>
      <w:r>
        <w:t>the increase of $5.999</w:t>
      </w:r>
      <w:r w:rsidRPr="001066EC">
        <w:t> million in the 2013-14 Budget from the 2012</w:t>
      </w:r>
      <w:r>
        <w:t xml:space="preserve">-13 estimated outcome is </w:t>
      </w:r>
      <w:r w:rsidRPr="001066EC">
        <w:t>due to</w:t>
      </w:r>
      <w:r>
        <w:t xml:space="preserve"> the transfer of Shared Services from 1 July 2013.</w:t>
      </w:r>
    </w:p>
    <w:p w:rsidR="0095339E" w:rsidRDefault="0095339E">
      <w:r>
        <w:br w:type="page"/>
      </w:r>
    </w:p>
    <w:tbl>
      <w:tblPr>
        <w:tblW w:w="9356" w:type="dxa"/>
        <w:tblLook w:val="04A0"/>
      </w:tblPr>
      <w:tblGrid>
        <w:gridCol w:w="1048"/>
        <w:gridCol w:w="2382"/>
        <w:gridCol w:w="1102"/>
        <w:gridCol w:w="1051"/>
        <w:gridCol w:w="620"/>
        <w:gridCol w:w="1051"/>
        <w:gridCol w:w="1051"/>
        <w:gridCol w:w="1051"/>
      </w:tblGrid>
      <w:tr w:rsidR="0095339E" w:rsidTr="007E2F86">
        <w:trPr>
          <w:tblHeader/>
        </w:trPr>
        <w:tc>
          <w:tcPr>
            <w:tcW w:w="9392" w:type="dxa"/>
            <w:gridSpan w:val="8"/>
            <w:tcBorders>
              <w:top w:val="nil"/>
              <w:left w:val="nil"/>
              <w:bottom w:val="nil"/>
              <w:right w:val="nil"/>
            </w:tcBorders>
            <w:shd w:val="clear" w:color="000000" w:fill="FFFFFF"/>
            <w:hideMark/>
          </w:tcPr>
          <w:p w:rsidR="0095339E" w:rsidRDefault="0095339E" w:rsidP="007E2F86">
            <w:pPr>
              <w:jc w:val="center"/>
              <w:rPr>
                <w:rFonts w:ascii="Arial" w:hAnsi="Arial" w:cs="Arial"/>
                <w:b/>
                <w:bCs/>
                <w:szCs w:val="24"/>
              </w:rPr>
            </w:pPr>
            <w:bookmarkStart w:id="4" w:name="RANGE!A1:H30"/>
            <w:bookmarkStart w:id="5" w:name="RANGE!A1:H35"/>
            <w:bookmarkEnd w:id="4"/>
            <w:r>
              <w:rPr>
                <w:rFonts w:ascii="Arial" w:hAnsi="Arial" w:cs="Arial"/>
                <w:b/>
                <w:bCs/>
              </w:rPr>
              <w:lastRenderedPageBreak/>
              <w:t>Commerce and Works Directorate</w:t>
            </w:r>
            <w:bookmarkEnd w:id="5"/>
          </w:p>
        </w:tc>
      </w:tr>
      <w:tr w:rsidR="0095339E" w:rsidTr="007E2F86">
        <w:trPr>
          <w:tblHeader/>
        </w:trPr>
        <w:tc>
          <w:tcPr>
            <w:tcW w:w="9392" w:type="dxa"/>
            <w:gridSpan w:val="8"/>
            <w:tcBorders>
              <w:top w:val="nil"/>
              <w:left w:val="nil"/>
              <w:bottom w:val="nil"/>
              <w:right w:val="nil"/>
            </w:tcBorders>
            <w:shd w:val="clear" w:color="000000" w:fill="FFFFFF"/>
            <w:hideMark/>
          </w:tcPr>
          <w:p w:rsidR="0095339E" w:rsidRDefault="0095339E" w:rsidP="007E2F86">
            <w:pPr>
              <w:jc w:val="center"/>
              <w:rPr>
                <w:rFonts w:ascii="Arial" w:hAnsi="Arial" w:cs="Arial"/>
                <w:b/>
                <w:bCs/>
                <w:szCs w:val="24"/>
              </w:rPr>
            </w:pPr>
            <w:r>
              <w:rPr>
                <w:rFonts w:ascii="Arial" w:hAnsi="Arial" w:cs="Arial"/>
                <w:b/>
                <w:bCs/>
              </w:rPr>
              <w:t>Statement of Income and Expenses on Behalf of the Territory</w:t>
            </w:r>
          </w:p>
        </w:tc>
      </w:tr>
      <w:tr w:rsidR="0095339E" w:rsidTr="007E2F86">
        <w:trPr>
          <w:tblHeader/>
        </w:trPr>
        <w:tc>
          <w:tcPr>
            <w:tcW w:w="1054"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2016-17</w:t>
            </w:r>
          </w:p>
        </w:tc>
      </w:tr>
      <w:tr w:rsidR="0095339E" w:rsidTr="007E2F86">
        <w:trPr>
          <w:tblHeader/>
        </w:trPr>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Estimate</w:t>
            </w:r>
          </w:p>
        </w:tc>
      </w:tr>
      <w:tr w:rsidR="0095339E" w:rsidTr="007E2F86">
        <w:trPr>
          <w:tblHeader/>
        </w:trPr>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b/>
                <w:bCs/>
                <w:sz w:val="18"/>
                <w:szCs w:val="18"/>
              </w:rPr>
            </w:pPr>
            <w:r>
              <w:rPr>
                <w:b/>
                <w:bCs/>
                <w:sz w:val="18"/>
                <w:szCs w:val="18"/>
              </w:rPr>
              <w:t>$'000</w:t>
            </w:r>
          </w:p>
        </w:tc>
      </w:tr>
      <w:tr w:rsidR="0095339E" w:rsidTr="007E2F86">
        <w:trPr>
          <w:tblHeader/>
        </w:trPr>
        <w:tc>
          <w:tcPr>
            <w:tcW w:w="1054"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i/>
                <w:iCs/>
                <w:sz w:val="18"/>
                <w:szCs w:val="18"/>
              </w:rPr>
            </w:pPr>
            <w:r>
              <w:rPr>
                <w:b/>
                <w:bCs/>
                <w:i/>
                <w:iCs/>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 xml:space="preserve">Payment for Expenses on </w:t>
            </w:r>
            <w:r>
              <w:rPr>
                <w:sz w:val="18"/>
                <w:szCs w:val="18"/>
              </w:rPr>
              <w:br/>
              <w:t xml:space="preserve">   behalf of Territory</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12,138</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13,065</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9,187</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8,980</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8,768</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520,111</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1,211,522</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133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1,291,212</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1,400,237</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1,480,757</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Land Revenue</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1,072</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10,527</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882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11,853</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12,573</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12,710</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198</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200</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200</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200</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200</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533,519</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1,235,314</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xml:space="preserve">132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1,312,452</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1,421,990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1,502,435</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533,519</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1,235,314</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xml:space="preserve">132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1,312,452</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1,421,990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1,502,435</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15</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15</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15</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13,019</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12,830</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8,952</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8,745</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8,533</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5,553</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2,794</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2,544</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2,294</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2,297</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514,932</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1,219,675</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xml:space="preserve">137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1,300,941</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1,410,936</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1,491,590</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533,519</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1,235,314</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xml:space="preserve">132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1,312,452</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1,421,990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1,502,435</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95339E" w:rsidRDefault="0095339E"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Other Comprehensive Income</w:t>
            </w:r>
          </w:p>
          <w:p w:rsidR="0095339E" w:rsidRDefault="0095339E" w:rsidP="007E2F86">
            <w:pPr>
              <w:ind w:left="142" w:hanging="142"/>
              <w:rPr>
                <w:i/>
                <w:sz w:val="18"/>
                <w:szCs w:val="18"/>
              </w:rPr>
            </w:pPr>
            <w:r>
              <w:rPr>
                <w:i/>
                <w:sz w:val="18"/>
                <w:szCs w:val="18"/>
              </w:rPr>
              <w:t xml:space="preserve">   </w:t>
            </w:r>
            <w:r w:rsidRPr="00D9398D">
              <w:rPr>
                <w:i/>
                <w:sz w:val="18"/>
                <w:szCs w:val="18"/>
              </w:rPr>
              <w:t xml:space="preserve">Items that will not be </w:t>
            </w:r>
          </w:p>
          <w:p w:rsidR="0095339E" w:rsidRDefault="0095339E" w:rsidP="007E2F86">
            <w:pPr>
              <w:ind w:left="142" w:hanging="142"/>
              <w:rPr>
                <w:i/>
                <w:sz w:val="18"/>
                <w:szCs w:val="18"/>
              </w:rPr>
            </w:pPr>
            <w:r>
              <w:rPr>
                <w:i/>
                <w:sz w:val="18"/>
                <w:szCs w:val="18"/>
              </w:rPr>
              <w:t xml:space="preserve">   </w:t>
            </w:r>
            <w:r w:rsidRPr="00D9398D">
              <w:rPr>
                <w:i/>
                <w:sz w:val="18"/>
                <w:szCs w:val="18"/>
              </w:rPr>
              <w:t xml:space="preserve">reclassified subsequently </w:t>
            </w:r>
          </w:p>
          <w:p w:rsidR="0095339E" w:rsidRDefault="0095339E" w:rsidP="007E2F86">
            <w:pPr>
              <w:ind w:left="142" w:hanging="142"/>
              <w:rPr>
                <w:sz w:val="18"/>
                <w:szCs w:val="18"/>
              </w:rPr>
            </w:pPr>
            <w:r>
              <w:rPr>
                <w:i/>
                <w:sz w:val="18"/>
                <w:szCs w:val="18"/>
              </w:rPr>
              <w:t xml:space="preserve">   </w:t>
            </w:r>
            <w:r w:rsidRPr="00D9398D">
              <w:rPr>
                <w:i/>
                <w:sz w:val="18"/>
                <w:szCs w:val="18"/>
              </w:rPr>
              <w:t>to profit or loss</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sz w:val="18"/>
                <w:szCs w:val="18"/>
              </w:rPr>
            </w:pPr>
            <w:r>
              <w:rPr>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95339E" w:rsidRDefault="0095339E" w:rsidP="007E2F86">
            <w:pPr>
              <w:spacing w:before="60"/>
              <w:rPr>
                <w:sz w:val="18"/>
                <w:szCs w:val="18"/>
              </w:rPr>
            </w:pPr>
            <w:r>
              <w:rPr>
                <w:sz w:val="18"/>
                <w:szCs w:val="18"/>
              </w:rPr>
              <w:t xml:space="preserve">Inc/Dec in Asset Revaluation </w:t>
            </w:r>
            <w:r>
              <w:rPr>
                <w:sz w:val="18"/>
                <w:szCs w:val="18"/>
              </w:rPr>
              <w:br/>
              <w:t xml:space="preserve">   Reserve Surpluses</w:t>
            </w:r>
          </w:p>
        </w:tc>
        <w:tc>
          <w:tcPr>
            <w:tcW w:w="1106"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14,282</w:t>
            </w:r>
          </w:p>
        </w:tc>
        <w:tc>
          <w:tcPr>
            <w:tcW w:w="624"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16,000</w:t>
            </w:r>
          </w:p>
        </w:tc>
        <w:tc>
          <w:tcPr>
            <w:tcW w:w="1054"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17,804</w:t>
            </w:r>
          </w:p>
        </w:tc>
        <w:tc>
          <w:tcPr>
            <w:tcW w:w="1054" w:type="dxa"/>
            <w:tcBorders>
              <w:top w:val="nil"/>
              <w:left w:val="nil"/>
              <w:bottom w:val="nil"/>
              <w:right w:val="nil"/>
            </w:tcBorders>
            <w:shd w:val="clear" w:color="000000" w:fill="FFFFFF"/>
            <w:hideMark/>
          </w:tcPr>
          <w:p w:rsidR="0095339E" w:rsidRDefault="0095339E" w:rsidP="007E2F86">
            <w:pPr>
              <w:spacing w:before="60"/>
              <w:ind w:left="-283"/>
              <w:jc w:val="right"/>
              <w:rPr>
                <w:sz w:val="18"/>
                <w:szCs w:val="18"/>
              </w:rPr>
            </w:pPr>
            <w:r>
              <w:rPr>
                <w:sz w:val="18"/>
                <w:szCs w:val="18"/>
              </w:rPr>
              <w:t>19,697</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Total Other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14,282</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16,000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17,804</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19,697</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w:t>
            </w:r>
          </w:p>
        </w:tc>
      </w:tr>
      <w:tr w:rsidR="0095339E" w:rsidTr="007E2F86">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95339E" w:rsidRDefault="0095339E" w:rsidP="007E2F86">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14,282</w:t>
            </w:r>
          </w:p>
        </w:tc>
        <w:tc>
          <w:tcPr>
            <w:tcW w:w="62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16,000</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17,804</w:t>
            </w:r>
          </w:p>
        </w:tc>
        <w:tc>
          <w:tcPr>
            <w:tcW w:w="1054" w:type="dxa"/>
            <w:tcBorders>
              <w:top w:val="nil"/>
              <w:left w:val="nil"/>
              <w:bottom w:val="nil"/>
              <w:right w:val="nil"/>
            </w:tcBorders>
            <w:shd w:val="clear" w:color="000000" w:fill="FFFFFF"/>
            <w:hideMark/>
          </w:tcPr>
          <w:p w:rsidR="0095339E" w:rsidRDefault="0095339E" w:rsidP="007E2F86">
            <w:pPr>
              <w:ind w:left="-283"/>
              <w:jc w:val="right"/>
              <w:rPr>
                <w:b/>
                <w:bCs/>
                <w:sz w:val="18"/>
                <w:szCs w:val="18"/>
              </w:rPr>
            </w:pPr>
            <w:r>
              <w:rPr>
                <w:b/>
                <w:bCs/>
                <w:sz w:val="18"/>
                <w:szCs w:val="18"/>
              </w:rPr>
              <w:t>19,697</w:t>
            </w:r>
          </w:p>
        </w:tc>
      </w:tr>
      <w:tr w:rsidR="0095339E" w:rsidTr="007E2F86">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95339E" w:rsidRDefault="0095339E"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95339E" w:rsidRDefault="0095339E" w:rsidP="007E2F86">
            <w:pPr>
              <w:ind w:left="-283"/>
              <w:jc w:val="right"/>
              <w:rPr>
                <w:sz w:val="18"/>
                <w:szCs w:val="18"/>
              </w:rPr>
            </w:pPr>
            <w:r>
              <w:rPr>
                <w:sz w:val="18"/>
                <w:szCs w:val="18"/>
              </w:rPr>
              <w:t> </w:t>
            </w:r>
          </w:p>
        </w:tc>
      </w:tr>
    </w:tbl>
    <w:p w:rsidR="0095339E" w:rsidRDefault="0095339E"/>
    <w:p w:rsidR="007E71E1" w:rsidRDefault="007E71E1">
      <w:r>
        <w:br w:type="page"/>
      </w:r>
    </w:p>
    <w:tbl>
      <w:tblPr>
        <w:tblW w:w="9356" w:type="dxa"/>
        <w:tblLook w:val="04A0"/>
      </w:tblPr>
      <w:tblGrid>
        <w:gridCol w:w="1054"/>
        <w:gridCol w:w="2392"/>
        <w:gridCol w:w="1106"/>
        <w:gridCol w:w="1054"/>
        <w:gridCol w:w="624"/>
        <w:gridCol w:w="1054"/>
        <w:gridCol w:w="1054"/>
        <w:gridCol w:w="1054"/>
      </w:tblGrid>
      <w:tr w:rsidR="00AE5E20" w:rsidTr="007E2F86">
        <w:trPr>
          <w:tblHeader/>
        </w:trPr>
        <w:tc>
          <w:tcPr>
            <w:tcW w:w="9392" w:type="dxa"/>
            <w:gridSpan w:val="8"/>
            <w:tcBorders>
              <w:top w:val="nil"/>
              <w:left w:val="nil"/>
              <w:bottom w:val="nil"/>
              <w:right w:val="nil"/>
            </w:tcBorders>
            <w:shd w:val="clear" w:color="000000" w:fill="FFFFFF"/>
            <w:noWrap/>
            <w:vAlign w:val="bottom"/>
            <w:hideMark/>
          </w:tcPr>
          <w:p w:rsidR="00AE5E20" w:rsidRDefault="00AE5E20" w:rsidP="007E2F86">
            <w:pPr>
              <w:jc w:val="center"/>
              <w:rPr>
                <w:rFonts w:ascii="Arial" w:hAnsi="Arial" w:cs="Arial"/>
                <w:b/>
                <w:bCs/>
                <w:szCs w:val="24"/>
              </w:rPr>
            </w:pPr>
            <w:bookmarkStart w:id="6" w:name="RANGE!A1:H32"/>
            <w:bookmarkStart w:id="7" w:name="RANGE!A1:H38"/>
            <w:bookmarkEnd w:id="6"/>
            <w:r>
              <w:rPr>
                <w:rFonts w:ascii="Arial" w:hAnsi="Arial" w:cs="Arial"/>
                <w:b/>
                <w:bCs/>
              </w:rPr>
              <w:lastRenderedPageBreak/>
              <w:t>Commerce and Works Directorate</w:t>
            </w:r>
            <w:bookmarkEnd w:id="7"/>
          </w:p>
        </w:tc>
      </w:tr>
      <w:tr w:rsidR="00AE5E20" w:rsidTr="007E2F86">
        <w:trPr>
          <w:tblHeader/>
        </w:trPr>
        <w:tc>
          <w:tcPr>
            <w:tcW w:w="9392" w:type="dxa"/>
            <w:gridSpan w:val="8"/>
            <w:tcBorders>
              <w:top w:val="nil"/>
              <w:left w:val="nil"/>
              <w:bottom w:val="nil"/>
              <w:right w:val="nil"/>
            </w:tcBorders>
            <w:shd w:val="clear" w:color="000000" w:fill="FFFFFF"/>
            <w:noWrap/>
            <w:vAlign w:val="bottom"/>
            <w:hideMark/>
          </w:tcPr>
          <w:p w:rsidR="00AE5E20" w:rsidRDefault="00AE5E20" w:rsidP="007E2F86">
            <w:pPr>
              <w:jc w:val="center"/>
              <w:rPr>
                <w:rFonts w:ascii="Arial" w:hAnsi="Arial" w:cs="Arial"/>
                <w:b/>
                <w:bCs/>
                <w:szCs w:val="24"/>
              </w:rPr>
            </w:pPr>
            <w:r>
              <w:rPr>
                <w:rFonts w:ascii="Arial" w:hAnsi="Arial" w:cs="Arial"/>
                <w:b/>
                <w:bCs/>
              </w:rPr>
              <w:t>Statement of Assets and Liabilities on Behalf of the Territory</w:t>
            </w:r>
          </w:p>
        </w:tc>
      </w:tr>
      <w:tr w:rsidR="00AE5E20" w:rsidTr="007E2F86">
        <w:trPr>
          <w:tblHeader/>
        </w:trPr>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AE5E20" w:rsidRDefault="00AE5E20"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r>
      <w:tr w:rsidR="00AE5E20" w:rsidTr="007E2F86">
        <w:trPr>
          <w:tblHeader/>
        </w:trPr>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AE5E20" w:rsidRDefault="00AE5E20" w:rsidP="007E2F8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30/6/17</w:t>
            </w:r>
          </w:p>
        </w:tc>
      </w:tr>
      <w:tr w:rsidR="00AE5E20" w:rsidTr="007E2F86">
        <w:trPr>
          <w:tblHeader/>
        </w:trPr>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r>
      <w:tr w:rsidR="00AE5E20" w:rsidTr="007E2F86">
        <w:trPr>
          <w:tblHeader/>
        </w:trPr>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i/>
                <w:iCs/>
                <w:sz w:val="18"/>
                <w:szCs w:val="18"/>
              </w:rPr>
            </w:pPr>
            <w:r>
              <w:rPr>
                <w:i/>
                <w:iCs/>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Cash and Cash</w:t>
            </w:r>
            <w:r>
              <w:rPr>
                <w:sz w:val="18"/>
                <w:szCs w:val="18"/>
              </w:rPr>
              <w:br/>
              <w:t xml:space="preserve">   Equivalents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108,041</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108,041</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108,041</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108,041</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108,041</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156,126</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156,736</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156,437</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156,311</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156,156</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264,167</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264,777</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264,478</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264,352</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264,197</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281,866</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410,218</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46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446,288</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484,162</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523,929</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281,866</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410,218</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46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446,288</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484,162</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523,929</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546,033</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674,995</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24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710,766</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748,514</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788,126</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241,005</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239,495</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236,966</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234,610</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232,225</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Other Provisions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179</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69</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-61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69</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69</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69</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1,914</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1,914</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1,914</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1,914</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1,914</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243,098</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241,478</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238,949</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236,593</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234,208</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243,098</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241,478</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238,949</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236,593</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234,208</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302,935</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433,517</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43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471,817</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511,921</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553,918</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E5E20" w:rsidRDefault="00AE5E20" w:rsidP="007E2F86">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283,938</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400,238</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41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422,538</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444,838</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467,138</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18,997</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33,279</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xml:space="preserve">75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49,279</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67,083</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86,780</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302,935</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433,517</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 xml:space="preserve">43 </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471,817</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511,921</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553,918</w:t>
            </w:r>
          </w:p>
        </w:tc>
      </w:tr>
      <w:tr w:rsidR="00AE5E20" w:rsidTr="007E2F86">
        <w:tc>
          <w:tcPr>
            <w:tcW w:w="1054"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AE5E20" w:rsidRDefault="00AE5E20"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AE5E20" w:rsidRDefault="00AE5E20" w:rsidP="007E2F86">
            <w:pPr>
              <w:ind w:left="-283"/>
              <w:jc w:val="right"/>
              <w:rPr>
                <w:sz w:val="18"/>
                <w:szCs w:val="18"/>
              </w:rPr>
            </w:pPr>
            <w:r>
              <w:rPr>
                <w:sz w:val="18"/>
                <w:szCs w:val="18"/>
              </w:rPr>
              <w:t> </w:t>
            </w:r>
          </w:p>
        </w:tc>
      </w:tr>
    </w:tbl>
    <w:p w:rsidR="00AE5E20" w:rsidRDefault="00AE5E20"/>
    <w:p w:rsidR="00F947FC" w:rsidRDefault="00F947FC">
      <w:r>
        <w:br w:type="page"/>
      </w:r>
    </w:p>
    <w:tbl>
      <w:tblPr>
        <w:tblW w:w="9356" w:type="dxa"/>
        <w:tblLook w:val="04A0"/>
      </w:tblPr>
      <w:tblGrid>
        <w:gridCol w:w="1054"/>
        <w:gridCol w:w="2392"/>
        <w:gridCol w:w="1106"/>
        <w:gridCol w:w="1054"/>
        <w:gridCol w:w="624"/>
        <w:gridCol w:w="1054"/>
        <w:gridCol w:w="1054"/>
        <w:gridCol w:w="1054"/>
      </w:tblGrid>
      <w:tr w:rsidR="00AE5E20" w:rsidTr="007E2F86">
        <w:trPr>
          <w:tblHeader/>
        </w:trPr>
        <w:tc>
          <w:tcPr>
            <w:tcW w:w="9392" w:type="dxa"/>
            <w:gridSpan w:val="8"/>
            <w:tcBorders>
              <w:top w:val="nil"/>
              <w:left w:val="nil"/>
              <w:bottom w:val="nil"/>
              <w:right w:val="nil"/>
            </w:tcBorders>
            <w:shd w:val="clear" w:color="000000" w:fill="FFFFFF"/>
            <w:noWrap/>
            <w:vAlign w:val="bottom"/>
            <w:hideMark/>
          </w:tcPr>
          <w:p w:rsidR="00AE5E20" w:rsidRDefault="00AE5E20" w:rsidP="007E2F86">
            <w:pPr>
              <w:jc w:val="center"/>
              <w:rPr>
                <w:rFonts w:ascii="Arial" w:hAnsi="Arial" w:cs="Arial"/>
                <w:b/>
                <w:bCs/>
                <w:szCs w:val="24"/>
              </w:rPr>
            </w:pPr>
            <w:r>
              <w:rPr>
                <w:rFonts w:ascii="Arial" w:hAnsi="Arial" w:cs="Arial"/>
                <w:b/>
                <w:bCs/>
              </w:rPr>
              <w:lastRenderedPageBreak/>
              <w:t>Commerce and Works Directorate</w:t>
            </w:r>
          </w:p>
        </w:tc>
      </w:tr>
      <w:tr w:rsidR="00AE5E20" w:rsidTr="007E2F86">
        <w:trPr>
          <w:tblHeader/>
        </w:trPr>
        <w:tc>
          <w:tcPr>
            <w:tcW w:w="9392" w:type="dxa"/>
            <w:gridSpan w:val="8"/>
            <w:tcBorders>
              <w:top w:val="nil"/>
              <w:left w:val="nil"/>
              <w:bottom w:val="nil"/>
              <w:right w:val="nil"/>
            </w:tcBorders>
            <w:shd w:val="clear" w:color="000000" w:fill="FFFFFF"/>
            <w:noWrap/>
            <w:vAlign w:val="bottom"/>
            <w:hideMark/>
          </w:tcPr>
          <w:p w:rsidR="00AE5E20" w:rsidRDefault="00AE5E20" w:rsidP="007E2F86">
            <w:pPr>
              <w:jc w:val="center"/>
              <w:rPr>
                <w:rFonts w:ascii="Arial" w:hAnsi="Arial" w:cs="Arial"/>
                <w:b/>
                <w:bCs/>
                <w:szCs w:val="24"/>
              </w:rPr>
            </w:pPr>
            <w:r>
              <w:rPr>
                <w:rFonts w:ascii="Arial" w:hAnsi="Arial" w:cs="Arial"/>
                <w:b/>
                <w:bCs/>
              </w:rPr>
              <w:t>Statement of Changes in Equity on Behalf of the Territory</w:t>
            </w:r>
          </w:p>
        </w:tc>
      </w:tr>
      <w:tr w:rsidR="00AE5E20" w:rsidTr="007E2F86">
        <w:trPr>
          <w:tblHeader/>
        </w:trPr>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AE5E20" w:rsidRDefault="00AE5E20" w:rsidP="007E2F86">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r>
      <w:tr w:rsidR="00AE5E20" w:rsidTr="007E2F86">
        <w:trPr>
          <w:tblHeader/>
        </w:trPr>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AE5E20" w:rsidRDefault="00AE5E20" w:rsidP="007E2F86">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Var</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6"/>
                <w:szCs w:val="16"/>
              </w:rPr>
            </w:pPr>
            <w:r>
              <w:rPr>
                <w:b/>
                <w:bCs/>
                <w:sz w:val="16"/>
                <w:szCs w:val="16"/>
              </w:rPr>
              <w:t>as at 30/6/17</w:t>
            </w:r>
          </w:p>
        </w:tc>
      </w:tr>
      <w:tr w:rsidR="00AE5E20" w:rsidTr="007E2F86">
        <w:trPr>
          <w:tblHeader/>
        </w:trPr>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AE5E20" w:rsidRDefault="00AE5E20" w:rsidP="007E2F86">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r>
      <w:tr w:rsidR="00AE5E20" w:rsidTr="007E2F86">
        <w:trPr>
          <w:tblHeader/>
        </w:trPr>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283,938</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400,238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422,538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444,838</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18,997</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33,279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49,279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67,083</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302,935</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433,517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471,817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511,921</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Inc/Dec in Asset Revaluation</w:t>
            </w:r>
            <w:r>
              <w:rPr>
                <w:sz w:val="18"/>
                <w:szCs w:val="18"/>
              </w:rPr>
              <w:br/>
              <w:t xml:space="preserve">   Reserve Surpluses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14,282</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16,000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17,804</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19,697</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14,282</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16,000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17,804</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19,697</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Transfer to/from</w:t>
            </w:r>
            <w:r>
              <w:rPr>
                <w:sz w:val="18"/>
                <w:szCs w:val="18"/>
              </w:rPr>
              <w:br/>
              <w:t xml:space="preserve">   Accumulated Funds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-18,997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Movement in Asset</w:t>
            </w:r>
            <w:r>
              <w:rPr>
                <w:sz w:val="18"/>
                <w:szCs w:val="18"/>
              </w:rPr>
              <w:br/>
              <w:t xml:space="preserve">   Revaluation Reserve</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18,997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Transactions Involving Owners</w:t>
            </w:r>
          </w:p>
          <w:p w:rsidR="00AE5E20" w:rsidRDefault="00AE5E20" w:rsidP="007E2F86">
            <w:pPr>
              <w:rPr>
                <w:b/>
                <w:bCs/>
                <w:sz w:val="18"/>
                <w:szCs w:val="18"/>
              </w:rPr>
            </w:pPr>
            <w:r>
              <w:rPr>
                <w:b/>
                <w:bCs/>
                <w:sz w:val="18"/>
                <w:szCs w:val="18"/>
              </w:rPr>
              <w:t>Affecting Accumulated Funds</w:t>
            </w:r>
          </w:p>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95,539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207,396</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302,935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-62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283,938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400,238</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41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422,538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444,838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467,138</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18,997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33,279</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75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49,279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67,083</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86,780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302,935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433,517</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43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471,817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511,921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553,918</w:t>
            </w:r>
          </w:p>
        </w:tc>
      </w:tr>
      <w:tr w:rsidR="00AE5E20" w:rsidTr="007E2F86">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AE5E20" w:rsidRDefault="00AE5E20" w:rsidP="007E2F8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r>
    </w:tbl>
    <w:p w:rsidR="00AE5E20" w:rsidRDefault="00AE5E20"/>
    <w:p w:rsidR="007E71E1" w:rsidRDefault="007E71E1">
      <w:r>
        <w:br w:type="page"/>
      </w:r>
    </w:p>
    <w:tbl>
      <w:tblPr>
        <w:tblW w:w="9392" w:type="dxa"/>
        <w:tblInd w:w="-283" w:type="dxa"/>
        <w:tblLook w:val="04A0"/>
      </w:tblPr>
      <w:tblGrid>
        <w:gridCol w:w="1054"/>
        <w:gridCol w:w="2392"/>
        <w:gridCol w:w="1106"/>
        <w:gridCol w:w="1054"/>
        <w:gridCol w:w="624"/>
        <w:gridCol w:w="1054"/>
        <w:gridCol w:w="1054"/>
        <w:gridCol w:w="1054"/>
      </w:tblGrid>
      <w:tr w:rsidR="00AE5E20" w:rsidTr="007E2F86">
        <w:trPr>
          <w:tblHeader/>
        </w:trPr>
        <w:tc>
          <w:tcPr>
            <w:tcW w:w="9392" w:type="dxa"/>
            <w:gridSpan w:val="8"/>
            <w:tcBorders>
              <w:top w:val="nil"/>
              <w:left w:val="nil"/>
              <w:bottom w:val="nil"/>
              <w:right w:val="nil"/>
            </w:tcBorders>
            <w:shd w:val="clear" w:color="000000" w:fill="FFFFFF"/>
            <w:noWrap/>
            <w:vAlign w:val="bottom"/>
            <w:hideMark/>
          </w:tcPr>
          <w:p w:rsidR="00AE5E20" w:rsidRDefault="00AE5E20" w:rsidP="007E2F86">
            <w:pPr>
              <w:jc w:val="center"/>
              <w:rPr>
                <w:rFonts w:ascii="Arial" w:hAnsi="Arial" w:cs="Arial"/>
                <w:b/>
                <w:bCs/>
                <w:szCs w:val="24"/>
              </w:rPr>
            </w:pPr>
            <w:bookmarkStart w:id="8" w:name="RANGE!A1:H53"/>
            <w:r>
              <w:rPr>
                <w:rFonts w:ascii="Arial" w:hAnsi="Arial" w:cs="Arial"/>
                <w:b/>
                <w:bCs/>
              </w:rPr>
              <w:lastRenderedPageBreak/>
              <w:t>Commerce and Works Directorate</w:t>
            </w:r>
            <w:bookmarkEnd w:id="8"/>
          </w:p>
        </w:tc>
      </w:tr>
      <w:tr w:rsidR="00AE5E20" w:rsidTr="007E2F86">
        <w:trPr>
          <w:tblHeader/>
        </w:trPr>
        <w:tc>
          <w:tcPr>
            <w:tcW w:w="9392" w:type="dxa"/>
            <w:gridSpan w:val="8"/>
            <w:tcBorders>
              <w:top w:val="nil"/>
              <w:left w:val="nil"/>
              <w:bottom w:val="nil"/>
              <w:right w:val="nil"/>
            </w:tcBorders>
            <w:shd w:val="clear" w:color="000000" w:fill="FFFFFF"/>
            <w:noWrap/>
            <w:vAlign w:val="bottom"/>
            <w:hideMark/>
          </w:tcPr>
          <w:p w:rsidR="00AE5E20" w:rsidRDefault="00AE5E20" w:rsidP="007E2F86">
            <w:pPr>
              <w:jc w:val="center"/>
              <w:rPr>
                <w:rFonts w:ascii="Arial" w:hAnsi="Arial" w:cs="Arial"/>
                <w:b/>
                <w:bCs/>
                <w:szCs w:val="24"/>
              </w:rPr>
            </w:pPr>
            <w:r>
              <w:rPr>
                <w:rFonts w:ascii="Arial" w:hAnsi="Arial" w:cs="Arial"/>
                <w:b/>
                <w:bCs/>
              </w:rPr>
              <w:t>Statement of Cash Flows on Behalf of the Territory</w:t>
            </w:r>
          </w:p>
        </w:tc>
      </w:tr>
      <w:tr w:rsidR="00AE5E20" w:rsidTr="007E2F86">
        <w:trPr>
          <w:tblHeader/>
        </w:trPr>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hideMark/>
          </w:tcPr>
          <w:p w:rsidR="00AE5E20" w:rsidRDefault="00AE5E20"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2016-17</w:t>
            </w:r>
          </w:p>
        </w:tc>
      </w:tr>
      <w:tr w:rsidR="00AE5E20" w:rsidTr="007E2F86">
        <w:trPr>
          <w:tblHeader/>
        </w:trPr>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AE5E20" w:rsidRDefault="00AE5E20" w:rsidP="007E2F8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Estimate</w:t>
            </w:r>
          </w:p>
        </w:tc>
      </w:tr>
      <w:tr w:rsidR="00AE5E20" w:rsidTr="007E2F86">
        <w:trPr>
          <w:tblHeader/>
        </w:trPr>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AE5E20" w:rsidRDefault="00AE5E20"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AE5E20" w:rsidRDefault="00AE5E20" w:rsidP="007E2F86">
            <w:pPr>
              <w:ind w:left="-283"/>
              <w:jc w:val="right"/>
              <w:rPr>
                <w:b/>
                <w:bCs/>
                <w:sz w:val="18"/>
                <w:szCs w:val="18"/>
              </w:rPr>
            </w:pPr>
            <w:r>
              <w:rPr>
                <w:b/>
                <w:bCs/>
                <w:sz w:val="18"/>
                <w:szCs w:val="18"/>
              </w:rPr>
              <w:t>$'000</w:t>
            </w:r>
          </w:p>
        </w:tc>
      </w:tr>
      <w:tr w:rsidR="00AE5E20" w:rsidRPr="0073317D" w:rsidTr="007E2F86">
        <w:trPr>
          <w:tblHeader/>
        </w:trPr>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sz w:val="6"/>
                <w:szCs w:val="6"/>
              </w:rPr>
            </w:pPr>
            <w:r w:rsidRPr="0073317D">
              <w:rPr>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E5E20" w:rsidRDefault="00AE5E20" w:rsidP="007E2F86">
            <w:pPr>
              <w:rPr>
                <w:sz w:val="18"/>
                <w:szCs w:val="18"/>
              </w:rPr>
            </w:pPr>
            <w:r>
              <w:rPr>
                <w:b/>
                <w:bCs/>
                <w:sz w:val="18"/>
                <w:szCs w:val="18"/>
              </w:rPr>
              <w:t>CASH FLOWS FROM OPERATING ACTIVITIES</w:t>
            </w: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12,138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13,065</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8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9,187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8,980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8,768</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562,670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1,136,356</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1,211,839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1,288,089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1,404,180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52,718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92,046</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75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97,583</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131,074</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95,637</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627,526</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1,241,467</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98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1,318,609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1,428,143</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1,508,585</w:t>
            </w:r>
          </w:p>
        </w:tc>
      </w:tr>
      <w:tr w:rsidR="00AE5E20" w:rsidRPr="0073317D" w:rsidTr="007E2F86">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b/>
                <w:bCs/>
                <w:sz w:val="6"/>
                <w:szCs w:val="6"/>
              </w:rPr>
            </w:pPr>
            <w:r w:rsidRPr="0073317D">
              <w:rPr>
                <w:b/>
                <w:bCs/>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Related to Supplies and</w:t>
            </w:r>
            <w:r>
              <w:rPr>
                <w:sz w:val="18"/>
                <w:szCs w:val="18"/>
              </w:rPr>
              <w:br/>
              <w:t xml:space="preserve">   Services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3,432</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15</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15</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Grants and Purchased Services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12,301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12,830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8,952</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8,745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8,533</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535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903</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69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911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911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911</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517,869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1,229,949</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138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1,310,961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1,420,702</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1,501,356</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534,137</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1,243,697</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133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1,320,839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1,430,373</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1,510,815</w:t>
            </w:r>
          </w:p>
        </w:tc>
      </w:tr>
      <w:tr w:rsidR="00AE5E20" w:rsidRPr="0073317D" w:rsidTr="007E2F86">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sz w:val="6"/>
                <w:szCs w:val="6"/>
              </w:rPr>
            </w:pPr>
            <w:r w:rsidRPr="0073317D">
              <w:rPr>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93,389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-102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r>
      <w:tr w:rsidR="00AE5E20" w:rsidRPr="0073317D" w:rsidTr="007E2F86">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b/>
                <w:bCs/>
                <w:sz w:val="6"/>
                <w:szCs w:val="6"/>
              </w:rPr>
            </w:pPr>
            <w:r w:rsidRPr="0073317D">
              <w:rPr>
                <w:b/>
                <w:bCs/>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color w:val="0000FF"/>
                <w:sz w:val="6"/>
                <w:szCs w:val="6"/>
              </w:rPr>
            </w:pPr>
            <w:r w:rsidRPr="0073317D">
              <w:rPr>
                <w:color w:val="0000FF"/>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CASH FLOWS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RPr="0073317D" w:rsidTr="007E2F86">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b/>
                <w:bCs/>
                <w:sz w:val="6"/>
                <w:szCs w:val="6"/>
              </w:rPr>
            </w:pPr>
            <w:r w:rsidRPr="0073317D">
              <w:rPr>
                <w:b/>
                <w:bCs/>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Proceeds from Sale of</w:t>
            </w:r>
            <w:r>
              <w:rPr>
                <w:sz w:val="18"/>
                <w:szCs w:val="18"/>
              </w:rPr>
              <w:br/>
              <w:t xml:space="preserve">   Property, Plant</w:t>
            </w:r>
            <w:r>
              <w:rPr>
                <w:sz w:val="18"/>
                <w:szCs w:val="18"/>
              </w:rPr>
              <w:br/>
              <w:t xml:space="preserve">   and Equipment</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Investing 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w:t>
            </w:r>
          </w:p>
        </w:tc>
      </w:tr>
      <w:tr w:rsidR="00AE5E20" w:rsidRPr="0073317D" w:rsidTr="007E2F86">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b/>
                <w:bCs/>
                <w:sz w:val="6"/>
                <w:szCs w:val="6"/>
              </w:rPr>
            </w:pPr>
            <w:r w:rsidRPr="0073317D">
              <w:rPr>
                <w:b/>
                <w:bCs/>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color w:val="0000FF"/>
                <w:sz w:val="18"/>
                <w:szCs w:val="18"/>
              </w:rPr>
            </w:pPr>
            <w:r>
              <w:rPr>
                <w:color w:val="0000FF"/>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Purchase of Property, Plant</w:t>
            </w:r>
            <w:r>
              <w:rPr>
                <w:sz w:val="18"/>
                <w:szCs w:val="18"/>
              </w:rPr>
              <w:br/>
              <w:t xml:space="preserve">   and Equipment and</w:t>
            </w:r>
            <w:r>
              <w:rPr>
                <w:sz w:val="18"/>
                <w:szCs w:val="18"/>
              </w:rPr>
              <w:br/>
              <w:t xml:space="preserve">   Capital Works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95,291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Investing Payments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95,291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22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rPr>
                <w:b/>
                <w:bCs/>
                <w:sz w:val="18"/>
                <w:szCs w:val="18"/>
              </w:rPr>
            </w:pPr>
            <w:r>
              <w:rPr>
                <w:b/>
                <w:bCs/>
                <w:sz w:val="18"/>
                <w:szCs w:val="18"/>
              </w:rPr>
              <w:t>NET CASH INFLOW/</w:t>
            </w:r>
            <w:r>
              <w:rPr>
                <w:b/>
                <w:bCs/>
                <w:sz w:val="18"/>
                <w:szCs w:val="18"/>
              </w:rPr>
              <w:br/>
              <w:t xml:space="preserve">   (OUTFLOW) FROM</w:t>
            </w:r>
            <w:r>
              <w:rPr>
                <w:b/>
                <w:bCs/>
                <w:sz w:val="18"/>
                <w:szCs w:val="18"/>
              </w:rPr>
              <w:br/>
              <w:t xml:space="preserve">   INVESTING ACTIVITIES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-95,291</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-114,070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-20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-20,070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-20,070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-20,070</w:t>
            </w:r>
          </w:p>
        </w:tc>
      </w:tr>
      <w:tr w:rsidR="00AE5E20" w:rsidRPr="0073317D" w:rsidTr="007E2F86">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2392" w:type="dxa"/>
            <w:tcBorders>
              <w:top w:val="nil"/>
              <w:left w:val="nil"/>
              <w:bottom w:val="nil"/>
              <w:right w:val="nil"/>
            </w:tcBorders>
            <w:shd w:val="clear" w:color="000000" w:fill="FFFFFF"/>
            <w:noWrap/>
            <w:hideMark/>
          </w:tcPr>
          <w:p w:rsidR="00AE5E20" w:rsidRPr="0073317D" w:rsidRDefault="00AE5E20" w:rsidP="007E2F86">
            <w:pPr>
              <w:rPr>
                <w:b/>
                <w:bCs/>
                <w:sz w:val="6"/>
                <w:szCs w:val="6"/>
              </w:rPr>
            </w:pPr>
            <w:r w:rsidRPr="0073317D">
              <w:rPr>
                <w:b/>
                <w:bCs/>
                <w:sz w:val="6"/>
                <w:szCs w:val="6"/>
              </w:rPr>
              <w:t> </w:t>
            </w:r>
          </w:p>
        </w:tc>
        <w:tc>
          <w:tcPr>
            <w:tcW w:w="1106" w:type="dxa"/>
            <w:tcBorders>
              <w:top w:val="nil"/>
              <w:left w:val="nil"/>
              <w:bottom w:val="nil"/>
              <w:right w:val="nil"/>
            </w:tcBorders>
            <w:shd w:val="clear" w:color="000000" w:fill="FFFFFF"/>
            <w:noWrap/>
            <w:hideMark/>
          </w:tcPr>
          <w:p w:rsidR="00AE5E20" w:rsidRPr="0073317D" w:rsidRDefault="00AE5E20" w:rsidP="007E2F86">
            <w:pPr>
              <w:ind w:left="-283"/>
              <w:jc w:val="right"/>
              <w:rPr>
                <w:b/>
                <w:bCs/>
                <w:sz w:val="6"/>
                <w:szCs w:val="6"/>
              </w:rPr>
            </w:pPr>
            <w:r w:rsidRPr="0073317D">
              <w:rPr>
                <w:b/>
                <w:bCs/>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62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c>
          <w:tcPr>
            <w:tcW w:w="1054" w:type="dxa"/>
            <w:tcBorders>
              <w:top w:val="nil"/>
              <w:left w:val="nil"/>
              <w:bottom w:val="nil"/>
              <w:right w:val="nil"/>
            </w:tcBorders>
            <w:shd w:val="clear" w:color="000000" w:fill="FFFFFF"/>
            <w:noWrap/>
            <w:hideMark/>
          </w:tcPr>
          <w:p w:rsidR="00AE5E20" w:rsidRPr="0073317D" w:rsidRDefault="00AE5E20" w:rsidP="007E2F86">
            <w:pPr>
              <w:ind w:left="-283"/>
              <w:jc w:val="right"/>
              <w:rPr>
                <w:sz w:val="6"/>
                <w:szCs w:val="6"/>
              </w:rPr>
            </w:pPr>
            <w:r w:rsidRPr="0073317D">
              <w:rPr>
                <w:sz w:val="6"/>
                <w:szCs w:val="6"/>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AE5E20" w:rsidRDefault="00AE5E20" w:rsidP="007E2F86">
            <w:pPr>
              <w:rPr>
                <w:sz w:val="18"/>
                <w:szCs w:val="18"/>
              </w:rPr>
            </w:pPr>
            <w:r>
              <w:rPr>
                <w:b/>
                <w:bCs/>
                <w:sz w:val="18"/>
                <w:szCs w:val="18"/>
              </w:rPr>
              <w:t>CASH FLOWS FROM FINANCING ACTIVITIES</w:t>
            </w:r>
            <w:r>
              <w:rPr>
                <w:sz w:val="18"/>
                <w:szCs w:val="18"/>
              </w:rPr>
              <w:t xml:space="preserve">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Capital Injections from</w:t>
            </w:r>
            <w:r>
              <w:rPr>
                <w:sz w:val="18"/>
                <w:szCs w:val="18"/>
              </w:rPr>
              <w:br/>
              <w:t xml:space="preserve">   Government</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95,539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22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Receipt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42,369</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Financing Receipts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137,908</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-16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AE5E20" w:rsidRDefault="00AE5E20" w:rsidP="007E2F86">
            <w:pPr>
              <w:rPr>
                <w:sz w:val="18"/>
                <w:szCs w:val="18"/>
              </w:rPr>
            </w:pPr>
            <w:r>
              <w:rPr>
                <w:sz w:val="18"/>
                <w:szCs w:val="18"/>
              </w:rPr>
              <w:t>Payment of Transferred</w:t>
            </w:r>
            <w:r>
              <w:rPr>
                <w:sz w:val="18"/>
                <w:szCs w:val="18"/>
              </w:rPr>
              <w:br/>
              <w:t xml:space="preserve">   Cash Balances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27,965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sz w:val="18"/>
                <w:szCs w:val="18"/>
              </w:rPr>
            </w:pPr>
            <w:r>
              <w:rPr>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AE5E20" w:rsidRDefault="00AE5E20" w:rsidP="007E2F86">
            <w:pPr>
              <w:rPr>
                <w:b/>
                <w:bCs/>
                <w:sz w:val="18"/>
                <w:szCs w:val="18"/>
              </w:rPr>
            </w:pPr>
            <w:r>
              <w:rPr>
                <w:b/>
                <w:bCs/>
                <w:sz w:val="18"/>
                <w:szCs w:val="18"/>
              </w:rPr>
              <w:t>Financing Payments</w:t>
            </w:r>
          </w:p>
        </w:tc>
        <w:tc>
          <w:tcPr>
            <w:tcW w:w="1106"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27,965</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ind w:left="-283"/>
              <w:jc w:val="right"/>
              <w:rPr>
                <w:b/>
                <w:bCs/>
                <w:sz w:val="18"/>
                <w:szCs w:val="18"/>
              </w:rPr>
            </w:pPr>
            <w:r>
              <w:rPr>
                <w:b/>
                <w:bCs/>
                <w:sz w:val="18"/>
                <w:szCs w:val="18"/>
              </w:rPr>
              <w:t>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spacing w:before="60"/>
              <w:rPr>
                <w:b/>
                <w:bCs/>
                <w:sz w:val="18"/>
                <w:szCs w:val="18"/>
              </w:rPr>
            </w:pPr>
            <w:r>
              <w:rPr>
                <w:b/>
                <w:bCs/>
                <w:sz w:val="18"/>
                <w:szCs w:val="18"/>
              </w:rPr>
              <w:t>NET CASH INFLOW/</w:t>
            </w:r>
            <w:r>
              <w:rPr>
                <w:b/>
                <w:bCs/>
                <w:sz w:val="18"/>
                <w:szCs w:val="18"/>
              </w:rPr>
              <w:br/>
              <w:t xml:space="preserve">   (OUTFLOW) FROM</w:t>
            </w:r>
            <w:r>
              <w:rPr>
                <w:b/>
                <w:bCs/>
                <w:sz w:val="18"/>
                <w:szCs w:val="18"/>
              </w:rPr>
              <w:br/>
              <w:t xml:space="preserve">   FINANCING ACTIVITIES</w:t>
            </w:r>
          </w:p>
        </w:tc>
        <w:tc>
          <w:tcPr>
            <w:tcW w:w="1106"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109,943</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116,300</w:t>
            </w:r>
          </w:p>
        </w:tc>
        <w:tc>
          <w:tcPr>
            <w:tcW w:w="62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 xml:space="preserve">6 </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22,300</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22,300</w:t>
            </w:r>
          </w:p>
        </w:tc>
      </w:tr>
      <w:tr w:rsidR="00AE5E20" w:rsidTr="007E2F86">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AE5E20" w:rsidRDefault="00AE5E20" w:rsidP="007E2F86">
            <w:pPr>
              <w:spacing w:before="60"/>
              <w:rPr>
                <w:b/>
                <w:bCs/>
                <w:sz w:val="18"/>
                <w:szCs w:val="18"/>
              </w:rPr>
            </w:pPr>
            <w:r>
              <w:rPr>
                <w:b/>
                <w:bCs/>
                <w:sz w:val="18"/>
                <w:szCs w:val="18"/>
              </w:rPr>
              <w:t>NET INCREASE / (DECREASE)</w:t>
            </w:r>
            <w:r>
              <w:rPr>
                <w:b/>
                <w:bCs/>
                <w:sz w:val="18"/>
                <w:szCs w:val="18"/>
              </w:rPr>
              <w:br/>
              <w:t xml:space="preserve">   IN CASH HELD</w:t>
            </w:r>
          </w:p>
        </w:tc>
        <w:tc>
          <w:tcPr>
            <w:tcW w:w="1106"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 xml:space="preserve">-100 </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r>
      <w:tr w:rsidR="00AE5E20" w:rsidTr="007E2F86">
        <w:tc>
          <w:tcPr>
            <w:tcW w:w="1054"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2392" w:type="dxa"/>
            <w:tcBorders>
              <w:top w:val="nil"/>
              <w:left w:val="nil"/>
              <w:right w:val="nil"/>
            </w:tcBorders>
            <w:shd w:val="clear" w:color="000000" w:fill="FFFFFF"/>
            <w:hideMark/>
          </w:tcPr>
          <w:p w:rsidR="00AE5E20" w:rsidRDefault="00AE5E20" w:rsidP="007E2F86">
            <w:pPr>
              <w:spacing w:before="60"/>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1054"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624"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 xml:space="preserve"># </w:t>
            </w:r>
          </w:p>
        </w:tc>
        <w:tc>
          <w:tcPr>
            <w:tcW w:w="1054"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1054"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1054" w:type="dxa"/>
            <w:tcBorders>
              <w:top w:val="nil"/>
              <w:left w:val="nil"/>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r>
      <w:tr w:rsidR="00AE5E20" w:rsidTr="007E2F86">
        <w:tc>
          <w:tcPr>
            <w:tcW w:w="1054"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0</w:t>
            </w:r>
          </w:p>
        </w:tc>
        <w:tc>
          <w:tcPr>
            <w:tcW w:w="2392" w:type="dxa"/>
            <w:tcBorders>
              <w:top w:val="nil"/>
              <w:left w:val="nil"/>
              <w:bottom w:val="single" w:sz="4" w:space="0" w:color="auto"/>
              <w:right w:val="nil"/>
            </w:tcBorders>
            <w:shd w:val="clear" w:color="000000" w:fill="FFFFFF"/>
            <w:hideMark/>
          </w:tcPr>
          <w:p w:rsidR="00AE5E20" w:rsidRDefault="00AE5E20" w:rsidP="007E2F86">
            <w:pPr>
              <w:spacing w:before="60"/>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1054"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624"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 xml:space="preserve">- </w:t>
            </w:r>
          </w:p>
        </w:tc>
        <w:tc>
          <w:tcPr>
            <w:tcW w:w="1054"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1054"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c>
          <w:tcPr>
            <w:tcW w:w="1054" w:type="dxa"/>
            <w:tcBorders>
              <w:top w:val="nil"/>
              <w:left w:val="nil"/>
              <w:bottom w:val="single" w:sz="4" w:space="0" w:color="auto"/>
              <w:right w:val="nil"/>
            </w:tcBorders>
            <w:shd w:val="clear" w:color="000000" w:fill="FFFFFF"/>
            <w:noWrap/>
            <w:hideMark/>
          </w:tcPr>
          <w:p w:rsidR="00AE5E20" w:rsidRDefault="00AE5E20" w:rsidP="007E2F86">
            <w:pPr>
              <w:spacing w:before="60"/>
              <w:ind w:left="-283"/>
              <w:jc w:val="right"/>
              <w:rPr>
                <w:b/>
                <w:bCs/>
                <w:sz w:val="18"/>
                <w:szCs w:val="18"/>
              </w:rPr>
            </w:pPr>
            <w:r>
              <w:rPr>
                <w:b/>
                <w:bCs/>
                <w:sz w:val="18"/>
                <w:szCs w:val="18"/>
              </w:rPr>
              <w:t>108,041</w:t>
            </w:r>
          </w:p>
        </w:tc>
      </w:tr>
    </w:tbl>
    <w:p w:rsidR="00AE5E20" w:rsidRPr="007B33F2" w:rsidRDefault="00AE5E20" w:rsidP="00AE5E20">
      <w:pPr>
        <w:pStyle w:val="Heading3"/>
      </w:pPr>
      <w:r w:rsidRPr="007B33F2">
        <w:lastRenderedPageBreak/>
        <w:t>Notes to the Budget Statements</w:t>
      </w:r>
      <w:r>
        <w:t xml:space="preserve"> on Behalf of the Territory</w:t>
      </w:r>
    </w:p>
    <w:p w:rsidR="00AE5E20" w:rsidRDefault="00AE5E20" w:rsidP="00AE5E20">
      <w:pPr>
        <w:pStyle w:val="BodyText"/>
      </w:pPr>
      <w:r w:rsidRPr="007B33F2">
        <w:t>Significant variations are as follows:</w:t>
      </w:r>
    </w:p>
    <w:p w:rsidR="00AE5E20" w:rsidRPr="00B90076" w:rsidRDefault="00AE5E20" w:rsidP="00AE5E20">
      <w:pPr>
        <w:pStyle w:val="Heading4"/>
      </w:pPr>
      <w:r w:rsidRPr="00B90076">
        <w:t>Statement of Income and Expenses on Behalf of the Territory</w:t>
      </w:r>
    </w:p>
    <w:p w:rsidR="00AE5E20" w:rsidRPr="00B90076" w:rsidRDefault="00AE5E20" w:rsidP="00AE5E20">
      <w:pPr>
        <w:pStyle w:val="BodyTextIndent"/>
        <w:numPr>
          <w:ilvl w:val="0"/>
          <w:numId w:val="11"/>
        </w:numPr>
      </w:pPr>
      <w:r>
        <w:t>p</w:t>
      </w:r>
      <w:r w:rsidRPr="00B90076">
        <w:t xml:space="preserve">ayment for </w:t>
      </w:r>
      <w:r>
        <w:t>e</w:t>
      </w:r>
      <w:r w:rsidRPr="00B90076">
        <w:t xml:space="preserve">xpenses on behalf of </w:t>
      </w:r>
      <w:r>
        <w:t xml:space="preserve">the </w:t>
      </w:r>
      <w:r w:rsidRPr="00B90076">
        <w:t xml:space="preserve">Territory:   </w:t>
      </w:r>
    </w:p>
    <w:p w:rsidR="00AE5E20" w:rsidRPr="00B90076" w:rsidRDefault="00AE5E20" w:rsidP="00AE5E20">
      <w:pPr>
        <w:pStyle w:val="BodyTextIndent2"/>
      </w:pPr>
      <w:r w:rsidRPr="00B90076">
        <w:t xml:space="preserve">the increase of $12.138 million in the 2012-13 estimated outcome from the original budget is </w:t>
      </w:r>
      <w:r>
        <w:t xml:space="preserve">mainly </w:t>
      </w:r>
      <w:r w:rsidRPr="00B90076">
        <w:t>due to the transfer of funds from the former Treasury Directorate</w:t>
      </w:r>
      <w:r>
        <w:t xml:space="preserve"> ($9.925 million) and the transfer of Land Rent Purchase funds to the First Home Owner Grant ($2.5 million)</w:t>
      </w:r>
      <w:r w:rsidRPr="00B90076">
        <w:t xml:space="preserve">; and </w:t>
      </w:r>
    </w:p>
    <w:p w:rsidR="00AE5E20" w:rsidRPr="00B90076" w:rsidRDefault="00AE5E20" w:rsidP="00AE5E20">
      <w:pPr>
        <w:pStyle w:val="BodyTextIndent2"/>
      </w:pPr>
      <w:r w:rsidRPr="00B90076">
        <w:t xml:space="preserve">the increase of $0.927 million in the 2013-14 Budget from the 2012-13 estimated outcome is mainly due to </w:t>
      </w:r>
      <w:r>
        <w:t>the full year e</w:t>
      </w:r>
      <w:r w:rsidRPr="00B90076">
        <w:t xml:space="preserve">ffect of the transfer </w:t>
      </w:r>
      <w:r w:rsidR="00442C69">
        <w:t>of</w:t>
      </w:r>
      <w:r w:rsidRPr="00B90076">
        <w:t xml:space="preserve"> the former Treasury Directorate </w:t>
      </w:r>
      <w:r w:rsidR="00442C69">
        <w:t xml:space="preserve">functions </w:t>
      </w:r>
      <w:r w:rsidRPr="00B90076">
        <w:t>($</w:t>
      </w:r>
      <w:r>
        <w:t>7.535 </w:t>
      </w:r>
      <w:r w:rsidRPr="00B90076">
        <w:t>million)</w:t>
      </w:r>
      <w:r>
        <w:t>, partially</w:t>
      </w:r>
      <w:r w:rsidRPr="00B90076">
        <w:t xml:space="preserve"> offset by </w:t>
      </w:r>
      <w:r>
        <w:t>the effect of the transfer of land rent to the First Home Owner Grant</w:t>
      </w:r>
      <w:r w:rsidRPr="00B90076">
        <w:t xml:space="preserve"> </w:t>
      </w:r>
      <w:r>
        <w:t xml:space="preserve">($2.5 million) and </w:t>
      </w:r>
      <w:r w:rsidR="00EC4C21">
        <w:t>the savings from re</w:t>
      </w:r>
      <w:r w:rsidR="00EC4C21">
        <w:noBreakHyphen/>
      </w:r>
      <w:proofErr w:type="spellStart"/>
      <w:r w:rsidRPr="00B90076">
        <w:t>targeting</w:t>
      </w:r>
      <w:proofErr w:type="spellEnd"/>
      <w:r w:rsidRPr="00B90076">
        <w:t xml:space="preserve"> of First Home Buyer Grant ($4.398</w:t>
      </w:r>
      <w:r>
        <w:t> </w:t>
      </w:r>
      <w:r w:rsidRPr="00B90076">
        <w:t>m</w:t>
      </w:r>
      <w:r>
        <w:t>illion</w:t>
      </w:r>
      <w:r w:rsidRPr="00B90076">
        <w:t>).</w:t>
      </w:r>
    </w:p>
    <w:p w:rsidR="00AE5E20" w:rsidRPr="00B90076" w:rsidRDefault="00AE5E20" w:rsidP="00AE5E20">
      <w:pPr>
        <w:pStyle w:val="BodyTextIndent2"/>
        <w:numPr>
          <w:ilvl w:val="0"/>
          <w:numId w:val="11"/>
        </w:numPr>
      </w:pPr>
      <w:r>
        <w:t>t</w:t>
      </w:r>
      <w:r w:rsidRPr="00B90076">
        <w:t xml:space="preserve">axes, </w:t>
      </w:r>
      <w:r>
        <w:t>f</w:t>
      </w:r>
      <w:r w:rsidRPr="00B90076">
        <w:t xml:space="preserve">ees and </w:t>
      </w:r>
      <w:r>
        <w:t>f</w:t>
      </w:r>
      <w:r w:rsidRPr="00B90076">
        <w:t>ines:</w:t>
      </w:r>
    </w:p>
    <w:p w:rsidR="00AE5E20" w:rsidRPr="00B90076" w:rsidRDefault="00AE5E20" w:rsidP="00AE5E20">
      <w:pPr>
        <w:pStyle w:val="BodyTextIndent2"/>
      </w:pPr>
      <w:r w:rsidRPr="00B90076">
        <w:t xml:space="preserve">the increase of $520.111 million in the 2012-13 estimated outcome from the original budget is due to the transfer of </w:t>
      </w:r>
      <w:r w:rsidR="00442C69">
        <w:t xml:space="preserve">functions </w:t>
      </w:r>
      <w:r w:rsidRPr="00B90076">
        <w:t xml:space="preserve">from </w:t>
      </w:r>
      <w:r w:rsidR="00EC4C21">
        <w:t>the former Treasury Directorate</w:t>
      </w:r>
      <w:r w:rsidRPr="00B90076">
        <w:t xml:space="preserve">; and </w:t>
      </w:r>
    </w:p>
    <w:p w:rsidR="005A4AE4" w:rsidRPr="00B90076" w:rsidRDefault="005A4AE4" w:rsidP="005A4AE4">
      <w:pPr>
        <w:pStyle w:val="BodyTextIndent2"/>
      </w:pPr>
      <w:r w:rsidRPr="00B90076">
        <w:t xml:space="preserve">the increase of $691.411 million in the 2013-14 Budget from the 2012-13 estimated outcome is mainly due to the full year </w:t>
      </w:r>
      <w:r>
        <w:t>effect</w:t>
      </w:r>
      <w:r w:rsidRPr="00B90076">
        <w:t xml:space="preserve"> of the transfer </w:t>
      </w:r>
      <w:r w:rsidR="00442C69">
        <w:t xml:space="preserve">of functions </w:t>
      </w:r>
      <w:r w:rsidRPr="00B90076">
        <w:t xml:space="preserve">from the former Treasury Directorate and changes </w:t>
      </w:r>
      <w:r>
        <w:t xml:space="preserve">in </w:t>
      </w:r>
      <w:r w:rsidRPr="00B90076">
        <w:t>tax revenue</w:t>
      </w:r>
      <w:r>
        <w:t xml:space="preserve">s consisting of increases in </w:t>
      </w:r>
      <w:r w:rsidRPr="001158C9">
        <w:t>payroll tax</w:t>
      </w:r>
      <w:r>
        <w:t xml:space="preserve"> ($146.806 million)</w:t>
      </w:r>
      <w:r w:rsidRPr="001158C9">
        <w:t>, general rates</w:t>
      </w:r>
      <w:r>
        <w:t xml:space="preserve"> ($343.905 million)</w:t>
      </w:r>
      <w:r w:rsidRPr="001158C9">
        <w:t xml:space="preserve">, </w:t>
      </w:r>
      <w:r>
        <w:t>land tax ($32.096 million), conveyances ($85.366 million), general insurance ($6.239 million), motor vehicle registration duty ($9.411 million), ambulance levy ($6.8 million),</w:t>
      </w:r>
      <w:r w:rsidRPr="001158C9">
        <w:t xml:space="preserve"> </w:t>
      </w:r>
      <w:r>
        <w:t>Fire and Emergency Service Levy ($34.829 million) and income tax equivalent ($21.947 million).</w:t>
      </w:r>
    </w:p>
    <w:p w:rsidR="00AE5E20" w:rsidRPr="00B90076" w:rsidRDefault="00AE5E20" w:rsidP="00AE5E20">
      <w:pPr>
        <w:pStyle w:val="BodyTextIndent2"/>
        <w:numPr>
          <w:ilvl w:val="0"/>
          <w:numId w:val="11"/>
        </w:numPr>
      </w:pPr>
      <w:r>
        <w:t>land re</w:t>
      </w:r>
      <w:r w:rsidR="00661B5A">
        <w:t>venue</w:t>
      </w:r>
      <w:r w:rsidRPr="00B90076">
        <w:t>:</w:t>
      </w:r>
    </w:p>
    <w:p w:rsidR="00AE5E20" w:rsidRDefault="00AE5E20" w:rsidP="00AE5E20">
      <w:pPr>
        <w:pStyle w:val="BodyTextIndent2"/>
      </w:pPr>
      <w:r w:rsidRPr="00B90076">
        <w:t>the increase of $</w:t>
      </w:r>
      <w:r>
        <w:t>1.072</w:t>
      </w:r>
      <w:r w:rsidRPr="00B90076">
        <w:t> million in the 2012-13 estimated outcome from the original budget is due to the transfer</w:t>
      </w:r>
      <w:r w:rsidR="00442C69">
        <w:t xml:space="preserve"> of functions</w:t>
      </w:r>
      <w:r w:rsidRPr="00B90076">
        <w:t xml:space="preserve"> from the former Treasury Directorate; and</w:t>
      </w:r>
    </w:p>
    <w:p w:rsidR="00AE5E20" w:rsidRPr="00B90076" w:rsidRDefault="00AE5E20" w:rsidP="00AE5E20">
      <w:pPr>
        <w:pStyle w:val="BodyTextIndent2"/>
      </w:pPr>
      <w:proofErr w:type="gramStart"/>
      <w:r>
        <w:t>the</w:t>
      </w:r>
      <w:proofErr w:type="gramEnd"/>
      <w:r>
        <w:t xml:space="preserve"> increase of $9.455 million in the 2013-14 Budget from the 2012-13 estimated outcome is mainly due</w:t>
      </w:r>
      <w:r w:rsidRPr="004508CA">
        <w:t xml:space="preserve"> </w:t>
      </w:r>
      <w:r w:rsidRPr="00B90076">
        <w:t xml:space="preserve">to the full year </w:t>
      </w:r>
      <w:r>
        <w:t>effect</w:t>
      </w:r>
      <w:r w:rsidRPr="00B90076">
        <w:t xml:space="preserve"> of the transfer</w:t>
      </w:r>
      <w:r w:rsidR="00442C69">
        <w:t xml:space="preserve"> of functions</w:t>
      </w:r>
      <w:r w:rsidRPr="00B90076">
        <w:t xml:space="preserve"> from the former Treasury Directorate </w:t>
      </w:r>
      <w:r>
        <w:t>and rent received from an increased number of properties under the Land Rent Scheme.</w:t>
      </w:r>
    </w:p>
    <w:p w:rsidR="00AE5E20" w:rsidRPr="00594A35" w:rsidRDefault="00661B5A" w:rsidP="00AE5E20">
      <w:pPr>
        <w:pStyle w:val="BodyTextIndent"/>
        <w:numPr>
          <w:ilvl w:val="0"/>
          <w:numId w:val="11"/>
        </w:numPr>
      </w:pPr>
      <w:r>
        <w:t>grants and purchased s</w:t>
      </w:r>
      <w:r w:rsidR="00AE5E20">
        <w:t>ervices</w:t>
      </w:r>
      <w:r w:rsidR="00AE5E20" w:rsidRPr="00594A35">
        <w:t xml:space="preserve">:  </w:t>
      </w:r>
    </w:p>
    <w:p w:rsidR="00442C69" w:rsidRDefault="00AE5E20" w:rsidP="00AE5E20">
      <w:pPr>
        <w:pStyle w:val="BodyTextIndent2"/>
        <w:keepNext w:val="0"/>
        <w:keepLines w:val="0"/>
        <w:spacing w:after="100"/>
      </w:pPr>
      <w:r>
        <w:t xml:space="preserve">the increase of $13.019 </w:t>
      </w:r>
      <w:r w:rsidRPr="00594A35">
        <w:t xml:space="preserve">million in the 2012-13 estimated outcome from the original budget is mainly due to </w:t>
      </w:r>
      <w:r w:rsidRPr="00073450">
        <w:t xml:space="preserve">the </w:t>
      </w:r>
      <w:r>
        <w:t>transfer</w:t>
      </w:r>
      <w:r w:rsidR="00442C69">
        <w:t xml:space="preserve"> of functions</w:t>
      </w:r>
      <w:r>
        <w:t xml:space="preserve"> from the former Treasury Directorate and higher than expected take-up of </w:t>
      </w:r>
      <w:r w:rsidR="00661B5A">
        <w:t xml:space="preserve">the </w:t>
      </w:r>
      <w:r>
        <w:t>First Home Buyer Grant (FHOG)</w:t>
      </w:r>
      <w:r w:rsidRPr="00594A35">
        <w:t>; and</w:t>
      </w:r>
      <w:r w:rsidR="00442C69">
        <w:t xml:space="preserve"> </w:t>
      </w:r>
    </w:p>
    <w:p w:rsidR="00AE5E20" w:rsidRPr="00B90076" w:rsidRDefault="00AE5E20" w:rsidP="00AE5E20">
      <w:pPr>
        <w:pStyle w:val="BodyTextIndent2"/>
        <w:keepNext w:val="0"/>
        <w:keepLines w:val="0"/>
        <w:spacing w:after="100"/>
      </w:pPr>
      <w:proofErr w:type="gramStart"/>
      <w:r>
        <w:t>the</w:t>
      </w:r>
      <w:proofErr w:type="gramEnd"/>
      <w:r>
        <w:t xml:space="preserve"> de</w:t>
      </w:r>
      <w:r w:rsidRPr="00B90076">
        <w:t>crease of $0.</w:t>
      </w:r>
      <w:r>
        <w:t>189</w:t>
      </w:r>
      <w:r w:rsidRPr="00B90076">
        <w:t xml:space="preserve"> million in the 2013-14 Budget from the 2012-13 estimated outcome is mainly due to the savings from re-targeting </w:t>
      </w:r>
      <w:r>
        <w:t>of FHOG</w:t>
      </w:r>
      <w:r w:rsidRPr="00B90076">
        <w:t xml:space="preserve"> ($4.398</w:t>
      </w:r>
      <w:r>
        <w:t xml:space="preserve"> </w:t>
      </w:r>
      <w:r w:rsidRPr="00B90076">
        <w:t>m</w:t>
      </w:r>
      <w:r>
        <w:t>illion</w:t>
      </w:r>
      <w:r w:rsidRPr="00B90076">
        <w:t>)</w:t>
      </w:r>
      <w:r>
        <w:t xml:space="preserve"> offset by </w:t>
      </w:r>
      <w:r w:rsidRPr="00B90076">
        <w:t xml:space="preserve">the full year </w:t>
      </w:r>
      <w:r>
        <w:t>effect</w:t>
      </w:r>
      <w:r w:rsidRPr="00B90076">
        <w:t xml:space="preserve"> of the transfer </w:t>
      </w:r>
      <w:r w:rsidR="00442C69">
        <w:t xml:space="preserve">of functions </w:t>
      </w:r>
      <w:r w:rsidRPr="00B90076">
        <w:t xml:space="preserve">from the former Treasury Directorate </w:t>
      </w:r>
      <w:r>
        <w:t>($4.206 million).</w:t>
      </w:r>
    </w:p>
    <w:p w:rsidR="00AE5E20" w:rsidRDefault="00AE5E20" w:rsidP="00AE5E20">
      <w:pPr>
        <w:pStyle w:val="BodyTextIndent"/>
        <w:numPr>
          <w:ilvl w:val="0"/>
          <w:numId w:val="11"/>
        </w:numPr>
      </w:pPr>
      <w:proofErr w:type="gramStart"/>
      <w:r>
        <w:lastRenderedPageBreak/>
        <w:t>other</w:t>
      </w:r>
      <w:proofErr w:type="gramEnd"/>
      <w:r>
        <w:t xml:space="preserve"> expenses</w:t>
      </w:r>
      <w:r w:rsidRPr="00594A35">
        <w:t xml:space="preserve">: </w:t>
      </w:r>
      <w:r w:rsidR="00442C69">
        <w:t xml:space="preserve"> </w:t>
      </w:r>
      <w:r>
        <w:t>the increase of $5.553 million in the 2012-13 estimated outcome from the original budget is mainly due to</w:t>
      </w:r>
      <w:r w:rsidRPr="00594A35">
        <w:t xml:space="preserve"> </w:t>
      </w:r>
      <w:r>
        <w:t>the transfer</w:t>
      </w:r>
      <w:r w:rsidR="00442C69">
        <w:t xml:space="preserve"> of functions</w:t>
      </w:r>
      <w:r>
        <w:t xml:space="preserve"> from </w:t>
      </w:r>
      <w:r w:rsidR="00442C69">
        <w:t xml:space="preserve">the former Treasury Directorate, </w:t>
      </w:r>
      <w:r>
        <w:t>including a large impairment loss ($1.809 million) and  a one-off waiver in 2012-13 ($1.601 million).</w:t>
      </w:r>
    </w:p>
    <w:p w:rsidR="005A4AE4" w:rsidRPr="001066EC" w:rsidRDefault="005A4AE4" w:rsidP="005A4AE4">
      <w:pPr>
        <w:pStyle w:val="BodyTextIndent2"/>
        <w:numPr>
          <w:ilvl w:val="0"/>
          <w:numId w:val="39"/>
        </w:numPr>
      </w:pPr>
      <w:proofErr w:type="gramStart"/>
      <w:r>
        <w:t>transfer</w:t>
      </w:r>
      <w:proofErr w:type="gramEnd"/>
      <w:r>
        <w:t xml:space="preserve"> expenses: </w:t>
      </w:r>
      <w:r w:rsidR="00442C69">
        <w:t xml:space="preserve"> </w:t>
      </w:r>
      <w:r>
        <w:t>the increase of $514.932</w:t>
      </w:r>
      <w:r w:rsidRPr="001066EC">
        <w:t xml:space="preserve"> million in the 2012-13 estimated outcome </w:t>
      </w:r>
      <w:r>
        <w:t xml:space="preserve">from the original budget </w:t>
      </w:r>
      <w:r w:rsidRPr="001066EC">
        <w:t>is due to</w:t>
      </w:r>
      <w:r>
        <w:t xml:space="preserve"> the transfer</w:t>
      </w:r>
      <w:r w:rsidR="00442C69">
        <w:t xml:space="preserve"> of functions</w:t>
      </w:r>
      <w:r>
        <w:t xml:space="preserve"> from the former Treasury Directorate, and the increase of $704.743 million in 2013-14 Budget from the 2012-13 estimated outcome is due to the full year effect of the transfer and </w:t>
      </w:r>
      <w:r w:rsidRPr="00B90076">
        <w:t>changes of tax revenue</w:t>
      </w:r>
      <w:r>
        <w:t>s</w:t>
      </w:r>
      <w:r w:rsidRPr="001066EC">
        <w:t>.</w:t>
      </w:r>
    </w:p>
    <w:p w:rsidR="00AE5E20" w:rsidRPr="00B90076" w:rsidRDefault="00AE5E20" w:rsidP="00AE5E20">
      <w:pPr>
        <w:pStyle w:val="Heading4"/>
      </w:pPr>
      <w:r w:rsidRPr="00B90076">
        <w:t xml:space="preserve">Statement of </w:t>
      </w:r>
      <w:r>
        <w:t xml:space="preserve">Assets and Liabilities on </w:t>
      </w:r>
      <w:r w:rsidR="00661B5A">
        <w:t>B</w:t>
      </w:r>
      <w:r>
        <w:t>ehalf of the Territory</w:t>
      </w:r>
    </w:p>
    <w:p w:rsidR="00AE5E20" w:rsidRDefault="00AE5E20" w:rsidP="00AE5E20">
      <w:pPr>
        <w:pStyle w:val="BodyTextIndent2"/>
        <w:numPr>
          <w:ilvl w:val="0"/>
          <w:numId w:val="11"/>
        </w:numPr>
      </w:pPr>
      <w:proofErr w:type="gramStart"/>
      <w:r>
        <w:t>cash</w:t>
      </w:r>
      <w:proofErr w:type="gramEnd"/>
      <w:r>
        <w:t xml:space="preserve"> and cash equivalents: </w:t>
      </w:r>
      <w:r w:rsidR="00442C69">
        <w:t xml:space="preserve"> </w:t>
      </w:r>
      <w:r>
        <w:t>the increase of $108.041</w:t>
      </w:r>
      <w:r w:rsidRPr="00594A35">
        <w:t> million in the 2012-13 estimated outcome from the origin</w:t>
      </w:r>
      <w:r>
        <w:t xml:space="preserve">al budget is due to </w:t>
      </w:r>
      <w:r w:rsidRPr="00073450">
        <w:t xml:space="preserve">the </w:t>
      </w:r>
      <w:r>
        <w:t xml:space="preserve">transfer </w:t>
      </w:r>
      <w:r w:rsidR="00442C69">
        <w:t xml:space="preserve">of functions </w:t>
      </w:r>
      <w:r>
        <w:t>from th</w:t>
      </w:r>
      <w:r w:rsidR="00442C69">
        <w:t>e former Treasury Directorate</w:t>
      </w:r>
      <w:r>
        <w:t>.</w:t>
      </w:r>
    </w:p>
    <w:p w:rsidR="00AE5E20" w:rsidRDefault="00AE5E20" w:rsidP="00AE5E20">
      <w:pPr>
        <w:pStyle w:val="BodyTextIndent2"/>
        <w:numPr>
          <w:ilvl w:val="0"/>
          <w:numId w:val="11"/>
        </w:numPr>
      </w:pPr>
      <w:proofErr w:type="gramStart"/>
      <w:r>
        <w:t>receivables</w:t>
      </w:r>
      <w:proofErr w:type="gramEnd"/>
      <w:r>
        <w:t xml:space="preserve">: </w:t>
      </w:r>
      <w:r w:rsidR="00442C69">
        <w:t xml:space="preserve"> </w:t>
      </w:r>
      <w:r>
        <w:t>the increase of $156.126</w:t>
      </w:r>
      <w:r w:rsidRPr="00594A35">
        <w:t> million in the 2012-13 estimated outcome from the origin</w:t>
      </w:r>
      <w:r>
        <w:t xml:space="preserve">al budget is due to </w:t>
      </w:r>
      <w:r w:rsidRPr="00073450">
        <w:t xml:space="preserve">the </w:t>
      </w:r>
      <w:r>
        <w:t xml:space="preserve">transfer </w:t>
      </w:r>
      <w:r w:rsidR="00442C69">
        <w:t xml:space="preserve">of functions </w:t>
      </w:r>
      <w:r>
        <w:t>from the former Treasury Directorate.</w:t>
      </w:r>
    </w:p>
    <w:p w:rsidR="00AE5E20" w:rsidRDefault="00AE5E20" w:rsidP="00AE5E20">
      <w:pPr>
        <w:pStyle w:val="BodyTextIndent2"/>
        <w:numPr>
          <w:ilvl w:val="0"/>
          <w:numId w:val="40"/>
        </w:numPr>
      </w:pPr>
      <w:r>
        <w:t>property, plant and equipment:  the increase of $281.866</w:t>
      </w:r>
      <w:r w:rsidRPr="001066EC">
        <w:t xml:space="preserve"> million </w:t>
      </w:r>
      <w:r>
        <w:t xml:space="preserve">in the 2012-13 estimated outcome from the original budget is mainly due to the transfer </w:t>
      </w:r>
      <w:r w:rsidR="00442C69">
        <w:t xml:space="preserve">of functions </w:t>
      </w:r>
      <w:r>
        <w:t xml:space="preserve">from the former Treasury Directorate and the increase of $128.352 million </w:t>
      </w:r>
      <w:r w:rsidR="00442C69">
        <w:t>in the 2013</w:t>
      </w:r>
      <w:r w:rsidR="00442C69">
        <w:noBreakHyphen/>
      </w:r>
      <w:r w:rsidRPr="001066EC">
        <w:t>14 Budget from the 2012</w:t>
      </w:r>
      <w:r>
        <w:t xml:space="preserve">-13 estimated outcome is </w:t>
      </w:r>
      <w:r w:rsidRPr="00594A35">
        <w:t xml:space="preserve">mainly due </w:t>
      </w:r>
      <w:r>
        <w:t xml:space="preserve">to the growth of land rent properties held under the </w:t>
      </w:r>
      <w:r w:rsidR="00661B5A">
        <w:t>L</w:t>
      </w:r>
      <w:r>
        <w:t xml:space="preserve">and </w:t>
      </w:r>
      <w:r w:rsidR="00661B5A">
        <w:t>R</w:t>
      </w:r>
      <w:r>
        <w:t xml:space="preserve">ent </w:t>
      </w:r>
      <w:r w:rsidR="00661B5A">
        <w:t>S</w:t>
      </w:r>
      <w:r>
        <w:t>cheme</w:t>
      </w:r>
      <w:r w:rsidRPr="001066EC">
        <w:t>.</w:t>
      </w:r>
    </w:p>
    <w:p w:rsidR="00AE5E20" w:rsidRDefault="00AE5E20" w:rsidP="00AE5E20">
      <w:pPr>
        <w:pStyle w:val="BodyTextIndent2"/>
        <w:keepNext w:val="0"/>
        <w:keepLines w:val="0"/>
        <w:numPr>
          <w:ilvl w:val="0"/>
          <w:numId w:val="38"/>
        </w:numPr>
        <w:spacing w:after="100"/>
      </w:pPr>
      <w:proofErr w:type="gramStart"/>
      <w:r>
        <w:t>payables</w:t>
      </w:r>
      <w:proofErr w:type="gramEnd"/>
      <w:r>
        <w:t>:  the increase of $241.005 million in the 2012-13 estimated outcome from the original budget is due to the transfer</w:t>
      </w:r>
      <w:r w:rsidR="00442C69">
        <w:t xml:space="preserve"> of functions</w:t>
      </w:r>
      <w:r>
        <w:t xml:space="preserve"> from the former Treasury Directorate.</w:t>
      </w:r>
    </w:p>
    <w:p w:rsidR="00AE5E20" w:rsidRPr="00EE4AEA" w:rsidRDefault="00AE5E20" w:rsidP="00EE4AEA">
      <w:pPr>
        <w:pStyle w:val="Heading4"/>
      </w:pPr>
      <w:r w:rsidRPr="00661B5A">
        <w:t>Statement of Change in Equity</w:t>
      </w:r>
      <w:r w:rsidR="00661B5A" w:rsidRPr="00661B5A">
        <w:t xml:space="preserve"> on Behalf of the Territory</w:t>
      </w:r>
    </w:p>
    <w:p w:rsidR="00AE5E20" w:rsidRDefault="00AE5E20" w:rsidP="00AE5E20">
      <w:pPr>
        <w:pStyle w:val="BodyTextIndent2"/>
        <w:keepNext w:val="0"/>
        <w:keepLines w:val="0"/>
        <w:numPr>
          <w:ilvl w:val="0"/>
          <w:numId w:val="0"/>
        </w:numPr>
        <w:spacing w:after="100"/>
      </w:pPr>
      <w:r>
        <w:t>Variations in the statement are explained in the notes above.</w:t>
      </w:r>
    </w:p>
    <w:p w:rsidR="00AE5E20" w:rsidRPr="00EE4AEA" w:rsidRDefault="00AE5E20" w:rsidP="00EE4AEA">
      <w:pPr>
        <w:pStyle w:val="Heading4"/>
      </w:pPr>
      <w:r w:rsidRPr="00661B5A">
        <w:t>Statement</w:t>
      </w:r>
      <w:r w:rsidR="00661B5A">
        <w:t xml:space="preserve"> of</w:t>
      </w:r>
      <w:r w:rsidR="00661B5A" w:rsidRPr="00661B5A">
        <w:t xml:space="preserve"> Cash Flow</w:t>
      </w:r>
      <w:r w:rsidR="00661B5A">
        <w:t>s</w:t>
      </w:r>
      <w:r w:rsidR="00661B5A" w:rsidRPr="00661B5A">
        <w:t xml:space="preserve"> on Behalf of the Territory</w:t>
      </w:r>
    </w:p>
    <w:p w:rsidR="00AE5E20" w:rsidRDefault="00AE5E20" w:rsidP="00AE5E20">
      <w:pPr>
        <w:pStyle w:val="BodyTextIndent2"/>
        <w:keepNext w:val="0"/>
        <w:keepLines w:val="0"/>
        <w:numPr>
          <w:ilvl w:val="0"/>
          <w:numId w:val="0"/>
        </w:numPr>
        <w:spacing w:after="100"/>
        <w:rPr>
          <w:i/>
        </w:rPr>
      </w:pPr>
      <w:r>
        <w:t>Variations in the statement are explained in the notes above.</w:t>
      </w:r>
    </w:p>
    <w:p w:rsidR="00AE5E20" w:rsidRDefault="00F947FC">
      <w:r>
        <w:br w:type="page"/>
      </w:r>
    </w:p>
    <w:tbl>
      <w:tblPr>
        <w:tblW w:w="9356" w:type="dxa"/>
        <w:tblLook w:val="04A0"/>
      </w:tblPr>
      <w:tblGrid>
        <w:gridCol w:w="1050"/>
        <w:gridCol w:w="2384"/>
        <w:gridCol w:w="1102"/>
        <w:gridCol w:w="1049"/>
        <w:gridCol w:w="621"/>
        <w:gridCol w:w="1050"/>
        <w:gridCol w:w="1050"/>
        <w:gridCol w:w="1050"/>
      </w:tblGrid>
      <w:tr w:rsidR="007E2F86" w:rsidTr="007E2F86">
        <w:trPr>
          <w:tblHeader/>
        </w:trPr>
        <w:tc>
          <w:tcPr>
            <w:tcW w:w="9388" w:type="dxa"/>
            <w:gridSpan w:val="8"/>
            <w:tcBorders>
              <w:top w:val="nil"/>
              <w:left w:val="nil"/>
              <w:bottom w:val="nil"/>
              <w:right w:val="nil"/>
            </w:tcBorders>
            <w:shd w:val="clear" w:color="000000" w:fill="FFFFFF"/>
            <w:hideMark/>
          </w:tcPr>
          <w:p w:rsidR="007E2F86" w:rsidRDefault="007E2F86" w:rsidP="007E2F86">
            <w:pPr>
              <w:jc w:val="center"/>
              <w:rPr>
                <w:rFonts w:ascii="Arial" w:hAnsi="Arial" w:cs="Arial"/>
                <w:b/>
                <w:bCs/>
                <w:szCs w:val="24"/>
              </w:rPr>
            </w:pPr>
            <w:r>
              <w:rPr>
                <w:rFonts w:ascii="Arial" w:hAnsi="Arial" w:cs="Arial"/>
                <w:b/>
                <w:bCs/>
              </w:rPr>
              <w:lastRenderedPageBreak/>
              <w:t>Revenue and Government Business Management</w:t>
            </w:r>
          </w:p>
        </w:tc>
      </w:tr>
      <w:tr w:rsidR="007E2F86" w:rsidTr="007E2F86">
        <w:trPr>
          <w:tblHeader/>
        </w:trPr>
        <w:tc>
          <w:tcPr>
            <w:tcW w:w="9388" w:type="dxa"/>
            <w:gridSpan w:val="8"/>
            <w:tcBorders>
              <w:top w:val="nil"/>
              <w:left w:val="nil"/>
              <w:bottom w:val="nil"/>
              <w:right w:val="nil"/>
            </w:tcBorders>
            <w:shd w:val="clear" w:color="000000" w:fill="FFFFFF"/>
            <w:hideMark/>
          </w:tcPr>
          <w:p w:rsidR="007E2F86" w:rsidRDefault="007E2F86" w:rsidP="007E2F86">
            <w:pPr>
              <w:jc w:val="center"/>
              <w:rPr>
                <w:rFonts w:ascii="Arial" w:hAnsi="Arial" w:cs="Arial"/>
                <w:b/>
                <w:bCs/>
                <w:szCs w:val="24"/>
              </w:rPr>
            </w:pPr>
            <w:r>
              <w:rPr>
                <w:rFonts w:ascii="Arial" w:hAnsi="Arial" w:cs="Arial"/>
                <w:b/>
                <w:bCs/>
              </w:rPr>
              <w:t>Operating Statement</w:t>
            </w:r>
          </w:p>
        </w:tc>
      </w:tr>
      <w:tr w:rsidR="007E2F86" w:rsidTr="007E2F86">
        <w:trPr>
          <w:tblHeader/>
        </w:trPr>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2016-17</w:t>
            </w:r>
          </w:p>
        </w:tc>
      </w:tr>
      <w:tr w:rsidR="007E2F86" w:rsidTr="007E2F86">
        <w:trPr>
          <w:tblHeader/>
        </w:trPr>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r>
      <w:tr w:rsidR="007E2F86" w:rsidTr="007E2F86">
        <w:trPr>
          <w:tblHeader/>
        </w:trPr>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r>
      <w:tr w:rsidR="007E2F86" w:rsidTr="007E2F86">
        <w:trPr>
          <w:tblHeader/>
        </w:trPr>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10,430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15,676</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50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15,384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15,609</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15,872</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43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504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704</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40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721</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721</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721</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10,941</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16,390</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50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16,115</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16,340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16,603</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10,941</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16,390</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50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16,115</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16,340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16,603</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5,525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8,126</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47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8,309</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8,357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8,415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557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1,323</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138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1,353</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1,362</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1,375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4,575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6,946</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52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6,470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6,656</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6,826</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185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355</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92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354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124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39</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5,341</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10,842</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22,091</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104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16,486</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16,499</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16,655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99</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-5,701</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-371</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-159</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-52</w:t>
            </w:r>
          </w:p>
        </w:tc>
      </w:tr>
      <w:tr w:rsidR="007E2F86" w:rsidTr="007E2F86">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E2F86" w:rsidRDefault="007E2F86"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r>
    </w:tbl>
    <w:p w:rsidR="00AE5E20" w:rsidRDefault="00AE5E20"/>
    <w:p w:rsidR="00AE5E20" w:rsidRDefault="00AE5E20">
      <w:r>
        <w:br w:type="page"/>
      </w:r>
    </w:p>
    <w:tbl>
      <w:tblPr>
        <w:tblW w:w="9356" w:type="dxa"/>
        <w:tblLook w:val="04A0"/>
      </w:tblPr>
      <w:tblGrid>
        <w:gridCol w:w="1049"/>
        <w:gridCol w:w="2384"/>
        <w:gridCol w:w="1102"/>
        <w:gridCol w:w="1050"/>
        <w:gridCol w:w="621"/>
        <w:gridCol w:w="1050"/>
        <w:gridCol w:w="1050"/>
        <w:gridCol w:w="1050"/>
      </w:tblGrid>
      <w:tr w:rsidR="007E2F86" w:rsidTr="007E2F86">
        <w:trPr>
          <w:tblHeader/>
        </w:trPr>
        <w:tc>
          <w:tcPr>
            <w:tcW w:w="9388" w:type="dxa"/>
            <w:gridSpan w:val="8"/>
            <w:tcBorders>
              <w:top w:val="nil"/>
              <w:left w:val="nil"/>
              <w:bottom w:val="nil"/>
              <w:right w:val="nil"/>
            </w:tcBorders>
            <w:shd w:val="clear" w:color="000000" w:fill="FFFFFF"/>
            <w:hideMark/>
          </w:tcPr>
          <w:p w:rsidR="007E2F86" w:rsidRDefault="007E2F86" w:rsidP="007E2F86">
            <w:pPr>
              <w:jc w:val="center"/>
              <w:rPr>
                <w:rFonts w:ascii="Arial" w:hAnsi="Arial" w:cs="Arial"/>
                <w:b/>
                <w:bCs/>
                <w:szCs w:val="24"/>
              </w:rPr>
            </w:pPr>
            <w:r>
              <w:rPr>
                <w:rFonts w:ascii="Arial" w:hAnsi="Arial" w:cs="Arial"/>
                <w:b/>
                <w:bCs/>
              </w:rPr>
              <w:lastRenderedPageBreak/>
              <w:t>Shared Services ICT</w:t>
            </w:r>
          </w:p>
        </w:tc>
      </w:tr>
      <w:tr w:rsidR="007E2F86" w:rsidTr="007E2F86">
        <w:trPr>
          <w:tblHeader/>
        </w:trPr>
        <w:tc>
          <w:tcPr>
            <w:tcW w:w="9388" w:type="dxa"/>
            <w:gridSpan w:val="8"/>
            <w:tcBorders>
              <w:top w:val="nil"/>
              <w:left w:val="nil"/>
              <w:bottom w:val="nil"/>
              <w:right w:val="nil"/>
            </w:tcBorders>
            <w:shd w:val="clear" w:color="000000" w:fill="FFFFFF"/>
            <w:hideMark/>
          </w:tcPr>
          <w:p w:rsidR="007E2F86" w:rsidRDefault="007E2F86" w:rsidP="007E2F86">
            <w:pPr>
              <w:jc w:val="center"/>
              <w:rPr>
                <w:rFonts w:ascii="Arial" w:hAnsi="Arial" w:cs="Arial"/>
                <w:b/>
                <w:bCs/>
                <w:szCs w:val="24"/>
              </w:rPr>
            </w:pPr>
            <w:r>
              <w:rPr>
                <w:rFonts w:ascii="Arial" w:hAnsi="Arial" w:cs="Arial"/>
                <w:b/>
                <w:bCs/>
              </w:rPr>
              <w:t>Operating Statement</w:t>
            </w:r>
          </w:p>
        </w:tc>
      </w:tr>
      <w:tr w:rsidR="007E2F86" w:rsidTr="007E2F86">
        <w:trPr>
          <w:tblHeader/>
        </w:trPr>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2016-17</w:t>
            </w:r>
          </w:p>
        </w:tc>
      </w:tr>
      <w:tr w:rsidR="007E2F86" w:rsidTr="007E2F86">
        <w:trPr>
          <w:tblHeader/>
        </w:trPr>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r>
      <w:tr w:rsidR="007E2F86" w:rsidTr="007E2F86">
        <w:trPr>
          <w:tblHeader/>
        </w:trPr>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r>
      <w:tr w:rsidR="007E2F86" w:rsidTr="007E2F86">
        <w:trPr>
          <w:tblHeader/>
        </w:trPr>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10,205</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9,541</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8,368</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8,683</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123,469</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125,661</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127,915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130,247</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250</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255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260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265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133,924</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135,457</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136,543</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139,195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133,924</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135,457</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136,543</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139,195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45,232</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45,820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46,416</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47,020</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6,806</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6,629</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6,467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6,329</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70,349</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71,490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72,132</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74,209</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18,893</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20,985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21,586</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21,930</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425</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436</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447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458</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141,705</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145,360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147,048</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149,946</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-7,781</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-9,903</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-10,505</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-10,751</w:t>
            </w:r>
          </w:p>
        </w:tc>
      </w:tr>
      <w:tr w:rsidR="007E2F86" w:rsidTr="007E2F86">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E2F86" w:rsidRDefault="007E2F86"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r>
    </w:tbl>
    <w:p w:rsidR="007E2F86" w:rsidRDefault="007E2F86"/>
    <w:p w:rsidR="007E2F86" w:rsidRDefault="007E2F86">
      <w:r>
        <w:br w:type="page"/>
      </w:r>
    </w:p>
    <w:tbl>
      <w:tblPr>
        <w:tblW w:w="9356" w:type="dxa"/>
        <w:tblLook w:val="04A0"/>
      </w:tblPr>
      <w:tblGrid>
        <w:gridCol w:w="1050"/>
        <w:gridCol w:w="2384"/>
        <w:gridCol w:w="1102"/>
        <w:gridCol w:w="1049"/>
        <w:gridCol w:w="621"/>
        <w:gridCol w:w="1050"/>
        <w:gridCol w:w="1050"/>
        <w:gridCol w:w="1050"/>
      </w:tblGrid>
      <w:tr w:rsidR="007E2F86" w:rsidTr="007E2F86">
        <w:trPr>
          <w:tblHeader/>
        </w:trPr>
        <w:tc>
          <w:tcPr>
            <w:tcW w:w="9388" w:type="dxa"/>
            <w:gridSpan w:val="8"/>
            <w:tcBorders>
              <w:top w:val="nil"/>
              <w:left w:val="nil"/>
              <w:bottom w:val="nil"/>
              <w:right w:val="nil"/>
            </w:tcBorders>
            <w:shd w:val="clear" w:color="000000" w:fill="FFFFFF"/>
            <w:hideMark/>
          </w:tcPr>
          <w:p w:rsidR="007E2F86" w:rsidRDefault="007E2F86" w:rsidP="007E2F86">
            <w:pPr>
              <w:jc w:val="center"/>
              <w:rPr>
                <w:rFonts w:ascii="Arial" w:hAnsi="Arial" w:cs="Arial"/>
                <w:b/>
                <w:bCs/>
                <w:szCs w:val="24"/>
              </w:rPr>
            </w:pPr>
            <w:r>
              <w:rPr>
                <w:rFonts w:ascii="Arial" w:hAnsi="Arial" w:cs="Arial"/>
                <w:b/>
                <w:bCs/>
              </w:rPr>
              <w:lastRenderedPageBreak/>
              <w:t>Shared Services Procurement</w:t>
            </w:r>
          </w:p>
        </w:tc>
      </w:tr>
      <w:tr w:rsidR="007E2F86" w:rsidTr="007E2F86">
        <w:trPr>
          <w:tblHeader/>
        </w:trPr>
        <w:tc>
          <w:tcPr>
            <w:tcW w:w="9388" w:type="dxa"/>
            <w:gridSpan w:val="8"/>
            <w:tcBorders>
              <w:top w:val="nil"/>
              <w:left w:val="nil"/>
              <w:bottom w:val="nil"/>
              <w:right w:val="nil"/>
            </w:tcBorders>
            <w:shd w:val="clear" w:color="000000" w:fill="FFFFFF"/>
            <w:hideMark/>
          </w:tcPr>
          <w:p w:rsidR="007E2F86" w:rsidRDefault="007E2F86" w:rsidP="007E2F86">
            <w:pPr>
              <w:jc w:val="center"/>
              <w:rPr>
                <w:rFonts w:ascii="Arial" w:hAnsi="Arial" w:cs="Arial"/>
                <w:b/>
                <w:bCs/>
                <w:szCs w:val="24"/>
              </w:rPr>
            </w:pPr>
            <w:r>
              <w:rPr>
                <w:rFonts w:ascii="Arial" w:hAnsi="Arial" w:cs="Arial"/>
                <w:b/>
                <w:bCs/>
              </w:rPr>
              <w:t>Operating Statement</w:t>
            </w:r>
          </w:p>
        </w:tc>
      </w:tr>
      <w:tr w:rsidR="007E2F86" w:rsidTr="007E2F86">
        <w:trPr>
          <w:tblHeader/>
        </w:trPr>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2016-17</w:t>
            </w:r>
          </w:p>
        </w:tc>
      </w:tr>
      <w:tr w:rsidR="007E2F86" w:rsidTr="007E2F86">
        <w:trPr>
          <w:tblHeader/>
        </w:trPr>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Estimate</w:t>
            </w:r>
          </w:p>
        </w:tc>
      </w:tr>
      <w:tr w:rsidR="007E2F86" w:rsidTr="007E2F86">
        <w:trPr>
          <w:tblHeader/>
        </w:trPr>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b/>
                <w:bCs/>
                <w:sz w:val="18"/>
                <w:szCs w:val="18"/>
              </w:rPr>
            </w:pPr>
            <w:r>
              <w:rPr>
                <w:b/>
                <w:bCs/>
                <w:sz w:val="18"/>
                <w:szCs w:val="18"/>
              </w:rPr>
              <w:t>$'000</w:t>
            </w:r>
          </w:p>
        </w:tc>
      </w:tr>
      <w:tr w:rsidR="007E2F86" w:rsidTr="007E2F86">
        <w:trPr>
          <w:tblHeader/>
        </w:trPr>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i/>
                <w:iCs/>
                <w:sz w:val="18"/>
                <w:szCs w:val="18"/>
              </w:rPr>
            </w:pPr>
            <w:r>
              <w:rPr>
                <w:b/>
                <w:bCs/>
                <w:i/>
                <w:iCs/>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2,285</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2,320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2,356</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2,392</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330</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335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340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345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20,919</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21,180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21,452</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21,732</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58</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59</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61</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Resources Received Free of </w:t>
            </w:r>
            <w:r>
              <w:rPr>
                <w:sz w:val="18"/>
                <w:szCs w:val="18"/>
              </w:rPr>
              <w:br/>
              <w:t xml:space="preserve">   Charge</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300</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308</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316</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324</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23,892</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24,202</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24,524</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24,854</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23,892</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24,202</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24,524</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24,854</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15,540</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15,744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15,950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16,159</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2,096</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2,067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2,044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2,023</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3,951</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4,027</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4,112</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4,199</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743</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314</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100</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5</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22,335</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22,157</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22,211</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22,486</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7E2F86" w:rsidRDefault="007E2F86" w:rsidP="007E2F86">
            <w:pPr>
              <w:rPr>
                <w:sz w:val="18"/>
                <w:szCs w:val="18"/>
              </w:rPr>
            </w:pPr>
            <w:r>
              <w:rPr>
                <w:sz w:val="18"/>
                <w:szCs w:val="18"/>
              </w:rPr>
              <w:t> </w:t>
            </w:r>
          </w:p>
        </w:tc>
        <w:tc>
          <w:tcPr>
            <w:tcW w:w="1106"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7E2F86" w:rsidRDefault="007E2F86" w:rsidP="007E2F86">
            <w:pPr>
              <w:ind w:left="-283"/>
              <w:jc w:val="right"/>
              <w:rPr>
                <w:sz w:val="18"/>
                <w:szCs w:val="18"/>
              </w:rPr>
            </w:pPr>
            <w:r>
              <w:rPr>
                <w:sz w:val="18"/>
                <w:szCs w:val="18"/>
              </w:rPr>
              <w:t> </w:t>
            </w:r>
          </w:p>
        </w:tc>
      </w:tr>
      <w:tr w:rsidR="007E2F86" w:rsidTr="007E2F86">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7E2F86" w:rsidRDefault="007E2F86" w:rsidP="007E2F86">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1,557</w:t>
            </w:r>
          </w:p>
        </w:tc>
        <w:tc>
          <w:tcPr>
            <w:tcW w:w="62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2,045</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2,313</w:t>
            </w:r>
          </w:p>
        </w:tc>
        <w:tc>
          <w:tcPr>
            <w:tcW w:w="1054" w:type="dxa"/>
            <w:tcBorders>
              <w:top w:val="nil"/>
              <w:left w:val="nil"/>
              <w:bottom w:val="nil"/>
              <w:right w:val="nil"/>
            </w:tcBorders>
            <w:shd w:val="clear" w:color="000000" w:fill="FFFFFF"/>
            <w:hideMark/>
          </w:tcPr>
          <w:p w:rsidR="007E2F86" w:rsidRDefault="007E2F86" w:rsidP="007E2F86">
            <w:pPr>
              <w:ind w:left="-283"/>
              <w:jc w:val="right"/>
              <w:rPr>
                <w:b/>
                <w:bCs/>
                <w:sz w:val="18"/>
                <w:szCs w:val="18"/>
              </w:rPr>
            </w:pPr>
            <w:r>
              <w:rPr>
                <w:b/>
                <w:bCs/>
                <w:sz w:val="18"/>
                <w:szCs w:val="18"/>
              </w:rPr>
              <w:t>2,368</w:t>
            </w:r>
          </w:p>
        </w:tc>
      </w:tr>
      <w:tr w:rsidR="007E2F86" w:rsidTr="007E2F86">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7E2F86" w:rsidRDefault="007E2F86" w:rsidP="007E2F86">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7E2F86" w:rsidRDefault="007E2F86" w:rsidP="007E2F86">
            <w:pPr>
              <w:ind w:left="-283"/>
              <w:jc w:val="right"/>
              <w:rPr>
                <w:sz w:val="18"/>
                <w:szCs w:val="18"/>
              </w:rPr>
            </w:pPr>
            <w:r>
              <w:rPr>
                <w:sz w:val="18"/>
                <w:szCs w:val="18"/>
              </w:rPr>
              <w:t> </w:t>
            </w:r>
          </w:p>
        </w:tc>
      </w:tr>
    </w:tbl>
    <w:p w:rsidR="007E2F86" w:rsidRDefault="007E2F86">
      <w:r>
        <w:br w:type="page"/>
      </w:r>
    </w:p>
    <w:tbl>
      <w:tblPr>
        <w:tblW w:w="9356" w:type="dxa"/>
        <w:tblLook w:val="04A0"/>
      </w:tblPr>
      <w:tblGrid>
        <w:gridCol w:w="1050"/>
        <w:gridCol w:w="2384"/>
        <w:gridCol w:w="1102"/>
        <w:gridCol w:w="1049"/>
        <w:gridCol w:w="621"/>
        <w:gridCol w:w="1050"/>
        <w:gridCol w:w="1050"/>
        <w:gridCol w:w="1050"/>
      </w:tblGrid>
      <w:tr w:rsidR="00CE7E33" w:rsidTr="00F41142">
        <w:trPr>
          <w:tblHeader/>
        </w:trPr>
        <w:tc>
          <w:tcPr>
            <w:tcW w:w="9388" w:type="dxa"/>
            <w:gridSpan w:val="8"/>
            <w:tcBorders>
              <w:top w:val="nil"/>
              <w:left w:val="nil"/>
              <w:bottom w:val="nil"/>
              <w:right w:val="nil"/>
            </w:tcBorders>
            <w:shd w:val="clear" w:color="000000" w:fill="FFFFFF"/>
            <w:hideMark/>
          </w:tcPr>
          <w:p w:rsidR="00CE7E33" w:rsidRDefault="00CE7E33" w:rsidP="00F41142">
            <w:pPr>
              <w:jc w:val="center"/>
              <w:rPr>
                <w:rFonts w:ascii="Arial" w:hAnsi="Arial" w:cs="Arial"/>
                <w:b/>
                <w:bCs/>
                <w:szCs w:val="24"/>
              </w:rPr>
            </w:pPr>
            <w:bookmarkStart w:id="9" w:name="RANGE!A1:H31"/>
            <w:r>
              <w:rPr>
                <w:rFonts w:ascii="Arial" w:hAnsi="Arial" w:cs="Arial"/>
                <w:b/>
                <w:bCs/>
              </w:rPr>
              <w:lastRenderedPageBreak/>
              <w:t>Shared Services Human Resources</w:t>
            </w:r>
            <w:bookmarkEnd w:id="9"/>
          </w:p>
        </w:tc>
      </w:tr>
      <w:tr w:rsidR="00CE7E33" w:rsidTr="00F41142">
        <w:trPr>
          <w:tblHeader/>
        </w:trPr>
        <w:tc>
          <w:tcPr>
            <w:tcW w:w="9388" w:type="dxa"/>
            <w:gridSpan w:val="8"/>
            <w:tcBorders>
              <w:top w:val="nil"/>
              <w:left w:val="nil"/>
              <w:bottom w:val="nil"/>
              <w:right w:val="nil"/>
            </w:tcBorders>
            <w:shd w:val="clear" w:color="000000" w:fill="FFFFFF"/>
            <w:hideMark/>
          </w:tcPr>
          <w:p w:rsidR="00CE7E33" w:rsidRDefault="00CE7E33" w:rsidP="00F41142">
            <w:pPr>
              <w:jc w:val="center"/>
              <w:rPr>
                <w:rFonts w:ascii="Arial" w:hAnsi="Arial" w:cs="Arial"/>
                <w:b/>
                <w:bCs/>
                <w:szCs w:val="24"/>
              </w:rPr>
            </w:pPr>
            <w:r>
              <w:rPr>
                <w:rFonts w:ascii="Arial" w:hAnsi="Arial" w:cs="Arial"/>
                <w:b/>
                <w:bCs/>
              </w:rPr>
              <w:t>Operating Statement</w:t>
            </w:r>
          </w:p>
        </w:tc>
      </w:tr>
      <w:tr w:rsidR="00CE7E33" w:rsidTr="00F41142">
        <w:trPr>
          <w:tblHeader/>
        </w:trPr>
        <w:tc>
          <w:tcPr>
            <w:tcW w:w="1054"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2016-17</w:t>
            </w:r>
          </w:p>
        </w:tc>
      </w:tr>
      <w:tr w:rsidR="00CE7E33" w:rsidTr="00F41142">
        <w:trPr>
          <w:tblHeader/>
        </w:trPr>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Estimate</w:t>
            </w:r>
          </w:p>
        </w:tc>
      </w:tr>
      <w:tr w:rsidR="00CE7E33" w:rsidTr="00F41142">
        <w:trPr>
          <w:tblHeader/>
        </w:trPr>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b/>
                <w:bCs/>
                <w:sz w:val="18"/>
                <w:szCs w:val="18"/>
              </w:rPr>
            </w:pPr>
            <w:r>
              <w:rPr>
                <w:b/>
                <w:bCs/>
                <w:sz w:val="18"/>
                <w:szCs w:val="18"/>
              </w:rPr>
              <w:t>$'000</w:t>
            </w:r>
          </w:p>
        </w:tc>
      </w:tr>
      <w:tr w:rsidR="00CE7E33" w:rsidTr="00F41142">
        <w:trPr>
          <w:tblHeader/>
        </w:trPr>
        <w:tc>
          <w:tcPr>
            <w:tcW w:w="1054"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i/>
                <w:iCs/>
                <w:sz w:val="18"/>
                <w:szCs w:val="18"/>
              </w:rPr>
            </w:pPr>
            <w:r>
              <w:rPr>
                <w:b/>
                <w:bCs/>
                <w:i/>
                <w:iCs/>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2,634</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1,586</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1,611</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1,635</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22,846</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23,114</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23,393</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23,684</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236</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240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244</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248</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1,514</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1,537</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1,561</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1,585</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27,230</w:t>
            </w:r>
          </w:p>
        </w:tc>
        <w:tc>
          <w:tcPr>
            <w:tcW w:w="62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26,477</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26,809</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27,152</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27,230</w:t>
            </w:r>
          </w:p>
        </w:tc>
        <w:tc>
          <w:tcPr>
            <w:tcW w:w="62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26,477</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26,809</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27,152</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16,526</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16,741</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16,959</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17,179</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2,453</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2,396</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2,344</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2,300</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5,779</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5,324</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5,443</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5,562</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843</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893</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893</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893</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11</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11</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11</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11</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25,612</w:t>
            </w:r>
          </w:p>
        </w:tc>
        <w:tc>
          <w:tcPr>
            <w:tcW w:w="62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25,365</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25,650</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25,945</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CE7E33" w:rsidRDefault="00CE7E33" w:rsidP="00F41142">
            <w:pPr>
              <w:rPr>
                <w:sz w:val="18"/>
                <w:szCs w:val="18"/>
              </w:rPr>
            </w:pPr>
            <w:r>
              <w:rPr>
                <w:sz w:val="18"/>
                <w:szCs w:val="18"/>
              </w:rPr>
              <w:t> </w:t>
            </w:r>
          </w:p>
        </w:tc>
        <w:tc>
          <w:tcPr>
            <w:tcW w:w="1106"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CE7E33" w:rsidRDefault="00CE7E33" w:rsidP="00F41142">
            <w:pPr>
              <w:ind w:left="-283"/>
              <w:jc w:val="right"/>
              <w:rPr>
                <w:sz w:val="18"/>
                <w:szCs w:val="18"/>
              </w:rPr>
            </w:pPr>
            <w:r>
              <w:rPr>
                <w:sz w:val="18"/>
                <w:szCs w:val="18"/>
              </w:rPr>
              <w:t> </w:t>
            </w:r>
          </w:p>
        </w:tc>
      </w:tr>
      <w:tr w:rsidR="00CE7E33" w:rsidTr="00F41142">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CE7E33" w:rsidRDefault="00CE7E33" w:rsidP="00F41142">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1,618</w:t>
            </w:r>
          </w:p>
        </w:tc>
        <w:tc>
          <w:tcPr>
            <w:tcW w:w="62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1,112</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1,159</w:t>
            </w:r>
          </w:p>
        </w:tc>
        <w:tc>
          <w:tcPr>
            <w:tcW w:w="1054" w:type="dxa"/>
            <w:tcBorders>
              <w:top w:val="nil"/>
              <w:left w:val="nil"/>
              <w:bottom w:val="nil"/>
              <w:right w:val="nil"/>
            </w:tcBorders>
            <w:shd w:val="clear" w:color="000000" w:fill="FFFFFF"/>
            <w:hideMark/>
          </w:tcPr>
          <w:p w:rsidR="00CE7E33" w:rsidRDefault="00CE7E33" w:rsidP="00F41142">
            <w:pPr>
              <w:ind w:left="-283"/>
              <w:jc w:val="right"/>
              <w:rPr>
                <w:b/>
                <w:bCs/>
                <w:sz w:val="18"/>
                <w:szCs w:val="18"/>
              </w:rPr>
            </w:pPr>
            <w:r>
              <w:rPr>
                <w:b/>
                <w:bCs/>
                <w:sz w:val="18"/>
                <w:szCs w:val="18"/>
              </w:rPr>
              <w:t>1,207</w:t>
            </w:r>
          </w:p>
        </w:tc>
      </w:tr>
      <w:tr w:rsidR="00CE7E33" w:rsidTr="00F41142">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CE7E33" w:rsidRDefault="00CE7E33" w:rsidP="00F4114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CE7E33" w:rsidRDefault="00CE7E33" w:rsidP="00F41142">
            <w:pPr>
              <w:ind w:left="-283"/>
              <w:jc w:val="right"/>
              <w:rPr>
                <w:sz w:val="18"/>
                <w:szCs w:val="18"/>
              </w:rPr>
            </w:pPr>
            <w:r>
              <w:rPr>
                <w:sz w:val="18"/>
                <w:szCs w:val="18"/>
              </w:rPr>
              <w:t> </w:t>
            </w:r>
          </w:p>
        </w:tc>
      </w:tr>
    </w:tbl>
    <w:p w:rsidR="007E2F86" w:rsidRDefault="007E2F86"/>
    <w:p w:rsidR="008A2B7D" w:rsidRDefault="008A2B7D">
      <w:r>
        <w:br w:type="page"/>
      </w:r>
    </w:p>
    <w:tbl>
      <w:tblPr>
        <w:tblW w:w="9356" w:type="dxa"/>
        <w:tblLook w:val="04A0"/>
      </w:tblPr>
      <w:tblGrid>
        <w:gridCol w:w="1050"/>
        <w:gridCol w:w="2384"/>
        <w:gridCol w:w="1102"/>
        <w:gridCol w:w="1049"/>
        <w:gridCol w:w="621"/>
        <w:gridCol w:w="1050"/>
        <w:gridCol w:w="1050"/>
        <w:gridCol w:w="1050"/>
      </w:tblGrid>
      <w:tr w:rsidR="008A2B7D" w:rsidTr="00F41142">
        <w:trPr>
          <w:tblHeader/>
        </w:trPr>
        <w:tc>
          <w:tcPr>
            <w:tcW w:w="9388" w:type="dxa"/>
            <w:gridSpan w:val="8"/>
            <w:tcBorders>
              <w:top w:val="nil"/>
              <w:left w:val="nil"/>
              <w:bottom w:val="nil"/>
              <w:right w:val="nil"/>
            </w:tcBorders>
            <w:shd w:val="clear" w:color="000000" w:fill="FFFFFF"/>
            <w:hideMark/>
          </w:tcPr>
          <w:p w:rsidR="008A2B7D" w:rsidRDefault="008A2B7D" w:rsidP="00F41142">
            <w:pPr>
              <w:jc w:val="center"/>
              <w:rPr>
                <w:rFonts w:ascii="Arial" w:hAnsi="Arial" w:cs="Arial"/>
                <w:b/>
                <w:bCs/>
                <w:szCs w:val="24"/>
              </w:rPr>
            </w:pPr>
            <w:bookmarkStart w:id="10" w:name="RANGE!A1:H29"/>
            <w:r>
              <w:rPr>
                <w:rFonts w:ascii="Arial" w:hAnsi="Arial" w:cs="Arial"/>
                <w:b/>
                <w:bCs/>
              </w:rPr>
              <w:lastRenderedPageBreak/>
              <w:t>Shared Services Finance</w:t>
            </w:r>
            <w:bookmarkEnd w:id="10"/>
          </w:p>
        </w:tc>
      </w:tr>
      <w:tr w:rsidR="008A2B7D" w:rsidTr="00F41142">
        <w:trPr>
          <w:tblHeader/>
        </w:trPr>
        <w:tc>
          <w:tcPr>
            <w:tcW w:w="9388" w:type="dxa"/>
            <w:gridSpan w:val="8"/>
            <w:tcBorders>
              <w:top w:val="nil"/>
              <w:left w:val="nil"/>
              <w:bottom w:val="nil"/>
              <w:right w:val="nil"/>
            </w:tcBorders>
            <w:shd w:val="clear" w:color="000000" w:fill="FFFFFF"/>
            <w:hideMark/>
          </w:tcPr>
          <w:p w:rsidR="008A2B7D" w:rsidRDefault="008A2B7D" w:rsidP="00F41142">
            <w:pPr>
              <w:jc w:val="center"/>
              <w:rPr>
                <w:rFonts w:ascii="Arial" w:hAnsi="Arial" w:cs="Arial"/>
                <w:b/>
                <w:bCs/>
                <w:szCs w:val="24"/>
              </w:rPr>
            </w:pPr>
            <w:r>
              <w:rPr>
                <w:rFonts w:ascii="Arial" w:hAnsi="Arial" w:cs="Arial"/>
                <w:b/>
                <w:bCs/>
              </w:rPr>
              <w:t>Operating Statement</w:t>
            </w:r>
          </w:p>
        </w:tc>
      </w:tr>
      <w:tr w:rsidR="008A2B7D" w:rsidTr="00F41142">
        <w:trPr>
          <w:tblHeader/>
        </w:trPr>
        <w:tc>
          <w:tcPr>
            <w:tcW w:w="1054"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2016-17</w:t>
            </w:r>
          </w:p>
        </w:tc>
      </w:tr>
      <w:tr w:rsidR="008A2B7D" w:rsidTr="00F41142">
        <w:trPr>
          <w:tblHeader/>
        </w:trPr>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Var</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Estimate</w:t>
            </w:r>
          </w:p>
        </w:tc>
      </w:tr>
      <w:tr w:rsidR="008A2B7D" w:rsidTr="00F41142">
        <w:trPr>
          <w:tblHeader/>
        </w:trPr>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b/>
                <w:bCs/>
                <w:sz w:val="18"/>
                <w:szCs w:val="18"/>
              </w:rPr>
            </w:pPr>
            <w:r>
              <w:rPr>
                <w:b/>
                <w:bCs/>
                <w:sz w:val="18"/>
                <w:szCs w:val="18"/>
              </w:rPr>
              <w:t>$'000</w:t>
            </w:r>
          </w:p>
        </w:tc>
      </w:tr>
      <w:tr w:rsidR="008A2B7D" w:rsidTr="00F41142">
        <w:trPr>
          <w:tblHeader/>
        </w:trPr>
        <w:tc>
          <w:tcPr>
            <w:tcW w:w="1054"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i/>
                <w:iCs/>
                <w:sz w:val="18"/>
                <w:szCs w:val="18"/>
              </w:rPr>
            </w:pPr>
            <w:r>
              <w:rPr>
                <w:b/>
                <w:bCs/>
                <w:i/>
                <w:iCs/>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1,056</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566</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577</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585</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40</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41</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42</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43</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14,397</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14,557</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14,728</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14,906</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15,493</w:t>
            </w:r>
          </w:p>
        </w:tc>
        <w:tc>
          <w:tcPr>
            <w:tcW w:w="62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15,164</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15,347</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15,534</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15,493</w:t>
            </w:r>
          </w:p>
        </w:tc>
        <w:tc>
          <w:tcPr>
            <w:tcW w:w="62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15,164</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15,347</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15,534</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10,111</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10,243</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9,938</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10,061</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1,609</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1,563</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1,480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1,441</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3,612</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3,699</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3,789</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3,878</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326</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376</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376</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376</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Total Ordinary Expenses</w:t>
            </w:r>
          </w:p>
        </w:tc>
        <w:tc>
          <w:tcPr>
            <w:tcW w:w="1106"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15,658</w:t>
            </w:r>
          </w:p>
        </w:tc>
        <w:tc>
          <w:tcPr>
            <w:tcW w:w="62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15,881</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15,583</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15,756</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nil"/>
              <w:right w:val="nil"/>
            </w:tcBorders>
            <w:shd w:val="clear" w:color="000000" w:fill="FFFFFF"/>
            <w:hideMark/>
          </w:tcPr>
          <w:p w:rsidR="008A2B7D" w:rsidRDefault="008A2B7D" w:rsidP="00F41142">
            <w:pPr>
              <w:rPr>
                <w:sz w:val="18"/>
                <w:szCs w:val="18"/>
              </w:rPr>
            </w:pPr>
            <w:r>
              <w:rPr>
                <w:sz w:val="18"/>
                <w:szCs w:val="18"/>
              </w:rPr>
              <w:t> </w:t>
            </w:r>
          </w:p>
        </w:tc>
        <w:tc>
          <w:tcPr>
            <w:tcW w:w="1106"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8A2B7D" w:rsidRDefault="008A2B7D" w:rsidP="00F41142">
            <w:pPr>
              <w:ind w:left="-283"/>
              <w:jc w:val="right"/>
              <w:rPr>
                <w:sz w:val="18"/>
                <w:szCs w:val="18"/>
              </w:rPr>
            </w:pPr>
            <w:r>
              <w:rPr>
                <w:sz w:val="18"/>
                <w:szCs w:val="18"/>
              </w:rPr>
              <w:t> </w:t>
            </w:r>
          </w:p>
        </w:tc>
      </w:tr>
      <w:tr w:rsidR="008A2B7D" w:rsidTr="00F41142">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8A2B7D" w:rsidRDefault="008A2B7D" w:rsidP="00F41142">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-165</w:t>
            </w:r>
          </w:p>
        </w:tc>
        <w:tc>
          <w:tcPr>
            <w:tcW w:w="62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-717</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-236</w:t>
            </w:r>
          </w:p>
        </w:tc>
        <w:tc>
          <w:tcPr>
            <w:tcW w:w="1054" w:type="dxa"/>
            <w:tcBorders>
              <w:top w:val="nil"/>
              <w:left w:val="nil"/>
              <w:bottom w:val="nil"/>
              <w:right w:val="nil"/>
            </w:tcBorders>
            <w:shd w:val="clear" w:color="000000" w:fill="FFFFFF"/>
            <w:hideMark/>
          </w:tcPr>
          <w:p w:rsidR="008A2B7D" w:rsidRDefault="008A2B7D" w:rsidP="00F41142">
            <w:pPr>
              <w:ind w:left="-283"/>
              <w:jc w:val="right"/>
              <w:rPr>
                <w:b/>
                <w:bCs/>
                <w:sz w:val="18"/>
                <w:szCs w:val="18"/>
              </w:rPr>
            </w:pPr>
            <w:r>
              <w:rPr>
                <w:b/>
                <w:bCs/>
                <w:sz w:val="18"/>
                <w:szCs w:val="18"/>
              </w:rPr>
              <w:t>-222</w:t>
            </w:r>
          </w:p>
        </w:tc>
      </w:tr>
      <w:tr w:rsidR="008A2B7D" w:rsidTr="00F41142">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8A2B7D" w:rsidRDefault="008A2B7D" w:rsidP="00F41142">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8A2B7D" w:rsidRDefault="008A2B7D" w:rsidP="00F41142">
            <w:pPr>
              <w:ind w:left="-283"/>
              <w:jc w:val="right"/>
              <w:rPr>
                <w:sz w:val="18"/>
                <w:szCs w:val="18"/>
              </w:rPr>
            </w:pPr>
            <w:r>
              <w:rPr>
                <w:sz w:val="18"/>
                <w:szCs w:val="18"/>
              </w:rPr>
              <w:t> </w:t>
            </w:r>
          </w:p>
        </w:tc>
      </w:tr>
    </w:tbl>
    <w:p w:rsidR="007E2F86" w:rsidRDefault="007E2F86">
      <w:r>
        <w:br w:type="page"/>
      </w:r>
    </w:p>
    <w:p w:rsidR="00F47828" w:rsidRPr="006033CE" w:rsidRDefault="00F47828" w:rsidP="006033CE">
      <w:pPr>
        <w:pStyle w:val="Heading3"/>
      </w:pPr>
      <w:r w:rsidRPr="006033CE">
        <w:lastRenderedPageBreak/>
        <w:t>Notes to the Output Class Statements</w:t>
      </w:r>
    </w:p>
    <w:p w:rsidR="00F47828" w:rsidRDefault="00F47828" w:rsidP="006033CE">
      <w:pPr>
        <w:pStyle w:val="BodyText"/>
      </w:pPr>
      <w:r w:rsidRPr="006033CE">
        <w:t>Significant variations are as follows:</w:t>
      </w:r>
    </w:p>
    <w:p w:rsidR="00F47828" w:rsidRPr="006033CE" w:rsidRDefault="00F47828" w:rsidP="006033CE">
      <w:pPr>
        <w:pStyle w:val="Heading4"/>
      </w:pPr>
      <w:r>
        <w:t>Revenue and Government Business Management</w:t>
      </w:r>
      <w:r w:rsidRPr="006033CE">
        <w:t xml:space="preserve"> Total Expenses</w:t>
      </w:r>
    </w:p>
    <w:p w:rsidR="00F47828" w:rsidRPr="006033CE" w:rsidRDefault="00F47828" w:rsidP="000446AB">
      <w:pPr>
        <w:pStyle w:val="BodyTextIndent"/>
        <w:numPr>
          <w:ilvl w:val="0"/>
          <w:numId w:val="11"/>
        </w:numPr>
      </w:pPr>
      <w:r>
        <w:t>the increase of $10.842</w:t>
      </w:r>
      <w:r w:rsidRPr="006033CE">
        <w:t xml:space="preserve"> million in the 2012-13 estimated outcome from the original budget is due </w:t>
      </w:r>
      <w:r w:rsidR="00661B5A">
        <w:t xml:space="preserve">to </w:t>
      </w:r>
      <w:r>
        <w:t>transfer</w:t>
      </w:r>
      <w:r w:rsidR="00661B5A">
        <w:t>s</w:t>
      </w:r>
      <w:r>
        <w:t xml:space="preserve"> from </w:t>
      </w:r>
      <w:r w:rsidR="00661B5A">
        <w:t>EDD</w:t>
      </w:r>
      <w:r>
        <w:t xml:space="preserve"> and the former Treasury Directorate ($1</w:t>
      </w:r>
      <w:r w:rsidR="001E6E4E">
        <w:t>1</w:t>
      </w:r>
      <w:r w:rsidR="0086260D">
        <w:t>.456 </w:t>
      </w:r>
      <w:r>
        <w:t>million), partially offset by the rollover of funding from 2012-13 to 2013-14 for the Investment in Finance and HR Improvement, the Oracle E- Business Suite Upgrade and the Whole of Government Banking ($1.614 million) initiatives</w:t>
      </w:r>
      <w:r w:rsidR="001E6E4E">
        <w:t xml:space="preserve"> and additional appropriation for Revenue and Government Business Man</w:t>
      </w:r>
      <w:r w:rsidR="00AC3577">
        <w:t>agement in 2012</w:t>
      </w:r>
      <w:r w:rsidR="00AC3577">
        <w:noBreakHyphen/>
        <w:t>13 ($1 million); and</w:t>
      </w:r>
    </w:p>
    <w:p w:rsidR="00F47828" w:rsidRPr="006033CE" w:rsidRDefault="00F47828" w:rsidP="000446AB">
      <w:pPr>
        <w:pStyle w:val="BodyTextIndent"/>
        <w:numPr>
          <w:ilvl w:val="0"/>
          <w:numId w:val="11"/>
        </w:numPr>
      </w:pPr>
      <w:r>
        <w:t>the increase of $11.249</w:t>
      </w:r>
      <w:r w:rsidRPr="006033CE">
        <w:t xml:space="preserve"> million in the 2013-14 Budget from the 2012-13 estimated outcome is mainly due to </w:t>
      </w:r>
      <w:r>
        <w:t xml:space="preserve">the full year </w:t>
      </w:r>
      <w:r w:rsidR="003D7F0B">
        <w:t>e</w:t>
      </w:r>
      <w:r>
        <w:t>ffect of the transfer from the former Treasury Directorate ($9.1</w:t>
      </w:r>
      <w:r w:rsidR="007E71E1">
        <w:t>96</w:t>
      </w:r>
      <w:r>
        <w:t xml:space="preserve"> million); the rollover of funding ($1.614 million) from 2012-13 to 2013-14; and the </w:t>
      </w:r>
      <w:r w:rsidRPr="00073450">
        <w:t xml:space="preserve">increase in funding in 2013-14 for </w:t>
      </w:r>
      <w:r w:rsidRPr="001E6E4E">
        <w:t xml:space="preserve">the Increase Tax Compliance </w:t>
      </w:r>
      <w:r w:rsidR="007D5481">
        <w:t>A</w:t>
      </w:r>
      <w:r w:rsidRPr="001E6E4E">
        <w:t xml:space="preserve">ctivity ($0.567 million) and the Application Fee </w:t>
      </w:r>
      <w:r w:rsidR="0086260D">
        <w:t>for Certificate of Rates, Land T</w:t>
      </w:r>
      <w:r w:rsidRPr="001E6E4E">
        <w:t>ax and Other Charges</w:t>
      </w:r>
      <w:r>
        <w:t xml:space="preserve"> ($0.250 million) initiatives</w:t>
      </w:r>
      <w:r w:rsidR="001E6E4E">
        <w:t>, partially offset by the additional appropriation for Revenue and Government Business Management in 2012</w:t>
      </w:r>
      <w:r w:rsidR="001E6E4E">
        <w:noBreakHyphen/>
        <w:t>13 ($1 million).</w:t>
      </w:r>
    </w:p>
    <w:p w:rsidR="00F47828" w:rsidRPr="006033CE" w:rsidRDefault="00F47828" w:rsidP="006033CE">
      <w:pPr>
        <w:pStyle w:val="Heading4"/>
      </w:pPr>
      <w:r w:rsidRPr="006033CE">
        <w:t xml:space="preserve">Shared Services </w:t>
      </w:r>
      <w:r>
        <w:t>ICT</w:t>
      </w:r>
      <w:r w:rsidRPr="006033CE">
        <w:t xml:space="preserve"> Total Expenses</w:t>
      </w:r>
    </w:p>
    <w:p w:rsidR="00F47828" w:rsidRPr="000E2F13" w:rsidRDefault="00F47828" w:rsidP="000446AB">
      <w:pPr>
        <w:pStyle w:val="BodyTextIndent"/>
        <w:numPr>
          <w:ilvl w:val="0"/>
          <w:numId w:val="11"/>
        </w:numPr>
      </w:pPr>
      <w:proofErr w:type="gramStart"/>
      <w:r w:rsidRPr="006033CE">
        <w:t>the</w:t>
      </w:r>
      <w:proofErr w:type="gramEnd"/>
      <w:r w:rsidRPr="006033CE">
        <w:t xml:space="preserve"> increas</w:t>
      </w:r>
      <w:r>
        <w:t xml:space="preserve">e of $141.705 </w:t>
      </w:r>
      <w:r w:rsidRPr="006033CE">
        <w:t xml:space="preserve">million in the 2013-14 Budget from the 2012-13 estimated outcome is </w:t>
      </w:r>
      <w:r w:rsidRPr="001066EC">
        <w:t>due to</w:t>
      </w:r>
      <w:r>
        <w:t xml:space="preserve"> the transfer of Shared Services from 1 July 2013</w:t>
      </w:r>
      <w:r w:rsidR="0086260D">
        <w:t>.</w:t>
      </w:r>
    </w:p>
    <w:p w:rsidR="00F47828" w:rsidRPr="006033CE" w:rsidRDefault="00F47828" w:rsidP="006033CE">
      <w:pPr>
        <w:pStyle w:val="Heading4"/>
      </w:pPr>
      <w:r w:rsidRPr="006033CE">
        <w:t xml:space="preserve">Shared Services Procurement Total </w:t>
      </w:r>
      <w:r w:rsidR="00B977EE">
        <w:t xml:space="preserve">Ordinary </w:t>
      </w:r>
      <w:r w:rsidRPr="006033CE">
        <w:t>Expenses</w:t>
      </w:r>
    </w:p>
    <w:p w:rsidR="00F47828" w:rsidRPr="000E2F13" w:rsidRDefault="00F47828" w:rsidP="000446AB">
      <w:pPr>
        <w:pStyle w:val="BodyTextIndent"/>
        <w:numPr>
          <w:ilvl w:val="0"/>
          <w:numId w:val="11"/>
        </w:numPr>
      </w:pPr>
      <w:r w:rsidRPr="006033CE">
        <w:t>the increas</w:t>
      </w:r>
      <w:r>
        <w:t xml:space="preserve">e of $22.335 </w:t>
      </w:r>
      <w:r w:rsidRPr="006033CE">
        <w:t xml:space="preserve">million in the 2013-14 Budget from the 2012-13 estimated outcome is </w:t>
      </w:r>
      <w:r w:rsidRPr="001066EC">
        <w:t>due to</w:t>
      </w:r>
      <w:r>
        <w:t xml:space="preserve"> the transfer of Shared Services from 1 July 2013 ($21.731 million) as part of the administrative arrangement changes and the transfer of the Government Accommodation Strategy team ($0.604 million) from the Revenue and Government Business Management output class.</w:t>
      </w:r>
    </w:p>
    <w:p w:rsidR="00F47828" w:rsidRPr="006033CE" w:rsidRDefault="00F47828" w:rsidP="006033CE">
      <w:pPr>
        <w:pStyle w:val="Heading4"/>
      </w:pPr>
      <w:r w:rsidRPr="006033CE">
        <w:t xml:space="preserve">Shared Services Human Resources Total </w:t>
      </w:r>
      <w:r w:rsidR="00B977EE">
        <w:t xml:space="preserve">Ordinary </w:t>
      </w:r>
      <w:r w:rsidRPr="006033CE">
        <w:t>Expenses</w:t>
      </w:r>
    </w:p>
    <w:p w:rsidR="00F47828" w:rsidRDefault="00F47828" w:rsidP="000446AB">
      <w:pPr>
        <w:pStyle w:val="BodyTextIndent"/>
        <w:numPr>
          <w:ilvl w:val="0"/>
          <w:numId w:val="11"/>
        </w:numPr>
      </w:pPr>
      <w:proofErr w:type="gramStart"/>
      <w:r w:rsidRPr="006033CE">
        <w:t>the</w:t>
      </w:r>
      <w:proofErr w:type="gramEnd"/>
      <w:r w:rsidRPr="006033CE">
        <w:t xml:space="preserve"> increas</w:t>
      </w:r>
      <w:r>
        <w:t xml:space="preserve">e of $25.612 </w:t>
      </w:r>
      <w:r w:rsidRPr="006033CE">
        <w:t xml:space="preserve">million in the 2013-14 Budget from the 2012-13 estimated outcome is </w:t>
      </w:r>
      <w:r>
        <w:t xml:space="preserve">mainly </w:t>
      </w:r>
      <w:r w:rsidRPr="001066EC">
        <w:t>due to</w:t>
      </w:r>
      <w:r>
        <w:t xml:space="preserve"> the transfer of Shared Services from 1 July 2013 ($25.562 million)</w:t>
      </w:r>
      <w:r w:rsidR="0086260D">
        <w:t>.</w:t>
      </w:r>
    </w:p>
    <w:p w:rsidR="00F47828" w:rsidRPr="006033CE" w:rsidRDefault="00F47828" w:rsidP="006033CE">
      <w:pPr>
        <w:pStyle w:val="Heading4"/>
      </w:pPr>
      <w:r w:rsidRPr="006033CE">
        <w:t xml:space="preserve">Shared Services Finance Total </w:t>
      </w:r>
      <w:r w:rsidR="00B977EE">
        <w:t xml:space="preserve">Ordinary </w:t>
      </w:r>
      <w:r w:rsidRPr="006033CE">
        <w:t>Expenses</w:t>
      </w:r>
    </w:p>
    <w:p w:rsidR="001D1976" w:rsidRPr="004D5C44" w:rsidRDefault="00F47828" w:rsidP="001D1976">
      <w:pPr>
        <w:pStyle w:val="BodyTextIndent"/>
        <w:numPr>
          <w:ilvl w:val="0"/>
          <w:numId w:val="11"/>
        </w:numPr>
      </w:pPr>
      <w:proofErr w:type="gramStart"/>
      <w:r w:rsidRPr="006033CE">
        <w:t>the</w:t>
      </w:r>
      <w:proofErr w:type="gramEnd"/>
      <w:r w:rsidRPr="006033CE">
        <w:t xml:space="preserve"> increas</w:t>
      </w:r>
      <w:r>
        <w:t xml:space="preserve">e of $15.658 </w:t>
      </w:r>
      <w:r w:rsidRPr="006033CE">
        <w:t xml:space="preserve">million in the 2013-14 Budget from the 2012-13 estimated outcome is </w:t>
      </w:r>
      <w:r>
        <w:t xml:space="preserve">mainly </w:t>
      </w:r>
      <w:r w:rsidRPr="001066EC">
        <w:t>due to</w:t>
      </w:r>
      <w:r>
        <w:t xml:space="preserve"> the transfer of Shared Services from 1 July 2013 ($15.6 million)</w:t>
      </w:r>
      <w:r w:rsidR="0086260D">
        <w:t>.</w:t>
      </w:r>
    </w:p>
    <w:sectPr w:rsidR="001D1976" w:rsidRPr="004D5C44" w:rsidSect="006F5199">
      <w:footerReference w:type="default" r:id="rId8"/>
      <w:pgSz w:w="11907" w:h="16840" w:code="9"/>
      <w:pgMar w:top="1151" w:right="1440" w:bottom="1729" w:left="1440" w:header="720" w:footer="720" w:gutter="0"/>
      <w:pgNumType w:start="163"/>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ABC" w:rsidRDefault="005D7ABC">
      <w:r>
        <w:separator/>
      </w:r>
    </w:p>
  </w:endnote>
  <w:endnote w:type="continuationSeparator" w:id="0">
    <w:p w:rsidR="005D7ABC" w:rsidRDefault="005D7A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OfficinaSerif-Book">
    <w:panose1 w:val="00000000000000000000"/>
    <w:charset w:val="00"/>
    <w:family w:val="auto"/>
    <w:notTrueType/>
    <w:pitch w:val="default"/>
    <w:sig w:usb0="00000003" w:usb1="00000000" w:usb2="00000000" w:usb3="00000000" w:csb0="00000001" w:csb1="00000000"/>
  </w:font>
  <w:font w:name="Times New (W1)">
    <w:altName w:val="Times New Roman"/>
    <w:charset w:val="00"/>
    <w:family w:val="roman"/>
    <w:pitch w:val="variable"/>
    <w:sig w:usb0="20007A87" w:usb1="80000000" w:usb2="00000008"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ABC" w:rsidRDefault="005D7ABC">
    <w:pPr>
      <w:pStyle w:val="FooterBP"/>
    </w:pPr>
    <w:r>
      <w:t>2013-14 Budget Paper No. 4</w:t>
    </w:r>
    <w:r>
      <w:tab/>
    </w:r>
    <w:fldSimple w:instr=" PAGE   \* MERGEFORMAT ">
      <w:r w:rsidR="006B5B21">
        <w:rPr>
          <w:noProof/>
        </w:rPr>
        <w:t>174</w:t>
      </w:r>
    </w:fldSimple>
    <w:r>
      <w:tab/>
      <w:t>Commerce and Works Directorate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ABC" w:rsidRDefault="005D7ABC">
      <w:r>
        <w:separator/>
      </w:r>
    </w:p>
  </w:footnote>
  <w:footnote w:type="continuationSeparator" w:id="0">
    <w:p w:rsidR="005D7ABC" w:rsidRDefault="005D7A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7E1930"/>
    <w:lvl w:ilvl="0">
      <w:start w:val="1"/>
      <w:numFmt w:val="decimal"/>
      <w:pStyle w:val="ListBullet4"/>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Bullet3"/>
      <w:lvlText w:val="%1."/>
      <w:lvlJc w:val="left"/>
      <w:pPr>
        <w:tabs>
          <w:tab w:val="num" w:pos="1209"/>
        </w:tabs>
        <w:ind w:left="1209" w:hanging="360"/>
      </w:pPr>
      <w:rPr>
        <w:rFonts w:cs="Times New Roman"/>
      </w:rPr>
    </w:lvl>
  </w:abstractNum>
  <w:abstractNum w:abstractNumId="2">
    <w:nsid w:val="FFFFFF7E"/>
    <w:multiLevelType w:val="singleLevel"/>
    <w:tmpl w:val="E68AF69E"/>
    <w:lvl w:ilvl="0">
      <w:start w:val="1"/>
      <w:numFmt w:val="decimal"/>
      <w:pStyle w:val="ListBullet2"/>
      <w:lvlText w:val="%1."/>
      <w:lvlJc w:val="left"/>
      <w:pPr>
        <w:tabs>
          <w:tab w:val="num" w:pos="926"/>
        </w:tabs>
        <w:ind w:left="926" w:hanging="360"/>
      </w:pPr>
    </w:lvl>
  </w:abstractNum>
  <w:abstractNum w:abstractNumId="3">
    <w:nsid w:val="FFFFFF7F"/>
    <w:multiLevelType w:val="singleLevel"/>
    <w:tmpl w:val="691830A8"/>
    <w:lvl w:ilvl="0">
      <w:start w:val="1"/>
      <w:numFmt w:val="decimal"/>
      <w:pStyle w:val="ListBullet"/>
      <w:lvlText w:val="%1."/>
      <w:lvlJc w:val="left"/>
      <w:pPr>
        <w:tabs>
          <w:tab w:val="num" w:pos="643"/>
        </w:tabs>
        <w:ind w:left="643" w:hanging="360"/>
      </w:pPr>
    </w:lvl>
  </w:abstractNum>
  <w:abstractNum w:abstractNumId="4">
    <w:nsid w:val="FFFFFF80"/>
    <w:multiLevelType w:val="singleLevel"/>
    <w:tmpl w:val="73AC0CCE"/>
    <w:lvl w:ilvl="0">
      <w:start w:val="1"/>
      <w:numFmt w:val="bullet"/>
      <w:pStyle w:val="ListNumber2"/>
      <w:lvlText w:val=""/>
      <w:lvlJc w:val="left"/>
      <w:pPr>
        <w:tabs>
          <w:tab w:val="num" w:pos="1492"/>
        </w:tabs>
        <w:ind w:left="1492" w:hanging="360"/>
      </w:pPr>
      <w:rPr>
        <w:rFonts w:ascii="Symbol" w:hAnsi="Symbol" w:hint="default"/>
      </w:rPr>
    </w:lvl>
  </w:abstractNum>
  <w:abstractNum w:abstractNumId="5">
    <w:nsid w:val="FFFFFF81"/>
    <w:multiLevelType w:val="singleLevel"/>
    <w:tmpl w:val="A9E8A6EA"/>
    <w:lvl w:ilvl="0">
      <w:start w:val="1"/>
      <w:numFmt w:val="bullet"/>
      <w:pStyle w:val="ListNumber"/>
      <w:lvlText w:val=""/>
      <w:lvlJc w:val="left"/>
      <w:pPr>
        <w:tabs>
          <w:tab w:val="num" w:pos="1209"/>
        </w:tabs>
        <w:ind w:left="1209" w:hanging="360"/>
      </w:pPr>
      <w:rPr>
        <w:rFonts w:ascii="Symbol" w:hAnsi="Symbol" w:hint="default"/>
      </w:rPr>
    </w:lvl>
  </w:abstractNum>
  <w:abstractNum w:abstractNumId="6">
    <w:nsid w:val="FFFFFF82"/>
    <w:multiLevelType w:val="singleLevel"/>
    <w:tmpl w:val="CF686942"/>
    <w:lvl w:ilvl="0">
      <w:start w:val="1"/>
      <w:numFmt w:val="bullet"/>
      <w:pStyle w:val="TableTextIndent"/>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BodyTextIndent"/>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4"/>
      <w:lvlText w:val="%1."/>
      <w:lvlJc w:val="left"/>
      <w:pPr>
        <w:tabs>
          <w:tab w:val="num" w:pos="360"/>
        </w:tabs>
        <w:ind w:left="360" w:hanging="360"/>
      </w:pPr>
      <w:rPr>
        <w:rFonts w:cs="Times New Roman"/>
      </w:rPr>
    </w:lvl>
  </w:abstractNum>
  <w:abstractNum w:abstractNumId="9">
    <w:nsid w:val="FFFFFF89"/>
    <w:multiLevelType w:val="singleLevel"/>
    <w:tmpl w:val="363E3EFC"/>
    <w:lvl w:ilvl="0">
      <w:start w:val="1"/>
      <w:numFmt w:val="bullet"/>
      <w:pStyle w:val="AINotes"/>
      <w:lvlText w:val=""/>
      <w:lvlJc w:val="left"/>
      <w:pPr>
        <w:tabs>
          <w:tab w:val="num" w:pos="360"/>
        </w:tabs>
        <w:ind w:left="360" w:hanging="360"/>
      </w:pPr>
      <w:rPr>
        <w:rFonts w:ascii="Symbol" w:hAnsi="Symbol" w:hint="default"/>
      </w:rPr>
    </w:lvl>
  </w:abstractNum>
  <w:abstractNum w:abstractNumId="10">
    <w:nsid w:val="04BA11C5"/>
    <w:multiLevelType w:val="hybridMultilevel"/>
    <w:tmpl w:val="05F4BB08"/>
    <w:lvl w:ilvl="0" w:tplc="445C04A8">
      <w:start w:val="1"/>
      <w:numFmt w:val="bullet"/>
      <w:pStyle w:val="BodyTextIndent2"/>
      <w:lvlText w:val="–"/>
      <w:lvlJc w:val="left"/>
      <w:pPr>
        <w:tabs>
          <w:tab w:val="num" w:pos="717"/>
        </w:tabs>
        <w:ind w:left="717" w:hanging="360"/>
      </w:pPr>
      <w:rPr>
        <w:rFonts w:ascii="Times New Roman" w:hAnsi="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1">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hint="default"/>
      </w:rPr>
    </w:lvl>
    <w:lvl w:ilvl="1" w:tplc="0C090003" w:tentative="1">
      <w:start w:val="1"/>
      <w:numFmt w:val="bullet"/>
      <w:lvlText w:val="o"/>
      <w:lvlJc w:val="left"/>
      <w:pPr>
        <w:tabs>
          <w:tab w:val="num" w:pos="2880"/>
        </w:tabs>
        <w:ind w:left="2880" w:hanging="360"/>
      </w:pPr>
      <w:rPr>
        <w:rFonts w:ascii="Courier New" w:hAnsi="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nsid w:val="193B32EC"/>
    <w:multiLevelType w:val="hybridMultilevel"/>
    <w:tmpl w:val="9A123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4">
    <w:nsid w:val="20615D0F"/>
    <w:multiLevelType w:val="hybridMultilevel"/>
    <w:tmpl w:val="BAB072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nsid w:val="224E3BDC"/>
    <w:multiLevelType w:val="hybridMultilevel"/>
    <w:tmpl w:val="9A6CD248"/>
    <w:lvl w:ilvl="0" w:tplc="653AE3A8">
      <w:start w:val="1"/>
      <w:numFmt w:val="bullet"/>
      <w:pStyle w:val="ListNumber5"/>
      <w:lvlText w:val=""/>
      <w:lvlJc w:val="left"/>
      <w:pPr>
        <w:tabs>
          <w:tab w:val="num" w:pos="360"/>
        </w:tabs>
        <w:ind w:left="360" w:hanging="360"/>
      </w:pPr>
      <w:rPr>
        <w:rFonts w:ascii="Symbol" w:hAnsi="Symbol" w:hint="default"/>
      </w:rPr>
    </w:lvl>
    <w:lvl w:ilvl="1" w:tplc="6F8CDAD8">
      <w:numFmt w:val="bullet"/>
      <w:lvlText w:val="-"/>
      <w:lvlJc w:val="left"/>
      <w:pPr>
        <w:tabs>
          <w:tab w:val="num" w:pos="360"/>
        </w:tabs>
        <w:ind w:left="360" w:hanging="360"/>
      </w:pPr>
      <w:rPr>
        <w:rFonts w:ascii="Times New Roman" w:eastAsia="Times New Roman" w:hAnsi="Times New Roman" w:hint="default"/>
      </w:rPr>
    </w:lvl>
    <w:lvl w:ilvl="2" w:tplc="6F8CDAD8">
      <w:numFmt w:val="bullet"/>
      <w:lvlText w:val="-"/>
      <w:lvlJc w:val="left"/>
      <w:pPr>
        <w:tabs>
          <w:tab w:val="num" w:pos="1080"/>
        </w:tabs>
        <w:ind w:left="1080" w:hanging="360"/>
      </w:pPr>
      <w:rPr>
        <w:rFonts w:ascii="Times New Roman" w:eastAsia="Times New Roman" w:hAnsi="Times New Roman"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nsid w:val="48FC308C"/>
    <w:multiLevelType w:val="hybridMultilevel"/>
    <w:tmpl w:val="573871E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51255168"/>
    <w:multiLevelType w:val="hybridMultilevel"/>
    <w:tmpl w:val="728869A6"/>
    <w:lvl w:ilvl="0" w:tplc="59CA23DE">
      <w:start w:val="1"/>
      <w:numFmt w:val="lowerLetter"/>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8">
    <w:nsid w:val="64560CB7"/>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654266D3"/>
    <w:multiLevelType w:val="hybridMultilevel"/>
    <w:tmpl w:val="0E66A7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1E768A1"/>
    <w:multiLevelType w:val="multilevel"/>
    <w:tmpl w:val="0C090023"/>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21">
    <w:nsid w:val="735141C2"/>
    <w:multiLevelType w:val="hybridMultilevel"/>
    <w:tmpl w:val="4BD6E9D6"/>
    <w:lvl w:ilvl="0" w:tplc="85BAA5A2">
      <w:start w:val="1"/>
      <w:numFmt w:val="decimal"/>
      <w:lvlText w:val="%1."/>
      <w:lvlJc w:val="left"/>
      <w:pPr>
        <w:tabs>
          <w:tab w:val="num" w:pos="357"/>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2">
    <w:nsid w:val="73C466D5"/>
    <w:multiLevelType w:val="hybridMultilevel"/>
    <w:tmpl w:val="7A964C08"/>
    <w:lvl w:ilvl="0" w:tplc="0C090001">
      <w:start w:val="1"/>
      <w:numFmt w:val="bullet"/>
      <w:lvlText w:val=""/>
      <w:lvlJc w:val="left"/>
      <w:pPr>
        <w:ind w:left="360" w:hanging="360"/>
      </w:pPr>
      <w:rPr>
        <w:rFonts w:ascii="Symbol" w:hAnsi="Symbol" w:hint="default"/>
      </w:rPr>
    </w:lvl>
    <w:lvl w:ilvl="1" w:tplc="6F8CDAD8">
      <w:numFmt w:val="bullet"/>
      <w:lvlText w:val="-"/>
      <w:lvlJc w:val="left"/>
      <w:pPr>
        <w:ind w:left="1080" w:hanging="360"/>
      </w:pPr>
      <w:rPr>
        <w:rFonts w:ascii="Times New Roman" w:eastAsia="Times New Roman" w:hAnsi="Times New Roman"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77973333"/>
    <w:multiLevelType w:val="multilevel"/>
    <w:tmpl w:val="0C090023"/>
    <w:styleLink w:val="ArticleSection"/>
    <w:lvl w:ilvl="0">
      <w:start w:val="1"/>
      <w:numFmt w:val="upperRoman"/>
      <w:lvlText w:val="Article %1."/>
      <w:lvlJc w:val="left"/>
      <w:pPr>
        <w:tabs>
          <w:tab w:val="num" w:pos="1080"/>
        </w:tabs>
      </w:pPr>
      <w:rPr>
        <w:rFonts w:cs="Times New Roman"/>
      </w:rPr>
    </w:lvl>
    <w:lvl w:ilvl="1">
      <w:start w:val="1"/>
      <w:numFmt w:val="decimalZero"/>
      <w:isLgl/>
      <w:lvlText w:val="Section %1.%2"/>
      <w:lvlJc w:val="left"/>
      <w:pPr>
        <w:tabs>
          <w:tab w:val="num" w:pos="72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4">
    <w:nsid w:val="7B3730AD"/>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nsid w:val="7F1B0FA6"/>
    <w:multiLevelType w:val="hybridMultilevel"/>
    <w:tmpl w:val="35B605AA"/>
    <w:lvl w:ilvl="0" w:tplc="C7B279B2">
      <w:start w:val="1"/>
      <w:numFmt w:val="lowerLetter"/>
      <w:pStyle w:val="Tabletextindenta"/>
      <w:lvlText w:val="%1."/>
      <w:lvlJc w:val="left"/>
      <w:pPr>
        <w:tabs>
          <w:tab w:val="num" w:pos="360"/>
        </w:tabs>
        <w:ind w:left="357" w:hanging="357"/>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3"/>
  </w:num>
  <w:num w:numId="6">
    <w:abstractNumId w:val="2"/>
  </w:num>
  <w:num w:numId="7">
    <w:abstractNumId w:val="1"/>
  </w:num>
  <w:num w:numId="8">
    <w:abstractNumId w:val="0"/>
  </w:num>
  <w:num w:numId="9">
    <w:abstractNumId w:val="4"/>
  </w:num>
  <w:num w:numId="10">
    <w:abstractNumId w:val="8"/>
  </w:num>
  <w:num w:numId="11">
    <w:abstractNumId w:val="15"/>
  </w:num>
  <w:num w:numId="12">
    <w:abstractNumId w:val="21"/>
    <w:lvlOverride w:ilvl="0">
      <w:startOverride w:val="1"/>
    </w:lvlOverride>
  </w:num>
  <w:num w:numId="13">
    <w:abstractNumId w:val="17"/>
  </w:num>
  <w:num w:numId="14">
    <w:abstractNumId w:val="24"/>
  </w:num>
  <w:num w:numId="15">
    <w:abstractNumId w:val="18"/>
  </w:num>
  <w:num w:numId="16">
    <w:abstractNumId w:val="21"/>
  </w:num>
  <w:num w:numId="17">
    <w:abstractNumId w:val="23"/>
  </w:num>
  <w:num w:numId="18">
    <w:abstractNumId w:val="10"/>
  </w:num>
  <w:num w:numId="19">
    <w:abstractNumId w:val="13"/>
  </w:num>
  <w:num w:numId="20">
    <w:abstractNumId w:val="11"/>
  </w:num>
  <w:num w:numId="21">
    <w:abstractNumId w:val="20"/>
  </w:num>
  <w:num w:numId="22">
    <w:abstractNumId w:val="25"/>
  </w:num>
  <w:num w:numId="23">
    <w:abstractNumId w:val="19"/>
  </w:num>
  <w:num w:numId="2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num>
  <w:num w:numId="26">
    <w:abstractNumId w:val="21"/>
    <w:lvlOverride w:ilvl="0">
      <w:startOverride w:val="1"/>
    </w:lvlOverride>
  </w:num>
  <w:num w:numId="27">
    <w:abstractNumId w:val="21"/>
    <w:lvlOverride w:ilvl="0">
      <w:startOverride w:val="1"/>
    </w:lvlOverride>
  </w:num>
  <w:num w:numId="28">
    <w:abstractNumId w:val="21"/>
    <w:lvlOverride w:ilvl="0">
      <w:startOverride w:val="1"/>
    </w:lvlOverride>
  </w:num>
  <w:num w:numId="29">
    <w:abstractNumId w:val="21"/>
    <w:lvlOverride w:ilvl="0">
      <w:startOverride w:val="1"/>
    </w:lvlOverride>
  </w:num>
  <w:num w:numId="30">
    <w:abstractNumId w:val="21"/>
    <w:lvlOverride w:ilvl="0">
      <w:startOverride w:val="1"/>
    </w:lvlOverride>
  </w:num>
  <w:num w:numId="31">
    <w:abstractNumId w:val="17"/>
    <w:lvlOverride w:ilvl="0">
      <w:startOverride w:val="1"/>
    </w:lvlOverride>
  </w:num>
  <w:num w:numId="32">
    <w:abstractNumId w:val="17"/>
    <w:lvlOverride w:ilvl="0">
      <w:startOverride w:val="1"/>
    </w:lvlOverride>
  </w:num>
  <w:num w:numId="33">
    <w:abstractNumId w:val="21"/>
    <w:lvlOverride w:ilvl="0">
      <w:startOverride w:val="1"/>
    </w:lvlOverride>
  </w:num>
  <w:num w:numId="34">
    <w:abstractNumId w:val="12"/>
  </w:num>
  <w:num w:numId="35">
    <w:abstractNumId w:val="21"/>
    <w:lvlOverride w:ilvl="0">
      <w:startOverride w:val="1"/>
    </w:lvlOverride>
  </w:num>
  <w:num w:numId="36">
    <w:abstractNumId w:val="21"/>
    <w:lvlOverride w:ilvl="0">
      <w:startOverride w:val="1"/>
    </w:lvlOverride>
  </w:num>
  <w:num w:numId="37">
    <w:abstractNumId w:val="17"/>
    <w:lvlOverride w:ilvl="0">
      <w:startOverride w:val="1"/>
    </w:lvlOverride>
  </w:num>
  <w:num w:numId="38">
    <w:abstractNumId w:val="22"/>
  </w:num>
  <w:num w:numId="39">
    <w:abstractNumId w:val="16"/>
  </w:num>
  <w:num w:numId="40">
    <w:abstractNumId w:val="14"/>
  </w:num>
  <w:num w:numId="41">
    <w:abstractNumId w:val="10"/>
  </w:num>
  <w:num w:numId="42">
    <w:abstractNumId w:val="10"/>
  </w:num>
  <w:num w:numId="43">
    <w:abstractNumId w:val="10"/>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0004"/>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05F43"/>
    <w:rsid w:val="00004C8E"/>
    <w:rsid w:val="000054F9"/>
    <w:rsid w:val="00006020"/>
    <w:rsid w:val="000105AC"/>
    <w:rsid w:val="00024D92"/>
    <w:rsid w:val="00026C7A"/>
    <w:rsid w:val="000313CE"/>
    <w:rsid w:val="00031E73"/>
    <w:rsid w:val="000327DB"/>
    <w:rsid w:val="00032B5F"/>
    <w:rsid w:val="000446AB"/>
    <w:rsid w:val="00045309"/>
    <w:rsid w:val="000549BE"/>
    <w:rsid w:val="0006306F"/>
    <w:rsid w:val="0006332D"/>
    <w:rsid w:val="00073450"/>
    <w:rsid w:val="000746FC"/>
    <w:rsid w:val="0008434B"/>
    <w:rsid w:val="00084924"/>
    <w:rsid w:val="00095996"/>
    <w:rsid w:val="00095F67"/>
    <w:rsid w:val="000967B7"/>
    <w:rsid w:val="000A63DD"/>
    <w:rsid w:val="000A68E1"/>
    <w:rsid w:val="000A7746"/>
    <w:rsid w:val="000B0C8C"/>
    <w:rsid w:val="000B2CA0"/>
    <w:rsid w:val="000B3B87"/>
    <w:rsid w:val="000B41FB"/>
    <w:rsid w:val="000D1594"/>
    <w:rsid w:val="000E2F13"/>
    <w:rsid w:val="000E4113"/>
    <w:rsid w:val="000E4B44"/>
    <w:rsid w:val="000E4F1D"/>
    <w:rsid w:val="000E7D9B"/>
    <w:rsid w:val="000F5751"/>
    <w:rsid w:val="00101F45"/>
    <w:rsid w:val="001066EC"/>
    <w:rsid w:val="00112CCD"/>
    <w:rsid w:val="001228EF"/>
    <w:rsid w:val="00127693"/>
    <w:rsid w:val="00131F22"/>
    <w:rsid w:val="0014264A"/>
    <w:rsid w:val="001528E3"/>
    <w:rsid w:val="001621D6"/>
    <w:rsid w:val="00164A7B"/>
    <w:rsid w:val="001748D9"/>
    <w:rsid w:val="0017637B"/>
    <w:rsid w:val="001802A8"/>
    <w:rsid w:val="00180CF5"/>
    <w:rsid w:val="00181BC3"/>
    <w:rsid w:val="00183B49"/>
    <w:rsid w:val="00186196"/>
    <w:rsid w:val="00192EF1"/>
    <w:rsid w:val="00195009"/>
    <w:rsid w:val="001A58C5"/>
    <w:rsid w:val="001D082C"/>
    <w:rsid w:val="001D1976"/>
    <w:rsid w:val="001E3D23"/>
    <w:rsid w:val="001E4D41"/>
    <w:rsid w:val="001E5122"/>
    <w:rsid w:val="001E6E4E"/>
    <w:rsid w:val="001F2457"/>
    <w:rsid w:val="001F4E7E"/>
    <w:rsid w:val="001F7028"/>
    <w:rsid w:val="00205F43"/>
    <w:rsid w:val="00212281"/>
    <w:rsid w:val="00212661"/>
    <w:rsid w:val="002141A8"/>
    <w:rsid w:val="00217343"/>
    <w:rsid w:val="00222055"/>
    <w:rsid w:val="00232397"/>
    <w:rsid w:val="00235A70"/>
    <w:rsid w:val="002406B9"/>
    <w:rsid w:val="00245480"/>
    <w:rsid w:val="00247458"/>
    <w:rsid w:val="00264738"/>
    <w:rsid w:val="0026598E"/>
    <w:rsid w:val="00274B68"/>
    <w:rsid w:val="002750D7"/>
    <w:rsid w:val="00286868"/>
    <w:rsid w:val="00286D29"/>
    <w:rsid w:val="002A0131"/>
    <w:rsid w:val="002A5EFB"/>
    <w:rsid w:val="002C07F7"/>
    <w:rsid w:val="002C1833"/>
    <w:rsid w:val="002D01B0"/>
    <w:rsid w:val="002D3FB9"/>
    <w:rsid w:val="002D5D11"/>
    <w:rsid w:val="00302DB1"/>
    <w:rsid w:val="00327775"/>
    <w:rsid w:val="00327AD9"/>
    <w:rsid w:val="00334707"/>
    <w:rsid w:val="00336E04"/>
    <w:rsid w:val="0035645F"/>
    <w:rsid w:val="00367495"/>
    <w:rsid w:val="003719DB"/>
    <w:rsid w:val="00372DEB"/>
    <w:rsid w:val="00377450"/>
    <w:rsid w:val="00380EED"/>
    <w:rsid w:val="003825CB"/>
    <w:rsid w:val="00382CA9"/>
    <w:rsid w:val="003875C6"/>
    <w:rsid w:val="00394A42"/>
    <w:rsid w:val="00395DC0"/>
    <w:rsid w:val="003A4E63"/>
    <w:rsid w:val="003A588A"/>
    <w:rsid w:val="003C7AB1"/>
    <w:rsid w:val="003C7E8A"/>
    <w:rsid w:val="003D0BD9"/>
    <w:rsid w:val="003D2FDC"/>
    <w:rsid w:val="003D6C5D"/>
    <w:rsid w:val="003D6F2B"/>
    <w:rsid w:val="003D795A"/>
    <w:rsid w:val="003D7F0B"/>
    <w:rsid w:val="003E18FB"/>
    <w:rsid w:val="003E7192"/>
    <w:rsid w:val="003E7732"/>
    <w:rsid w:val="003F0932"/>
    <w:rsid w:val="003F0D7C"/>
    <w:rsid w:val="003F1782"/>
    <w:rsid w:val="003F1B25"/>
    <w:rsid w:val="003F490E"/>
    <w:rsid w:val="003F7C1C"/>
    <w:rsid w:val="00400011"/>
    <w:rsid w:val="004017F3"/>
    <w:rsid w:val="00403849"/>
    <w:rsid w:val="00405133"/>
    <w:rsid w:val="00406EEA"/>
    <w:rsid w:val="00411A37"/>
    <w:rsid w:val="004319A5"/>
    <w:rsid w:val="004345C3"/>
    <w:rsid w:val="00442C69"/>
    <w:rsid w:val="00444DBD"/>
    <w:rsid w:val="004526CC"/>
    <w:rsid w:val="0046110D"/>
    <w:rsid w:val="004630B7"/>
    <w:rsid w:val="004643BB"/>
    <w:rsid w:val="00464838"/>
    <w:rsid w:val="00476B75"/>
    <w:rsid w:val="00476B78"/>
    <w:rsid w:val="00486897"/>
    <w:rsid w:val="00487F6B"/>
    <w:rsid w:val="004919EF"/>
    <w:rsid w:val="00492362"/>
    <w:rsid w:val="00492978"/>
    <w:rsid w:val="004B0F8A"/>
    <w:rsid w:val="004B5215"/>
    <w:rsid w:val="004D3D8C"/>
    <w:rsid w:val="004D5C44"/>
    <w:rsid w:val="004F07D0"/>
    <w:rsid w:val="004F34B1"/>
    <w:rsid w:val="004F7F43"/>
    <w:rsid w:val="00503021"/>
    <w:rsid w:val="00507EFD"/>
    <w:rsid w:val="00513894"/>
    <w:rsid w:val="00515E1B"/>
    <w:rsid w:val="00526C57"/>
    <w:rsid w:val="00531C8D"/>
    <w:rsid w:val="00531CEF"/>
    <w:rsid w:val="00532EE0"/>
    <w:rsid w:val="00534F9C"/>
    <w:rsid w:val="00535756"/>
    <w:rsid w:val="00540A7E"/>
    <w:rsid w:val="005513BC"/>
    <w:rsid w:val="005538D4"/>
    <w:rsid w:val="0056547B"/>
    <w:rsid w:val="00572573"/>
    <w:rsid w:val="00573FAD"/>
    <w:rsid w:val="00575394"/>
    <w:rsid w:val="00580BE7"/>
    <w:rsid w:val="00585AE3"/>
    <w:rsid w:val="0058605E"/>
    <w:rsid w:val="00587FE1"/>
    <w:rsid w:val="0059418F"/>
    <w:rsid w:val="00594A35"/>
    <w:rsid w:val="005959B3"/>
    <w:rsid w:val="005A02AA"/>
    <w:rsid w:val="005A4AE4"/>
    <w:rsid w:val="005B0CF3"/>
    <w:rsid w:val="005B13A0"/>
    <w:rsid w:val="005B3EBE"/>
    <w:rsid w:val="005C0788"/>
    <w:rsid w:val="005D11CF"/>
    <w:rsid w:val="005D4207"/>
    <w:rsid w:val="005D7ABC"/>
    <w:rsid w:val="005E3FB3"/>
    <w:rsid w:val="005E491F"/>
    <w:rsid w:val="005E544F"/>
    <w:rsid w:val="005F18FE"/>
    <w:rsid w:val="005F301C"/>
    <w:rsid w:val="005F3B14"/>
    <w:rsid w:val="005F6BAB"/>
    <w:rsid w:val="005F748E"/>
    <w:rsid w:val="005F7769"/>
    <w:rsid w:val="0060200F"/>
    <w:rsid w:val="006033CE"/>
    <w:rsid w:val="0061092C"/>
    <w:rsid w:val="0062334B"/>
    <w:rsid w:val="00623F4F"/>
    <w:rsid w:val="0062449C"/>
    <w:rsid w:val="00624547"/>
    <w:rsid w:val="006258F6"/>
    <w:rsid w:val="00632B9F"/>
    <w:rsid w:val="006339B1"/>
    <w:rsid w:val="0063636B"/>
    <w:rsid w:val="006425CF"/>
    <w:rsid w:val="00644007"/>
    <w:rsid w:val="00646D19"/>
    <w:rsid w:val="00661B5A"/>
    <w:rsid w:val="00662EB7"/>
    <w:rsid w:val="00674D43"/>
    <w:rsid w:val="00675407"/>
    <w:rsid w:val="00681B77"/>
    <w:rsid w:val="0068489F"/>
    <w:rsid w:val="006852DE"/>
    <w:rsid w:val="0068720D"/>
    <w:rsid w:val="00691928"/>
    <w:rsid w:val="0069378D"/>
    <w:rsid w:val="00693EE8"/>
    <w:rsid w:val="00697EBA"/>
    <w:rsid w:val="006A4DF3"/>
    <w:rsid w:val="006B2572"/>
    <w:rsid w:val="006B2868"/>
    <w:rsid w:val="006B5B21"/>
    <w:rsid w:val="006C333F"/>
    <w:rsid w:val="006C62BA"/>
    <w:rsid w:val="006C6EE4"/>
    <w:rsid w:val="006C7B17"/>
    <w:rsid w:val="006D60D2"/>
    <w:rsid w:val="006D64A1"/>
    <w:rsid w:val="006E4935"/>
    <w:rsid w:val="006E4EB4"/>
    <w:rsid w:val="006E65A7"/>
    <w:rsid w:val="006F18B8"/>
    <w:rsid w:val="006F45A5"/>
    <w:rsid w:val="006F5199"/>
    <w:rsid w:val="006F6B17"/>
    <w:rsid w:val="007134DE"/>
    <w:rsid w:val="007159E4"/>
    <w:rsid w:val="00717F57"/>
    <w:rsid w:val="00722875"/>
    <w:rsid w:val="007305B0"/>
    <w:rsid w:val="0073418F"/>
    <w:rsid w:val="00737C7A"/>
    <w:rsid w:val="00750906"/>
    <w:rsid w:val="007511AD"/>
    <w:rsid w:val="007638A1"/>
    <w:rsid w:val="00763940"/>
    <w:rsid w:val="00764E89"/>
    <w:rsid w:val="0076772C"/>
    <w:rsid w:val="007709D9"/>
    <w:rsid w:val="00771A8C"/>
    <w:rsid w:val="0077608B"/>
    <w:rsid w:val="007760EA"/>
    <w:rsid w:val="0077628A"/>
    <w:rsid w:val="0077693D"/>
    <w:rsid w:val="00791A1A"/>
    <w:rsid w:val="007933F5"/>
    <w:rsid w:val="007952D1"/>
    <w:rsid w:val="00795855"/>
    <w:rsid w:val="007A2D8D"/>
    <w:rsid w:val="007B0194"/>
    <w:rsid w:val="007B1619"/>
    <w:rsid w:val="007B1B61"/>
    <w:rsid w:val="007B33F2"/>
    <w:rsid w:val="007B7A71"/>
    <w:rsid w:val="007C1C12"/>
    <w:rsid w:val="007C1E0A"/>
    <w:rsid w:val="007C3D0A"/>
    <w:rsid w:val="007C7F6A"/>
    <w:rsid w:val="007D5481"/>
    <w:rsid w:val="007D64ED"/>
    <w:rsid w:val="007E093A"/>
    <w:rsid w:val="007E0AFD"/>
    <w:rsid w:val="007E2F86"/>
    <w:rsid w:val="007E6AFB"/>
    <w:rsid w:val="007E71E1"/>
    <w:rsid w:val="007F28EF"/>
    <w:rsid w:val="007F4EFE"/>
    <w:rsid w:val="008043E1"/>
    <w:rsid w:val="0080466B"/>
    <w:rsid w:val="00810016"/>
    <w:rsid w:val="00811ED2"/>
    <w:rsid w:val="0081394C"/>
    <w:rsid w:val="00816500"/>
    <w:rsid w:val="00817769"/>
    <w:rsid w:val="00842065"/>
    <w:rsid w:val="00854F10"/>
    <w:rsid w:val="00856E42"/>
    <w:rsid w:val="0086260D"/>
    <w:rsid w:val="0086330F"/>
    <w:rsid w:val="00865E53"/>
    <w:rsid w:val="00867048"/>
    <w:rsid w:val="00873F73"/>
    <w:rsid w:val="008824E3"/>
    <w:rsid w:val="0088380B"/>
    <w:rsid w:val="00892678"/>
    <w:rsid w:val="008A2B7D"/>
    <w:rsid w:val="008A33FD"/>
    <w:rsid w:val="008A44EB"/>
    <w:rsid w:val="008A586C"/>
    <w:rsid w:val="008A6C62"/>
    <w:rsid w:val="008B0055"/>
    <w:rsid w:val="008D37EC"/>
    <w:rsid w:val="008D63BC"/>
    <w:rsid w:val="008D6B32"/>
    <w:rsid w:val="008E2A89"/>
    <w:rsid w:val="008E67E7"/>
    <w:rsid w:val="008F028D"/>
    <w:rsid w:val="009020CC"/>
    <w:rsid w:val="00903735"/>
    <w:rsid w:val="0090492A"/>
    <w:rsid w:val="00913E1E"/>
    <w:rsid w:val="009229D2"/>
    <w:rsid w:val="009231A3"/>
    <w:rsid w:val="00930656"/>
    <w:rsid w:val="00944DEB"/>
    <w:rsid w:val="00946C8A"/>
    <w:rsid w:val="0095339E"/>
    <w:rsid w:val="00957504"/>
    <w:rsid w:val="00960911"/>
    <w:rsid w:val="00963F4E"/>
    <w:rsid w:val="00965F3A"/>
    <w:rsid w:val="00967DEB"/>
    <w:rsid w:val="009741DB"/>
    <w:rsid w:val="00977585"/>
    <w:rsid w:val="00980739"/>
    <w:rsid w:val="0098076A"/>
    <w:rsid w:val="00981F1F"/>
    <w:rsid w:val="009A26C8"/>
    <w:rsid w:val="009A325A"/>
    <w:rsid w:val="009B11FC"/>
    <w:rsid w:val="009B4E2F"/>
    <w:rsid w:val="009B5795"/>
    <w:rsid w:val="009C1B60"/>
    <w:rsid w:val="009C4361"/>
    <w:rsid w:val="009D17AD"/>
    <w:rsid w:val="009D19F4"/>
    <w:rsid w:val="009D7024"/>
    <w:rsid w:val="009E1462"/>
    <w:rsid w:val="009F4BB3"/>
    <w:rsid w:val="00A10B77"/>
    <w:rsid w:val="00A1292C"/>
    <w:rsid w:val="00A137C3"/>
    <w:rsid w:val="00A21361"/>
    <w:rsid w:val="00A2295E"/>
    <w:rsid w:val="00A32015"/>
    <w:rsid w:val="00A64064"/>
    <w:rsid w:val="00A72D8D"/>
    <w:rsid w:val="00A76791"/>
    <w:rsid w:val="00A8255A"/>
    <w:rsid w:val="00A83DE1"/>
    <w:rsid w:val="00A847EB"/>
    <w:rsid w:val="00A85B7B"/>
    <w:rsid w:val="00A86E17"/>
    <w:rsid w:val="00A92674"/>
    <w:rsid w:val="00A9355E"/>
    <w:rsid w:val="00AA2E02"/>
    <w:rsid w:val="00AB024F"/>
    <w:rsid w:val="00AC19F0"/>
    <w:rsid w:val="00AC3577"/>
    <w:rsid w:val="00AC59A9"/>
    <w:rsid w:val="00AD16F0"/>
    <w:rsid w:val="00AD661D"/>
    <w:rsid w:val="00AE34A7"/>
    <w:rsid w:val="00AE5D1E"/>
    <w:rsid w:val="00AE5E20"/>
    <w:rsid w:val="00AF39D4"/>
    <w:rsid w:val="00AF3E3D"/>
    <w:rsid w:val="00B2293C"/>
    <w:rsid w:val="00B31800"/>
    <w:rsid w:val="00B31F8F"/>
    <w:rsid w:val="00B33FB4"/>
    <w:rsid w:val="00B446FB"/>
    <w:rsid w:val="00B50CAF"/>
    <w:rsid w:val="00B60512"/>
    <w:rsid w:val="00B60BD3"/>
    <w:rsid w:val="00B60C0E"/>
    <w:rsid w:val="00B62191"/>
    <w:rsid w:val="00B66956"/>
    <w:rsid w:val="00B75502"/>
    <w:rsid w:val="00B769B0"/>
    <w:rsid w:val="00B7741D"/>
    <w:rsid w:val="00B82FD8"/>
    <w:rsid w:val="00B93CC3"/>
    <w:rsid w:val="00B93F73"/>
    <w:rsid w:val="00B977EE"/>
    <w:rsid w:val="00BA14A9"/>
    <w:rsid w:val="00BA17D9"/>
    <w:rsid w:val="00BA285F"/>
    <w:rsid w:val="00BA3CCB"/>
    <w:rsid w:val="00BC25EA"/>
    <w:rsid w:val="00BC7B07"/>
    <w:rsid w:val="00BD4FD2"/>
    <w:rsid w:val="00BE01AF"/>
    <w:rsid w:val="00BE3794"/>
    <w:rsid w:val="00BE3EFC"/>
    <w:rsid w:val="00BE3EFE"/>
    <w:rsid w:val="00BE6B5A"/>
    <w:rsid w:val="00C02549"/>
    <w:rsid w:val="00C02945"/>
    <w:rsid w:val="00C02A36"/>
    <w:rsid w:val="00C03B0D"/>
    <w:rsid w:val="00C13B24"/>
    <w:rsid w:val="00C30B73"/>
    <w:rsid w:val="00C37D10"/>
    <w:rsid w:val="00C40B0F"/>
    <w:rsid w:val="00C602AD"/>
    <w:rsid w:val="00C6056C"/>
    <w:rsid w:val="00C62247"/>
    <w:rsid w:val="00C624C6"/>
    <w:rsid w:val="00C6617B"/>
    <w:rsid w:val="00C6670D"/>
    <w:rsid w:val="00C6696D"/>
    <w:rsid w:val="00C74776"/>
    <w:rsid w:val="00CB694F"/>
    <w:rsid w:val="00CC167E"/>
    <w:rsid w:val="00CC4DB6"/>
    <w:rsid w:val="00CD74DE"/>
    <w:rsid w:val="00CE5F27"/>
    <w:rsid w:val="00CE7E33"/>
    <w:rsid w:val="00CF005D"/>
    <w:rsid w:val="00CF3C86"/>
    <w:rsid w:val="00CF5997"/>
    <w:rsid w:val="00CF5E6E"/>
    <w:rsid w:val="00CF61A3"/>
    <w:rsid w:val="00CF6F54"/>
    <w:rsid w:val="00D00B48"/>
    <w:rsid w:val="00D00E6E"/>
    <w:rsid w:val="00D03DDC"/>
    <w:rsid w:val="00D1350F"/>
    <w:rsid w:val="00D1424C"/>
    <w:rsid w:val="00D169E5"/>
    <w:rsid w:val="00D2306B"/>
    <w:rsid w:val="00D260CE"/>
    <w:rsid w:val="00D30EF2"/>
    <w:rsid w:val="00D35C1F"/>
    <w:rsid w:val="00D44614"/>
    <w:rsid w:val="00D517D3"/>
    <w:rsid w:val="00D52216"/>
    <w:rsid w:val="00D52CCE"/>
    <w:rsid w:val="00D533FB"/>
    <w:rsid w:val="00D57066"/>
    <w:rsid w:val="00D570A2"/>
    <w:rsid w:val="00D61D0B"/>
    <w:rsid w:val="00D66233"/>
    <w:rsid w:val="00D765B0"/>
    <w:rsid w:val="00D77128"/>
    <w:rsid w:val="00D77AF8"/>
    <w:rsid w:val="00D861B5"/>
    <w:rsid w:val="00D96C7B"/>
    <w:rsid w:val="00DA0FA3"/>
    <w:rsid w:val="00DA11AB"/>
    <w:rsid w:val="00DA2A2D"/>
    <w:rsid w:val="00DA2F73"/>
    <w:rsid w:val="00DA5337"/>
    <w:rsid w:val="00DB64C4"/>
    <w:rsid w:val="00DC32A6"/>
    <w:rsid w:val="00DC34F3"/>
    <w:rsid w:val="00DC4D77"/>
    <w:rsid w:val="00DD0EE2"/>
    <w:rsid w:val="00DD207F"/>
    <w:rsid w:val="00DD4D4B"/>
    <w:rsid w:val="00DD4E00"/>
    <w:rsid w:val="00DD609F"/>
    <w:rsid w:val="00DD7747"/>
    <w:rsid w:val="00DE21FC"/>
    <w:rsid w:val="00DE58C2"/>
    <w:rsid w:val="00DE7347"/>
    <w:rsid w:val="00DF5FDC"/>
    <w:rsid w:val="00DF6F33"/>
    <w:rsid w:val="00DF78D3"/>
    <w:rsid w:val="00E04906"/>
    <w:rsid w:val="00E06A90"/>
    <w:rsid w:val="00E10DD2"/>
    <w:rsid w:val="00E12DD3"/>
    <w:rsid w:val="00E206F0"/>
    <w:rsid w:val="00E22453"/>
    <w:rsid w:val="00E26118"/>
    <w:rsid w:val="00E35AB7"/>
    <w:rsid w:val="00E41CBE"/>
    <w:rsid w:val="00E57080"/>
    <w:rsid w:val="00E60A0E"/>
    <w:rsid w:val="00E628F1"/>
    <w:rsid w:val="00E64EAD"/>
    <w:rsid w:val="00E64FDB"/>
    <w:rsid w:val="00E73AF2"/>
    <w:rsid w:val="00E7579A"/>
    <w:rsid w:val="00E77252"/>
    <w:rsid w:val="00E87448"/>
    <w:rsid w:val="00E937A1"/>
    <w:rsid w:val="00EA39B2"/>
    <w:rsid w:val="00EB0C1C"/>
    <w:rsid w:val="00EC324E"/>
    <w:rsid w:val="00EC3535"/>
    <w:rsid w:val="00EC4C21"/>
    <w:rsid w:val="00EC54C9"/>
    <w:rsid w:val="00EC75B2"/>
    <w:rsid w:val="00ED29A5"/>
    <w:rsid w:val="00EE1181"/>
    <w:rsid w:val="00EE19A9"/>
    <w:rsid w:val="00EE4AEA"/>
    <w:rsid w:val="00EF05E0"/>
    <w:rsid w:val="00EF0C31"/>
    <w:rsid w:val="00EF19BF"/>
    <w:rsid w:val="00F03818"/>
    <w:rsid w:val="00F04972"/>
    <w:rsid w:val="00F07730"/>
    <w:rsid w:val="00F07E98"/>
    <w:rsid w:val="00F137E7"/>
    <w:rsid w:val="00F17183"/>
    <w:rsid w:val="00F40F4E"/>
    <w:rsid w:val="00F410B4"/>
    <w:rsid w:val="00F41142"/>
    <w:rsid w:val="00F42ECE"/>
    <w:rsid w:val="00F43A84"/>
    <w:rsid w:val="00F45E78"/>
    <w:rsid w:val="00F47828"/>
    <w:rsid w:val="00F6091E"/>
    <w:rsid w:val="00F645CA"/>
    <w:rsid w:val="00F653D9"/>
    <w:rsid w:val="00F67E28"/>
    <w:rsid w:val="00F708D7"/>
    <w:rsid w:val="00F76FA6"/>
    <w:rsid w:val="00F83534"/>
    <w:rsid w:val="00F90DA2"/>
    <w:rsid w:val="00F923F8"/>
    <w:rsid w:val="00F947FC"/>
    <w:rsid w:val="00F95D9E"/>
    <w:rsid w:val="00FA01D3"/>
    <w:rsid w:val="00FA2000"/>
    <w:rsid w:val="00FA502E"/>
    <w:rsid w:val="00FA5419"/>
    <w:rsid w:val="00FB3601"/>
    <w:rsid w:val="00FB4BBE"/>
    <w:rsid w:val="00FC0177"/>
    <w:rsid w:val="00FD1D7A"/>
    <w:rsid w:val="00FD5214"/>
    <w:rsid w:val="00FD6965"/>
    <w:rsid w:val="00FD79A7"/>
    <w:rsid w:val="00FE166F"/>
    <w:rsid w:val="00FF580A"/>
    <w:rsid w:val="00FF739B"/>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99" w:unhideWhenUsed="1"/>
    <w:lsdException w:name="toa heading" w:semiHidden="1" w:unhideWhenUsed="1"/>
    <w:lsdException w:name="List" w:semiHidden="1" w:unhideWhenUsed="1"/>
    <w:lsdException w:name="List Bullet" w:locked="1"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uiPriority="99"/>
    <w:lsdException w:name="List Number 4" w:locked="1" w:uiPriority="99"/>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locked="1"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01D3"/>
    <w:rPr>
      <w:rFonts w:ascii="Calibri" w:hAnsi="Calibri"/>
      <w:sz w:val="24"/>
      <w:szCs w:val="20"/>
      <w:lang w:eastAsia="en-US"/>
    </w:rPr>
  </w:style>
  <w:style w:type="paragraph" w:styleId="Heading1">
    <w:name w:val="heading 1"/>
    <w:basedOn w:val="Normal"/>
    <w:next w:val="BodyText"/>
    <w:link w:val="Heading1Char"/>
    <w:qFormat/>
    <w:rsid w:val="00FA01D3"/>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FA01D3"/>
    <w:pPr>
      <w:keepNext/>
      <w:spacing w:before="60" w:after="60"/>
      <w:jc w:val="center"/>
      <w:outlineLvl w:val="1"/>
    </w:pPr>
    <w:rPr>
      <w:b/>
      <w:sz w:val="20"/>
    </w:rPr>
  </w:style>
  <w:style w:type="paragraph" w:styleId="Heading3">
    <w:name w:val="heading 3"/>
    <w:basedOn w:val="Normal"/>
    <w:next w:val="BodyText"/>
    <w:link w:val="Heading3Char"/>
    <w:qFormat/>
    <w:rsid w:val="00FA01D3"/>
    <w:pPr>
      <w:keepNext/>
      <w:keepLines/>
      <w:spacing w:before="240" w:after="60"/>
      <w:outlineLvl w:val="2"/>
    </w:pPr>
    <w:rPr>
      <w:rFonts w:ascii="Arial" w:hAnsi="Arial" w:cs="Arial"/>
      <w:b/>
      <w:bCs/>
      <w:szCs w:val="26"/>
    </w:rPr>
  </w:style>
  <w:style w:type="paragraph" w:styleId="Heading4">
    <w:name w:val="heading 4"/>
    <w:basedOn w:val="Normal"/>
    <w:next w:val="BodyText"/>
    <w:link w:val="Heading4Char"/>
    <w:qFormat/>
    <w:rsid w:val="00FA01D3"/>
    <w:pPr>
      <w:keepNext/>
      <w:keepLines/>
      <w:spacing w:before="240" w:after="120"/>
      <w:outlineLvl w:val="3"/>
    </w:pPr>
    <w:rPr>
      <w:i/>
    </w:rPr>
  </w:style>
  <w:style w:type="paragraph" w:styleId="Heading5">
    <w:name w:val="heading 5"/>
    <w:basedOn w:val="Normal"/>
    <w:next w:val="Normal"/>
    <w:link w:val="Heading5Char"/>
    <w:autoRedefine/>
    <w:qFormat/>
    <w:rsid w:val="00FA01D3"/>
    <w:pPr>
      <w:keepNext/>
      <w:numPr>
        <w:ilvl w:val="4"/>
        <w:numId w:val="21"/>
      </w:numPr>
      <w:outlineLvl w:val="4"/>
    </w:pPr>
    <w:rPr>
      <w:b/>
      <w:i/>
      <w:sz w:val="20"/>
    </w:rPr>
  </w:style>
  <w:style w:type="paragraph" w:styleId="Heading6">
    <w:name w:val="heading 6"/>
    <w:basedOn w:val="Normal"/>
    <w:next w:val="Normal"/>
    <w:link w:val="Heading6Char"/>
    <w:qFormat/>
    <w:rsid w:val="00FA01D3"/>
    <w:pPr>
      <w:keepNext/>
      <w:jc w:val="right"/>
      <w:outlineLvl w:val="5"/>
    </w:pPr>
    <w:rPr>
      <w:b/>
      <w:sz w:val="20"/>
    </w:rPr>
  </w:style>
  <w:style w:type="paragraph" w:styleId="Heading7">
    <w:name w:val="heading 7"/>
    <w:basedOn w:val="Normal"/>
    <w:next w:val="Normal"/>
    <w:link w:val="Heading7Char"/>
    <w:qFormat/>
    <w:rsid w:val="00FA01D3"/>
    <w:pPr>
      <w:keepNext/>
      <w:ind w:left="159" w:hanging="159"/>
      <w:outlineLvl w:val="6"/>
    </w:pPr>
    <w:rPr>
      <w:b/>
      <w:sz w:val="20"/>
    </w:rPr>
  </w:style>
  <w:style w:type="paragraph" w:styleId="Heading8">
    <w:name w:val="heading 8"/>
    <w:basedOn w:val="Normal"/>
    <w:next w:val="Normal"/>
    <w:link w:val="Heading8Char"/>
    <w:qFormat/>
    <w:rsid w:val="00FA01D3"/>
    <w:pPr>
      <w:keepNext/>
      <w:numPr>
        <w:ilvl w:val="7"/>
        <w:numId w:val="21"/>
      </w:numPr>
      <w:outlineLvl w:val="7"/>
    </w:pPr>
    <w:rPr>
      <w:rFonts w:ascii="Arial" w:hAnsi="Arial"/>
      <w:b/>
      <w:color w:val="000000"/>
      <w:sz w:val="20"/>
    </w:rPr>
  </w:style>
  <w:style w:type="paragraph" w:styleId="Heading9">
    <w:name w:val="heading 9"/>
    <w:basedOn w:val="Normal"/>
    <w:next w:val="Normal"/>
    <w:link w:val="Heading9Char"/>
    <w:qFormat/>
    <w:rsid w:val="00FA01D3"/>
    <w:pPr>
      <w:keepNext/>
      <w:numPr>
        <w:ilvl w:val="8"/>
        <w:numId w:val="21"/>
      </w:numPr>
      <w:spacing w:after="120"/>
      <w:outlineLvl w:val="8"/>
    </w:pPr>
    <w:rPr>
      <w:rFonts w:ascii="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64738"/>
    <w:rPr>
      <w:rFonts w:ascii="Arial" w:hAnsi="Arial" w:cs="Times New Roman"/>
      <w:b/>
      <w:caps/>
      <w:kern w:val="28"/>
      <w:sz w:val="28"/>
      <w:lang w:eastAsia="en-US"/>
    </w:rPr>
  </w:style>
  <w:style w:type="character" w:customStyle="1" w:styleId="Heading2Char">
    <w:name w:val="Heading 2 Char"/>
    <w:basedOn w:val="DefaultParagraphFont"/>
    <w:link w:val="Heading2"/>
    <w:locked/>
    <w:rsid w:val="00264738"/>
    <w:rPr>
      <w:rFonts w:ascii="Calibri" w:hAnsi="Calibri" w:cs="Times New Roman"/>
      <w:b/>
      <w:snapToGrid w:val="0"/>
      <w:lang w:eastAsia="en-US"/>
    </w:rPr>
  </w:style>
  <w:style w:type="character" w:customStyle="1" w:styleId="Heading3Char">
    <w:name w:val="Heading 3 Char"/>
    <w:basedOn w:val="DefaultParagraphFont"/>
    <w:link w:val="Heading3"/>
    <w:locked/>
    <w:rsid w:val="00264738"/>
    <w:rPr>
      <w:rFonts w:ascii="Arial" w:hAnsi="Arial" w:cs="Arial"/>
      <w:b/>
      <w:bCs/>
      <w:sz w:val="26"/>
      <w:szCs w:val="26"/>
      <w:lang w:eastAsia="en-US"/>
    </w:rPr>
  </w:style>
  <w:style w:type="character" w:customStyle="1" w:styleId="Heading4Char">
    <w:name w:val="Heading 4 Char"/>
    <w:basedOn w:val="DefaultParagraphFont"/>
    <w:link w:val="Heading4"/>
    <w:locked/>
    <w:rsid w:val="00264738"/>
    <w:rPr>
      <w:rFonts w:ascii="Calibri" w:hAnsi="Calibri" w:cs="Times New Roman"/>
      <w:i/>
      <w:sz w:val="24"/>
      <w:lang w:eastAsia="en-US"/>
    </w:rPr>
  </w:style>
  <w:style w:type="character" w:customStyle="1" w:styleId="Heading5Char">
    <w:name w:val="Heading 5 Char"/>
    <w:basedOn w:val="DefaultParagraphFont"/>
    <w:link w:val="Heading5"/>
    <w:locked/>
    <w:rsid w:val="00264738"/>
    <w:rPr>
      <w:rFonts w:ascii="Calibri" w:hAnsi="Calibri"/>
      <w:b/>
      <w:i/>
      <w:sz w:val="20"/>
      <w:szCs w:val="20"/>
      <w:lang w:eastAsia="en-US"/>
    </w:rPr>
  </w:style>
  <w:style w:type="character" w:customStyle="1" w:styleId="Heading6Char">
    <w:name w:val="Heading 6 Char"/>
    <w:basedOn w:val="DefaultParagraphFont"/>
    <w:link w:val="Heading6"/>
    <w:locked/>
    <w:rsid w:val="00264738"/>
    <w:rPr>
      <w:rFonts w:ascii="Calibri" w:hAnsi="Calibri" w:cs="Times New Roman"/>
      <w:b/>
      <w:lang w:eastAsia="en-US"/>
    </w:rPr>
  </w:style>
  <w:style w:type="character" w:customStyle="1" w:styleId="Heading7Char">
    <w:name w:val="Heading 7 Char"/>
    <w:basedOn w:val="DefaultParagraphFont"/>
    <w:link w:val="Heading7"/>
    <w:locked/>
    <w:rsid w:val="00264738"/>
    <w:rPr>
      <w:rFonts w:ascii="Calibri" w:hAnsi="Calibri" w:cs="Times New Roman"/>
      <w:b/>
      <w:lang w:eastAsia="en-US"/>
    </w:rPr>
  </w:style>
  <w:style w:type="character" w:customStyle="1" w:styleId="Heading8Char">
    <w:name w:val="Heading 8 Char"/>
    <w:basedOn w:val="DefaultParagraphFont"/>
    <w:link w:val="Heading8"/>
    <w:locked/>
    <w:rsid w:val="00264738"/>
    <w:rPr>
      <w:rFonts w:ascii="Arial" w:hAnsi="Arial"/>
      <w:b/>
      <w:color w:val="000000"/>
      <w:sz w:val="20"/>
      <w:szCs w:val="20"/>
      <w:lang w:eastAsia="en-US"/>
    </w:rPr>
  </w:style>
  <w:style w:type="character" w:customStyle="1" w:styleId="Heading9Char">
    <w:name w:val="Heading 9 Char"/>
    <w:basedOn w:val="DefaultParagraphFont"/>
    <w:link w:val="Heading9"/>
    <w:locked/>
    <w:rsid w:val="00264738"/>
    <w:rPr>
      <w:rFonts w:ascii="Arial" w:hAnsi="Arial" w:cs="Arial"/>
      <w:b/>
      <w:color w:val="000000"/>
      <w:sz w:val="18"/>
      <w:szCs w:val="20"/>
      <w:lang w:eastAsia="en-US"/>
    </w:rPr>
  </w:style>
  <w:style w:type="paragraph" w:customStyle="1" w:styleId="TableHeadingCentre">
    <w:name w:val="Table Heading Centre"/>
    <w:basedOn w:val="Normal"/>
    <w:rsid w:val="00FA01D3"/>
    <w:pPr>
      <w:keepNext/>
      <w:jc w:val="center"/>
    </w:pPr>
    <w:rPr>
      <w:b/>
      <w:sz w:val="20"/>
    </w:rPr>
  </w:style>
  <w:style w:type="character" w:customStyle="1" w:styleId="Heading3Char1">
    <w:name w:val="Heading 3 Char1"/>
    <w:basedOn w:val="DefaultParagraphFont"/>
    <w:link w:val="Heading3"/>
    <w:locked/>
    <w:rsid w:val="00264738"/>
    <w:rPr>
      <w:rFonts w:ascii="Arial" w:hAnsi="Arial" w:cs="Arial"/>
      <w:b/>
      <w:bCs/>
      <w:sz w:val="26"/>
      <w:szCs w:val="26"/>
      <w:lang w:val="en-AU" w:eastAsia="en-US" w:bidi="ar-SA"/>
    </w:rPr>
  </w:style>
  <w:style w:type="paragraph" w:styleId="BodyText">
    <w:name w:val="Body Text"/>
    <w:basedOn w:val="Normal"/>
    <w:link w:val="BodyTextChar"/>
    <w:rsid w:val="00FA01D3"/>
    <w:pPr>
      <w:keepNext/>
      <w:keepLines/>
      <w:spacing w:before="120" w:after="120"/>
      <w:jc w:val="both"/>
    </w:pPr>
  </w:style>
  <w:style w:type="character" w:customStyle="1" w:styleId="BodyTextChar">
    <w:name w:val="Body Text Char"/>
    <w:basedOn w:val="DefaultParagraphFont"/>
    <w:link w:val="BodyText"/>
    <w:locked/>
    <w:rsid w:val="00264738"/>
    <w:rPr>
      <w:rFonts w:ascii="Calibri" w:hAnsi="Calibri" w:cs="Times New Roman"/>
      <w:sz w:val="24"/>
      <w:lang w:eastAsia="en-US"/>
    </w:rPr>
  </w:style>
  <w:style w:type="paragraph" w:styleId="BodyTextIndent">
    <w:name w:val="Body Text Indent"/>
    <w:basedOn w:val="Normal"/>
    <w:next w:val="BodyText"/>
    <w:link w:val="BodyTextIndentChar"/>
    <w:rsid w:val="00FA01D3"/>
    <w:pPr>
      <w:keepNext/>
      <w:keepLines/>
      <w:numPr>
        <w:numId w:val="2"/>
      </w:numPr>
      <w:tabs>
        <w:tab w:val="clear" w:pos="643"/>
        <w:tab w:val="num" w:pos="360"/>
      </w:tabs>
      <w:spacing w:after="120"/>
      <w:ind w:left="360"/>
      <w:jc w:val="both"/>
    </w:pPr>
    <w:rPr>
      <w:szCs w:val="24"/>
    </w:rPr>
  </w:style>
  <w:style w:type="character" w:customStyle="1" w:styleId="BodyTextIndentChar">
    <w:name w:val="Body Text Indent Char"/>
    <w:basedOn w:val="DefaultParagraphFont"/>
    <w:link w:val="BodyTextIndent"/>
    <w:locked/>
    <w:rsid w:val="002406B9"/>
    <w:rPr>
      <w:rFonts w:ascii="Calibri" w:hAnsi="Calibri"/>
      <w:sz w:val="24"/>
      <w:szCs w:val="24"/>
      <w:lang w:eastAsia="en-US"/>
    </w:rPr>
  </w:style>
  <w:style w:type="paragraph" w:styleId="BodyTextIndent2">
    <w:name w:val="Body Text Indent 2"/>
    <w:basedOn w:val="Normal"/>
    <w:link w:val="BodyTextIndent2Char"/>
    <w:rsid w:val="00FA01D3"/>
    <w:pPr>
      <w:keepNext/>
      <w:keepLines/>
      <w:numPr>
        <w:numId w:val="18"/>
      </w:numPr>
      <w:spacing w:after="120"/>
      <w:jc w:val="both"/>
    </w:pPr>
  </w:style>
  <w:style w:type="character" w:customStyle="1" w:styleId="BodyTextIndent2Char">
    <w:name w:val="Body Text Indent 2 Char"/>
    <w:basedOn w:val="DefaultParagraphFont"/>
    <w:link w:val="BodyTextIndent2"/>
    <w:locked/>
    <w:rsid w:val="00264738"/>
    <w:rPr>
      <w:rFonts w:ascii="Calibri" w:hAnsi="Calibri"/>
      <w:sz w:val="24"/>
      <w:szCs w:val="20"/>
      <w:lang w:eastAsia="en-US"/>
    </w:rPr>
  </w:style>
  <w:style w:type="paragraph" w:styleId="BodyTextIndent3">
    <w:name w:val="Body Text Indent 3"/>
    <w:basedOn w:val="Normal"/>
    <w:link w:val="BodyTextIndent3Char"/>
    <w:rsid w:val="00FA01D3"/>
    <w:pPr>
      <w:keepNext/>
      <w:keepLines/>
      <w:numPr>
        <w:numId w:val="19"/>
      </w:numPr>
      <w:tabs>
        <w:tab w:val="left" w:pos="1134"/>
      </w:tabs>
      <w:spacing w:after="120"/>
      <w:jc w:val="both"/>
    </w:pPr>
    <w:rPr>
      <w:szCs w:val="24"/>
    </w:rPr>
  </w:style>
  <w:style w:type="character" w:customStyle="1" w:styleId="BodyTextIndent3Char">
    <w:name w:val="Body Text Indent 3 Char"/>
    <w:basedOn w:val="DefaultParagraphFont"/>
    <w:link w:val="BodyTextIndent3"/>
    <w:locked/>
    <w:rsid w:val="00264738"/>
    <w:rPr>
      <w:rFonts w:ascii="Calibri" w:hAnsi="Calibri"/>
      <w:sz w:val="24"/>
      <w:szCs w:val="24"/>
      <w:lang w:eastAsia="en-US"/>
    </w:rPr>
  </w:style>
  <w:style w:type="paragraph" w:customStyle="1" w:styleId="BodyTextIndent4">
    <w:name w:val="Body Text Indent 4"/>
    <w:basedOn w:val="BodyText"/>
    <w:next w:val="BodyText"/>
    <w:rsid w:val="00FA01D3"/>
    <w:pPr>
      <w:numPr>
        <w:numId w:val="20"/>
      </w:numPr>
      <w:spacing w:before="0"/>
    </w:pPr>
  </w:style>
  <w:style w:type="paragraph" w:customStyle="1" w:styleId="SIHeading1">
    <w:name w:val="SI Heading 1"/>
    <w:basedOn w:val="Normal"/>
    <w:next w:val="BodyText"/>
    <w:rsid w:val="00FA01D3"/>
    <w:pPr>
      <w:keepNext/>
      <w:keepLines/>
      <w:spacing w:before="240"/>
      <w:jc w:val="center"/>
      <w:outlineLvl w:val="0"/>
    </w:pPr>
    <w:rPr>
      <w:rFonts w:ascii="Arial" w:hAnsi="Arial"/>
      <w:b/>
      <w:kern w:val="28"/>
      <w:sz w:val="20"/>
    </w:rPr>
  </w:style>
  <w:style w:type="paragraph" w:customStyle="1" w:styleId="SIHeading2">
    <w:name w:val="SI Heading 2"/>
    <w:basedOn w:val="Normal"/>
    <w:next w:val="BodyText"/>
    <w:rsid w:val="00FA01D3"/>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rsid w:val="009231A3"/>
    <w:pPr>
      <w:numPr>
        <w:numId w:val="22"/>
      </w:numPr>
      <w:spacing w:before="60"/>
    </w:pPr>
    <w:rPr>
      <w:kern w:val="16"/>
      <w:sz w:val="20"/>
      <w:szCs w:val="24"/>
    </w:rPr>
  </w:style>
  <w:style w:type="paragraph" w:customStyle="1" w:styleId="TableTextRightBold">
    <w:name w:val="Table Text Right Bold"/>
    <w:basedOn w:val="Normal"/>
    <w:rsid w:val="00FA01D3"/>
    <w:pPr>
      <w:ind w:left="357" w:hanging="357"/>
      <w:jc w:val="right"/>
    </w:pPr>
    <w:rPr>
      <w:b/>
      <w:sz w:val="20"/>
    </w:rPr>
  </w:style>
  <w:style w:type="paragraph" w:customStyle="1" w:styleId="TableHeadingRight">
    <w:name w:val="Table Heading Right"/>
    <w:basedOn w:val="Normal"/>
    <w:rsid w:val="00FA01D3"/>
    <w:pPr>
      <w:keepNext/>
      <w:jc w:val="right"/>
    </w:pPr>
    <w:rPr>
      <w:b/>
      <w:sz w:val="20"/>
      <w:szCs w:val="24"/>
    </w:rPr>
  </w:style>
  <w:style w:type="paragraph" w:customStyle="1" w:styleId="NoteText">
    <w:name w:val="Note Text"/>
    <w:basedOn w:val="Normal"/>
    <w:rsid w:val="00FA01D3"/>
    <w:pPr>
      <w:jc w:val="both"/>
    </w:pPr>
    <w:rPr>
      <w:iCs/>
      <w:sz w:val="16"/>
    </w:rPr>
  </w:style>
  <w:style w:type="paragraph" w:styleId="Header">
    <w:name w:val="header"/>
    <w:basedOn w:val="Normal"/>
    <w:link w:val="HeaderChar"/>
    <w:semiHidden/>
    <w:rsid w:val="00FA01D3"/>
    <w:pPr>
      <w:tabs>
        <w:tab w:val="center" w:pos="4153"/>
        <w:tab w:val="right" w:pos="8306"/>
      </w:tabs>
    </w:pPr>
  </w:style>
  <w:style w:type="character" w:customStyle="1" w:styleId="HeaderChar">
    <w:name w:val="Header Char"/>
    <w:basedOn w:val="DefaultParagraphFont"/>
    <w:link w:val="Header"/>
    <w:semiHidden/>
    <w:locked/>
    <w:rsid w:val="00264738"/>
    <w:rPr>
      <w:rFonts w:ascii="Calibri" w:hAnsi="Calibri" w:cs="Times New Roman"/>
      <w:sz w:val="24"/>
      <w:lang w:eastAsia="en-US"/>
    </w:rPr>
  </w:style>
  <w:style w:type="paragraph" w:customStyle="1" w:styleId="Noteheading">
    <w:name w:val="Note heading"/>
    <w:basedOn w:val="Normal"/>
    <w:autoRedefine/>
    <w:rsid w:val="00FA01D3"/>
    <w:pPr>
      <w:spacing w:before="120"/>
      <w:ind w:left="28"/>
    </w:pPr>
    <w:rPr>
      <w:b/>
      <w:bCs/>
      <w:sz w:val="20"/>
    </w:rPr>
  </w:style>
  <w:style w:type="character" w:customStyle="1" w:styleId="BodyTextIndentChar1">
    <w:name w:val="Body Text Indent Char1"/>
    <w:basedOn w:val="DefaultParagraphFont"/>
    <w:link w:val="BodyTextIndent"/>
    <w:locked/>
    <w:rsid w:val="00264738"/>
    <w:rPr>
      <w:rFonts w:cs="Times New Roman"/>
      <w:sz w:val="24"/>
      <w:szCs w:val="24"/>
      <w:lang w:val="en-AU" w:eastAsia="en-US" w:bidi="ar-SA"/>
    </w:rPr>
  </w:style>
  <w:style w:type="paragraph" w:customStyle="1" w:styleId="TableHeadingLeft">
    <w:name w:val="Table Heading Left"/>
    <w:basedOn w:val="Normal"/>
    <w:link w:val="TableHeadingLeftChar"/>
    <w:rsid w:val="00FA01D3"/>
    <w:pPr>
      <w:keepNext/>
    </w:pPr>
    <w:rPr>
      <w:b/>
      <w:sz w:val="20"/>
      <w:lang w:eastAsia="en-AU"/>
    </w:rPr>
  </w:style>
  <w:style w:type="paragraph" w:customStyle="1" w:styleId="TableTextRight">
    <w:name w:val="Table Text Right"/>
    <w:basedOn w:val="Normal"/>
    <w:rsid w:val="00FA01D3"/>
    <w:pPr>
      <w:ind w:left="357" w:hanging="357"/>
      <w:jc w:val="right"/>
    </w:pPr>
    <w:rPr>
      <w:sz w:val="20"/>
    </w:rPr>
  </w:style>
  <w:style w:type="paragraph" w:customStyle="1" w:styleId="TableTextLeftBold">
    <w:name w:val="Table Text Left Bold"/>
    <w:basedOn w:val="Normal"/>
    <w:link w:val="TableTextLeftBoldChar"/>
    <w:rsid w:val="00FA01D3"/>
    <w:pPr>
      <w:ind w:left="357" w:hanging="357"/>
    </w:pPr>
    <w:rPr>
      <w:b/>
      <w:sz w:val="20"/>
    </w:rPr>
  </w:style>
  <w:style w:type="paragraph" w:customStyle="1" w:styleId="TableTextLeft">
    <w:name w:val="Table Text Left"/>
    <w:basedOn w:val="Normal"/>
    <w:rsid w:val="00FA01D3"/>
    <w:pPr>
      <w:ind w:left="357" w:hanging="357"/>
    </w:pPr>
    <w:rPr>
      <w:sz w:val="20"/>
      <w:szCs w:val="18"/>
    </w:rPr>
  </w:style>
  <w:style w:type="paragraph" w:customStyle="1" w:styleId="TableNumbersRight">
    <w:name w:val="Table Numbers Right"/>
    <w:basedOn w:val="TableHeadingRight"/>
    <w:rsid w:val="00FA01D3"/>
    <w:rPr>
      <w:b w:val="0"/>
    </w:rPr>
  </w:style>
  <w:style w:type="character" w:customStyle="1" w:styleId="TableHeadingLeftChar">
    <w:name w:val="Table Heading Left Char"/>
    <w:basedOn w:val="DefaultParagraphFont"/>
    <w:link w:val="TableHeadingLeft"/>
    <w:locked/>
    <w:rsid w:val="00264738"/>
    <w:rPr>
      <w:rFonts w:ascii="Calibri" w:hAnsi="Calibri" w:cs="Times New Roman"/>
      <w:b/>
    </w:rPr>
  </w:style>
  <w:style w:type="paragraph" w:customStyle="1" w:styleId="FooterBP">
    <w:name w:val="Footer BP"/>
    <w:basedOn w:val="Normal"/>
    <w:next w:val="Normal"/>
    <w:rsid w:val="00FA01D3"/>
    <w:pPr>
      <w:pBdr>
        <w:top w:val="single" w:sz="4" w:space="1" w:color="auto"/>
      </w:pBdr>
      <w:tabs>
        <w:tab w:val="center" w:pos="4536"/>
        <w:tab w:val="right" w:pos="9356"/>
      </w:tabs>
      <w:ind w:left="-284" w:right="-329"/>
    </w:pPr>
    <w:rPr>
      <w:i/>
      <w:sz w:val="20"/>
    </w:rPr>
  </w:style>
  <w:style w:type="paragraph" w:styleId="Footer">
    <w:name w:val="footer"/>
    <w:basedOn w:val="Normal"/>
    <w:link w:val="FooterChar"/>
    <w:semiHidden/>
    <w:rsid w:val="00FA01D3"/>
    <w:pPr>
      <w:tabs>
        <w:tab w:val="center" w:pos="4153"/>
        <w:tab w:val="right" w:pos="8306"/>
      </w:tabs>
    </w:pPr>
  </w:style>
  <w:style w:type="character" w:customStyle="1" w:styleId="FooterChar">
    <w:name w:val="Footer Char"/>
    <w:basedOn w:val="DefaultParagraphFont"/>
    <w:link w:val="Footer"/>
    <w:semiHidden/>
    <w:locked/>
    <w:rsid w:val="00264738"/>
    <w:rPr>
      <w:rFonts w:ascii="Calibri" w:hAnsi="Calibri" w:cs="Times New Roman"/>
      <w:sz w:val="24"/>
      <w:lang w:eastAsia="en-US"/>
    </w:rPr>
  </w:style>
  <w:style w:type="character" w:customStyle="1" w:styleId="TableTextLeftBoldChar">
    <w:name w:val="Table Text Left Bold Char"/>
    <w:basedOn w:val="DefaultParagraphFont"/>
    <w:link w:val="TableTextLeftBold"/>
    <w:locked/>
    <w:rsid w:val="00264738"/>
    <w:rPr>
      <w:rFonts w:ascii="Calibri" w:hAnsi="Calibri" w:cs="Times New Roman"/>
      <w:b/>
      <w:lang w:eastAsia="en-US"/>
    </w:rPr>
  </w:style>
  <w:style w:type="paragraph" w:customStyle="1" w:styleId="Heading3TopofPage">
    <w:name w:val="Heading 3 Top of Page"/>
    <w:basedOn w:val="Heading3"/>
    <w:next w:val="BodyText"/>
    <w:link w:val="Heading3TopofPageChar"/>
    <w:rsid w:val="00FA01D3"/>
    <w:pPr>
      <w:spacing w:before="0"/>
    </w:pPr>
    <w:rPr>
      <w:rFonts w:cs="Times New Roman"/>
      <w:lang w:eastAsia="en-AU"/>
    </w:rPr>
  </w:style>
  <w:style w:type="paragraph" w:customStyle="1" w:styleId="Heading3Centred">
    <w:name w:val="Heading 3 Centred"/>
    <w:basedOn w:val="Heading3"/>
    <w:next w:val="BodyText"/>
    <w:rsid w:val="00FA01D3"/>
    <w:pPr>
      <w:spacing w:before="0"/>
      <w:jc w:val="center"/>
    </w:pPr>
    <w:rPr>
      <w:rFonts w:cs="Times New Roman"/>
      <w:lang w:eastAsia="en-AU"/>
    </w:rPr>
  </w:style>
  <w:style w:type="paragraph" w:styleId="BodyText2">
    <w:name w:val="Body Text 2"/>
    <w:basedOn w:val="Normal"/>
    <w:link w:val="BodyText2Char"/>
    <w:semiHidden/>
    <w:rsid w:val="00FA01D3"/>
    <w:pPr>
      <w:spacing w:after="120" w:line="480" w:lineRule="auto"/>
    </w:pPr>
  </w:style>
  <w:style w:type="character" w:customStyle="1" w:styleId="BodyText2Char">
    <w:name w:val="Body Text 2 Char"/>
    <w:basedOn w:val="DefaultParagraphFont"/>
    <w:link w:val="BodyText2"/>
    <w:uiPriority w:val="99"/>
    <w:semiHidden/>
    <w:locked/>
    <w:rsid w:val="00B31F8F"/>
    <w:rPr>
      <w:rFonts w:ascii="Calibri" w:hAnsi="Calibri" w:cs="Times New Roman"/>
      <w:sz w:val="20"/>
      <w:szCs w:val="20"/>
      <w:lang w:eastAsia="en-US"/>
    </w:rPr>
  </w:style>
  <w:style w:type="paragraph" w:customStyle="1" w:styleId="SinglePara">
    <w:name w:val="Single Para"/>
    <w:basedOn w:val="Normal"/>
    <w:semiHidden/>
    <w:rsid w:val="00FA01D3"/>
  </w:style>
  <w:style w:type="paragraph" w:customStyle="1" w:styleId="xl25">
    <w:name w:val="xl25"/>
    <w:basedOn w:val="Normal"/>
    <w:semiHidden/>
    <w:rsid w:val="00FA01D3"/>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FA01D3"/>
    <w:rPr>
      <w:sz w:val="20"/>
      <w:lang w:val="en-US"/>
    </w:rPr>
  </w:style>
  <w:style w:type="character" w:customStyle="1" w:styleId="PlainTextChar">
    <w:name w:val="Plain Text Char"/>
    <w:basedOn w:val="DefaultParagraphFont"/>
    <w:link w:val="PlainText"/>
    <w:semiHidden/>
    <w:locked/>
    <w:rsid w:val="00264738"/>
    <w:rPr>
      <w:rFonts w:ascii="Calibri" w:hAnsi="Calibri" w:cs="Times New Roman"/>
      <w:lang w:val="en-US" w:eastAsia="en-US"/>
    </w:rPr>
  </w:style>
  <w:style w:type="paragraph" w:styleId="BalloonText">
    <w:name w:val="Balloon Text"/>
    <w:basedOn w:val="Normal"/>
    <w:link w:val="BalloonTextChar"/>
    <w:semiHidden/>
    <w:rsid w:val="00FA01D3"/>
    <w:rPr>
      <w:rFonts w:ascii="Tahoma" w:hAnsi="Tahoma" w:cs="Tahoma"/>
      <w:sz w:val="16"/>
      <w:szCs w:val="16"/>
    </w:rPr>
  </w:style>
  <w:style w:type="character" w:customStyle="1" w:styleId="BalloonTextChar">
    <w:name w:val="Balloon Text Char"/>
    <w:basedOn w:val="DefaultParagraphFont"/>
    <w:link w:val="BalloonText"/>
    <w:semiHidden/>
    <w:locked/>
    <w:rsid w:val="00264738"/>
    <w:rPr>
      <w:rFonts w:ascii="Tahoma" w:hAnsi="Tahoma" w:cs="Tahoma"/>
      <w:sz w:val="16"/>
      <w:szCs w:val="16"/>
      <w:lang w:eastAsia="en-US"/>
    </w:rPr>
  </w:style>
  <w:style w:type="paragraph" w:customStyle="1" w:styleId="Sub-Heading">
    <w:name w:val="Sub-Heading"/>
    <w:basedOn w:val="Normal"/>
    <w:next w:val="BodyText"/>
    <w:rsid w:val="00FA01D3"/>
    <w:pPr>
      <w:keepNext/>
      <w:spacing w:before="240" w:after="120"/>
      <w:outlineLvl w:val="0"/>
    </w:pPr>
    <w:rPr>
      <w:rFonts w:ascii="Arial" w:hAnsi="Arial"/>
      <w:i/>
    </w:rPr>
  </w:style>
  <w:style w:type="paragraph" w:customStyle="1" w:styleId="Sub-Heading2">
    <w:name w:val="Sub-Heading 2"/>
    <w:basedOn w:val="BodyText"/>
    <w:semiHidden/>
    <w:rsid w:val="00FA01D3"/>
    <w:rPr>
      <w:i/>
    </w:rPr>
  </w:style>
  <w:style w:type="paragraph" w:customStyle="1" w:styleId="TableName">
    <w:name w:val="Table Name"/>
    <w:basedOn w:val="Normal"/>
    <w:rsid w:val="00FA01D3"/>
    <w:pPr>
      <w:keepNext/>
      <w:keepLines/>
      <w:spacing w:after="120"/>
      <w:jc w:val="center"/>
    </w:pPr>
    <w:rPr>
      <w:rFonts w:ascii="Arial" w:hAnsi="Arial"/>
      <w:b/>
      <w:sz w:val="20"/>
    </w:rPr>
  </w:style>
  <w:style w:type="paragraph" w:customStyle="1" w:styleId="AIblurb">
    <w:name w:val="AI blurb"/>
    <w:basedOn w:val="Normal"/>
    <w:rsid w:val="00FA01D3"/>
    <w:pPr>
      <w:spacing w:before="120" w:after="240"/>
      <w:ind w:left="380"/>
      <w:jc w:val="both"/>
    </w:pPr>
    <w:rPr>
      <w:sz w:val="20"/>
    </w:rPr>
  </w:style>
  <w:style w:type="paragraph" w:styleId="BodyText3">
    <w:name w:val="Body Text 3"/>
    <w:basedOn w:val="Normal"/>
    <w:link w:val="BodyText3Char"/>
    <w:semiHidden/>
    <w:rsid w:val="00FA01D3"/>
    <w:pPr>
      <w:spacing w:after="120"/>
    </w:pPr>
    <w:rPr>
      <w:sz w:val="16"/>
      <w:szCs w:val="16"/>
    </w:rPr>
  </w:style>
  <w:style w:type="character" w:customStyle="1" w:styleId="BodyText3Char">
    <w:name w:val="Body Text 3 Char"/>
    <w:basedOn w:val="DefaultParagraphFont"/>
    <w:link w:val="BodyText3"/>
    <w:semiHidden/>
    <w:locked/>
    <w:rsid w:val="00264738"/>
    <w:rPr>
      <w:rFonts w:ascii="Calibri" w:hAnsi="Calibri" w:cs="Times New Roman"/>
      <w:sz w:val="16"/>
      <w:szCs w:val="16"/>
      <w:lang w:eastAsia="en-US"/>
    </w:rPr>
  </w:style>
  <w:style w:type="paragraph" w:customStyle="1" w:styleId="AINotes">
    <w:name w:val="AI Notes"/>
    <w:basedOn w:val="Normal"/>
    <w:link w:val="AINotesChar"/>
    <w:rsid w:val="00FA01D3"/>
    <w:pPr>
      <w:numPr>
        <w:numId w:val="1"/>
      </w:numPr>
      <w:tabs>
        <w:tab w:val="clear" w:pos="360"/>
        <w:tab w:val="num" w:pos="357"/>
      </w:tabs>
      <w:ind w:left="357" w:hanging="357"/>
      <w:jc w:val="both"/>
    </w:pPr>
    <w:rPr>
      <w:sz w:val="16"/>
    </w:rPr>
  </w:style>
  <w:style w:type="paragraph" w:customStyle="1" w:styleId="n">
    <w:name w:val="n"/>
    <w:basedOn w:val="Normal"/>
    <w:semiHidden/>
    <w:rsid w:val="00FA01D3"/>
    <w:pPr>
      <w:jc w:val="both"/>
    </w:pPr>
    <w:rPr>
      <w:sz w:val="16"/>
      <w:szCs w:val="24"/>
    </w:rPr>
  </w:style>
  <w:style w:type="paragraph" w:customStyle="1" w:styleId="Notes">
    <w:name w:val="Notes"/>
    <w:basedOn w:val="Normal"/>
    <w:semiHidden/>
    <w:rsid w:val="00FA01D3"/>
    <w:pPr>
      <w:spacing w:before="120"/>
      <w:ind w:left="28"/>
    </w:pPr>
    <w:rPr>
      <w:b/>
      <w:sz w:val="20"/>
      <w:szCs w:val="24"/>
    </w:rPr>
  </w:style>
  <w:style w:type="paragraph" w:styleId="BlockText">
    <w:name w:val="Block Text"/>
    <w:basedOn w:val="Normal"/>
    <w:semiHidden/>
    <w:rsid w:val="00FA01D3"/>
    <w:pPr>
      <w:spacing w:after="120"/>
      <w:ind w:left="1440" w:right="1440"/>
    </w:pPr>
  </w:style>
  <w:style w:type="paragraph" w:styleId="BodyTextFirstIndent">
    <w:name w:val="Body Text First Indent"/>
    <w:basedOn w:val="BodyText"/>
    <w:link w:val="BodyTextFirstIndentChar"/>
    <w:semiHidden/>
    <w:rsid w:val="00FA01D3"/>
    <w:pPr>
      <w:spacing w:before="0"/>
      <w:ind w:firstLine="210"/>
      <w:jc w:val="left"/>
    </w:pPr>
  </w:style>
  <w:style w:type="character" w:customStyle="1" w:styleId="BodyTextFirstIndentChar">
    <w:name w:val="Body Text First Indent Char"/>
    <w:basedOn w:val="BodyTextChar"/>
    <w:link w:val="BodyTextFirstIndent"/>
    <w:uiPriority w:val="99"/>
    <w:semiHidden/>
    <w:locked/>
    <w:rsid w:val="00B31F8F"/>
    <w:rPr>
      <w:sz w:val="20"/>
      <w:szCs w:val="20"/>
    </w:rPr>
  </w:style>
  <w:style w:type="paragraph" w:styleId="BodyTextFirstIndent2">
    <w:name w:val="Body Text First Indent 2"/>
    <w:basedOn w:val="BodyTextIndent"/>
    <w:link w:val="BodyTextFirstIndent2Char"/>
    <w:semiHidden/>
    <w:rsid w:val="00FA01D3"/>
    <w:pPr>
      <w:numPr>
        <w:numId w:val="0"/>
      </w:numPr>
      <w:ind w:left="283" w:firstLine="210"/>
      <w:jc w:val="left"/>
    </w:pPr>
  </w:style>
  <w:style w:type="character" w:customStyle="1" w:styleId="BodyTextFirstIndent2Char">
    <w:name w:val="Body Text First Indent 2 Char"/>
    <w:basedOn w:val="BodyTextIndentChar1"/>
    <w:link w:val="BodyTextFirstIndent2"/>
    <w:uiPriority w:val="99"/>
    <w:semiHidden/>
    <w:locked/>
    <w:rsid w:val="00B31F8F"/>
    <w:rPr>
      <w:rFonts w:ascii="Calibri" w:hAnsi="Calibri"/>
      <w:sz w:val="20"/>
      <w:szCs w:val="20"/>
    </w:rPr>
  </w:style>
  <w:style w:type="paragraph" w:styleId="Closing">
    <w:name w:val="Closing"/>
    <w:basedOn w:val="Normal"/>
    <w:link w:val="ClosingChar"/>
    <w:semiHidden/>
    <w:rsid w:val="00FA01D3"/>
    <w:pPr>
      <w:ind w:left="4252"/>
    </w:pPr>
  </w:style>
  <w:style w:type="character" w:customStyle="1" w:styleId="ClosingChar">
    <w:name w:val="Closing Char"/>
    <w:basedOn w:val="DefaultParagraphFont"/>
    <w:link w:val="Closing"/>
    <w:uiPriority w:val="99"/>
    <w:semiHidden/>
    <w:locked/>
    <w:rsid w:val="00B31F8F"/>
    <w:rPr>
      <w:rFonts w:ascii="Calibri" w:hAnsi="Calibri" w:cs="Times New Roman"/>
      <w:sz w:val="20"/>
      <w:szCs w:val="20"/>
      <w:lang w:eastAsia="en-US"/>
    </w:rPr>
  </w:style>
  <w:style w:type="paragraph" w:styleId="Date">
    <w:name w:val="Date"/>
    <w:basedOn w:val="Normal"/>
    <w:next w:val="Normal"/>
    <w:link w:val="DateChar"/>
    <w:semiHidden/>
    <w:rsid w:val="00FA01D3"/>
  </w:style>
  <w:style w:type="character" w:customStyle="1" w:styleId="DateChar">
    <w:name w:val="Date Char"/>
    <w:basedOn w:val="DefaultParagraphFont"/>
    <w:link w:val="Date"/>
    <w:uiPriority w:val="99"/>
    <w:semiHidden/>
    <w:locked/>
    <w:rsid w:val="00B31F8F"/>
    <w:rPr>
      <w:rFonts w:ascii="Calibri" w:hAnsi="Calibri" w:cs="Times New Roman"/>
      <w:sz w:val="20"/>
      <w:szCs w:val="20"/>
      <w:lang w:eastAsia="en-US"/>
    </w:rPr>
  </w:style>
  <w:style w:type="paragraph" w:styleId="E-mailSignature">
    <w:name w:val="E-mail Signature"/>
    <w:basedOn w:val="Normal"/>
    <w:link w:val="E-mailSignatureChar"/>
    <w:semiHidden/>
    <w:rsid w:val="00FA01D3"/>
  </w:style>
  <w:style w:type="character" w:customStyle="1" w:styleId="E-mailSignatureChar">
    <w:name w:val="E-mail Signature Char"/>
    <w:basedOn w:val="DefaultParagraphFont"/>
    <w:link w:val="E-mailSignature"/>
    <w:uiPriority w:val="99"/>
    <w:semiHidden/>
    <w:locked/>
    <w:rsid w:val="00B31F8F"/>
    <w:rPr>
      <w:rFonts w:ascii="Calibri" w:hAnsi="Calibri" w:cs="Times New Roman"/>
      <w:sz w:val="20"/>
      <w:szCs w:val="20"/>
      <w:lang w:eastAsia="en-US"/>
    </w:rPr>
  </w:style>
  <w:style w:type="character" w:styleId="Emphasis">
    <w:name w:val="Emphasis"/>
    <w:basedOn w:val="DefaultParagraphFont"/>
    <w:qFormat/>
    <w:rsid w:val="00FA01D3"/>
    <w:rPr>
      <w:rFonts w:ascii="Calibri" w:hAnsi="Calibri" w:cs="Times New Roman"/>
      <w:i/>
      <w:iCs/>
    </w:rPr>
  </w:style>
  <w:style w:type="paragraph" w:styleId="EnvelopeAddress">
    <w:name w:val="envelope address"/>
    <w:basedOn w:val="Normal"/>
    <w:semiHidden/>
    <w:rsid w:val="00FA01D3"/>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FA01D3"/>
    <w:rPr>
      <w:rFonts w:ascii="Arial" w:hAnsi="Arial" w:cs="Arial"/>
      <w:sz w:val="20"/>
    </w:rPr>
  </w:style>
  <w:style w:type="character" w:styleId="FollowedHyperlink">
    <w:name w:val="FollowedHyperlink"/>
    <w:basedOn w:val="DefaultParagraphFont"/>
    <w:semiHidden/>
    <w:rsid w:val="00FA01D3"/>
    <w:rPr>
      <w:rFonts w:cs="Times New Roman"/>
      <w:color w:val="800080"/>
      <w:u w:val="single"/>
    </w:rPr>
  </w:style>
  <w:style w:type="character" w:styleId="HTMLAcronym">
    <w:name w:val="HTML Acronym"/>
    <w:basedOn w:val="DefaultParagraphFont"/>
    <w:semiHidden/>
    <w:rsid w:val="00FA01D3"/>
    <w:rPr>
      <w:rFonts w:cs="Times New Roman"/>
    </w:rPr>
  </w:style>
  <w:style w:type="paragraph" w:styleId="HTMLAddress">
    <w:name w:val="HTML Address"/>
    <w:basedOn w:val="Normal"/>
    <w:link w:val="HTMLAddressChar"/>
    <w:semiHidden/>
    <w:rsid w:val="00FA01D3"/>
    <w:rPr>
      <w:i/>
      <w:iCs/>
    </w:rPr>
  </w:style>
  <w:style w:type="character" w:customStyle="1" w:styleId="HTMLAddressChar">
    <w:name w:val="HTML Address Char"/>
    <w:basedOn w:val="DefaultParagraphFont"/>
    <w:link w:val="HTMLAddress"/>
    <w:uiPriority w:val="99"/>
    <w:semiHidden/>
    <w:locked/>
    <w:rsid w:val="00B31F8F"/>
    <w:rPr>
      <w:rFonts w:ascii="Calibri" w:hAnsi="Calibri" w:cs="Times New Roman"/>
      <w:i/>
      <w:iCs/>
      <w:sz w:val="20"/>
      <w:szCs w:val="20"/>
      <w:lang w:eastAsia="en-US"/>
    </w:rPr>
  </w:style>
  <w:style w:type="character" w:styleId="HTMLCite">
    <w:name w:val="HTML Cite"/>
    <w:basedOn w:val="DefaultParagraphFont"/>
    <w:semiHidden/>
    <w:rsid w:val="00FA01D3"/>
    <w:rPr>
      <w:rFonts w:cs="Times New Roman"/>
      <w:i/>
      <w:iCs/>
    </w:rPr>
  </w:style>
  <w:style w:type="character" w:styleId="HTMLCode">
    <w:name w:val="HTML Code"/>
    <w:basedOn w:val="DefaultParagraphFont"/>
    <w:semiHidden/>
    <w:rsid w:val="00FA01D3"/>
    <w:rPr>
      <w:rFonts w:ascii="Courier New" w:hAnsi="Courier New" w:cs="Courier New"/>
      <w:sz w:val="20"/>
      <w:szCs w:val="20"/>
    </w:rPr>
  </w:style>
  <w:style w:type="character" w:styleId="HTMLDefinition">
    <w:name w:val="HTML Definition"/>
    <w:basedOn w:val="DefaultParagraphFont"/>
    <w:semiHidden/>
    <w:rsid w:val="00FA01D3"/>
    <w:rPr>
      <w:rFonts w:cs="Times New Roman"/>
      <w:i/>
      <w:iCs/>
    </w:rPr>
  </w:style>
  <w:style w:type="character" w:styleId="HTMLKeyboard">
    <w:name w:val="HTML Keyboard"/>
    <w:basedOn w:val="DefaultParagraphFont"/>
    <w:semiHidden/>
    <w:rsid w:val="00FA01D3"/>
    <w:rPr>
      <w:rFonts w:ascii="Courier New" w:hAnsi="Courier New" w:cs="Courier New"/>
      <w:sz w:val="20"/>
      <w:szCs w:val="20"/>
    </w:rPr>
  </w:style>
  <w:style w:type="paragraph" w:styleId="HTMLPreformatted">
    <w:name w:val="HTML Preformatted"/>
    <w:basedOn w:val="Normal"/>
    <w:link w:val="HTMLPreformattedChar"/>
    <w:semiHidden/>
    <w:rsid w:val="00FA01D3"/>
    <w:rPr>
      <w:rFonts w:ascii="Courier New" w:hAnsi="Courier New" w:cs="Courier New"/>
      <w:sz w:val="20"/>
    </w:rPr>
  </w:style>
  <w:style w:type="character" w:customStyle="1" w:styleId="HTMLPreformattedChar">
    <w:name w:val="HTML Preformatted Char"/>
    <w:basedOn w:val="DefaultParagraphFont"/>
    <w:link w:val="HTMLPreformatted"/>
    <w:uiPriority w:val="99"/>
    <w:semiHidden/>
    <w:locked/>
    <w:rsid w:val="00B31F8F"/>
    <w:rPr>
      <w:rFonts w:ascii="Courier New" w:hAnsi="Courier New" w:cs="Courier New"/>
      <w:sz w:val="20"/>
      <w:szCs w:val="20"/>
      <w:lang w:eastAsia="en-US"/>
    </w:rPr>
  </w:style>
  <w:style w:type="character" w:styleId="HTMLSample">
    <w:name w:val="HTML Sample"/>
    <w:basedOn w:val="DefaultParagraphFont"/>
    <w:semiHidden/>
    <w:rsid w:val="00FA01D3"/>
    <w:rPr>
      <w:rFonts w:ascii="Courier New" w:hAnsi="Courier New" w:cs="Courier New"/>
    </w:rPr>
  </w:style>
  <w:style w:type="character" w:styleId="HTMLTypewriter">
    <w:name w:val="HTML Typewriter"/>
    <w:basedOn w:val="DefaultParagraphFont"/>
    <w:semiHidden/>
    <w:rsid w:val="00FA01D3"/>
    <w:rPr>
      <w:rFonts w:ascii="Courier New" w:hAnsi="Courier New" w:cs="Courier New"/>
      <w:sz w:val="20"/>
      <w:szCs w:val="20"/>
    </w:rPr>
  </w:style>
  <w:style w:type="character" w:styleId="HTMLVariable">
    <w:name w:val="HTML Variable"/>
    <w:basedOn w:val="DefaultParagraphFont"/>
    <w:semiHidden/>
    <w:rsid w:val="00FA01D3"/>
    <w:rPr>
      <w:rFonts w:cs="Times New Roman"/>
      <w:i/>
      <w:iCs/>
    </w:rPr>
  </w:style>
  <w:style w:type="character" w:styleId="Hyperlink">
    <w:name w:val="Hyperlink"/>
    <w:basedOn w:val="DefaultParagraphFont"/>
    <w:semiHidden/>
    <w:rsid w:val="00FA01D3"/>
    <w:rPr>
      <w:rFonts w:cs="Times New Roman"/>
      <w:color w:val="0000FF"/>
      <w:u w:val="single"/>
    </w:rPr>
  </w:style>
  <w:style w:type="character" w:styleId="LineNumber">
    <w:name w:val="line number"/>
    <w:basedOn w:val="DefaultParagraphFont"/>
    <w:semiHidden/>
    <w:rsid w:val="00FA01D3"/>
    <w:rPr>
      <w:rFonts w:cs="Times New Roman"/>
    </w:rPr>
  </w:style>
  <w:style w:type="paragraph" w:styleId="List">
    <w:name w:val="List"/>
    <w:basedOn w:val="Normal"/>
    <w:semiHidden/>
    <w:rsid w:val="00FA01D3"/>
    <w:pPr>
      <w:ind w:left="283" w:hanging="283"/>
    </w:pPr>
  </w:style>
  <w:style w:type="paragraph" w:styleId="List2">
    <w:name w:val="List 2"/>
    <w:basedOn w:val="Normal"/>
    <w:semiHidden/>
    <w:rsid w:val="00FA01D3"/>
    <w:pPr>
      <w:ind w:left="566" w:hanging="283"/>
    </w:pPr>
  </w:style>
  <w:style w:type="paragraph" w:styleId="List3">
    <w:name w:val="List 3"/>
    <w:basedOn w:val="Normal"/>
    <w:semiHidden/>
    <w:rsid w:val="00FA01D3"/>
    <w:pPr>
      <w:ind w:left="849" w:hanging="283"/>
    </w:pPr>
  </w:style>
  <w:style w:type="paragraph" w:styleId="List4">
    <w:name w:val="List 4"/>
    <w:basedOn w:val="Normal"/>
    <w:semiHidden/>
    <w:rsid w:val="00FA01D3"/>
    <w:pPr>
      <w:ind w:left="1132" w:hanging="283"/>
    </w:pPr>
  </w:style>
  <w:style w:type="paragraph" w:styleId="List5">
    <w:name w:val="List 5"/>
    <w:basedOn w:val="Normal"/>
    <w:semiHidden/>
    <w:rsid w:val="00FA01D3"/>
    <w:pPr>
      <w:ind w:left="1415" w:hanging="283"/>
    </w:pPr>
  </w:style>
  <w:style w:type="paragraph" w:styleId="ListBullet">
    <w:name w:val="List Bullet"/>
    <w:basedOn w:val="Normal"/>
    <w:uiPriority w:val="99"/>
    <w:semiHidden/>
    <w:rsid w:val="00FA01D3"/>
    <w:pPr>
      <w:numPr>
        <w:numId w:val="5"/>
      </w:numPr>
      <w:tabs>
        <w:tab w:val="clear" w:pos="643"/>
        <w:tab w:val="num" w:pos="360"/>
      </w:tabs>
      <w:ind w:left="360"/>
    </w:pPr>
  </w:style>
  <w:style w:type="paragraph" w:styleId="ListBullet2">
    <w:name w:val="List Bullet 2"/>
    <w:basedOn w:val="Normal"/>
    <w:semiHidden/>
    <w:rsid w:val="00FA01D3"/>
    <w:pPr>
      <w:numPr>
        <w:numId w:val="6"/>
      </w:numPr>
      <w:tabs>
        <w:tab w:val="clear" w:pos="926"/>
        <w:tab w:val="num" w:pos="643"/>
      </w:tabs>
      <w:ind w:left="643"/>
    </w:pPr>
  </w:style>
  <w:style w:type="paragraph" w:styleId="ListBullet3">
    <w:name w:val="List Bullet 3"/>
    <w:basedOn w:val="Normal"/>
    <w:semiHidden/>
    <w:rsid w:val="00FA01D3"/>
    <w:pPr>
      <w:numPr>
        <w:numId w:val="7"/>
      </w:numPr>
      <w:tabs>
        <w:tab w:val="clear" w:pos="1209"/>
        <w:tab w:val="num" w:pos="926"/>
      </w:tabs>
      <w:ind w:left="926"/>
    </w:pPr>
  </w:style>
  <w:style w:type="paragraph" w:styleId="ListBullet4">
    <w:name w:val="List Bullet 4"/>
    <w:basedOn w:val="Normal"/>
    <w:semiHidden/>
    <w:rsid w:val="00FA01D3"/>
    <w:pPr>
      <w:numPr>
        <w:numId w:val="8"/>
      </w:numPr>
      <w:tabs>
        <w:tab w:val="clear" w:pos="1492"/>
        <w:tab w:val="num" w:pos="1209"/>
      </w:tabs>
      <w:ind w:left="1209"/>
    </w:pPr>
  </w:style>
  <w:style w:type="paragraph" w:styleId="ListBullet5">
    <w:name w:val="List Bullet 5"/>
    <w:basedOn w:val="Normal"/>
    <w:semiHidden/>
    <w:rsid w:val="00FA01D3"/>
    <w:pPr>
      <w:tabs>
        <w:tab w:val="num" w:pos="1492"/>
      </w:tabs>
      <w:ind w:left="1492" w:hanging="360"/>
    </w:pPr>
  </w:style>
  <w:style w:type="paragraph" w:styleId="ListContinue">
    <w:name w:val="List Continue"/>
    <w:basedOn w:val="Normal"/>
    <w:semiHidden/>
    <w:rsid w:val="00FA01D3"/>
    <w:pPr>
      <w:spacing w:after="120"/>
      <w:ind w:left="283"/>
    </w:pPr>
  </w:style>
  <w:style w:type="paragraph" w:styleId="ListContinue2">
    <w:name w:val="List Continue 2"/>
    <w:basedOn w:val="Normal"/>
    <w:semiHidden/>
    <w:rsid w:val="00FA01D3"/>
    <w:pPr>
      <w:spacing w:after="120"/>
      <w:ind w:left="566"/>
    </w:pPr>
  </w:style>
  <w:style w:type="paragraph" w:styleId="ListContinue3">
    <w:name w:val="List Continue 3"/>
    <w:basedOn w:val="Normal"/>
    <w:semiHidden/>
    <w:rsid w:val="00FA01D3"/>
    <w:pPr>
      <w:spacing w:after="120"/>
      <w:ind w:left="849"/>
    </w:pPr>
  </w:style>
  <w:style w:type="paragraph" w:styleId="ListContinue4">
    <w:name w:val="List Continue 4"/>
    <w:basedOn w:val="Normal"/>
    <w:semiHidden/>
    <w:rsid w:val="00FA01D3"/>
    <w:pPr>
      <w:spacing w:after="120"/>
      <w:ind w:left="1132"/>
    </w:pPr>
  </w:style>
  <w:style w:type="paragraph" w:styleId="ListContinue5">
    <w:name w:val="List Continue 5"/>
    <w:basedOn w:val="Normal"/>
    <w:semiHidden/>
    <w:rsid w:val="00FA01D3"/>
    <w:pPr>
      <w:spacing w:after="120"/>
      <w:ind w:left="1415"/>
    </w:pPr>
  </w:style>
  <w:style w:type="paragraph" w:styleId="ListNumber">
    <w:name w:val="List Number"/>
    <w:basedOn w:val="Normal"/>
    <w:semiHidden/>
    <w:rsid w:val="00FA01D3"/>
    <w:pPr>
      <w:numPr>
        <w:numId w:val="4"/>
      </w:numPr>
      <w:tabs>
        <w:tab w:val="clear" w:pos="1209"/>
        <w:tab w:val="num" w:pos="360"/>
      </w:tabs>
      <w:ind w:left="360"/>
    </w:pPr>
  </w:style>
  <w:style w:type="paragraph" w:styleId="ListNumber2">
    <w:name w:val="List Number 2"/>
    <w:basedOn w:val="Normal"/>
    <w:semiHidden/>
    <w:rsid w:val="00FA01D3"/>
    <w:pPr>
      <w:numPr>
        <w:numId w:val="9"/>
      </w:numPr>
      <w:tabs>
        <w:tab w:val="clear" w:pos="1492"/>
        <w:tab w:val="num" w:pos="643"/>
      </w:tabs>
      <w:ind w:left="643"/>
    </w:pPr>
  </w:style>
  <w:style w:type="paragraph" w:styleId="ListNumber3">
    <w:name w:val="List Number 3"/>
    <w:basedOn w:val="Normal"/>
    <w:uiPriority w:val="99"/>
    <w:semiHidden/>
    <w:rsid w:val="00FA01D3"/>
    <w:pPr>
      <w:tabs>
        <w:tab w:val="num" w:pos="926"/>
      </w:tabs>
      <w:ind w:left="926" w:hanging="360"/>
    </w:pPr>
  </w:style>
  <w:style w:type="paragraph" w:styleId="ListNumber4">
    <w:name w:val="List Number 4"/>
    <w:basedOn w:val="Normal"/>
    <w:uiPriority w:val="99"/>
    <w:semiHidden/>
    <w:rsid w:val="00FA01D3"/>
    <w:pPr>
      <w:numPr>
        <w:numId w:val="10"/>
      </w:numPr>
      <w:tabs>
        <w:tab w:val="clear" w:pos="360"/>
        <w:tab w:val="num" w:pos="1209"/>
      </w:tabs>
      <w:ind w:left="1209"/>
    </w:pPr>
  </w:style>
  <w:style w:type="paragraph" w:styleId="ListNumber5">
    <w:name w:val="List Number 5"/>
    <w:basedOn w:val="Normal"/>
    <w:semiHidden/>
    <w:rsid w:val="00FA01D3"/>
    <w:pPr>
      <w:numPr>
        <w:numId w:val="11"/>
      </w:numPr>
      <w:tabs>
        <w:tab w:val="clear" w:pos="360"/>
        <w:tab w:val="num" w:pos="1492"/>
      </w:tabs>
      <w:ind w:left="1492"/>
    </w:pPr>
  </w:style>
  <w:style w:type="paragraph" w:styleId="MessageHeader">
    <w:name w:val="Message Header"/>
    <w:basedOn w:val="Normal"/>
    <w:link w:val="MessageHeaderChar"/>
    <w:semiHidden/>
    <w:rsid w:val="00FA01D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character" w:customStyle="1" w:styleId="MessageHeaderChar">
    <w:name w:val="Message Header Char"/>
    <w:basedOn w:val="DefaultParagraphFont"/>
    <w:link w:val="MessageHeader"/>
    <w:uiPriority w:val="99"/>
    <w:semiHidden/>
    <w:locked/>
    <w:rsid w:val="00B31F8F"/>
    <w:rPr>
      <w:rFonts w:ascii="Cambria" w:hAnsi="Cambria" w:cs="Times New Roman"/>
      <w:sz w:val="24"/>
      <w:szCs w:val="24"/>
      <w:shd w:val="pct20" w:color="auto" w:fill="auto"/>
      <w:lang w:eastAsia="en-US"/>
    </w:rPr>
  </w:style>
  <w:style w:type="paragraph" w:styleId="NormalWeb">
    <w:name w:val="Normal (Web)"/>
    <w:basedOn w:val="Normal"/>
    <w:semiHidden/>
    <w:rsid w:val="00FA01D3"/>
    <w:rPr>
      <w:szCs w:val="24"/>
    </w:rPr>
  </w:style>
  <w:style w:type="paragraph" w:styleId="NormalIndent">
    <w:name w:val="Normal Indent"/>
    <w:basedOn w:val="Normal"/>
    <w:semiHidden/>
    <w:rsid w:val="00FA01D3"/>
    <w:pPr>
      <w:ind w:left="720"/>
    </w:pPr>
  </w:style>
  <w:style w:type="character" w:styleId="PageNumber">
    <w:name w:val="page number"/>
    <w:basedOn w:val="DefaultParagraphFont"/>
    <w:semiHidden/>
    <w:rsid w:val="00FA01D3"/>
    <w:rPr>
      <w:rFonts w:cs="Times New Roman"/>
    </w:rPr>
  </w:style>
  <w:style w:type="paragraph" w:styleId="Salutation">
    <w:name w:val="Salutation"/>
    <w:basedOn w:val="Normal"/>
    <w:next w:val="Normal"/>
    <w:link w:val="SalutationChar"/>
    <w:semiHidden/>
    <w:rsid w:val="00FA01D3"/>
  </w:style>
  <w:style w:type="character" w:customStyle="1" w:styleId="SalutationChar">
    <w:name w:val="Salutation Char"/>
    <w:basedOn w:val="DefaultParagraphFont"/>
    <w:link w:val="Salutation"/>
    <w:uiPriority w:val="99"/>
    <w:semiHidden/>
    <w:locked/>
    <w:rsid w:val="00B31F8F"/>
    <w:rPr>
      <w:rFonts w:ascii="Calibri" w:hAnsi="Calibri" w:cs="Times New Roman"/>
      <w:sz w:val="20"/>
      <w:szCs w:val="20"/>
      <w:lang w:eastAsia="en-US"/>
    </w:rPr>
  </w:style>
  <w:style w:type="paragraph" w:styleId="Signature">
    <w:name w:val="Signature"/>
    <w:basedOn w:val="Normal"/>
    <w:link w:val="SignatureChar"/>
    <w:semiHidden/>
    <w:rsid w:val="00FA01D3"/>
    <w:pPr>
      <w:ind w:left="4252"/>
    </w:pPr>
  </w:style>
  <w:style w:type="character" w:customStyle="1" w:styleId="SignatureChar">
    <w:name w:val="Signature Char"/>
    <w:basedOn w:val="DefaultParagraphFont"/>
    <w:link w:val="Signature"/>
    <w:uiPriority w:val="99"/>
    <w:semiHidden/>
    <w:locked/>
    <w:rsid w:val="00B31F8F"/>
    <w:rPr>
      <w:rFonts w:ascii="Calibri" w:hAnsi="Calibri" w:cs="Times New Roman"/>
      <w:sz w:val="20"/>
      <w:szCs w:val="20"/>
      <w:lang w:eastAsia="en-US"/>
    </w:rPr>
  </w:style>
  <w:style w:type="character" w:styleId="Strong">
    <w:name w:val="Strong"/>
    <w:basedOn w:val="DefaultParagraphFont"/>
    <w:qFormat/>
    <w:rsid w:val="00FA01D3"/>
    <w:rPr>
      <w:rFonts w:cs="Times New Roman"/>
      <w:b/>
      <w:bCs/>
    </w:rPr>
  </w:style>
  <w:style w:type="paragraph" w:styleId="Subtitle">
    <w:name w:val="Subtitle"/>
    <w:basedOn w:val="Normal"/>
    <w:link w:val="SubtitleChar"/>
    <w:qFormat/>
    <w:rsid w:val="00FA01D3"/>
    <w:pPr>
      <w:spacing w:after="60"/>
      <w:jc w:val="center"/>
      <w:outlineLvl w:val="1"/>
    </w:pPr>
    <w:rPr>
      <w:rFonts w:ascii="Arial" w:hAnsi="Arial" w:cs="Arial"/>
      <w:szCs w:val="24"/>
    </w:rPr>
  </w:style>
  <w:style w:type="character" w:customStyle="1" w:styleId="SubtitleChar">
    <w:name w:val="Subtitle Char"/>
    <w:basedOn w:val="DefaultParagraphFont"/>
    <w:link w:val="Subtitle"/>
    <w:locked/>
    <w:rsid w:val="00264738"/>
    <w:rPr>
      <w:rFonts w:ascii="Arial" w:hAnsi="Arial" w:cs="Arial"/>
      <w:sz w:val="24"/>
      <w:szCs w:val="24"/>
      <w:lang w:eastAsia="en-US"/>
    </w:rPr>
  </w:style>
  <w:style w:type="table" w:styleId="Table3Deffects1">
    <w:name w:val="Table 3D effects 1"/>
    <w:basedOn w:val="TableNormal"/>
    <w:semiHidden/>
    <w:rsid w:val="00FA01D3"/>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FA01D3"/>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FA01D3"/>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FA01D3"/>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FA01D3"/>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FA01D3"/>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FA01D3"/>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FA01D3"/>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FA01D3"/>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FA01D3"/>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FA01D3"/>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FA01D3"/>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FA01D3"/>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FA01D3"/>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FA01D3"/>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FA01D3"/>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FA01D3"/>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rsid w:val="00FA01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FA01D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FA01D3"/>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FA01D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FA01D3"/>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FA01D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FA01D3"/>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FA01D3"/>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FA01D3"/>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FA01D3"/>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FA01D3"/>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FA01D3"/>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FA01D3"/>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FA01D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FA01D3"/>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FA01D3"/>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FA01D3"/>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FA01D3"/>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FA01D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FA01D3"/>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FA01D3"/>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FA01D3"/>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FA01D3"/>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FA01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FA01D3"/>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FA01D3"/>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FA01D3"/>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qFormat/>
    <w:rsid w:val="00FA01D3"/>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locked/>
    <w:rsid w:val="00264738"/>
    <w:rPr>
      <w:rFonts w:ascii="Arial" w:hAnsi="Arial" w:cs="Arial"/>
      <w:b/>
      <w:bCs/>
      <w:kern w:val="28"/>
      <w:sz w:val="32"/>
      <w:szCs w:val="32"/>
      <w:lang w:eastAsia="en-US"/>
    </w:rPr>
  </w:style>
  <w:style w:type="paragraph" w:styleId="NoteHeading0">
    <w:name w:val="Note Heading"/>
    <w:basedOn w:val="Normal"/>
    <w:next w:val="Normal"/>
    <w:link w:val="NoteHeadingChar"/>
    <w:rsid w:val="00FA01D3"/>
    <w:pPr>
      <w:spacing w:before="120"/>
    </w:pPr>
    <w:rPr>
      <w:b/>
      <w:sz w:val="16"/>
    </w:rPr>
  </w:style>
  <w:style w:type="character" w:customStyle="1" w:styleId="NoteHeadingChar">
    <w:name w:val="Note Heading Char"/>
    <w:basedOn w:val="DefaultParagraphFont"/>
    <w:link w:val="NoteHeading0"/>
    <w:uiPriority w:val="99"/>
    <w:locked/>
    <w:rsid w:val="0069378D"/>
    <w:rPr>
      <w:rFonts w:ascii="Calibri" w:hAnsi="Calibri" w:cs="Times New Roman"/>
      <w:b/>
      <w:sz w:val="16"/>
      <w:lang w:eastAsia="en-US"/>
    </w:rPr>
  </w:style>
  <w:style w:type="paragraph" w:customStyle="1" w:styleId="TableNumber">
    <w:name w:val="Table Number"/>
    <w:basedOn w:val="TableName"/>
    <w:next w:val="TableName"/>
    <w:rsid w:val="00FA01D3"/>
    <w:pPr>
      <w:spacing w:before="60" w:after="0"/>
    </w:pPr>
  </w:style>
  <w:style w:type="paragraph" w:customStyle="1" w:styleId="TableTextIndent">
    <w:name w:val="Table Text Indent"/>
    <w:rsid w:val="00FA01D3"/>
    <w:pPr>
      <w:numPr>
        <w:numId w:val="3"/>
      </w:numPr>
      <w:tabs>
        <w:tab w:val="clear" w:pos="926"/>
        <w:tab w:val="num" w:pos="360"/>
      </w:tabs>
      <w:spacing w:before="60"/>
      <w:ind w:left="357" w:hanging="357"/>
    </w:pPr>
    <w:rPr>
      <w:rFonts w:ascii="Calibri" w:hAnsi="Calibri"/>
      <w:sz w:val="20"/>
      <w:szCs w:val="24"/>
      <w:lang w:eastAsia="en-US"/>
    </w:rPr>
  </w:style>
  <w:style w:type="paragraph" w:customStyle="1" w:styleId="TableTextNumbersBold">
    <w:name w:val="Table Text Numbers Bold"/>
    <w:basedOn w:val="Normal"/>
    <w:rsid w:val="00264738"/>
    <w:pPr>
      <w:jc w:val="right"/>
    </w:pPr>
    <w:rPr>
      <w:b/>
      <w:sz w:val="18"/>
    </w:rPr>
  </w:style>
  <w:style w:type="paragraph" w:customStyle="1" w:styleId="TableHeading">
    <w:name w:val="Table Heading"/>
    <w:basedOn w:val="Normal"/>
    <w:rsid w:val="00264738"/>
    <w:pPr>
      <w:spacing w:after="120"/>
      <w:jc w:val="center"/>
    </w:pPr>
    <w:rPr>
      <w:rFonts w:ascii="Arial" w:hAnsi="Arial"/>
      <w:b/>
    </w:rPr>
  </w:style>
  <w:style w:type="paragraph" w:customStyle="1" w:styleId="TableTextLeftBoldparassmaller">
    <w:name w:val="Table Text Left Bold paras smaller"/>
    <w:basedOn w:val="TableTextLeftBold"/>
    <w:rsid w:val="00264738"/>
    <w:pPr>
      <w:keepNext/>
      <w:spacing w:before="20" w:after="20"/>
      <w:ind w:left="164" w:hanging="164"/>
    </w:pPr>
    <w:rPr>
      <w:sz w:val="18"/>
    </w:rPr>
  </w:style>
  <w:style w:type="paragraph" w:customStyle="1" w:styleId="TableTextNumbersCentred">
    <w:name w:val="Table Text Numbers Centred"/>
    <w:basedOn w:val="Normal"/>
    <w:rsid w:val="00264738"/>
    <w:pPr>
      <w:jc w:val="center"/>
    </w:pPr>
    <w:rPr>
      <w:sz w:val="18"/>
      <w:szCs w:val="18"/>
    </w:rPr>
  </w:style>
  <w:style w:type="paragraph" w:customStyle="1" w:styleId="aNoteText">
    <w:name w:val="a) Note Text"/>
    <w:basedOn w:val="NoteText"/>
    <w:rsid w:val="00264738"/>
  </w:style>
  <w:style w:type="paragraph" w:customStyle="1" w:styleId="NoteTexta">
    <w:name w:val="Note Text a)"/>
    <w:basedOn w:val="NoteText"/>
    <w:rsid w:val="00264738"/>
  </w:style>
  <w:style w:type="paragraph" w:customStyle="1" w:styleId="NoteTexta0">
    <w:name w:val="Note Text a"/>
    <w:basedOn w:val="NoteText"/>
    <w:rsid w:val="00264738"/>
    <w:pPr>
      <w:tabs>
        <w:tab w:val="num" w:pos="357"/>
      </w:tabs>
      <w:ind w:left="357" w:hanging="357"/>
    </w:pPr>
  </w:style>
  <w:style w:type="paragraph" w:customStyle="1" w:styleId="TableFootnoteText">
    <w:name w:val="Table Footnote Text"/>
    <w:basedOn w:val="FootnoteText"/>
    <w:autoRedefine/>
    <w:rsid w:val="00264738"/>
    <w:pPr>
      <w:keepNext/>
      <w:tabs>
        <w:tab w:val="left" w:pos="426"/>
      </w:tabs>
      <w:spacing w:after="120"/>
      <w:contextualSpacing/>
      <w:jc w:val="both"/>
    </w:pPr>
    <w:rPr>
      <w:i/>
      <w:iCs/>
      <w:sz w:val="16"/>
      <w:szCs w:val="16"/>
    </w:rPr>
  </w:style>
  <w:style w:type="paragraph" w:styleId="FootnoteText">
    <w:name w:val="footnote text"/>
    <w:basedOn w:val="Normal"/>
    <w:link w:val="FootnoteTextChar"/>
    <w:semiHidden/>
    <w:rsid w:val="00FA01D3"/>
    <w:rPr>
      <w:sz w:val="20"/>
    </w:rPr>
  </w:style>
  <w:style w:type="character" w:customStyle="1" w:styleId="FootnoteTextChar">
    <w:name w:val="Footnote Text Char"/>
    <w:basedOn w:val="DefaultParagraphFont"/>
    <w:link w:val="FootnoteText"/>
    <w:semiHidden/>
    <w:locked/>
    <w:rsid w:val="00264738"/>
    <w:rPr>
      <w:rFonts w:ascii="Calibri" w:hAnsi="Calibri" w:cs="Times New Roman"/>
      <w:lang w:eastAsia="en-US"/>
    </w:rPr>
  </w:style>
  <w:style w:type="paragraph" w:customStyle="1" w:styleId="TableTextNumbers">
    <w:name w:val="Table Text Numbers"/>
    <w:basedOn w:val="Normal"/>
    <w:autoRedefine/>
    <w:rsid w:val="00264738"/>
    <w:pPr>
      <w:spacing w:before="60" w:after="60"/>
      <w:jc w:val="right"/>
    </w:pPr>
    <w:rPr>
      <w:sz w:val="18"/>
      <w:szCs w:val="18"/>
    </w:rPr>
  </w:style>
  <w:style w:type="paragraph" w:customStyle="1" w:styleId="TableTextLeftNoIndent">
    <w:name w:val="Table Text Left No Indent"/>
    <w:basedOn w:val="TableTextLeft"/>
    <w:autoRedefine/>
    <w:rsid w:val="00264738"/>
    <w:pPr>
      <w:spacing w:before="40" w:after="40"/>
      <w:ind w:left="0" w:firstLine="0"/>
    </w:pPr>
    <w:rPr>
      <w:lang w:val="en-GB"/>
    </w:rPr>
  </w:style>
  <w:style w:type="paragraph" w:customStyle="1" w:styleId="BodyText1">
    <w:name w:val="Body Text 1"/>
    <w:basedOn w:val="Normal"/>
    <w:rsid w:val="00264738"/>
    <w:pPr>
      <w:jc w:val="both"/>
    </w:pPr>
  </w:style>
  <w:style w:type="paragraph" w:customStyle="1" w:styleId="PText">
    <w:name w:val="PText"/>
    <w:basedOn w:val="Normal"/>
    <w:rsid w:val="00264738"/>
    <w:rPr>
      <w:sz w:val="20"/>
    </w:rPr>
  </w:style>
  <w:style w:type="paragraph" w:customStyle="1" w:styleId="Sub-Heading3">
    <w:name w:val="Sub-Heading 3"/>
    <w:basedOn w:val="Sub-Heading2"/>
    <w:rsid w:val="00264738"/>
    <w:pPr>
      <w:keepNext w:val="0"/>
      <w:keepLines w:val="0"/>
      <w:spacing w:after="0"/>
      <w:jc w:val="left"/>
    </w:pPr>
    <w:rPr>
      <w:sz w:val="20"/>
      <w:szCs w:val="24"/>
    </w:rPr>
  </w:style>
  <w:style w:type="paragraph" w:customStyle="1" w:styleId="Tableformat">
    <w:name w:val="Table format"/>
    <w:basedOn w:val="BodyText"/>
    <w:rsid w:val="00264738"/>
    <w:pPr>
      <w:keepLines w:val="0"/>
      <w:spacing w:before="100" w:beforeAutospacing="1" w:after="100" w:afterAutospacing="1"/>
    </w:pPr>
    <w:rPr>
      <w:b/>
      <w:bCs/>
      <w:color w:val="000000"/>
      <w:sz w:val="20"/>
      <w:szCs w:val="24"/>
    </w:rPr>
  </w:style>
  <w:style w:type="paragraph" w:customStyle="1" w:styleId="Text">
    <w:name w:val="Text"/>
    <w:basedOn w:val="Normal"/>
    <w:rsid w:val="00264738"/>
    <w:pPr>
      <w:jc w:val="both"/>
    </w:pPr>
  </w:style>
  <w:style w:type="paragraph" w:customStyle="1" w:styleId="Sub-Heading1">
    <w:name w:val="Sub-Heading 1"/>
    <w:basedOn w:val="Normal"/>
    <w:next w:val="Normal"/>
    <w:autoRedefine/>
    <w:rsid w:val="00264738"/>
    <w:pPr>
      <w:keepNext/>
      <w:spacing w:before="240" w:after="240"/>
      <w:outlineLvl w:val="0"/>
    </w:pPr>
    <w:rPr>
      <w:rFonts w:ascii="Arial" w:hAnsi="Arial"/>
      <w:i/>
    </w:rPr>
  </w:style>
  <w:style w:type="paragraph" w:customStyle="1" w:styleId="Sub-Headings">
    <w:name w:val="Sub-Headings"/>
    <w:basedOn w:val="Normal"/>
    <w:rsid w:val="00264738"/>
    <w:pPr>
      <w:keepNext/>
      <w:spacing w:before="240" w:after="120"/>
      <w:outlineLvl w:val="0"/>
    </w:pPr>
    <w:rPr>
      <w:rFonts w:ascii="Arial" w:hAnsi="Arial" w:cs="Arial"/>
      <w:bCs/>
      <w:i/>
    </w:rPr>
  </w:style>
  <w:style w:type="paragraph" w:customStyle="1" w:styleId="Default">
    <w:name w:val="Default"/>
    <w:rsid w:val="00264738"/>
    <w:pPr>
      <w:autoSpaceDE w:val="0"/>
      <w:autoSpaceDN w:val="0"/>
      <w:adjustRightInd w:val="0"/>
    </w:pPr>
    <w:rPr>
      <w:rFonts w:ascii="OfficinaSerif-Book" w:hAnsi="OfficinaSerif-Book"/>
      <w:sz w:val="20"/>
      <w:szCs w:val="20"/>
      <w:lang w:val="en-US" w:eastAsia="en-US"/>
    </w:rPr>
  </w:style>
  <w:style w:type="paragraph" w:customStyle="1" w:styleId="AIBlurb0">
    <w:name w:val="AI Blurb"/>
    <w:basedOn w:val="Normal"/>
    <w:rsid w:val="00264738"/>
    <w:pPr>
      <w:jc w:val="both"/>
    </w:pPr>
    <w:rPr>
      <w:rFonts w:ascii="Times New (W1)" w:hAnsi="Times New (W1)"/>
      <w:sz w:val="20"/>
    </w:rPr>
  </w:style>
  <w:style w:type="paragraph" w:customStyle="1" w:styleId="AITableText">
    <w:name w:val="AI Table Text"/>
    <w:basedOn w:val="Normal"/>
    <w:link w:val="AITableTextChar"/>
    <w:rsid w:val="00FA01D3"/>
    <w:pPr>
      <w:jc w:val="right"/>
    </w:pPr>
    <w:rPr>
      <w:sz w:val="20"/>
      <w:szCs w:val="24"/>
    </w:rPr>
  </w:style>
  <w:style w:type="paragraph" w:customStyle="1" w:styleId="AIIndent">
    <w:name w:val="AI Indent"/>
    <w:basedOn w:val="Normal"/>
    <w:rsid w:val="00FA01D3"/>
    <w:pPr>
      <w:tabs>
        <w:tab w:val="num" w:pos="360"/>
      </w:tabs>
      <w:ind w:left="357" w:hanging="357"/>
    </w:pPr>
    <w:rPr>
      <w:sz w:val="20"/>
    </w:rPr>
  </w:style>
  <w:style w:type="paragraph" w:customStyle="1" w:styleId="TableGraphic">
    <w:name w:val="TableGraphic"/>
    <w:basedOn w:val="Normal"/>
    <w:next w:val="Normal"/>
    <w:rsid w:val="00264738"/>
    <w:pPr>
      <w:keepNext/>
      <w:spacing w:after="20"/>
      <w:ind w:right="-113"/>
    </w:pPr>
    <w:rPr>
      <w:rFonts w:ascii="Tahoma" w:hAnsi="Tahoma" w:cs="Tahoma"/>
      <w:b/>
      <w:bCs/>
      <w:color w:val="000000"/>
      <w:sz w:val="20"/>
    </w:rPr>
  </w:style>
  <w:style w:type="paragraph" w:customStyle="1" w:styleId="TableText">
    <w:name w:val="TableText"/>
    <w:basedOn w:val="BodyText"/>
    <w:rsid w:val="00264738"/>
    <w:pPr>
      <w:keepNext w:val="0"/>
      <w:keepLines w:val="0"/>
      <w:spacing w:before="100" w:beforeAutospacing="1" w:afterAutospacing="1"/>
      <w:jc w:val="left"/>
    </w:pPr>
    <w:rPr>
      <w:rFonts w:ascii="Arial" w:hAnsi="Arial"/>
      <w:color w:val="000000"/>
      <w:kern w:val="28"/>
      <w:sz w:val="22"/>
      <w:szCs w:val="24"/>
    </w:rPr>
  </w:style>
  <w:style w:type="paragraph" w:customStyle="1" w:styleId="1n">
    <w:name w:val="1. n"/>
    <w:basedOn w:val="n"/>
    <w:rsid w:val="00FA01D3"/>
    <w:rPr>
      <w:iCs/>
      <w:szCs w:val="20"/>
    </w:rPr>
  </w:style>
  <w:style w:type="paragraph" w:customStyle="1" w:styleId="an">
    <w:name w:val="a. n"/>
    <w:basedOn w:val="n"/>
    <w:rsid w:val="00FA01D3"/>
    <w:rPr>
      <w:iCs/>
      <w:szCs w:val="20"/>
    </w:rPr>
  </w:style>
  <w:style w:type="paragraph" w:customStyle="1" w:styleId="Chapters">
    <w:name w:val="Chapters"/>
    <w:basedOn w:val="Normal"/>
    <w:rsid w:val="00264738"/>
    <w:pPr>
      <w:tabs>
        <w:tab w:val="left" w:pos="284"/>
        <w:tab w:val="left" w:pos="1985"/>
        <w:tab w:val="left" w:pos="7797"/>
        <w:tab w:val="right" w:pos="8505"/>
      </w:tabs>
    </w:pPr>
    <w:rPr>
      <w:rFonts w:ascii="Arial" w:hAnsi="Arial"/>
      <w:b/>
      <w:sz w:val="28"/>
    </w:rPr>
  </w:style>
  <w:style w:type="paragraph" w:customStyle="1" w:styleId="Text1">
    <w:name w:val="Text 1"/>
    <w:basedOn w:val="Normal"/>
    <w:rsid w:val="00264738"/>
    <w:pPr>
      <w:jc w:val="both"/>
    </w:pPr>
    <w:rPr>
      <w:rFonts w:ascii="Arial" w:hAnsi="Arial"/>
    </w:rPr>
  </w:style>
  <w:style w:type="paragraph" w:customStyle="1" w:styleId="Footnote">
    <w:name w:val="Footnote"/>
    <w:basedOn w:val="Normal"/>
    <w:rsid w:val="00264738"/>
    <w:rPr>
      <w:vertAlign w:val="superscript"/>
      <w:lang w:eastAsia="en-AU"/>
    </w:rPr>
  </w:style>
  <w:style w:type="paragraph" w:customStyle="1" w:styleId="MajorHeading">
    <w:name w:val="Major Heading"/>
    <w:basedOn w:val="Normal"/>
    <w:rsid w:val="00264738"/>
    <w:pPr>
      <w:pBdr>
        <w:bottom w:val="single" w:sz="18" w:space="1" w:color="auto"/>
      </w:pBdr>
      <w:tabs>
        <w:tab w:val="right" w:pos="9072"/>
      </w:tabs>
      <w:spacing w:before="240" w:after="240"/>
    </w:pPr>
    <w:rPr>
      <w:rFonts w:ascii="Arial" w:hAnsi="Arial" w:cs="Arial"/>
      <w:b/>
      <w:bCs/>
      <w:caps/>
      <w:sz w:val="28"/>
      <w:szCs w:val="28"/>
      <w:lang w:val="en-GB"/>
    </w:rPr>
  </w:style>
  <w:style w:type="paragraph" w:customStyle="1" w:styleId="Notes-Graph">
    <w:name w:val="Notes - Graph"/>
    <w:basedOn w:val="n"/>
    <w:rsid w:val="00264738"/>
    <w:pPr>
      <w:spacing w:before="20" w:after="120"/>
    </w:pPr>
    <w:rPr>
      <w:iCs/>
      <w:szCs w:val="20"/>
    </w:rPr>
  </w:style>
  <w:style w:type="paragraph" w:customStyle="1" w:styleId="TableText1">
    <w:name w:val="Table Text 1"/>
    <w:basedOn w:val="Normal"/>
    <w:rsid w:val="00264738"/>
    <w:rPr>
      <w:sz w:val="18"/>
      <w:lang w:eastAsia="en-AU"/>
    </w:rPr>
  </w:style>
  <w:style w:type="paragraph" w:customStyle="1" w:styleId="TableTextHeading1">
    <w:name w:val="Table Text Heading 1"/>
    <w:basedOn w:val="Normal"/>
    <w:rsid w:val="00264738"/>
    <w:pPr>
      <w:jc w:val="right"/>
    </w:pPr>
    <w:rPr>
      <w:b/>
      <w:sz w:val="18"/>
      <w:lang w:eastAsia="en-AU"/>
    </w:rPr>
  </w:style>
  <w:style w:type="paragraph" w:customStyle="1" w:styleId="TableTextHeading2">
    <w:name w:val="Table Text Heading 2"/>
    <w:basedOn w:val="Normal"/>
    <w:rsid w:val="00264738"/>
    <w:rPr>
      <w:b/>
      <w:sz w:val="18"/>
      <w:lang w:eastAsia="en-AU"/>
    </w:rPr>
  </w:style>
  <w:style w:type="paragraph" w:customStyle="1" w:styleId="TableTextTotals">
    <w:name w:val="Table Text Totals"/>
    <w:basedOn w:val="Normal"/>
    <w:rsid w:val="00264738"/>
    <w:pPr>
      <w:jc w:val="right"/>
    </w:pPr>
    <w:rPr>
      <w:b/>
      <w:sz w:val="18"/>
      <w:lang w:eastAsia="en-AU"/>
    </w:rPr>
  </w:style>
  <w:style w:type="paragraph" w:customStyle="1" w:styleId="xl30">
    <w:name w:val="xl30"/>
    <w:basedOn w:val="Normal"/>
    <w:rsid w:val="00264738"/>
    <w:pPr>
      <w:spacing w:before="100" w:beforeAutospacing="1" w:after="100" w:afterAutospacing="1"/>
    </w:pPr>
    <w:rPr>
      <w:rFonts w:eastAsia="Arial Unicode MS"/>
      <w:b/>
      <w:bCs/>
      <w:sz w:val="18"/>
      <w:szCs w:val="18"/>
    </w:rPr>
  </w:style>
  <w:style w:type="character" w:customStyle="1" w:styleId="AITableTextChar">
    <w:name w:val="AI Table Text Char"/>
    <w:basedOn w:val="DefaultParagraphFont"/>
    <w:link w:val="AITableText"/>
    <w:locked/>
    <w:rsid w:val="00264738"/>
    <w:rPr>
      <w:rFonts w:ascii="Calibri" w:hAnsi="Calibri" w:cs="Times New Roman"/>
      <w:sz w:val="24"/>
      <w:szCs w:val="24"/>
      <w:lang w:eastAsia="en-US"/>
    </w:rPr>
  </w:style>
  <w:style w:type="paragraph" w:styleId="DocumentMap">
    <w:name w:val="Document Map"/>
    <w:basedOn w:val="Normal"/>
    <w:link w:val="DocumentMapChar"/>
    <w:semiHidden/>
    <w:rsid w:val="00264738"/>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B31F8F"/>
    <w:rPr>
      <w:rFonts w:cs="Times New Roman"/>
      <w:sz w:val="2"/>
      <w:lang w:eastAsia="en-US"/>
    </w:rPr>
  </w:style>
  <w:style w:type="character" w:customStyle="1" w:styleId="CharChar">
    <w:name w:val="Char Char"/>
    <w:basedOn w:val="DefaultParagraphFont"/>
    <w:rsid w:val="00FA01D3"/>
    <w:rPr>
      <w:rFonts w:ascii="Calibri" w:hAnsi="Calibri" w:cs="Times New Roman"/>
      <w:sz w:val="24"/>
      <w:lang w:val="en-AU" w:eastAsia="en-US" w:bidi="ar-SA"/>
    </w:rPr>
  </w:style>
  <w:style w:type="character" w:customStyle="1" w:styleId="CharChar1">
    <w:name w:val="Char Char1"/>
    <w:basedOn w:val="DefaultParagraphFont"/>
    <w:rsid w:val="00FA01D3"/>
    <w:rPr>
      <w:rFonts w:ascii="Arial" w:hAnsi="Arial" w:cs="Arial"/>
      <w:b/>
      <w:bCs/>
      <w:sz w:val="26"/>
      <w:szCs w:val="26"/>
      <w:lang w:val="en-AU" w:eastAsia="en-US" w:bidi="ar-SA"/>
    </w:rPr>
  </w:style>
  <w:style w:type="table" w:styleId="ColorfulGrid-Accent2">
    <w:name w:val="Colorful Grid Accent 2"/>
    <w:basedOn w:val="TableNormal"/>
    <w:uiPriority w:val="73"/>
    <w:rsid w:val="00FA01D3"/>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rFonts w:cs="Times New Roman"/>
        <w:b/>
        <w:bCs/>
      </w:rPr>
      <w:tblPr/>
      <w:tcPr>
        <w:shd w:val="clear" w:color="auto" w:fill="E5B8B7"/>
      </w:tcPr>
    </w:tblStylePr>
    <w:tblStylePr w:type="lastRow">
      <w:rPr>
        <w:rFonts w:cs="Times New Roman"/>
        <w:b/>
        <w:bCs/>
        <w:color w:val="000000"/>
      </w:rPr>
      <w:tblPr/>
      <w:tcPr>
        <w:shd w:val="clear" w:color="auto" w:fill="E5B8B7"/>
      </w:tcPr>
    </w:tblStylePr>
    <w:tblStylePr w:type="firstCol">
      <w:rPr>
        <w:rFonts w:cs="Times New Roman"/>
        <w:color w:val="FFFFFF"/>
      </w:rPr>
      <w:tblPr/>
      <w:tcPr>
        <w:shd w:val="clear" w:color="auto" w:fill="943634"/>
      </w:tcPr>
    </w:tblStylePr>
    <w:tblStylePr w:type="lastCol">
      <w:rPr>
        <w:rFonts w:cs="Times New Roman"/>
        <w:color w:val="FFFFFF"/>
      </w:rPr>
      <w:tblPr/>
      <w:tcPr>
        <w:shd w:val="clear" w:color="auto" w:fill="943634"/>
      </w:tcPr>
    </w:tblStylePr>
    <w:tblStylePr w:type="band1Vert">
      <w:rPr>
        <w:rFonts w:cs="Times New Roman"/>
      </w:rPr>
      <w:tblPr/>
      <w:tcPr>
        <w:shd w:val="clear" w:color="auto" w:fill="DFA7A6"/>
      </w:tcPr>
    </w:tblStylePr>
    <w:tblStylePr w:type="band1Horz">
      <w:rPr>
        <w:rFonts w:cs="Times New Roman"/>
      </w:rPr>
      <w:tblPr/>
      <w:tcPr>
        <w:shd w:val="clear" w:color="auto" w:fill="DFA7A6"/>
      </w:tcPr>
    </w:tblStylePr>
  </w:style>
  <w:style w:type="table" w:styleId="ColorfulGrid-Accent3">
    <w:name w:val="Colorful Grid Accent 3"/>
    <w:basedOn w:val="TableNormal"/>
    <w:uiPriority w:val="73"/>
    <w:rsid w:val="00FA01D3"/>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ColorfulGrid-Accent4">
    <w:name w:val="Colorful Grid Accent 4"/>
    <w:basedOn w:val="TableNormal"/>
    <w:uiPriority w:val="73"/>
    <w:rsid w:val="00FA01D3"/>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rFonts w:cs="Times New Roman"/>
        <w:b/>
        <w:bCs/>
      </w:rPr>
      <w:tblPr/>
      <w:tcPr>
        <w:shd w:val="clear" w:color="auto" w:fill="CCC0D9"/>
      </w:tcPr>
    </w:tblStylePr>
    <w:tblStylePr w:type="lastRow">
      <w:rPr>
        <w:rFonts w:cs="Times New Roman"/>
        <w:b/>
        <w:bCs/>
        <w:color w:val="000000"/>
      </w:rPr>
      <w:tblPr/>
      <w:tcPr>
        <w:shd w:val="clear" w:color="auto" w:fill="CCC0D9"/>
      </w:tcPr>
    </w:tblStylePr>
    <w:tblStylePr w:type="firstCol">
      <w:rPr>
        <w:rFonts w:cs="Times New Roman"/>
        <w:color w:val="FFFFFF"/>
      </w:rPr>
      <w:tblPr/>
      <w:tcPr>
        <w:shd w:val="clear" w:color="auto" w:fill="5F497A"/>
      </w:tcPr>
    </w:tblStylePr>
    <w:tblStylePr w:type="lastCol">
      <w:rPr>
        <w:rFonts w:cs="Times New Roman"/>
        <w:color w:val="FFFFFF"/>
      </w:rPr>
      <w:tblPr/>
      <w:tcPr>
        <w:shd w:val="clear" w:color="auto" w:fill="5F497A"/>
      </w:tcPr>
    </w:tblStylePr>
    <w:tblStylePr w:type="band1Vert">
      <w:rPr>
        <w:rFonts w:cs="Times New Roman"/>
      </w:rPr>
      <w:tblPr/>
      <w:tcPr>
        <w:shd w:val="clear" w:color="auto" w:fill="BFB1D0"/>
      </w:tcPr>
    </w:tblStylePr>
    <w:tblStylePr w:type="band1Horz">
      <w:rPr>
        <w:rFonts w:cs="Times New Roman"/>
      </w:rPr>
      <w:tblPr/>
      <w:tcPr>
        <w:shd w:val="clear" w:color="auto" w:fill="BFB1D0"/>
      </w:tcPr>
    </w:tblStylePr>
  </w:style>
  <w:style w:type="table" w:styleId="ColorfulGrid-Accent5">
    <w:name w:val="Colorful Grid Accent 5"/>
    <w:basedOn w:val="TableNormal"/>
    <w:uiPriority w:val="73"/>
    <w:rsid w:val="00FA01D3"/>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rFonts w:cs="Times New Roman"/>
        <w:b/>
        <w:bCs/>
      </w:rPr>
      <w:tblPr/>
      <w:tcPr>
        <w:shd w:val="clear" w:color="auto" w:fill="B6DDE8"/>
      </w:tcPr>
    </w:tblStylePr>
    <w:tblStylePr w:type="lastRow">
      <w:rPr>
        <w:rFonts w:cs="Times New Roman"/>
        <w:b/>
        <w:bCs/>
        <w:color w:val="000000"/>
      </w:rPr>
      <w:tblPr/>
      <w:tcPr>
        <w:shd w:val="clear" w:color="auto" w:fill="B6DDE8"/>
      </w:tcPr>
    </w:tblStylePr>
    <w:tblStylePr w:type="firstCol">
      <w:rPr>
        <w:rFonts w:cs="Times New Roman"/>
        <w:color w:val="FFFFFF"/>
      </w:rPr>
      <w:tblPr/>
      <w:tcPr>
        <w:shd w:val="clear" w:color="auto" w:fill="31849B"/>
      </w:tcPr>
    </w:tblStylePr>
    <w:tblStylePr w:type="lastCol">
      <w:rPr>
        <w:rFonts w:cs="Times New Roman"/>
        <w:color w:val="FFFFFF"/>
      </w:rPr>
      <w:tblPr/>
      <w:tcPr>
        <w:shd w:val="clear" w:color="auto" w:fill="31849B"/>
      </w:tcPr>
    </w:tblStylePr>
    <w:tblStylePr w:type="band1Vert">
      <w:rPr>
        <w:rFonts w:cs="Times New Roman"/>
      </w:rPr>
      <w:tblPr/>
      <w:tcPr>
        <w:shd w:val="clear" w:color="auto" w:fill="A5D5E2"/>
      </w:tcPr>
    </w:tblStylePr>
    <w:tblStylePr w:type="band1Horz">
      <w:rPr>
        <w:rFonts w:cs="Times New Roman"/>
      </w:rPr>
      <w:tblPr/>
      <w:tcPr>
        <w:shd w:val="clear" w:color="auto" w:fill="A5D5E2"/>
      </w:tcPr>
    </w:tblStylePr>
  </w:style>
  <w:style w:type="table" w:styleId="ColorfulGrid-Accent6">
    <w:name w:val="Colorful Grid Accent 6"/>
    <w:basedOn w:val="TableNormal"/>
    <w:uiPriority w:val="73"/>
    <w:rsid w:val="00FA01D3"/>
    <w:rPr>
      <w:rFonts w:ascii="Calibri" w:hAnsi="Calibri"/>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rFonts w:cs="Times New Roman"/>
        <w:b/>
        <w:bCs/>
      </w:rPr>
      <w:tblPr/>
      <w:tcPr>
        <w:shd w:val="clear" w:color="auto" w:fill="FBD4B4"/>
      </w:tcPr>
    </w:tblStylePr>
    <w:tblStylePr w:type="lastRow">
      <w:rPr>
        <w:rFonts w:cs="Times New Roman"/>
        <w:b/>
        <w:bCs/>
        <w:color w:val="000000"/>
      </w:rPr>
      <w:tblPr/>
      <w:tcPr>
        <w:shd w:val="clear" w:color="auto" w:fill="FBD4B4"/>
      </w:tcPr>
    </w:tblStylePr>
    <w:tblStylePr w:type="firstCol">
      <w:rPr>
        <w:rFonts w:cs="Times New Roman"/>
        <w:color w:val="FFFFFF"/>
      </w:rPr>
      <w:tblPr/>
      <w:tcPr>
        <w:shd w:val="clear" w:color="auto" w:fill="E36C0A"/>
      </w:tcPr>
    </w:tblStylePr>
    <w:tblStylePr w:type="lastCol">
      <w:rPr>
        <w:rFonts w:cs="Times New Roman"/>
        <w:color w:val="FFFFFF"/>
      </w:rPr>
      <w:tblPr/>
      <w:tcPr>
        <w:shd w:val="clear" w:color="auto" w:fill="E36C0A"/>
      </w:tcPr>
    </w:tblStylePr>
    <w:tblStylePr w:type="band1Vert">
      <w:rPr>
        <w:rFonts w:cs="Times New Roman"/>
      </w:rPr>
      <w:tblPr/>
      <w:tcPr>
        <w:shd w:val="clear" w:color="auto" w:fill="FBCAA2"/>
      </w:tcPr>
    </w:tblStylePr>
    <w:tblStylePr w:type="band1Horz">
      <w:rPr>
        <w:rFonts w:cs="Times New Roman"/>
      </w:rPr>
      <w:tblPr/>
      <w:tcPr>
        <w:shd w:val="clear" w:color="auto" w:fill="FBCAA2"/>
      </w:tcPr>
    </w:tblStylePr>
  </w:style>
  <w:style w:type="character" w:styleId="CommentReference">
    <w:name w:val="annotation reference"/>
    <w:basedOn w:val="DefaultParagraphFont"/>
    <w:rsid w:val="00FA01D3"/>
    <w:rPr>
      <w:rFonts w:ascii="Calibri" w:hAnsi="Calibri" w:cs="Times New Roman"/>
      <w:sz w:val="16"/>
      <w:szCs w:val="16"/>
    </w:rPr>
  </w:style>
  <w:style w:type="paragraph" w:styleId="CommentText">
    <w:name w:val="annotation text"/>
    <w:basedOn w:val="Normal"/>
    <w:link w:val="CommentTextChar"/>
    <w:rsid w:val="00FA01D3"/>
    <w:rPr>
      <w:sz w:val="20"/>
    </w:rPr>
  </w:style>
  <w:style w:type="character" w:customStyle="1" w:styleId="CommentTextChar">
    <w:name w:val="Comment Text Char"/>
    <w:basedOn w:val="DefaultParagraphFont"/>
    <w:link w:val="CommentText"/>
    <w:locked/>
    <w:rsid w:val="002406B9"/>
    <w:rPr>
      <w:rFonts w:ascii="Calibri" w:hAnsi="Calibri" w:cs="Times New Roman"/>
      <w:lang w:eastAsia="en-US"/>
    </w:rPr>
  </w:style>
  <w:style w:type="paragraph" w:styleId="CommentSubject">
    <w:name w:val="annotation subject"/>
    <w:basedOn w:val="CommentText"/>
    <w:next w:val="CommentText"/>
    <w:link w:val="CommentSubjectChar"/>
    <w:rsid w:val="00FA01D3"/>
    <w:rPr>
      <w:b/>
      <w:bCs/>
    </w:rPr>
  </w:style>
  <w:style w:type="character" w:customStyle="1" w:styleId="CommentSubjectChar">
    <w:name w:val="Comment Subject Char"/>
    <w:basedOn w:val="CommentTextChar"/>
    <w:link w:val="CommentSubject"/>
    <w:locked/>
    <w:rsid w:val="002406B9"/>
    <w:rPr>
      <w:b/>
      <w:bCs/>
    </w:rPr>
  </w:style>
  <w:style w:type="character" w:styleId="EndnoteReference">
    <w:name w:val="endnote reference"/>
    <w:basedOn w:val="DefaultParagraphFont"/>
    <w:rsid w:val="00FA01D3"/>
    <w:rPr>
      <w:rFonts w:ascii="Calibri" w:hAnsi="Calibri" w:cs="Times New Roman"/>
      <w:vertAlign w:val="superscript"/>
    </w:rPr>
  </w:style>
  <w:style w:type="paragraph" w:styleId="EndnoteText">
    <w:name w:val="endnote text"/>
    <w:basedOn w:val="Normal"/>
    <w:link w:val="EndnoteTextChar"/>
    <w:rsid w:val="00FA01D3"/>
    <w:rPr>
      <w:sz w:val="20"/>
    </w:rPr>
  </w:style>
  <w:style w:type="character" w:customStyle="1" w:styleId="EndnoteTextChar">
    <w:name w:val="Endnote Text Char"/>
    <w:basedOn w:val="DefaultParagraphFont"/>
    <w:link w:val="EndnoteText"/>
    <w:locked/>
    <w:rsid w:val="002406B9"/>
    <w:rPr>
      <w:rFonts w:ascii="Calibri" w:hAnsi="Calibri" w:cs="Times New Roman"/>
      <w:lang w:eastAsia="en-US"/>
    </w:rPr>
  </w:style>
  <w:style w:type="character" w:styleId="FootnoteReference">
    <w:name w:val="footnote reference"/>
    <w:basedOn w:val="DefaultParagraphFont"/>
    <w:rsid w:val="00FA01D3"/>
    <w:rPr>
      <w:rFonts w:ascii="Calibri" w:hAnsi="Calibri" w:cs="Times New Roman"/>
      <w:vertAlign w:val="superscript"/>
    </w:rPr>
  </w:style>
  <w:style w:type="paragraph" w:styleId="Index1">
    <w:name w:val="index 1"/>
    <w:basedOn w:val="Normal"/>
    <w:next w:val="Normal"/>
    <w:autoRedefine/>
    <w:rsid w:val="00FA01D3"/>
    <w:pPr>
      <w:ind w:left="240" w:hanging="240"/>
    </w:pPr>
  </w:style>
  <w:style w:type="paragraph" w:styleId="Index2">
    <w:name w:val="index 2"/>
    <w:basedOn w:val="Normal"/>
    <w:next w:val="Normal"/>
    <w:autoRedefine/>
    <w:rsid w:val="00FA01D3"/>
    <w:pPr>
      <w:ind w:left="480" w:hanging="240"/>
    </w:pPr>
  </w:style>
  <w:style w:type="paragraph" w:styleId="Index3">
    <w:name w:val="index 3"/>
    <w:basedOn w:val="Normal"/>
    <w:next w:val="Normal"/>
    <w:autoRedefine/>
    <w:rsid w:val="00FA01D3"/>
    <w:pPr>
      <w:ind w:left="720" w:hanging="240"/>
    </w:pPr>
  </w:style>
  <w:style w:type="paragraph" w:styleId="Index4">
    <w:name w:val="index 4"/>
    <w:basedOn w:val="Normal"/>
    <w:next w:val="Normal"/>
    <w:autoRedefine/>
    <w:rsid w:val="00FA01D3"/>
    <w:pPr>
      <w:ind w:left="960" w:hanging="240"/>
    </w:pPr>
  </w:style>
  <w:style w:type="paragraph" w:styleId="Index5">
    <w:name w:val="index 5"/>
    <w:basedOn w:val="Normal"/>
    <w:next w:val="Normal"/>
    <w:autoRedefine/>
    <w:rsid w:val="00FA01D3"/>
    <w:pPr>
      <w:ind w:left="1200" w:hanging="240"/>
    </w:pPr>
  </w:style>
  <w:style w:type="paragraph" w:styleId="Index6">
    <w:name w:val="index 6"/>
    <w:basedOn w:val="Normal"/>
    <w:next w:val="Normal"/>
    <w:autoRedefine/>
    <w:rsid w:val="00FA01D3"/>
    <w:pPr>
      <w:ind w:left="1440" w:hanging="240"/>
    </w:pPr>
  </w:style>
  <w:style w:type="paragraph" w:styleId="Index7">
    <w:name w:val="index 7"/>
    <w:basedOn w:val="Normal"/>
    <w:next w:val="Normal"/>
    <w:autoRedefine/>
    <w:rsid w:val="00FA01D3"/>
    <w:pPr>
      <w:ind w:left="1680" w:hanging="240"/>
    </w:pPr>
  </w:style>
  <w:style w:type="paragraph" w:styleId="Index8">
    <w:name w:val="index 8"/>
    <w:basedOn w:val="Normal"/>
    <w:next w:val="Normal"/>
    <w:autoRedefine/>
    <w:rsid w:val="00FA01D3"/>
    <w:pPr>
      <w:ind w:left="1920" w:hanging="240"/>
    </w:pPr>
  </w:style>
  <w:style w:type="paragraph" w:styleId="Index9">
    <w:name w:val="index 9"/>
    <w:basedOn w:val="Normal"/>
    <w:next w:val="Normal"/>
    <w:autoRedefine/>
    <w:rsid w:val="00FA01D3"/>
    <w:pPr>
      <w:ind w:left="2160" w:hanging="240"/>
    </w:pPr>
  </w:style>
  <w:style w:type="paragraph" w:styleId="IndexHeading">
    <w:name w:val="index heading"/>
    <w:basedOn w:val="Normal"/>
    <w:next w:val="Index1"/>
    <w:rsid w:val="00FA01D3"/>
    <w:rPr>
      <w:b/>
      <w:bCs/>
    </w:rPr>
  </w:style>
  <w:style w:type="paragraph" w:styleId="ListParagraph">
    <w:name w:val="List Paragraph"/>
    <w:basedOn w:val="Normal"/>
    <w:qFormat/>
    <w:rsid w:val="00FA01D3"/>
    <w:pPr>
      <w:ind w:left="720"/>
    </w:pPr>
    <w:rPr>
      <w:szCs w:val="24"/>
    </w:rPr>
  </w:style>
  <w:style w:type="paragraph" w:customStyle="1" w:styleId="TableHeadingCentre-BP4">
    <w:name w:val="Table Heading Centre - BP4"/>
    <w:basedOn w:val="Normal"/>
    <w:rsid w:val="00FA01D3"/>
    <w:pPr>
      <w:keepNext/>
      <w:jc w:val="center"/>
    </w:pPr>
    <w:rPr>
      <w:b/>
      <w:sz w:val="18"/>
    </w:rPr>
  </w:style>
  <w:style w:type="paragraph" w:customStyle="1" w:styleId="TableHeadingCentre-BP3">
    <w:name w:val="Table Heading Centre - BP3"/>
    <w:basedOn w:val="TableHeadingCentre-BP4"/>
    <w:rsid w:val="00FA01D3"/>
    <w:rPr>
      <w:sz w:val="20"/>
    </w:rPr>
  </w:style>
  <w:style w:type="paragraph" w:customStyle="1" w:styleId="TableHeadingCentre-BP410pt">
    <w:name w:val="Table Heading Centre - BP4 10pt"/>
    <w:basedOn w:val="TableHeadingCentre-BP4"/>
    <w:rsid w:val="00FA01D3"/>
    <w:rPr>
      <w:sz w:val="20"/>
    </w:rPr>
  </w:style>
  <w:style w:type="paragraph" w:customStyle="1" w:styleId="TableHeadingLeft-BP4">
    <w:name w:val="Table Heading Left - BP4"/>
    <w:basedOn w:val="Normal"/>
    <w:rsid w:val="00FA01D3"/>
    <w:pPr>
      <w:keepNext/>
    </w:pPr>
    <w:rPr>
      <w:b/>
      <w:sz w:val="18"/>
      <w:lang w:eastAsia="en-AU"/>
    </w:rPr>
  </w:style>
  <w:style w:type="paragraph" w:customStyle="1" w:styleId="TableHeadingLeft-BP3">
    <w:name w:val="Table Heading Left - BP3"/>
    <w:basedOn w:val="TableHeadingLeft-BP4"/>
    <w:rsid w:val="00FA01D3"/>
    <w:rPr>
      <w:sz w:val="20"/>
    </w:rPr>
  </w:style>
  <w:style w:type="paragraph" w:customStyle="1" w:styleId="TableHeadingLeft-BP410pt">
    <w:name w:val="Table Heading Left - BP4 10pt"/>
    <w:basedOn w:val="TableHeadingLeft-BP4"/>
    <w:rsid w:val="00FA01D3"/>
    <w:rPr>
      <w:sz w:val="20"/>
    </w:rPr>
  </w:style>
  <w:style w:type="paragraph" w:customStyle="1" w:styleId="TableHeadingRight-BP4">
    <w:name w:val="Table Heading Right - BP4"/>
    <w:basedOn w:val="Normal"/>
    <w:rsid w:val="00FA01D3"/>
    <w:pPr>
      <w:keepNext/>
      <w:jc w:val="right"/>
    </w:pPr>
    <w:rPr>
      <w:b/>
      <w:sz w:val="18"/>
      <w:szCs w:val="24"/>
    </w:rPr>
  </w:style>
  <w:style w:type="paragraph" w:customStyle="1" w:styleId="TableHeadingRight-BP3">
    <w:name w:val="Table Heading Right - BP3"/>
    <w:basedOn w:val="TableHeadingRight-BP4"/>
    <w:rsid w:val="00FA01D3"/>
    <w:rPr>
      <w:sz w:val="20"/>
    </w:rPr>
  </w:style>
  <w:style w:type="paragraph" w:customStyle="1" w:styleId="TableHeadingRight-BP410pt">
    <w:name w:val="Table Heading Right - BP4 10pt"/>
    <w:basedOn w:val="TableHeadingRight-BP4"/>
    <w:rsid w:val="00FA01D3"/>
    <w:rPr>
      <w:sz w:val="20"/>
    </w:rPr>
  </w:style>
  <w:style w:type="paragraph" w:customStyle="1" w:styleId="TableNumbersRight-BP4">
    <w:name w:val="Table Numbers Right - BP4"/>
    <w:basedOn w:val="Normal"/>
    <w:rsid w:val="00FA01D3"/>
    <w:pPr>
      <w:jc w:val="right"/>
    </w:pPr>
    <w:rPr>
      <w:sz w:val="18"/>
    </w:rPr>
  </w:style>
  <w:style w:type="paragraph" w:customStyle="1" w:styleId="TableNumbersRight-BP3">
    <w:name w:val="Table Numbers Right - BP3"/>
    <w:basedOn w:val="TableNumbersRight-BP4"/>
    <w:rsid w:val="00FA01D3"/>
    <w:rPr>
      <w:sz w:val="20"/>
    </w:rPr>
  </w:style>
  <w:style w:type="paragraph" w:styleId="TableofAuthorities">
    <w:name w:val="table of authorities"/>
    <w:basedOn w:val="Normal"/>
    <w:next w:val="Normal"/>
    <w:rsid w:val="00FA01D3"/>
    <w:pPr>
      <w:ind w:left="240" w:hanging="240"/>
    </w:pPr>
  </w:style>
  <w:style w:type="paragraph" w:styleId="TableofFigures">
    <w:name w:val="table of figures"/>
    <w:basedOn w:val="Normal"/>
    <w:next w:val="Normal"/>
    <w:rsid w:val="00FA01D3"/>
  </w:style>
  <w:style w:type="paragraph" w:customStyle="1" w:styleId="TableTextLeft-BP4">
    <w:name w:val="Table Text Left - BP4"/>
    <w:basedOn w:val="Normal"/>
    <w:rsid w:val="00FA01D3"/>
    <w:pPr>
      <w:ind w:left="142" w:hanging="142"/>
    </w:pPr>
    <w:rPr>
      <w:sz w:val="18"/>
      <w:szCs w:val="18"/>
    </w:rPr>
  </w:style>
  <w:style w:type="paragraph" w:customStyle="1" w:styleId="TableTextLeft-BP3">
    <w:name w:val="Table Text Left - BP3"/>
    <w:basedOn w:val="TableTextLeft-BP4"/>
    <w:rsid w:val="00FA01D3"/>
    <w:rPr>
      <w:sz w:val="20"/>
    </w:rPr>
  </w:style>
  <w:style w:type="paragraph" w:customStyle="1" w:styleId="TableTextLeft-BP410pt">
    <w:name w:val="Table Text Left - BP4 10pt"/>
    <w:basedOn w:val="TableTextLeft-BP4"/>
    <w:rsid w:val="00FA01D3"/>
    <w:rPr>
      <w:sz w:val="20"/>
    </w:rPr>
  </w:style>
  <w:style w:type="paragraph" w:customStyle="1" w:styleId="TableTextLeft-BP4FS">
    <w:name w:val="Table Text Left - BP4 FS"/>
    <w:basedOn w:val="TableTextLeft-BP4"/>
    <w:rsid w:val="00FA01D3"/>
    <w:pPr>
      <w:ind w:left="227"/>
    </w:pPr>
  </w:style>
  <w:style w:type="paragraph" w:customStyle="1" w:styleId="TableTextLeftBold-BP4">
    <w:name w:val="Table Text Left Bold - BP4"/>
    <w:basedOn w:val="Normal"/>
    <w:rsid w:val="00FA01D3"/>
    <w:pPr>
      <w:ind w:left="142" w:hanging="142"/>
    </w:pPr>
    <w:rPr>
      <w:b/>
      <w:sz w:val="18"/>
    </w:rPr>
  </w:style>
  <w:style w:type="paragraph" w:customStyle="1" w:styleId="TableTextLeftBold-BP3">
    <w:name w:val="Table Text Left Bold - BP3"/>
    <w:basedOn w:val="TableTextLeftBold-BP4"/>
    <w:rsid w:val="00FA01D3"/>
    <w:rPr>
      <w:sz w:val="20"/>
    </w:rPr>
  </w:style>
  <w:style w:type="paragraph" w:customStyle="1" w:styleId="TableTextLeftBold-BP410pt">
    <w:name w:val="Table Text Left Bold - BP4 10pt"/>
    <w:basedOn w:val="TableTextLeftBold-BP4"/>
    <w:rsid w:val="00FA01D3"/>
    <w:rPr>
      <w:sz w:val="20"/>
    </w:rPr>
  </w:style>
  <w:style w:type="paragraph" w:customStyle="1" w:styleId="TableTextRight-BP4">
    <w:name w:val="Table Text Right - BP4"/>
    <w:basedOn w:val="Normal"/>
    <w:rsid w:val="00FA01D3"/>
    <w:pPr>
      <w:jc w:val="right"/>
    </w:pPr>
    <w:rPr>
      <w:sz w:val="18"/>
    </w:rPr>
  </w:style>
  <w:style w:type="paragraph" w:customStyle="1" w:styleId="TableTextRight-BP3">
    <w:name w:val="Table Text Right - BP3"/>
    <w:basedOn w:val="TableTextRight-BP4"/>
    <w:rsid w:val="00FA01D3"/>
    <w:rPr>
      <w:sz w:val="20"/>
    </w:rPr>
  </w:style>
  <w:style w:type="paragraph" w:customStyle="1" w:styleId="TableTextRight-BP410pt">
    <w:name w:val="Table Text Right - BP4 10pt"/>
    <w:basedOn w:val="TableTextRight-BP4"/>
    <w:link w:val="TableTextRight-BP410ptChar"/>
    <w:rsid w:val="00FA01D3"/>
    <w:rPr>
      <w:sz w:val="20"/>
    </w:rPr>
  </w:style>
  <w:style w:type="paragraph" w:customStyle="1" w:styleId="TableTextRightBold-BP4">
    <w:name w:val="Table Text Right Bold - BP4"/>
    <w:basedOn w:val="Normal"/>
    <w:rsid w:val="00FA01D3"/>
    <w:pPr>
      <w:jc w:val="right"/>
    </w:pPr>
    <w:rPr>
      <w:b/>
      <w:sz w:val="18"/>
    </w:rPr>
  </w:style>
  <w:style w:type="paragraph" w:customStyle="1" w:styleId="TableTextRightBold-BP3">
    <w:name w:val="Table Text Right Bold - BP3"/>
    <w:basedOn w:val="TableTextRightBold-BP4"/>
    <w:rsid w:val="00FA01D3"/>
  </w:style>
  <w:style w:type="paragraph" w:customStyle="1" w:styleId="TableTextRightBold-BP410pt">
    <w:name w:val="Table Text Right Bold - BP4 10pt"/>
    <w:basedOn w:val="TableTextRightBold-BP4"/>
    <w:rsid w:val="00FA01D3"/>
    <w:rPr>
      <w:sz w:val="20"/>
    </w:rPr>
  </w:style>
  <w:style w:type="paragraph" w:styleId="TOAHeading">
    <w:name w:val="toa heading"/>
    <w:basedOn w:val="Normal"/>
    <w:next w:val="Normal"/>
    <w:rsid w:val="00FA01D3"/>
    <w:pPr>
      <w:spacing w:before="120"/>
    </w:pPr>
    <w:rPr>
      <w:b/>
      <w:bCs/>
      <w:szCs w:val="24"/>
    </w:rPr>
  </w:style>
  <w:style w:type="paragraph" w:styleId="TOC1">
    <w:name w:val="toc 1"/>
    <w:basedOn w:val="Normal"/>
    <w:next w:val="Normal"/>
    <w:autoRedefine/>
    <w:rsid w:val="00FA01D3"/>
  </w:style>
  <w:style w:type="paragraph" w:styleId="TOC2">
    <w:name w:val="toc 2"/>
    <w:basedOn w:val="Normal"/>
    <w:next w:val="Normal"/>
    <w:autoRedefine/>
    <w:rsid w:val="00FA01D3"/>
    <w:pPr>
      <w:ind w:left="240"/>
    </w:pPr>
  </w:style>
  <w:style w:type="paragraph" w:styleId="TOC3">
    <w:name w:val="toc 3"/>
    <w:basedOn w:val="Normal"/>
    <w:next w:val="Normal"/>
    <w:autoRedefine/>
    <w:rsid w:val="00FA01D3"/>
    <w:pPr>
      <w:ind w:left="480"/>
    </w:pPr>
  </w:style>
  <w:style w:type="paragraph" w:styleId="TOC4">
    <w:name w:val="toc 4"/>
    <w:basedOn w:val="Normal"/>
    <w:next w:val="Normal"/>
    <w:autoRedefine/>
    <w:rsid w:val="00FA01D3"/>
    <w:pPr>
      <w:ind w:left="720"/>
    </w:pPr>
  </w:style>
  <w:style w:type="paragraph" w:styleId="TOC5">
    <w:name w:val="toc 5"/>
    <w:basedOn w:val="Normal"/>
    <w:next w:val="Normal"/>
    <w:autoRedefine/>
    <w:rsid w:val="00FA01D3"/>
    <w:pPr>
      <w:ind w:left="960"/>
    </w:pPr>
  </w:style>
  <w:style w:type="paragraph" w:styleId="TOC6">
    <w:name w:val="toc 6"/>
    <w:basedOn w:val="Normal"/>
    <w:next w:val="Normal"/>
    <w:autoRedefine/>
    <w:rsid w:val="00FA01D3"/>
    <w:pPr>
      <w:ind w:left="1200"/>
    </w:pPr>
  </w:style>
  <w:style w:type="paragraph" w:styleId="TOC7">
    <w:name w:val="toc 7"/>
    <w:basedOn w:val="Normal"/>
    <w:next w:val="Normal"/>
    <w:autoRedefine/>
    <w:rsid w:val="00FA01D3"/>
    <w:pPr>
      <w:ind w:left="1440"/>
    </w:pPr>
  </w:style>
  <w:style w:type="paragraph" w:styleId="TOC8">
    <w:name w:val="toc 8"/>
    <w:basedOn w:val="Normal"/>
    <w:next w:val="Normal"/>
    <w:autoRedefine/>
    <w:rsid w:val="00FA01D3"/>
    <w:pPr>
      <w:ind w:left="1680"/>
    </w:pPr>
  </w:style>
  <w:style w:type="paragraph" w:styleId="TOC9">
    <w:name w:val="toc 9"/>
    <w:basedOn w:val="Normal"/>
    <w:next w:val="Normal"/>
    <w:autoRedefine/>
    <w:rsid w:val="00FA01D3"/>
    <w:pPr>
      <w:ind w:left="1920"/>
    </w:pPr>
  </w:style>
  <w:style w:type="paragraph" w:styleId="Revision">
    <w:name w:val="Revision"/>
    <w:hidden/>
    <w:uiPriority w:val="99"/>
    <w:semiHidden/>
    <w:rsid w:val="00587FE1"/>
    <w:rPr>
      <w:rFonts w:ascii="Calibri" w:hAnsi="Calibri"/>
      <w:sz w:val="24"/>
      <w:szCs w:val="20"/>
      <w:lang w:eastAsia="en-US"/>
    </w:rPr>
  </w:style>
  <w:style w:type="character" w:customStyle="1" w:styleId="TableTextRight-BP410ptChar">
    <w:name w:val="Table Text Right - BP4 10pt Char"/>
    <w:basedOn w:val="DefaultParagraphFont"/>
    <w:link w:val="TableTextRight-BP410pt"/>
    <w:locked/>
    <w:rsid w:val="0069378D"/>
    <w:rPr>
      <w:rFonts w:ascii="Calibri" w:hAnsi="Calibri" w:cs="Times New Roman"/>
      <w:lang w:eastAsia="en-US"/>
    </w:rPr>
  </w:style>
  <w:style w:type="character" w:customStyle="1" w:styleId="AINotesChar">
    <w:name w:val="AI Notes Char"/>
    <w:basedOn w:val="DefaultParagraphFont"/>
    <w:link w:val="AINotes"/>
    <w:locked/>
    <w:rsid w:val="0069378D"/>
    <w:rPr>
      <w:rFonts w:ascii="Calibri" w:hAnsi="Calibri"/>
      <w:sz w:val="16"/>
      <w:szCs w:val="20"/>
      <w:lang w:eastAsia="en-US"/>
    </w:rPr>
  </w:style>
  <w:style w:type="character" w:customStyle="1" w:styleId="Heading3TopofPageChar">
    <w:name w:val="Heading 3 Top of Page Char"/>
    <w:basedOn w:val="DefaultParagraphFont"/>
    <w:link w:val="Heading3TopofPage"/>
    <w:locked/>
    <w:rsid w:val="00C62247"/>
    <w:rPr>
      <w:rFonts w:ascii="Arial" w:hAnsi="Arial" w:cs="Times New Roman"/>
      <w:b/>
      <w:bCs/>
      <w:sz w:val="26"/>
      <w:szCs w:val="26"/>
    </w:rPr>
  </w:style>
  <w:style w:type="character" w:customStyle="1" w:styleId="NoteTextChar">
    <w:name w:val="Note Text Char"/>
    <w:basedOn w:val="DefaultParagraphFont"/>
    <w:rsid w:val="00367495"/>
    <w:rPr>
      <w:rFonts w:cs="Times New Roman"/>
    </w:rPr>
  </w:style>
  <w:style w:type="numbering" w:styleId="1ai">
    <w:name w:val="Outline List 1"/>
    <w:basedOn w:val="NoList"/>
    <w:semiHidden/>
    <w:unhideWhenUsed/>
    <w:rsid w:val="00435789"/>
    <w:pPr>
      <w:numPr>
        <w:numId w:val="15"/>
      </w:numPr>
    </w:pPr>
  </w:style>
  <w:style w:type="numbering" w:styleId="ArticleSection">
    <w:name w:val="Outline List 3"/>
    <w:basedOn w:val="NoList"/>
    <w:semiHidden/>
    <w:unhideWhenUsed/>
    <w:rsid w:val="00435789"/>
    <w:pPr>
      <w:numPr>
        <w:numId w:val="17"/>
      </w:numPr>
    </w:pPr>
  </w:style>
  <w:style w:type="numbering" w:styleId="111111">
    <w:name w:val="Outline List 2"/>
    <w:basedOn w:val="NoList"/>
    <w:semiHidden/>
    <w:unhideWhenUsed/>
    <w:rsid w:val="00435789"/>
    <w:pPr>
      <w:numPr>
        <w:numId w:val="14"/>
      </w:numPr>
    </w:pPr>
  </w:style>
</w:styles>
</file>

<file path=word/webSettings.xml><?xml version="1.0" encoding="utf-8"?>
<w:webSettings xmlns:r="http://schemas.openxmlformats.org/officeDocument/2006/relationships" xmlns:w="http://schemas.openxmlformats.org/wordprocessingml/2006/main">
  <w:divs>
    <w:div w:id="368577815">
      <w:marLeft w:val="0"/>
      <w:marRight w:val="0"/>
      <w:marTop w:val="0"/>
      <w:marBottom w:val="0"/>
      <w:divBdr>
        <w:top w:val="none" w:sz="0" w:space="0" w:color="auto"/>
        <w:left w:val="none" w:sz="0" w:space="0" w:color="auto"/>
        <w:bottom w:val="none" w:sz="0" w:space="0" w:color="auto"/>
        <w:right w:val="none" w:sz="0" w:space="0" w:color="auto"/>
      </w:divBdr>
    </w:div>
    <w:div w:id="368577816">
      <w:marLeft w:val="0"/>
      <w:marRight w:val="0"/>
      <w:marTop w:val="0"/>
      <w:marBottom w:val="0"/>
      <w:divBdr>
        <w:top w:val="none" w:sz="0" w:space="0" w:color="auto"/>
        <w:left w:val="none" w:sz="0" w:space="0" w:color="auto"/>
        <w:bottom w:val="none" w:sz="0" w:space="0" w:color="auto"/>
        <w:right w:val="none" w:sz="0" w:space="0" w:color="auto"/>
      </w:divBdr>
    </w:div>
    <w:div w:id="368577817">
      <w:marLeft w:val="0"/>
      <w:marRight w:val="0"/>
      <w:marTop w:val="0"/>
      <w:marBottom w:val="0"/>
      <w:divBdr>
        <w:top w:val="none" w:sz="0" w:space="0" w:color="auto"/>
        <w:left w:val="none" w:sz="0" w:space="0" w:color="auto"/>
        <w:bottom w:val="none" w:sz="0" w:space="0" w:color="auto"/>
        <w:right w:val="none" w:sz="0" w:space="0" w:color="auto"/>
      </w:divBdr>
    </w:div>
    <w:div w:id="368577818">
      <w:marLeft w:val="0"/>
      <w:marRight w:val="0"/>
      <w:marTop w:val="0"/>
      <w:marBottom w:val="0"/>
      <w:divBdr>
        <w:top w:val="none" w:sz="0" w:space="0" w:color="auto"/>
        <w:left w:val="none" w:sz="0" w:space="0" w:color="auto"/>
        <w:bottom w:val="none" w:sz="0" w:space="0" w:color="auto"/>
        <w:right w:val="none" w:sz="0" w:space="0" w:color="auto"/>
      </w:divBdr>
    </w:div>
    <w:div w:id="368577819">
      <w:marLeft w:val="0"/>
      <w:marRight w:val="0"/>
      <w:marTop w:val="0"/>
      <w:marBottom w:val="0"/>
      <w:divBdr>
        <w:top w:val="none" w:sz="0" w:space="0" w:color="auto"/>
        <w:left w:val="none" w:sz="0" w:space="0" w:color="auto"/>
        <w:bottom w:val="none" w:sz="0" w:space="0" w:color="auto"/>
        <w:right w:val="none" w:sz="0" w:space="0" w:color="auto"/>
      </w:divBdr>
    </w:div>
    <w:div w:id="368577820">
      <w:marLeft w:val="0"/>
      <w:marRight w:val="0"/>
      <w:marTop w:val="0"/>
      <w:marBottom w:val="0"/>
      <w:divBdr>
        <w:top w:val="none" w:sz="0" w:space="0" w:color="auto"/>
        <w:left w:val="none" w:sz="0" w:space="0" w:color="auto"/>
        <w:bottom w:val="none" w:sz="0" w:space="0" w:color="auto"/>
        <w:right w:val="none" w:sz="0" w:space="0" w:color="auto"/>
      </w:divBdr>
    </w:div>
    <w:div w:id="368577821">
      <w:marLeft w:val="0"/>
      <w:marRight w:val="0"/>
      <w:marTop w:val="0"/>
      <w:marBottom w:val="0"/>
      <w:divBdr>
        <w:top w:val="none" w:sz="0" w:space="0" w:color="auto"/>
        <w:left w:val="none" w:sz="0" w:space="0" w:color="auto"/>
        <w:bottom w:val="none" w:sz="0" w:space="0" w:color="auto"/>
        <w:right w:val="none" w:sz="0" w:space="0" w:color="auto"/>
      </w:divBdr>
    </w:div>
    <w:div w:id="368577822">
      <w:marLeft w:val="0"/>
      <w:marRight w:val="0"/>
      <w:marTop w:val="0"/>
      <w:marBottom w:val="0"/>
      <w:divBdr>
        <w:top w:val="none" w:sz="0" w:space="0" w:color="auto"/>
        <w:left w:val="none" w:sz="0" w:space="0" w:color="auto"/>
        <w:bottom w:val="none" w:sz="0" w:space="0" w:color="auto"/>
        <w:right w:val="none" w:sz="0" w:space="0" w:color="auto"/>
      </w:divBdr>
    </w:div>
    <w:div w:id="368577823">
      <w:marLeft w:val="0"/>
      <w:marRight w:val="0"/>
      <w:marTop w:val="0"/>
      <w:marBottom w:val="0"/>
      <w:divBdr>
        <w:top w:val="none" w:sz="0" w:space="0" w:color="auto"/>
        <w:left w:val="none" w:sz="0" w:space="0" w:color="auto"/>
        <w:bottom w:val="none" w:sz="0" w:space="0" w:color="auto"/>
        <w:right w:val="none" w:sz="0" w:space="0" w:color="auto"/>
      </w:divBdr>
    </w:div>
    <w:div w:id="368577824">
      <w:marLeft w:val="0"/>
      <w:marRight w:val="0"/>
      <w:marTop w:val="0"/>
      <w:marBottom w:val="0"/>
      <w:divBdr>
        <w:top w:val="none" w:sz="0" w:space="0" w:color="auto"/>
        <w:left w:val="none" w:sz="0" w:space="0" w:color="auto"/>
        <w:bottom w:val="none" w:sz="0" w:space="0" w:color="auto"/>
        <w:right w:val="none" w:sz="0" w:space="0" w:color="auto"/>
      </w:divBdr>
    </w:div>
    <w:div w:id="368577825">
      <w:marLeft w:val="0"/>
      <w:marRight w:val="0"/>
      <w:marTop w:val="0"/>
      <w:marBottom w:val="0"/>
      <w:divBdr>
        <w:top w:val="none" w:sz="0" w:space="0" w:color="auto"/>
        <w:left w:val="none" w:sz="0" w:space="0" w:color="auto"/>
        <w:bottom w:val="none" w:sz="0" w:space="0" w:color="auto"/>
        <w:right w:val="none" w:sz="0" w:space="0" w:color="auto"/>
      </w:divBdr>
    </w:div>
    <w:div w:id="368577826">
      <w:marLeft w:val="0"/>
      <w:marRight w:val="0"/>
      <w:marTop w:val="0"/>
      <w:marBottom w:val="0"/>
      <w:divBdr>
        <w:top w:val="none" w:sz="0" w:space="0" w:color="auto"/>
        <w:left w:val="none" w:sz="0" w:space="0" w:color="auto"/>
        <w:bottom w:val="none" w:sz="0" w:space="0" w:color="auto"/>
        <w:right w:val="none" w:sz="0" w:space="0" w:color="auto"/>
      </w:divBdr>
    </w:div>
    <w:div w:id="368577827">
      <w:marLeft w:val="0"/>
      <w:marRight w:val="0"/>
      <w:marTop w:val="0"/>
      <w:marBottom w:val="0"/>
      <w:divBdr>
        <w:top w:val="none" w:sz="0" w:space="0" w:color="auto"/>
        <w:left w:val="none" w:sz="0" w:space="0" w:color="auto"/>
        <w:bottom w:val="none" w:sz="0" w:space="0" w:color="auto"/>
        <w:right w:val="none" w:sz="0" w:space="0" w:color="auto"/>
      </w:divBdr>
    </w:div>
    <w:div w:id="368577828">
      <w:marLeft w:val="0"/>
      <w:marRight w:val="0"/>
      <w:marTop w:val="0"/>
      <w:marBottom w:val="0"/>
      <w:divBdr>
        <w:top w:val="none" w:sz="0" w:space="0" w:color="auto"/>
        <w:left w:val="none" w:sz="0" w:space="0" w:color="auto"/>
        <w:bottom w:val="none" w:sz="0" w:space="0" w:color="auto"/>
        <w:right w:val="none" w:sz="0" w:space="0" w:color="auto"/>
      </w:divBdr>
    </w:div>
    <w:div w:id="368577829">
      <w:marLeft w:val="0"/>
      <w:marRight w:val="0"/>
      <w:marTop w:val="0"/>
      <w:marBottom w:val="0"/>
      <w:divBdr>
        <w:top w:val="none" w:sz="0" w:space="0" w:color="auto"/>
        <w:left w:val="none" w:sz="0" w:space="0" w:color="auto"/>
        <w:bottom w:val="none" w:sz="0" w:space="0" w:color="auto"/>
        <w:right w:val="none" w:sz="0" w:space="0" w:color="auto"/>
      </w:divBdr>
    </w:div>
    <w:div w:id="368577830">
      <w:marLeft w:val="0"/>
      <w:marRight w:val="0"/>
      <w:marTop w:val="0"/>
      <w:marBottom w:val="0"/>
      <w:divBdr>
        <w:top w:val="none" w:sz="0" w:space="0" w:color="auto"/>
        <w:left w:val="none" w:sz="0" w:space="0" w:color="auto"/>
        <w:bottom w:val="none" w:sz="0" w:space="0" w:color="auto"/>
        <w:right w:val="none" w:sz="0" w:space="0" w:color="auto"/>
      </w:divBdr>
    </w:div>
    <w:div w:id="368577831">
      <w:marLeft w:val="0"/>
      <w:marRight w:val="0"/>
      <w:marTop w:val="0"/>
      <w:marBottom w:val="0"/>
      <w:divBdr>
        <w:top w:val="none" w:sz="0" w:space="0" w:color="auto"/>
        <w:left w:val="none" w:sz="0" w:space="0" w:color="auto"/>
        <w:bottom w:val="none" w:sz="0" w:space="0" w:color="auto"/>
        <w:right w:val="none" w:sz="0" w:space="0" w:color="auto"/>
      </w:divBdr>
    </w:div>
    <w:div w:id="368577832">
      <w:marLeft w:val="0"/>
      <w:marRight w:val="0"/>
      <w:marTop w:val="0"/>
      <w:marBottom w:val="0"/>
      <w:divBdr>
        <w:top w:val="none" w:sz="0" w:space="0" w:color="auto"/>
        <w:left w:val="none" w:sz="0" w:space="0" w:color="auto"/>
        <w:bottom w:val="none" w:sz="0" w:space="0" w:color="auto"/>
        <w:right w:val="none" w:sz="0" w:space="0" w:color="auto"/>
      </w:divBdr>
    </w:div>
    <w:div w:id="368577833">
      <w:marLeft w:val="0"/>
      <w:marRight w:val="0"/>
      <w:marTop w:val="0"/>
      <w:marBottom w:val="0"/>
      <w:divBdr>
        <w:top w:val="none" w:sz="0" w:space="0" w:color="auto"/>
        <w:left w:val="none" w:sz="0" w:space="0" w:color="auto"/>
        <w:bottom w:val="none" w:sz="0" w:space="0" w:color="auto"/>
        <w:right w:val="none" w:sz="0" w:space="0" w:color="auto"/>
      </w:divBdr>
    </w:div>
    <w:div w:id="368577834">
      <w:marLeft w:val="0"/>
      <w:marRight w:val="0"/>
      <w:marTop w:val="0"/>
      <w:marBottom w:val="0"/>
      <w:divBdr>
        <w:top w:val="none" w:sz="0" w:space="0" w:color="auto"/>
        <w:left w:val="none" w:sz="0" w:space="0" w:color="auto"/>
        <w:bottom w:val="none" w:sz="0" w:space="0" w:color="auto"/>
        <w:right w:val="none" w:sz="0" w:space="0" w:color="auto"/>
      </w:divBdr>
    </w:div>
    <w:div w:id="368577835">
      <w:marLeft w:val="0"/>
      <w:marRight w:val="0"/>
      <w:marTop w:val="0"/>
      <w:marBottom w:val="0"/>
      <w:divBdr>
        <w:top w:val="none" w:sz="0" w:space="0" w:color="auto"/>
        <w:left w:val="none" w:sz="0" w:space="0" w:color="auto"/>
        <w:bottom w:val="none" w:sz="0" w:space="0" w:color="auto"/>
        <w:right w:val="none" w:sz="0" w:space="0" w:color="auto"/>
      </w:divBdr>
    </w:div>
    <w:div w:id="368577836">
      <w:marLeft w:val="0"/>
      <w:marRight w:val="0"/>
      <w:marTop w:val="0"/>
      <w:marBottom w:val="0"/>
      <w:divBdr>
        <w:top w:val="none" w:sz="0" w:space="0" w:color="auto"/>
        <w:left w:val="none" w:sz="0" w:space="0" w:color="auto"/>
        <w:bottom w:val="none" w:sz="0" w:space="0" w:color="auto"/>
        <w:right w:val="none" w:sz="0" w:space="0" w:color="auto"/>
      </w:divBdr>
    </w:div>
    <w:div w:id="368577837">
      <w:marLeft w:val="0"/>
      <w:marRight w:val="0"/>
      <w:marTop w:val="0"/>
      <w:marBottom w:val="0"/>
      <w:divBdr>
        <w:top w:val="none" w:sz="0" w:space="0" w:color="auto"/>
        <w:left w:val="none" w:sz="0" w:space="0" w:color="auto"/>
        <w:bottom w:val="none" w:sz="0" w:space="0" w:color="auto"/>
        <w:right w:val="none" w:sz="0" w:space="0" w:color="auto"/>
      </w:divBdr>
    </w:div>
    <w:div w:id="368577838">
      <w:marLeft w:val="0"/>
      <w:marRight w:val="0"/>
      <w:marTop w:val="0"/>
      <w:marBottom w:val="0"/>
      <w:divBdr>
        <w:top w:val="none" w:sz="0" w:space="0" w:color="auto"/>
        <w:left w:val="none" w:sz="0" w:space="0" w:color="auto"/>
        <w:bottom w:val="none" w:sz="0" w:space="0" w:color="auto"/>
        <w:right w:val="none" w:sz="0" w:space="0" w:color="auto"/>
      </w:divBdr>
    </w:div>
    <w:div w:id="368577839">
      <w:marLeft w:val="0"/>
      <w:marRight w:val="0"/>
      <w:marTop w:val="0"/>
      <w:marBottom w:val="0"/>
      <w:divBdr>
        <w:top w:val="none" w:sz="0" w:space="0" w:color="auto"/>
        <w:left w:val="none" w:sz="0" w:space="0" w:color="auto"/>
        <w:bottom w:val="none" w:sz="0" w:space="0" w:color="auto"/>
        <w:right w:val="none" w:sz="0" w:space="0" w:color="auto"/>
      </w:divBdr>
    </w:div>
    <w:div w:id="368577840">
      <w:marLeft w:val="0"/>
      <w:marRight w:val="0"/>
      <w:marTop w:val="0"/>
      <w:marBottom w:val="0"/>
      <w:divBdr>
        <w:top w:val="none" w:sz="0" w:space="0" w:color="auto"/>
        <w:left w:val="none" w:sz="0" w:space="0" w:color="auto"/>
        <w:bottom w:val="none" w:sz="0" w:space="0" w:color="auto"/>
        <w:right w:val="none" w:sz="0" w:space="0" w:color="auto"/>
      </w:divBdr>
    </w:div>
    <w:div w:id="368577841">
      <w:marLeft w:val="0"/>
      <w:marRight w:val="0"/>
      <w:marTop w:val="0"/>
      <w:marBottom w:val="0"/>
      <w:divBdr>
        <w:top w:val="none" w:sz="0" w:space="0" w:color="auto"/>
        <w:left w:val="none" w:sz="0" w:space="0" w:color="auto"/>
        <w:bottom w:val="none" w:sz="0" w:space="0" w:color="auto"/>
        <w:right w:val="none" w:sz="0" w:space="0" w:color="auto"/>
      </w:divBdr>
    </w:div>
    <w:div w:id="368577842">
      <w:marLeft w:val="0"/>
      <w:marRight w:val="0"/>
      <w:marTop w:val="0"/>
      <w:marBottom w:val="0"/>
      <w:divBdr>
        <w:top w:val="none" w:sz="0" w:space="0" w:color="auto"/>
        <w:left w:val="none" w:sz="0" w:space="0" w:color="auto"/>
        <w:bottom w:val="none" w:sz="0" w:space="0" w:color="auto"/>
        <w:right w:val="none" w:sz="0" w:space="0" w:color="auto"/>
      </w:divBdr>
    </w:div>
    <w:div w:id="368577843">
      <w:marLeft w:val="0"/>
      <w:marRight w:val="0"/>
      <w:marTop w:val="0"/>
      <w:marBottom w:val="0"/>
      <w:divBdr>
        <w:top w:val="none" w:sz="0" w:space="0" w:color="auto"/>
        <w:left w:val="none" w:sz="0" w:space="0" w:color="auto"/>
        <w:bottom w:val="none" w:sz="0" w:space="0" w:color="auto"/>
        <w:right w:val="none" w:sz="0" w:space="0" w:color="auto"/>
      </w:divBdr>
    </w:div>
    <w:div w:id="368577844">
      <w:marLeft w:val="0"/>
      <w:marRight w:val="0"/>
      <w:marTop w:val="0"/>
      <w:marBottom w:val="0"/>
      <w:divBdr>
        <w:top w:val="none" w:sz="0" w:space="0" w:color="auto"/>
        <w:left w:val="none" w:sz="0" w:space="0" w:color="auto"/>
        <w:bottom w:val="none" w:sz="0" w:space="0" w:color="auto"/>
        <w:right w:val="none" w:sz="0" w:space="0" w:color="auto"/>
      </w:divBdr>
    </w:div>
    <w:div w:id="368577845">
      <w:marLeft w:val="0"/>
      <w:marRight w:val="0"/>
      <w:marTop w:val="0"/>
      <w:marBottom w:val="0"/>
      <w:divBdr>
        <w:top w:val="none" w:sz="0" w:space="0" w:color="auto"/>
        <w:left w:val="none" w:sz="0" w:space="0" w:color="auto"/>
        <w:bottom w:val="none" w:sz="0" w:space="0" w:color="auto"/>
        <w:right w:val="none" w:sz="0" w:space="0" w:color="auto"/>
      </w:divBdr>
    </w:div>
    <w:div w:id="368577846">
      <w:marLeft w:val="0"/>
      <w:marRight w:val="0"/>
      <w:marTop w:val="0"/>
      <w:marBottom w:val="0"/>
      <w:divBdr>
        <w:top w:val="none" w:sz="0" w:space="0" w:color="auto"/>
        <w:left w:val="none" w:sz="0" w:space="0" w:color="auto"/>
        <w:bottom w:val="none" w:sz="0" w:space="0" w:color="auto"/>
        <w:right w:val="none" w:sz="0" w:space="0" w:color="auto"/>
      </w:divBdr>
    </w:div>
    <w:div w:id="368577847">
      <w:marLeft w:val="0"/>
      <w:marRight w:val="0"/>
      <w:marTop w:val="0"/>
      <w:marBottom w:val="0"/>
      <w:divBdr>
        <w:top w:val="none" w:sz="0" w:space="0" w:color="auto"/>
        <w:left w:val="none" w:sz="0" w:space="0" w:color="auto"/>
        <w:bottom w:val="none" w:sz="0" w:space="0" w:color="auto"/>
        <w:right w:val="none" w:sz="0" w:space="0" w:color="auto"/>
      </w:divBdr>
    </w:div>
    <w:div w:id="368577848">
      <w:marLeft w:val="0"/>
      <w:marRight w:val="0"/>
      <w:marTop w:val="0"/>
      <w:marBottom w:val="0"/>
      <w:divBdr>
        <w:top w:val="none" w:sz="0" w:space="0" w:color="auto"/>
        <w:left w:val="none" w:sz="0" w:space="0" w:color="auto"/>
        <w:bottom w:val="none" w:sz="0" w:space="0" w:color="auto"/>
        <w:right w:val="none" w:sz="0" w:space="0" w:color="auto"/>
      </w:divBdr>
    </w:div>
    <w:div w:id="368577849">
      <w:marLeft w:val="0"/>
      <w:marRight w:val="0"/>
      <w:marTop w:val="0"/>
      <w:marBottom w:val="0"/>
      <w:divBdr>
        <w:top w:val="none" w:sz="0" w:space="0" w:color="auto"/>
        <w:left w:val="none" w:sz="0" w:space="0" w:color="auto"/>
        <w:bottom w:val="none" w:sz="0" w:space="0" w:color="auto"/>
        <w:right w:val="none" w:sz="0" w:space="0" w:color="auto"/>
      </w:divBdr>
    </w:div>
    <w:div w:id="368577850">
      <w:marLeft w:val="0"/>
      <w:marRight w:val="0"/>
      <w:marTop w:val="0"/>
      <w:marBottom w:val="0"/>
      <w:divBdr>
        <w:top w:val="none" w:sz="0" w:space="0" w:color="auto"/>
        <w:left w:val="none" w:sz="0" w:space="0" w:color="auto"/>
        <w:bottom w:val="none" w:sz="0" w:space="0" w:color="auto"/>
        <w:right w:val="none" w:sz="0" w:space="0" w:color="auto"/>
      </w:divBdr>
    </w:div>
    <w:div w:id="368577851">
      <w:marLeft w:val="0"/>
      <w:marRight w:val="0"/>
      <w:marTop w:val="0"/>
      <w:marBottom w:val="0"/>
      <w:divBdr>
        <w:top w:val="none" w:sz="0" w:space="0" w:color="auto"/>
        <w:left w:val="none" w:sz="0" w:space="0" w:color="auto"/>
        <w:bottom w:val="none" w:sz="0" w:space="0" w:color="auto"/>
        <w:right w:val="none" w:sz="0" w:space="0" w:color="auto"/>
      </w:divBdr>
    </w:div>
    <w:div w:id="368577852">
      <w:marLeft w:val="0"/>
      <w:marRight w:val="0"/>
      <w:marTop w:val="0"/>
      <w:marBottom w:val="0"/>
      <w:divBdr>
        <w:top w:val="none" w:sz="0" w:space="0" w:color="auto"/>
        <w:left w:val="none" w:sz="0" w:space="0" w:color="auto"/>
        <w:bottom w:val="none" w:sz="0" w:space="0" w:color="auto"/>
        <w:right w:val="none" w:sz="0" w:space="0" w:color="auto"/>
      </w:divBdr>
    </w:div>
    <w:div w:id="368577853">
      <w:marLeft w:val="0"/>
      <w:marRight w:val="0"/>
      <w:marTop w:val="0"/>
      <w:marBottom w:val="0"/>
      <w:divBdr>
        <w:top w:val="none" w:sz="0" w:space="0" w:color="auto"/>
        <w:left w:val="none" w:sz="0" w:space="0" w:color="auto"/>
        <w:bottom w:val="none" w:sz="0" w:space="0" w:color="auto"/>
        <w:right w:val="none" w:sz="0" w:space="0" w:color="auto"/>
      </w:divBdr>
    </w:div>
    <w:div w:id="368577854">
      <w:marLeft w:val="0"/>
      <w:marRight w:val="0"/>
      <w:marTop w:val="0"/>
      <w:marBottom w:val="0"/>
      <w:divBdr>
        <w:top w:val="none" w:sz="0" w:space="0" w:color="auto"/>
        <w:left w:val="none" w:sz="0" w:space="0" w:color="auto"/>
        <w:bottom w:val="none" w:sz="0" w:space="0" w:color="auto"/>
        <w:right w:val="none" w:sz="0" w:space="0" w:color="auto"/>
      </w:divBdr>
    </w:div>
    <w:div w:id="368577855">
      <w:marLeft w:val="0"/>
      <w:marRight w:val="0"/>
      <w:marTop w:val="0"/>
      <w:marBottom w:val="0"/>
      <w:divBdr>
        <w:top w:val="none" w:sz="0" w:space="0" w:color="auto"/>
        <w:left w:val="none" w:sz="0" w:space="0" w:color="auto"/>
        <w:bottom w:val="none" w:sz="0" w:space="0" w:color="auto"/>
        <w:right w:val="none" w:sz="0" w:space="0" w:color="auto"/>
      </w:divBdr>
    </w:div>
    <w:div w:id="368577856">
      <w:marLeft w:val="0"/>
      <w:marRight w:val="0"/>
      <w:marTop w:val="0"/>
      <w:marBottom w:val="0"/>
      <w:divBdr>
        <w:top w:val="none" w:sz="0" w:space="0" w:color="auto"/>
        <w:left w:val="none" w:sz="0" w:space="0" w:color="auto"/>
        <w:bottom w:val="none" w:sz="0" w:space="0" w:color="auto"/>
        <w:right w:val="none" w:sz="0" w:space="0" w:color="auto"/>
      </w:divBdr>
    </w:div>
    <w:div w:id="368577857">
      <w:marLeft w:val="0"/>
      <w:marRight w:val="0"/>
      <w:marTop w:val="0"/>
      <w:marBottom w:val="0"/>
      <w:divBdr>
        <w:top w:val="none" w:sz="0" w:space="0" w:color="auto"/>
        <w:left w:val="none" w:sz="0" w:space="0" w:color="auto"/>
        <w:bottom w:val="none" w:sz="0" w:space="0" w:color="auto"/>
        <w:right w:val="none" w:sz="0" w:space="0" w:color="auto"/>
      </w:divBdr>
    </w:div>
    <w:div w:id="368577858">
      <w:marLeft w:val="0"/>
      <w:marRight w:val="0"/>
      <w:marTop w:val="0"/>
      <w:marBottom w:val="0"/>
      <w:divBdr>
        <w:top w:val="none" w:sz="0" w:space="0" w:color="auto"/>
        <w:left w:val="none" w:sz="0" w:space="0" w:color="auto"/>
        <w:bottom w:val="none" w:sz="0" w:space="0" w:color="auto"/>
        <w:right w:val="none" w:sz="0" w:space="0" w:color="auto"/>
      </w:divBdr>
    </w:div>
    <w:div w:id="3685778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72045-0943-43B7-8528-665AA5729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32</Pages>
  <Words>8642</Words>
  <Characters>51017</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SHARED SERVICES CENTRE</vt:lpstr>
    </vt:vector>
  </TitlesOfParts>
  <Company>ACT Government</Company>
  <LinksUpToDate>false</LinksUpToDate>
  <CharactersWithSpaces>59540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Commerce and Works Directorate</dc:title>
  <dc:subject>Commerce and Works Directorate</dc:subject>
  <dc:creator>Chief Minister and Treasury Directorate</dc:creator>
  <cp:lastModifiedBy>Paul Hutchinson</cp:lastModifiedBy>
  <cp:revision>4</cp:revision>
  <cp:lastPrinted>2013-05-28T09:45:00Z</cp:lastPrinted>
  <dcterms:created xsi:type="dcterms:W3CDTF">2013-05-28T10:20:00Z</dcterms:created>
  <dcterms:modified xsi:type="dcterms:W3CDTF">2013-06-05T22:16:00Z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