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5017" w14:textId="7C50B7F3" w:rsidR="005E69BD" w:rsidRPr="001628EB" w:rsidRDefault="00B70924">
      <w:pPr>
        <w:spacing w:before="0" w:after="160" w:line="259" w:lineRule="auto"/>
        <w:rPr>
          <w:rFonts w:ascii="Arial" w:hAnsi="Arial"/>
          <w:b/>
          <w:caps/>
          <w:color w:val="000000" w:themeColor="text1"/>
          <w:kern w:val="28"/>
          <w:sz w:val="44"/>
        </w:rPr>
      </w:pPr>
      <w:r>
        <w:rPr>
          <w:b/>
          <w:caps/>
          <w:noProof/>
          <w:color w:val="000000" w:themeColor="text1"/>
          <w:sz w:val="44"/>
        </w:rPr>
        <mc:AlternateContent>
          <mc:Choice Requires="wps">
            <w:drawing>
              <wp:anchor distT="0" distB="0" distL="114300" distR="114300" simplePos="0" relativeHeight="251658243" behindDoc="0" locked="0" layoutInCell="1" allowOverlap="1" wp14:anchorId="59948A67" wp14:editId="1AB5E8CC">
                <wp:simplePos x="0" y="0"/>
                <wp:positionH relativeFrom="margin">
                  <wp:align>right</wp:align>
                </wp:positionH>
                <wp:positionV relativeFrom="paragraph">
                  <wp:posOffset>1499235</wp:posOffset>
                </wp:positionV>
                <wp:extent cx="5162550" cy="302260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5162550" cy="3022600"/>
                        </a:xfrm>
                        <a:prstGeom prst="rect">
                          <a:avLst/>
                        </a:prstGeom>
                        <a:noFill/>
                        <a:ln w="6350">
                          <a:noFill/>
                        </a:ln>
                      </wps:spPr>
                      <wps:txbx>
                        <w:txbxContent>
                          <w:p w14:paraId="412CEADA" w14:textId="3C9B139E" w:rsidR="00783FB8" w:rsidRPr="00783FB8" w:rsidRDefault="00DC4DEB" w:rsidP="00783FB8">
                            <w:pPr>
                              <w:pStyle w:val="Title"/>
                              <w:spacing w:after="0"/>
                            </w:pPr>
                            <w:bookmarkStart w:id="0" w:name="_Toc175575721"/>
                            <w:bookmarkStart w:id="1" w:name="_Toc175576338"/>
                            <w:bookmarkStart w:id="2" w:name="_Toc175576395"/>
                            <w:bookmarkStart w:id="3" w:name="_Toc149768190"/>
                            <w:bookmarkStart w:id="4" w:name="_Toc150888553"/>
                            <w:bookmarkStart w:id="5" w:name="_Toc167454608"/>
                            <w:bookmarkStart w:id="6" w:name="_Hlk149141298"/>
                            <w:r>
                              <w:t xml:space="preserve">Best Practice Guide </w:t>
                            </w:r>
                            <w:r w:rsidR="00B70924">
                              <w:t>for Preparing Regulatory Impact Assessment</w:t>
                            </w:r>
                            <w:bookmarkEnd w:id="0"/>
                            <w:bookmarkEnd w:id="1"/>
                            <w:bookmarkEnd w:id="2"/>
                            <w:r w:rsidR="00315343">
                              <w:t>s</w:t>
                            </w:r>
                          </w:p>
                          <w:p w14:paraId="67F06E80" w14:textId="05067556" w:rsidR="00F939BC" w:rsidRPr="00222C35" w:rsidRDefault="0095231E" w:rsidP="00783FB8">
                            <w:pPr>
                              <w:pStyle w:val="Subtitle"/>
                              <w:jc w:val="left"/>
                            </w:pPr>
                            <w:r>
                              <w:t xml:space="preserve"> </w:t>
                            </w:r>
                            <w:r w:rsidR="001E1A4A">
                              <w:t xml:space="preserve">November </w:t>
                            </w:r>
                            <w:r w:rsidR="00783FB8">
                              <w:t>202</w:t>
                            </w:r>
                            <w:r w:rsidR="00A437A9">
                              <w:t>4</w:t>
                            </w:r>
                            <w:bookmarkEnd w:id="3"/>
                            <w:bookmarkEnd w:id="4"/>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48A67" id="_x0000_t202" coordsize="21600,21600" o:spt="202" path="m,l,21600r21600,l21600,xe">
                <v:stroke joinstyle="miter"/>
                <v:path gradientshapeok="t" o:connecttype="rect"/>
              </v:shapetype>
              <v:shape id="Text Box 22" o:spid="_x0000_s1026" type="#_x0000_t202" style="position:absolute;margin-left:355.3pt;margin-top:118.05pt;width:406.5pt;height:238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" filled="f" stroked="f" strokeweight=".5pt">
                <v:textbox>
                  <w:txbxContent>
                    <w:p w14:paraId="412CEADA" w14:textId="3C9B139E" w:rsidR="00783FB8" w:rsidRPr="00783FB8" w:rsidRDefault="00DC4DEB" w:rsidP="00783FB8">
                      <w:pPr>
                        <w:pStyle w:val="Title"/>
                        <w:spacing w:after="0"/>
                      </w:pPr>
                      <w:bookmarkStart w:id="7" w:name="_Toc175575721"/>
                      <w:bookmarkStart w:id="8" w:name="_Toc175576338"/>
                      <w:bookmarkStart w:id="9" w:name="_Toc175576395"/>
                      <w:bookmarkStart w:id="10" w:name="_Toc149768190"/>
                      <w:bookmarkStart w:id="11" w:name="_Toc150888553"/>
                      <w:bookmarkStart w:id="12" w:name="_Toc167454608"/>
                      <w:bookmarkStart w:id="13" w:name="_Hlk149141298"/>
                      <w:r>
                        <w:t xml:space="preserve">Best Practice Guide </w:t>
                      </w:r>
                      <w:r w:rsidR="00B70924">
                        <w:t>for Preparing Regulatory Impact Assessment</w:t>
                      </w:r>
                      <w:bookmarkEnd w:id="7"/>
                      <w:bookmarkEnd w:id="8"/>
                      <w:bookmarkEnd w:id="9"/>
                      <w:r w:rsidR="00315343">
                        <w:t>s</w:t>
                      </w:r>
                    </w:p>
                    <w:p w14:paraId="67F06E80" w14:textId="05067556" w:rsidR="00F939BC" w:rsidRPr="00222C35" w:rsidRDefault="0095231E" w:rsidP="00783FB8">
                      <w:pPr>
                        <w:pStyle w:val="Subtitle"/>
                        <w:jc w:val="left"/>
                      </w:pPr>
                      <w:r>
                        <w:t xml:space="preserve"> </w:t>
                      </w:r>
                      <w:r w:rsidR="001E1A4A">
                        <w:t xml:space="preserve">November </w:t>
                      </w:r>
                      <w:r w:rsidR="00783FB8">
                        <w:t>202</w:t>
                      </w:r>
                      <w:r w:rsidR="00A437A9">
                        <w:t>4</w:t>
                      </w:r>
                      <w:bookmarkEnd w:id="10"/>
                      <w:bookmarkEnd w:id="11"/>
                      <w:bookmarkEnd w:id="12"/>
                      <w:bookmarkEnd w:id="13"/>
                    </w:p>
                  </w:txbxContent>
                </v:textbox>
                <w10:wrap anchorx="margin"/>
              </v:shape>
            </w:pict>
          </mc:Fallback>
        </mc:AlternateContent>
      </w:r>
      <w:r w:rsidR="007227F0">
        <w:rPr>
          <w:noProof/>
          <w:color w:val="000000" w:themeColor="text1"/>
        </w:rPr>
        <w:drawing>
          <wp:anchor distT="0" distB="0" distL="114300" distR="114300" simplePos="0" relativeHeight="251658241" behindDoc="0" locked="0" layoutInCell="1" allowOverlap="1" wp14:anchorId="61CEEF2A" wp14:editId="6F918CC7">
            <wp:simplePos x="0" y="0"/>
            <wp:positionH relativeFrom="margin">
              <wp:align>left</wp:align>
            </wp:positionH>
            <wp:positionV relativeFrom="paragraph">
              <wp:posOffset>187325</wp:posOffset>
            </wp:positionV>
            <wp:extent cx="1753235" cy="890270"/>
            <wp:effectExtent l="0" t="0" r="0" b="0"/>
            <wp:wrapNone/>
            <wp:docPr id="16" name="Picture 16"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crest"/>
                    <pic:cNvPicPr/>
                  </pic:nvPicPr>
                  <pic:blipFill>
                    <a:blip r:embed="rId13">
                      <a:extLst>
                        <a:ext uri="{28A0092B-C50C-407E-A947-70E740481C1C}">
                          <a14:useLocalDpi xmlns:a14="http://schemas.microsoft.com/office/drawing/2010/main" val="0"/>
                        </a:ext>
                      </a:extLst>
                    </a:blip>
                    <a:stretch>
                      <a:fillRect/>
                    </a:stretch>
                  </pic:blipFill>
                  <pic:spPr>
                    <a:xfrm>
                      <a:off x="0" y="0"/>
                      <a:ext cx="1753235" cy="890422"/>
                    </a:xfrm>
                    <a:prstGeom prst="rect">
                      <a:avLst/>
                    </a:prstGeom>
                  </pic:spPr>
                </pic:pic>
              </a:graphicData>
            </a:graphic>
            <wp14:sizeRelH relativeFrom="page">
              <wp14:pctWidth>0</wp14:pctWidth>
            </wp14:sizeRelH>
            <wp14:sizeRelV relativeFrom="page">
              <wp14:pctHeight>0</wp14:pctHeight>
            </wp14:sizeRelV>
          </wp:anchor>
        </w:drawing>
      </w:r>
      <w:r w:rsidR="00D33CD9">
        <w:rPr>
          <w:b/>
          <w:caps/>
          <w:noProof/>
          <w:color w:val="000000" w:themeColor="text1"/>
          <w:sz w:val="44"/>
        </w:rPr>
        <mc:AlternateContent>
          <mc:Choice Requires="wps">
            <w:drawing>
              <wp:anchor distT="0" distB="0" distL="114300" distR="114300" simplePos="0" relativeHeight="251658242" behindDoc="0" locked="0" layoutInCell="1" allowOverlap="1" wp14:anchorId="5C356A46" wp14:editId="23D089AC">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26AC01C8" w14:textId="3E7996D1" w:rsidR="00222C35" w:rsidRPr="00825C83" w:rsidRDefault="00612A63" w:rsidP="008F4C1C">
                            <w:pPr>
                              <w:pStyle w:val="Directoratename"/>
                            </w:pPr>
                            <w:r>
                              <w:t>Chief Minister, Treasury and Economic Development</w:t>
                            </w:r>
                            <w:r w:rsidR="00483345" w:rsidRPr="00825C83">
                              <w:t xml:space="preserve"> </w:t>
                            </w:r>
                            <w:r w:rsidR="008F4C1C">
                              <w:t>D</w:t>
                            </w:r>
                            <w:r w:rsidR="00483345" w:rsidRPr="00825C83">
                              <w:t>irectorate</w:t>
                            </w:r>
                          </w:p>
                          <w:p w14:paraId="2FCD2741" w14:textId="77777777" w:rsidR="00222C35" w:rsidRDefault="00222C35"/>
                          <w:p w14:paraId="6216E613" w14:textId="77777777" w:rsidR="00222C35" w:rsidRPr="00825C83" w:rsidRDefault="00612A63" w:rsidP="008F4C1C">
                            <w:pPr>
                              <w:pStyle w:val="Directoratename"/>
                            </w:pPr>
                            <w:r>
                              <w:t>Chief Minister, Treasury and Economic Development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56A46" id="Text Box 25" o:spid="_x0000_s1027" type="#_x0000_t202" style="position:absolute;margin-left:-4.05pt;margin-top:705.7pt;width:400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m9FwIAADM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" filled="f" stroked="f" strokeweight=".5pt">
                <v:textbox>
                  <w:txbxContent>
                    <w:p w14:paraId="26AC01C8" w14:textId="3E7996D1" w:rsidR="00222C35" w:rsidRPr="00825C83" w:rsidRDefault="00612A63" w:rsidP="008F4C1C">
                      <w:pPr>
                        <w:pStyle w:val="Directoratename"/>
                      </w:pPr>
                      <w:r>
                        <w:t>Chief Minister, Treasury and Economic Development</w:t>
                      </w:r>
                      <w:r w:rsidR="00483345" w:rsidRPr="00825C83">
                        <w:t xml:space="preserve"> </w:t>
                      </w:r>
                      <w:r w:rsidR="008F4C1C">
                        <w:t>D</w:t>
                      </w:r>
                      <w:r w:rsidR="00483345" w:rsidRPr="00825C83">
                        <w:t>irectorate</w:t>
                      </w:r>
                    </w:p>
                    <w:p w14:paraId="2FCD2741" w14:textId="77777777" w:rsidR="00222C35" w:rsidRDefault="00222C35"/>
                    <w:p w14:paraId="6216E613" w14:textId="77777777" w:rsidR="00222C35" w:rsidRPr="00825C83" w:rsidRDefault="00612A63" w:rsidP="008F4C1C">
                      <w:pPr>
                        <w:pStyle w:val="Directoratename"/>
                      </w:pPr>
                      <w:r>
                        <w:t>Chief Minister, Treasury and Economic Development</w:t>
                      </w:r>
                      <w:r w:rsidR="00483345" w:rsidRPr="00825C83">
                        <w:t xml:space="preserve"> </w:t>
                      </w:r>
                      <w:r w:rsidR="008F4C1C">
                        <w:t>D</w:t>
                      </w:r>
                      <w:r w:rsidR="00483345" w:rsidRPr="00825C83">
                        <w:t>irectorate</w:t>
                      </w:r>
                    </w:p>
                  </w:txbxContent>
                </v:textbox>
              </v:shape>
            </w:pict>
          </mc:Fallback>
        </mc:AlternateContent>
      </w:r>
      <w:r w:rsidR="00825C83">
        <w:rPr>
          <w:noProof/>
        </w:rPr>
        <w:drawing>
          <wp:anchor distT="0" distB="0" distL="114300" distR="114300" simplePos="0" relativeHeight="251658240" behindDoc="1" locked="0" layoutInCell="1" allowOverlap="1" wp14:anchorId="7838AA5C" wp14:editId="6172B5D9">
            <wp:simplePos x="0" y="0"/>
            <wp:positionH relativeFrom="column">
              <wp:posOffset>-364490</wp:posOffset>
            </wp:positionH>
            <wp:positionV relativeFrom="paragraph">
              <wp:posOffset>-434340</wp:posOffset>
            </wp:positionV>
            <wp:extent cx="6885305" cy="1069022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r:link="rId15">
                      <a:extLst>
                        <a:ext uri="{28A0092B-C50C-407E-A947-70E740481C1C}">
                          <a14:useLocalDpi xmlns:a14="http://schemas.microsoft.com/office/drawing/2010/main" val="0"/>
                        </a:ext>
                      </a:extLst>
                    </a:blip>
                    <a:stretch>
                      <a:fillRect/>
                    </a:stretch>
                  </pic:blipFill>
                  <pic:spPr>
                    <a:xfrm>
                      <a:off x="0" y="0"/>
                      <a:ext cx="6885305" cy="10690225"/>
                    </a:xfrm>
                    <a:prstGeom prst="rect">
                      <a:avLst/>
                    </a:prstGeom>
                  </pic:spPr>
                </pic:pic>
              </a:graphicData>
            </a:graphic>
            <wp14:sizeRelH relativeFrom="page">
              <wp14:pctWidth>0</wp14:pctWidth>
            </wp14:sizeRelH>
            <wp14:sizeRelV relativeFrom="page">
              <wp14:pctHeight>0</wp14:pctHeight>
            </wp14:sizeRelV>
          </wp:anchor>
        </w:drawing>
      </w:r>
      <w:bookmarkStart w:id="7" w:name="OLE_LINK2"/>
      <w:bookmarkEnd w:id="7"/>
      <w:r w:rsidR="005E69BD">
        <w:br w:type="page"/>
      </w:r>
    </w:p>
    <w:p w14:paraId="2926E197" w14:textId="77777777" w:rsidR="009266DD" w:rsidRDefault="009266DD" w:rsidP="00267E16">
      <w:pPr>
        <w:pStyle w:val="Heading1"/>
        <w:sectPr w:rsidR="009266DD" w:rsidSect="00F51125">
          <w:headerReference w:type="even" r:id="rId16"/>
          <w:footerReference w:type="even" r:id="rId17"/>
          <w:footerReference w:type="default" r:id="rId18"/>
          <w:type w:val="continuous"/>
          <w:pgSz w:w="11907" w:h="16840" w:code="9"/>
          <w:pgMar w:top="1134" w:right="1134" w:bottom="1701" w:left="1134" w:header="567" w:footer="254" w:gutter="0"/>
          <w:cols w:num="2" w:space="720"/>
          <w:titlePg/>
          <w:docGrid w:linePitch="299"/>
        </w:sectPr>
      </w:pPr>
    </w:p>
    <w:sdt>
      <w:sdtPr>
        <w:rPr>
          <w:rFonts w:ascii="Calibri" w:eastAsia="Times New Roman" w:hAnsi="Calibri" w:cs="Times New Roman"/>
          <w:color w:val="auto"/>
          <w:sz w:val="22"/>
          <w:szCs w:val="20"/>
          <w:lang w:val="en-AU"/>
        </w:rPr>
        <w:id w:val="-264701770"/>
        <w:docPartObj>
          <w:docPartGallery w:val="Table of Contents"/>
          <w:docPartUnique/>
        </w:docPartObj>
      </w:sdtPr>
      <w:sdtEndPr>
        <w:rPr>
          <w:b/>
          <w:bCs/>
          <w:noProof/>
        </w:rPr>
      </w:sdtEndPr>
      <w:sdtContent>
        <w:p w14:paraId="2BE8A366" w14:textId="77777777" w:rsidR="00B83497" w:rsidRDefault="003F4871" w:rsidP="00267E16">
          <w:pPr>
            <w:pStyle w:val="TOCHeading"/>
            <w:rPr>
              <w:noProof/>
            </w:rPr>
          </w:pPr>
          <w:r w:rsidRPr="001C23FF">
            <w:t>Table of Contents</w:t>
          </w:r>
          <w:r w:rsidRPr="001C23FF">
            <w:fldChar w:fldCharType="begin"/>
          </w:r>
          <w:r w:rsidRPr="001C23FF">
            <w:instrText xml:space="preserve"> TOC \o "1-3" \h \z \u </w:instrText>
          </w:r>
          <w:r w:rsidRPr="001C23FF">
            <w:fldChar w:fldCharType="separate"/>
          </w:r>
        </w:p>
        <w:p w14:paraId="60DC8D82" w14:textId="4A28B6BB" w:rsidR="00B83497" w:rsidRDefault="00263A8F">
          <w:pPr>
            <w:pStyle w:val="TOC2"/>
            <w:rPr>
              <w:rFonts w:eastAsiaTheme="minorEastAsia" w:cstheme="minorBidi"/>
              <w:b w:val="0"/>
              <w:bCs w:val="0"/>
              <w:kern w:val="2"/>
              <w:sz w:val="22"/>
              <w:lang w:eastAsia="en-AU"/>
              <w14:ligatures w14:val="standardContextual"/>
            </w:rPr>
          </w:pPr>
          <w:hyperlink w:anchor="_Toc175576397" w:history="1">
            <w:r w:rsidR="00B83497" w:rsidRPr="00494A18">
              <w:rPr>
                <w:rStyle w:val="Hyperlink"/>
              </w:rPr>
              <w:t>1.</w:t>
            </w:r>
            <w:r w:rsidR="00B83497">
              <w:rPr>
                <w:rFonts w:eastAsiaTheme="minorEastAsia" w:cstheme="minorBidi"/>
                <w:b w:val="0"/>
                <w:bCs w:val="0"/>
                <w:kern w:val="2"/>
                <w:sz w:val="22"/>
                <w:lang w:eastAsia="en-AU"/>
                <w14:ligatures w14:val="standardContextual"/>
              </w:rPr>
              <w:tab/>
            </w:r>
            <w:r w:rsidR="00B83497" w:rsidRPr="00494A18">
              <w:rPr>
                <w:rStyle w:val="Hyperlink"/>
              </w:rPr>
              <w:t>Overview</w:t>
            </w:r>
            <w:r w:rsidR="00B83497">
              <w:rPr>
                <w:webHidden/>
              </w:rPr>
              <w:tab/>
            </w:r>
            <w:r w:rsidR="00B83497">
              <w:rPr>
                <w:webHidden/>
              </w:rPr>
              <w:fldChar w:fldCharType="begin"/>
            </w:r>
            <w:r w:rsidR="00B83497">
              <w:rPr>
                <w:webHidden/>
              </w:rPr>
              <w:instrText xml:space="preserve"> PAGEREF _Toc175576397 \h </w:instrText>
            </w:r>
            <w:r w:rsidR="00B83497">
              <w:rPr>
                <w:webHidden/>
              </w:rPr>
            </w:r>
            <w:r w:rsidR="00B83497">
              <w:rPr>
                <w:webHidden/>
              </w:rPr>
              <w:fldChar w:fldCharType="separate"/>
            </w:r>
            <w:r w:rsidR="00D710EC">
              <w:rPr>
                <w:webHidden/>
              </w:rPr>
              <w:t>3</w:t>
            </w:r>
            <w:r w:rsidR="00B83497">
              <w:rPr>
                <w:webHidden/>
              </w:rPr>
              <w:fldChar w:fldCharType="end"/>
            </w:r>
          </w:hyperlink>
        </w:p>
        <w:p w14:paraId="082D8BF9" w14:textId="12859ED4" w:rsidR="00B83497" w:rsidRDefault="00263A8F">
          <w:pPr>
            <w:pStyle w:val="TOC2"/>
            <w:rPr>
              <w:rFonts w:eastAsiaTheme="minorEastAsia" w:cstheme="minorBidi"/>
              <w:b w:val="0"/>
              <w:bCs w:val="0"/>
              <w:kern w:val="2"/>
              <w:sz w:val="22"/>
              <w:lang w:eastAsia="en-AU"/>
              <w14:ligatures w14:val="standardContextual"/>
            </w:rPr>
          </w:pPr>
          <w:hyperlink w:anchor="_Toc175576398" w:history="1">
            <w:r w:rsidR="00B83497" w:rsidRPr="00494A18">
              <w:rPr>
                <w:rStyle w:val="Hyperlink"/>
              </w:rPr>
              <w:t>2.</w:t>
            </w:r>
            <w:r w:rsidR="00B83497">
              <w:rPr>
                <w:rFonts w:eastAsiaTheme="minorEastAsia" w:cstheme="minorBidi"/>
                <w:b w:val="0"/>
                <w:bCs w:val="0"/>
                <w:kern w:val="2"/>
                <w:sz w:val="22"/>
                <w:lang w:eastAsia="en-AU"/>
                <w14:ligatures w14:val="standardContextual"/>
              </w:rPr>
              <w:tab/>
            </w:r>
            <w:r w:rsidR="00B83497" w:rsidRPr="00494A18">
              <w:rPr>
                <w:rStyle w:val="Hyperlink"/>
              </w:rPr>
              <w:t>Understanding the Regulatory Impact Assessment</w:t>
            </w:r>
            <w:r w:rsidR="00B83497">
              <w:rPr>
                <w:webHidden/>
              </w:rPr>
              <w:tab/>
            </w:r>
            <w:r w:rsidR="00B83497">
              <w:rPr>
                <w:webHidden/>
              </w:rPr>
              <w:fldChar w:fldCharType="begin"/>
            </w:r>
            <w:r w:rsidR="00B83497">
              <w:rPr>
                <w:webHidden/>
              </w:rPr>
              <w:instrText xml:space="preserve"> PAGEREF _Toc175576398 \h </w:instrText>
            </w:r>
            <w:r w:rsidR="00B83497">
              <w:rPr>
                <w:webHidden/>
              </w:rPr>
            </w:r>
            <w:r w:rsidR="00B83497">
              <w:rPr>
                <w:webHidden/>
              </w:rPr>
              <w:fldChar w:fldCharType="separate"/>
            </w:r>
            <w:r w:rsidR="00D710EC">
              <w:rPr>
                <w:webHidden/>
              </w:rPr>
              <w:t>4</w:t>
            </w:r>
            <w:r w:rsidR="00B83497">
              <w:rPr>
                <w:webHidden/>
              </w:rPr>
              <w:fldChar w:fldCharType="end"/>
            </w:r>
          </w:hyperlink>
        </w:p>
        <w:p w14:paraId="565F7778" w14:textId="0E7BA48B"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399" w:history="1">
            <w:r w:rsidR="00B83497" w:rsidRPr="00494A18">
              <w:rPr>
                <w:rStyle w:val="Hyperlink"/>
                <w:noProof/>
              </w:rPr>
              <w:t>2.1 What is a Regulatory Impact Assessment?</w:t>
            </w:r>
            <w:r w:rsidR="00B83497">
              <w:rPr>
                <w:noProof/>
                <w:webHidden/>
              </w:rPr>
              <w:tab/>
            </w:r>
            <w:r w:rsidR="00B83497">
              <w:rPr>
                <w:noProof/>
                <w:webHidden/>
              </w:rPr>
              <w:fldChar w:fldCharType="begin"/>
            </w:r>
            <w:r w:rsidR="00B83497">
              <w:rPr>
                <w:noProof/>
                <w:webHidden/>
              </w:rPr>
              <w:instrText xml:space="preserve"> PAGEREF _Toc175576399 \h </w:instrText>
            </w:r>
            <w:r w:rsidR="00B83497">
              <w:rPr>
                <w:noProof/>
                <w:webHidden/>
              </w:rPr>
            </w:r>
            <w:r w:rsidR="00B83497">
              <w:rPr>
                <w:noProof/>
                <w:webHidden/>
              </w:rPr>
              <w:fldChar w:fldCharType="separate"/>
            </w:r>
            <w:r w:rsidR="00D710EC">
              <w:rPr>
                <w:noProof/>
                <w:webHidden/>
              </w:rPr>
              <w:t>4</w:t>
            </w:r>
            <w:r w:rsidR="00B83497">
              <w:rPr>
                <w:noProof/>
                <w:webHidden/>
              </w:rPr>
              <w:fldChar w:fldCharType="end"/>
            </w:r>
          </w:hyperlink>
        </w:p>
        <w:p w14:paraId="27771049" w14:textId="49961D5D"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0" w:history="1">
            <w:r w:rsidR="00B83497" w:rsidRPr="00494A18">
              <w:rPr>
                <w:rStyle w:val="Hyperlink"/>
                <w:noProof/>
              </w:rPr>
              <w:t>2.2 When should a RIA be prepared?</w:t>
            </w:r>
            <w:r w:rsidR="00B83497">
              <w:rPr>
                <w:noProof/>
                <w:webHidden/>
              </w:rPr>
              <w:tab/>
            </w:r>
            <w:r w:rsidR="00B83497">
              <w:rPr>
                <w:noProof/>
                <w:webHidden/>
              </w:rPr>
              <w:fldChar w:fldCharType="begin"/>
            </w:r>
            <w:r w:rsidR="00B83497">
              <w:rPr>
                <w:noProof/>
                <w:webHidden/>
              </w:rPr>
              <w:instrText xml:space="preserve"> PAGEREF _Toc175576400 \h </w:instrText>
            </w:r>
            <w:r w:rsidR="00B83497">
              <w:rPr>
                <w:noProof/>
                <w:webHidden/>
              </w:rPr>
            </w:r>
            <w:r w:rsidR="00B83497">
              <w:rPr>
                <w:noProof/>
                <w:webHidden/>
              </w:rPr>
              <w:fldChar w:fldCharType="separate"/>
            </w:r>
            <w:r w:rsidR="00D710EC">
              <w:rPr>
                <w:noProof/>
                <w:webHidden/>
              </w:rPr>
              <w:t>5</w:t>
            </w:r>
            <w:r w:rsidR="00B83497">
              <w:rPr>
                <w:noProof/>
                <w:webHidden/>
              </w:rPr>
              <w:fldChar w:fldCharType="end"/>
            </w:r>
          </w:hyperlink>
        </w:p>
        <w:p w14:paraId="1DB88442" w14:textId="06BFCFD3" w:rsidR="00B83497" w:rsidRDefault="00263A8F">
          <w:pPr>
            <w:pStyle w:val="TOC2"/>
            <w:rPr>
              <w:rFonts w:eastAsiaTheme="minorEastAsia" w:cstheme="minorBidi"/>
              <w:b w:val="0"/>
              <w:bCs w:val="0"/>
              <w:kern w:val="2"/>
              <w:sz w:val="22"/>
              <w:lang w:eastAsia="en-AU"/>
              <w14:ligatures w14:val="standardContextual"/>
            </w:rPr>
          </w:pPr>
          <w:hyperlink w:anchor="_Toc175576401" w:history="1">
            <w:r w:rsidR="00B83497" w:rsidRPr="00494A18">
              <w:rPr>
                <w:rStyle w:val="Hyperlink"/>
              </w:rPr>
              <w:t>3.</w:t>
            </w:r>
            <w:r w:rsidR="00B83497">
              <w:rPr>
                <w:rFonts w:eastAsiaTheme="minorEastAsia" w:cstheme="minorBidi"/>
                <w:b w:val="0"/>
                <w:bCs w:val="0"/>
                <w:kern w:val="2"/>
                <w:sz w:val="22"/>
                <w:lang w:eastAsia="en-AU"/>
                <w14:ligatures w14:val="standardContextual"/>
              </w:rPr>
              <w:tab/>
            </w:r>
            <w:r w:rsidR="00B83497" w:rsidRPr="00494A18">
              <w:rPr>
                <w:rStyle w:val="Hyperlink"/>
              </w:rPr>
              <w:t>Preparing a Regulatory Impact Assessment</w:t>
            </w:r>
            <w:r w:rsidR="00B83497">
              <w:rPr>
                <w:webHidden/>
              </w:rPr>
              <w:tab/>
            </w:r>
            <w:r w:rsidR="00B83497">
              <w:rPr>
                <w:webHidden/>
              </w:rPr>
              <w:fldChar w:fldCharType="begin"/>
            </w:r>
            <w:r w:rsidR="00B83497">
              <w:rPr>
                <w:webHidden/>
              </w:rPr>
              <w:instrText xml:space="preserve"> PAGEREF _Toc175576401 \h </w:instrText>
            </w:r>
            <w:r w:rsidR="00B83497">
              <w:rPr>
                <w:webHidden/>
              </w:rPr>
            </w:r>
            <w:r w:rsidR="00B83497">
              <w:rPr>
                <w:webHidden/>
              </w:rPr>
              <w:fldChar w:fldCharType="separate"/>
            </w:r>
            <w:r w:rsidR="00D710EC">
              <w:rPr>
                <w:webHidden/>
              </w:rPr>
              <w:t>6</w:t>
            </w:r>
            <w:r w:rsidR="00B83497">
              <w:rPr>
                <w:webHidden/>
              </w:rPr>
              <w:fldChar w:fldCharType="end"/>
            </w:r>
          </w:hyperlink>
        </w:p>
        <w:p w14:paraId="4AB6933F" w14:textId="0F5FF8D8"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2" w:history="1">
            <w:r w:rsidR="00B83497" w:rsidRPr="00494A18">
              <w:rPr>
                <w:rStyle w:val="Hyperlink"/>
                <w:noProof/>
              </w:rPr>
              <w:t>3.1 Consultation</w:t>
            </w:r>
            <w:r w:rsidR="00B83497">
              <w:rPr>
                <w:noProof/>
                <w:webHidden/>
              </w:rPr>
              <w:tab/>
            </w:r>
            <w:r w:rsidR="00B83497">
              <w:rPr>
                <w:noProof/>
                <w:webHidden/>
              </w:rPr>
              <w:fldChar w:fldCharType="begin"/>
            </w:r>
            <w:r w:rsidR="00B83497">
              <w:rPr>
                <w:noProof/>
                <w:webHidden/>
              </w:rPr>
              <w:instrText xml:space="preserve"> PAGEREF _Toc175576402 \h </w:instrText>
            </w:r>
            <w:r w:rsidR="00B83497">
              <w:rPr>
                <w:noProof/>
                <w:webHidden/>
              </w:rPr>
            </w:r>
            <w:r w:rsidR="00B83497">
              <w:rPr>
                <w:noProof/>
                <w:webHidden/>
              </w:rPr>
              <w:fldChar w:fldCharType="separate"/>
            </w:r>
            <w:r w:rsidR="00D710EC">
              <w:rPr>
                <w:noProof/>
                <w:webHidden/>
              </w:rPr>
              <w:t>7</w:t>
            </w:r>
            <w:r w:rsidR="00B83497">
              <w:rPr>
                <w:noProof/>
                <w:webHidden/>
              </w:rPr>
              <w:fldChar w:fldCharType="end"/>
            </w:r>
          </w:hyperlink>
        </w:p>
        <w:p w14:paraId="593BA55D" w14:textId="31E16274"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3" w:history="1">
            <w:r w:rsidR="00B83497" w:rsidRPr="00494A18">
              <w:rPr>
                <w:rStyle w:val="Hyperlink"/>
                <w:noProof/>
              </w:rPr>
              <w:t>3.2 Identify the problem</w:t>
            </w:r>
            <w:r w:rsidR="00B83497">
              <w:rPr>
                <w:noProof/>
                <w:webHidden/>
              </w:rPr>
              <w:tab/>
            </w:r>
            <w:r w:rsidR="00B83497">
              <w:rPr>
                <w:noProof/>
                <w:webHidden/>
              </w:rPr>
              <w:fldChar w:fldCharType="begin"/>
            </w:r>
            <w:r w:rsidR="00B83497">
              <w:rPr>
                <w:noProof/>
                <w:webHidden/>
              </w:rPr>
              <w:instrText xml:space="preserve"> PAGEREF _Toc175576403 \h </w:instrText>
            </w:r>
            <w:r w:rsidR="00B83497">
              <w:rPr>
                <w:noProof/>
                <w:webHidden/>
              </w:rPr>
            </w:r>
            <w:r w:rsidR="00B83497">
              <w:rPr>
                <w:noProof/>
                <w:webHidden/>
              </w:rPr>
              <w:fldChar w:fldCharType="separate"/>
            </w:r>
            <w:r w:rsidR="00D710EC">
              <w:rPr>
                <w:noProof/>
                <w:webHidden/>
              </w:rPr>
              <w:t>8</w:t>
            </w:r>
            <w:r w:rsidR="00B83497">
              <w:rPr>
                <w:noProof/>
                <w:webHidden/>
              </w:rPr>
              <w:fldChar w:fldCharType="end"/>
            </w:r>
          </w:hyperlink>
        </w:p>
        <w:p w14:paraId="6043B394" w14:textId="52EEC23D"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4" w:history="1">
            <w:r w:rsidR="00B83497" w:rsidRPr="00494A18">
              <w:rPr>
                <w:rStyle w:val="Hyperlink"/>
                <w:noProof/>
              </w:rPr>
              <w:t>3.3 State the objectives of government intervention</w:t>
            </w:r>
            <w:r w:rsidR="00B83497">
              <w:rPr>
                <w:noProof/>
                <w:webHidden/>
              </w:rPr>
              <w:tab/>
            </w:r>
            <w:r w:rsidR="00B83497">
              <w:rPr>
                <w:noProof/>
                <w:webHidden/>
              </w:rPr>
              <w:fldChar w:fldCharType="begin"/>
            </w:r>
            <w:r w:rsidR="00B83497">
              <w:rPr>
                <w:noProof/>
                <w:webHidden/>
              </w:rPr>
              <w:instrText xml:space="preserve"> PAGEREF _Toc175576404 \h </w:instrText>
            </w:r>
            <w:r w:rsidR="00B83497">
              <w:rPr>
                <w:noProof/>
                <w:webHidden/>
              </w:rPr>
            </w:r>
            <w:r w:rsidR="00B83497">
              <w:rPr>
                <w:noProof/>
                <w:webHidden/>
              </w:rPr>
              <w:fldChar w:fldCharType="separate"/>
            </w:r>
            <w:r w:rsidR="00D710EC">
              <w:rPr>
                <w:noProof/>
                <w:webHidden/>
              </w:rPr>
              <w:t>9</w:t>
            </w:r>
            <w:r w:rsidR="00B83497">
              <w:rPr>
                <w:noProof/>
                <w:webHidden/>
              </w:rPr>
              <w:fldChar w:fldCharType="end"/>
            </w:r>
          </w:hyperlink>
        </w:p>
        <w:p w14:paraId="204D29F5" w14:textId="38C16FFD"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5" w:history="1">
            <w:r w:rsidR="00B83497" w:rsidRPr="00494A18">
              <w:rPr>
                <w:rStyle w:val="Hyperlink"/>
                <w:noProof/>
              </w:rPr>
              <w:t>3.4 Identify feasible options</w:t>
            </w:r>
            <w:r w:rsidR="00B83497">
              <w:rPr>
                <w:noProof/>
                <w:webHidden/>
              </w:rPr>
              <w:tab/>
            </w:r>
            <w:r w:rsidR="00B83497">
              <w:rPr>
                <w:noProof/>
                <w:webHidden/>
              </w:rPr>
              <w:fldChar w:fldCharType="begin"/>
            </w:r>
            <w:r w:rsidR="00B83497">
              <w:rPr>
                <w:noProof/>
                <w:webHidden/>
              </w:rPr>
              <w:instrText xml:space="preserve"> PAGEREF _Toc175576405 \h </w:instrText>
            </w:r>
            <w:r w:rsidR="00B83497">
              <w:rPr>
                <w:noProof/>
                <w:webHidden/>
              </w:rPr>
            </w:r>
            <w:r w:rsidR="00B83497">
              <w:rPr>
                <w:noProof/>
                <w:webHidden/>
              </w:rPr>
              <w:fldChar w:fldCharType="separate"/>
            </w:r>
            <w:r w:rsidR="00D710EC">
              <w:rPr>
                <w:noProof/>
                <w:webHidden/>
              </w:rPr>
              <w:t>10</w:t>
            </w:r>
            <w:r w:rsidR="00B83497">
              <w:rPr>
                <w:noProof/>
                <w:webHidden/>
              </w:rPr>
              <w:fldChar w:fldCharType="end"/>
            </w:r>
          </w:hyperlink>
        </w:p>
        <w:p w14:paraId="4B4F52C7" w14:textId="76905661"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6" w:history="1">
            <w:r w:rsidR="00B83497" w:rsidRPr="00494A18">
              <w:rPr>
                <w:rStyle w:val="Hyperlink"/>
                <w:noProof/>
              </w:rPr>
              <w:t>3.5 Identify mutual recognition issues</w:t>
            </w:r>
            <w:r w:rsidR="00B83497">
              <w:rPr>
                <w:noProof/>
                <w:webHidden/>
              </w:rPr>
              <w:tab/>
            </w:r>
            <w:r w:rsidR="00B83497">
              <w:rPr>
                <w:noProof/>
                <w:webHidden/>
              </w:rPr>
              <w:fldChar w:fldCharType="begin"/>
            </w:r>
            <w:r w:rsidR="00B83497">
              <w:rPr>
                <w:noProof/>
                <w:webHidden/>
              </w:rPr>
              <w:instrText xml:space="preserve"> PAGEREF _Toc175576406 \h </w:instrText>
            </w:r>
            <w:r w:rsidR="00B83497">
              <w:rPr>
                <w:noProof/>
                <w:webHidden/>
              </w:rPr>
            </w:r>
            <w:r w:rsidR="00B83497">
              <w:rPr>
                <w:noProof/>
                <w:webHidden/>
              </w:rPr>
              <w:fldChar w:fldCharType="separate"/>
            </w:r>
            <w:r w:rsidR="00D710EC">
              <w:rPr>
                <w:noProof/>
                <w:webHidden/>
              </w:rPr>
              <w:t>12</w:t>
            </w:r>
            <w:r w:rsidR="00B83497">
              <w:rPr>
                <w:noProof/>
                <w:webHidden/>
              </w:rPr>
              <w:fldChar w:fldCharType="end"/>
            </w:r>
          </w:hyperlink>
        </w:p>
        <w:p w14:paraId="3D276DAA" w14:textId="0CA133E1"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7" w:history="1">
            <w:r w:rsidR="00B83497" w:rsidRPr="00494A18">
              <w:rPr>
                <w:rStyle w:val="Hyperlink"/>
                <w:noProof/>
              </w:rPr>
              <w:t>3.6 Undertake impact analysis</w:t>
            </w:r>
            <w:r w:rsidR="00B83497">
              <w:rPr>
                <w:noProof/>
                <w:webHidden/>
              </w:rPr>
              <w:tab/>
            </w:r>
            <w:r w:rsidR="00B83497">
              <w:rPr>
                <w:noProof/>
                <w:webHidden/>
              </w:rPr>
              <w:fldChar w:fldCharType="begin"/>
            </w:r>
            <w:r w:rsidR="00B83497">
              <w:rPr>
                <w:noProof/>
                <w:webHidden/>
              </w:rPr>
              <w:instrText xml:space="preserve"> PAGEREF _Toc175576407 \h </w:instrText>
            </w:r>
            <w:r w:rsidR="00B83497">
              <w:rPr>
                <w:noProof/>
                <w:webHidden/>
              </w:rPr>
            </w:r>
            <w:r w:rsidR="00B83497">
              <w:rPr>
                <w:noProof/>
                <w:webHidden/>
              </w:rPr>
              <w:fldChar w:fldCharType="separate"/>
            </w:r>
            <w:r w:rsidR="00D710EC">
              <w:rPr>
                <w:noProof/>
                <w:webHidden/>
              </w:rPr>
              <w:t>13</w:t>
            </w:r>
            <w:r w:rsidR="00B83497">
              <w:rPr>
                <w:noProof/>
                <w:webHidden/>
              </w:rPr>
              <w:fldChar w:fldCharType="end"/>
            </w:r>
          </w:hyperlink>
        </w:p>
        <w:p w14:paraId="2CA6F6A4" w14:textId="0D387C86"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8" w:history="1">
            <w:r w:rsidR="00B83497" w:rsidRPr="00494A18">
              <w:rPr>
                <w:rStyle w:val="Hyperlink"/>
                <w:noProof/>
              </w:rPr>
              <w:t>3.7 Recommend an option</w:t>
            </w:r>
            <w:r w:rsidR="00B83497">
              <w:rPr>
                <w:noProof/>
                <w:webHidden/>
              </w:rPr>
              <w:tab/>
            </w:r>
            <w:r w:rsidR="00B83497">
              <w:rPr>
                <w:noProof/>
                <w:webHidden/>
              </w:rPr>
              <w:fldChar w:fldCharType="begin"/>
            </w:r>
            <w:r w:rsidR="00B83497">
              <w:rPr>
                <w:noProof/>
                <w:webHidden/>
              </w:rPr>
              <w:instrText xml:space="preserve"> PAGEREF _Toc175576408 \h </w:instrText>
            </w:r>
            <w:r w:rsidR="00B83497">
              <w:rPr>
                <w:noProof/>
                <w:webHidden/>
              </w:rPr>
            </w:r>
            <w:r w:rsidR="00B83497">
              <w:rPr>
                <w:noProof/>
                <w:webHidden/>
              </w:rPr>
              <w:fldChar w:fldCharType="separate"/>
            </w:r>
            <w:r w:rsidR="00D710EC">
              <w:rPr>
                <w:noProof/>
                <w:webHidden/>
              </w:rPr>
              <w:t>15</w:t>
            </w:r>
            <w:r w:rsidR="00B83497">
              <w:rPr>
                <w:noProof/>
                <w:webHidden/>
              </w:rPr>
              <w:fldChar w:fldCharType="end"/>
            </w:r>
          </w:hyperlink>
        </w:p>
        <w:p w14:paraId="1C50A9ED" w14:textId="6F6B0A76" w:rsidR="00B83497" w:rsidRDefault="00263A8F">
          <w:pPr>
            <w:pStyle w:val="TOC3"/>
            <w:tabs>
              <w:tab w:val="right" w:leader="dot" w:pos="9629"/>
            </w:tabs>
            <w:rPr>
              <w:rFonts w:asciiTheme="minorHAnsi" w:eastAsiaTheme="minorEastAsia" w:hAnsiTheme="minorHAnsi" w:cstheme="minorBidi"/>
              <w:noProof/>
              <w:kern w:val="2"/>
              <w:szCs w:val="22"/>
              <w:lang w:eastAsia="en-AU"/>
              <w14:ligatures w14:val="standardContextual"/>
            </w:rPr>
          </w:pPr>
          <w:hyperlink w:anchor="_Toc175576409" w:history="1">
            <w:r w:rsidR="00B83497" w:rsidRPr="00494A18">
              <w:rPr>
                <w:rStyle w:val="Hyperlink"/>
                <w:noProof/>
              </w:rPr>
              <w:t>3.8 Post-implementation review of regulations</w:t>
            </w:r>
            <w:r w:rsidR="00B83497">
              <w:rPr>
                <w:noProof/>
                <w:webHidden/>
              </w:rPr>
              <w:tab/>
            </w:r>
            <w:r w:rsidR="00B83497">
              <w:rPr>
                <w:noProof/>
                <w:webHidden/>
              </w:rPr>
              <w:fldChar w:fldCharType="begin"/>
            </w:r>
            <w:r w:rsidR="00B83497">
              <w:rPr>
                <w:noProof/>
                <w:webHidden/>
              </w:rPr>
              <w:instrText xml:space="preserve"> PAGEREF _Toc175576409 \h </w:instrText>
            </w:r>
            <w:r w:rsidR="00B83497">
              <w:rPr>
                <w:noProof/>
                <w:webHidden/>
              </w:rPr>
            </w:r>
            <w:r w:rsidR="00B83497">
              <w:rPr>
                <w:noProof/>
                <w:webHidden/>
              </w:rPr>
              <w:fldChar w:fldCharType="separate"/>
            </w:r>
            <w:r w:rsidR="00D710EC">
              <w:rPr>
                <w:noProof/>
                <w:webHidden/>
              </w:rPr>
              <w:t>15</w:t>
            </w:r>
            <w:r w:rsidR="00B83497">
              <w:rPr>
                <w:noProof/>
                <w:webHidden/>
              </w:rPr>
              <w:fldChar w:fldCharType="end"/>
            </w:r>
          </w:hyperlink>
        </w:p>
        <w:p w14:paraId="5D93B35A" w14:textId="5FAD361B" w:rsidR="00B83497" w:rsidRDefault="00263A8F">
          <w:pPr>
            <w:pStyle w:val="TOC2"/>
            <w:rPr>
              <w:rFonts w:eastAsiaTheme="minorEastAsia" w:cstheme="minorBidi"/>
              <w:b w:val="0"/>
              <w:bCs w:val="0"/>
              <w:kern w:val="2"/>
              <w:sz w:val="22"/>
              <w:lang w:eastAsia="en-AU"/>
              <w14:ligatures w14:val="standardContextual"/>
            </w:rPr>
          </w:pPr>
          <w:hyperlink w:anchor="_Toc175576410" w:history="1">
            <w:r w:rsidR="00B83497" w:rsidRPr="00494A18">
              <w:rPr>
                <w:rStyle w:val="Hyperlink"/>
              </w:rPr>
              <w:t>4.</w:t>
            </w:r>
            <w:r w:rsidR="00B83497">
              <w:rPr>
                <w:rFonts w:eastAsiaTheme="minorEastAsia" w:cstheme="minorBidi"/>
                <w:b w:val="0"/>
                <w:bCs w:val="0"/>
                <w:kern w:val="2"/>
                <w:sz w:val="22"/>
                <w:lang w:eastAsia="en-AU"/>
                <w14:ligatures w14:val="standardContextual"/>
              </w:rPr>
              <w:tab/>
            </w:r>
            <w:r w:rsidR="00B83497" w:rsidRPr="00494A18">
              <w:rPr>
                <w:rStyle w:val="Hyperlink"/>
              </w:rPr>
              <w:t>Preparing a Regulatory Impact Statement</w:t>
            </w:r>
            <w:r w:rsidR="00B83497">
              <w:rPr>
                <w:webHidden/>
              </w:rPr>
              <w:tab/>
            </w:r>
            <w:r w:rsidR="00B83497">
              <w:rPr>
                <w:webHidden/>
              </w:rPr>
              <w:fldChar w:fldCharType="begin"/>
            </w:r>
            <w:r w:rsidR="00B83497">
              <w:rPr>
                <w:webHidden/>
              </w:rPr>
              <w:instrText xml:space="preserve"> PAGEREF _Toc175576410 \h </w:instrText>
            </w:r>
            <w:r w:rsidR="00B83497">
              <w:rPr>
                <w:webHidden/>
              </w:rPr>
            </w:r>
            <w:r w:rsidR="00B83497">
              <w:rPr>
                <w:webHidden/>
              </w:rPr>
              <w:fldChar w:fldCharType="separate"/>
            </w:r>
            <w:r w:rsidR="00D710EC">
              <w:rPr>
                <w:webHidden/>
              </w:rPr>
              <w:t>16</w:t>
            </w:r>
            <w:r w:rsidR="00B83497">
              <w:rPr>
                <w:webHidden/>
              </w:rPr>
              <w:fldChar w:fldCharType="end"/>
            </w:r>
          </w:hyperlink>
        </w:p>
        <w:p w14:paraId="06545DC3" w14:textId="35195628" w:rsidR="00B83497" w:rsidRDefault="00263A8F">
          <w:pPr>
            <w:pStyle w:val="TOC2"/>
            <w:rPr>
              <w:rFonts w:eastAsiaTheme="minorEastAsia" w:cstheme="minorBidi"/>
              <w:b w:val="0"/>
              <w:bCs w:val="0"/>
              <w:kern w:val="2"/>
              <w:sz w:val="22"/>
              <w:lang w:eastAsia="en-AU"/>
              <w14:ligatures w14:val="standardContextual"/>
            </w:rPr>
          </w:pPr>
          <w:hyperlink w:anchor="_Toc175576411" w:history="1">
            <w:r w:rsidR="00B83497" w:rsidRPr="00494A18">
              <w:rPr>
                <w:rStyle w:val="Hyperlink"/>
              </w:rPr>
              <w:t>Appendix A – Types of market failure</w:t>
            </w:r>
            <w:r w:rsidR="00B83497">
              <w:rPr>
                <w:webHidden/>
              </w:rPr>
              <w:tab/>
            </w:r>
            <w:r w:rsidR="00B83497">
              <w:rPr>
                <w:webHidden/>
              </w:rPr>
              <w:fldChar w:fldCharType="begin"/>
            </w:r>
            <w:r w:rsidR="00B83497">
              <w:rPr>
                <w:webHidden/>
              </w:rPr>
              <w:instrText xml:space="preserve"> PAGEREF _Toc175576411 \h </w:instrText>
            </w:r>
            <w:r w:rsidR="00B83497">
              <w:rPr>
                <w:webHidden/>
              </w:rPr>
            </w:r>
            <w:r w:rsidR="00B83497">
              <w:rPr>
                <w:webHidden/>
              </w:rPr>
              <w:fldChar w:fldCharType="separate"/>
            </w:r>
            <w:r w:rsidR="00D710EC">
              <w:rPr>
                <w:webHidden/>
              </w:rPr>
              <w:t>18</w:t>
            </w:r>
            <w:r w:rsidR="00B83497">
              <w:rPr>
                <w:webHidden/>
              </w:rPr>
              <w:fldChar w:fldCharType="end"/>
            </w:r>
          </w:hyperlink>
        </w:p>
        <w:p w14:paraId="6D9DC20D" w14:textId="040250E2" w:rsidR="00B83497" w:rsidRDefault="00263A8F">
          <w:pPr>
            <w:pStyle w:val="TOC2"/>
            <w:rPr>
              <w:rFonts w:eastAsiaTheme="minorEastAsia" w:cstheme="minorBidi"/>
              <w:b w:val="0"/>
              <w:bCs w:val="0"/>
              <w:kern w:val="2"/>
              <w:sz w:val="22"/>
              <w:lang w:eastAsia="en-AU"/>
              <w14:ligatures w14:val="standardContextual"/>
            </w:rPr>
          </w:pPr>
          <w:hyperlink w:anchor="_Toc175576412" w:history="1">
            <w:r w:rsidR="00B83497" w:rsidRPr="00494A18">
              <w:rPr>
                <w:rStyle w:val="Hyperlink"/>
              </w:rPr>
              <w:t>Appendix B – Non-regulatory and regulatory options</w:t>
            </w:r>
            <w:r w:rsidR="00B83497">
              <w:rPr>
                <w:webHidden/>
              </w:rPr>
              <w:tab/>
            </w:r>
            <w:r w:rsidR="00B83497">
              <w:rPr>
                <w:webHidden/>
              </w:rPr>
              <w:fldChar w:fldCharType="begin"/>
            </w:r>
            <w:r w:rsidR="00B83497">
              <w:rPr>
                <w:webHidden/>
              </w:rPr>
              <w:instrText xml:space="preserve"> PAGEREF _Toc175576412 \h </w:instrText>
            </w:r>
            <w:r w:rsidR="00B83497">
              <w:rPr>
                <w:webHidden/>
              </w:rPr>
            </w:r>
            <w:r w:rsidR="00B83497">
              <w:rPr>
                <w:webHidden/>
              </w:rPr>
              <w:fldChar w:fldCharType="separate"/>
            </w:r>
            <w:r w:rsidR="00D710EC">
              <w:rPr>
                <w:webHidden/>
              </w:rPr>
              <w:t>20</w:t>
            </w:r>
            <w:r w:rsidR="00B83497">
              <w:rPr>
                <w:webHidden/>
              </w:rPr>
              <w:fldChar w:fldCharType="end"/>
            </w:r>
          </w:hyperlink>
        </w:p>
        <w:p w14:paraId="582A601C" w14:textId="1FB63029" w:rsidR="00B83497" w:rsidRDefault="00263A8F">
          <w:pPr>
            <w:pStyle w:val="TOC2"/>
            <w:rPr>
              <w:rFonts w:eastAsiaTheme="minorEastAsia" w:cstheme="minorBidi"/>
              <w:b w:val="0"/>
              <w:bCs w:val="0"/>
              <w:kern w:val="2"/>
              <w:sz w:val="22"/>
              <w:lang w:eastAsia="en-AU"/>
              <w14:ligatures w14:val="standardContextual"/>
            </w:rPr>
          </w:pPr>
          <w:hyperlink w:anchor="_Toc175576413" w:history="1">
            <w:r w:rsidR="00B83497" w:rsidRPr="00494A18">
              <w:rPr>
                <w:rStyle w:val="Hyperlink"/>
              </w:rPr>
              <w:t>Appendix C – Cost benefit analysis</w:t>
            </w:r>
            <w:r w:rsidR="00B83497">
              <w:rPr>
                <w:webHidden/>
              </w:rPr>
              <w:tab/>
            </w:r>
            <w:r w:rsidR="00B83497">
              <w:rPr>
                <w:webHidden/>
              </w:rPr>
              <w:fldChar w:fldCharType="begin"/>
            </w:r>
            <w:r w:rsidR="00B83497">
              <w:rPr>
                <w:webHidden/>
              </w:rPr>
              <w:instrText xml:space="preserve"> PAGEREF _Toc175576413 \h </w:instrText>
            </w:r>
            <w:r w:rsidR="00B83497">
              <w:rPr>
                <w:webHidden/>
              </w:rPr>
            </w:r>
            <w:r w:rsidR="00B83497">
              <w:rPr>
                <w:webHidden/>
              </w:rPr>
              <w:fldChar w:fldCharType="separate"/>
            </w:r>
            <w:r w:rsidR="00D710EC">
              <w:rPr>
                <w:webHidden/>
              </w:rPr>
              <w:t>24</w:t>
            </w:r>
            <w:r w:rsidR="00B83497">
              <w:rPr>
                <w:webHidden/>
              </w:rPr>
              <w:fldChar w:fldCharType="end"/>
            </w:r>
          </w:hyperlink>
        </w:p>
        <w:p w14:paraId="6CB607E2" w14:textId="17661200" w:rsidR="00B83497" w:rsidRDefault="00263A8F">
          <w:pPr>
            <w:pStyle w:val="TOC2"/>
            <w:rPr>
              <w:rFonts w:eastAsiaTheme="minorEastAsia" w:cstheme="minorBidi"/>
              <w:b w:val="0"/>
              <w:bCs w:val="0"/>
              <w:kern w:val="2"/>
              <w:sz w:val="22"/>
              <w:lang w:eastAsia="en-AU"/>
              <w14:ligatures w14:val="standardContextual"/>
            </w:rPr>
          </w:pPr>
          <w:hyperlink w:anchor="_Toc175576414" w:history="1">
            <w:r w:rsidR="00B83497" w:rsidRPr="00494A18">
              <w:rPr>
                <w:rStyle w:val="Hyperlink"/>
              </w:rPr>
              <w:t>Appendix D – Useful resources</w:t>
            </w:r>
            <w:r w:rsidR="00B83497">
              <w:rPr>
                <w:webHidden/>
              </w:rPr>
              <w:tab/>
            </w:r>
            <w:r w:rsidR="00B83497">
              <w:rPr>
                <w:webHidden/>
              </w:rPr>
              <w:fldChar w:fldCharType="begin"/>
            </w:r>
            <w:r w:rsidR="00B83497">
              <w:rPr>
                <w:webHidden/>
              </w:rPr>
              <w:instrText xml:space="preserve"> PAGEREF _Toc175576414 \h </w:instrText>
            </w:r>
            <w:r w:rsidR="00B83497">
              <w:rPr>
                <w:webHidden/>
              </w:rPr>
            </w:r>
            <w:r w:rsidR="00B83497">
              <w:rPr>
                <w:webHidden/>
              </w:rPr>
              <w:fldChar w:fldCharType="separate"/>
            </w:r>
            <w:r w:rsidR="00D710EC">
              <w:rPr>
                <w:webHidden/>
              </w:rPr>
              <w:t>30</w:t>
            </w:r>
            <w:r w:rsidR="00B83497">
              <w:rPr>
                <w:webHidden/>
              </w:rPr>
              <w:fldChar w:fldCharType="end"/>
            </w:r>
          </w:hyperlink>
        </w:p>
        <w:p w14:paraId="645D9813" w14:textId="5765171D" w:rsidR="003F4871" w:rsidRDefault="003F4871">
          <w:r w:rsidRPr="001C23FF">
            <w:rPr>
              <w:rFonts w:ascii="Arial" w:hAnsi="Arial" w:cs="Arial"/>
              <w:b/>
              <w:bCs/>
              <w:noProof/>
              <w:color w:val="7030A0"/>
              <w:sz w:val="20"/>
              <w:szCs w:val="18"/>
            </w:rPr>
            <w:fldChar w:fldCharType="end"/>
          </w:r>
        </w:p>
      </w:sdtContent>
    </w:sdt>
    <w:p w14:paraId="3B5BCAB6" w14:textId="7FF0001E" w:rsidR="003F4871" w:rsidRDefault="003F4871">
      <w:pPr>
        <w:spacing w:before="0" w:after="160" w:line="259" w:lineRule="auto"/>
      </w:pPr>
      <w:r>
        <w:br w:type="page"/>
      </w:r>
    </w:p>
    <w:p w14:paraId="0A66627E" w14:textId="29BB035B" w:rsidR="00272098" w:rsidRDefault="00043405" w:rsidP="00043405">
      <w:pPr>
        <w:pStyle w:val="Heading2"/>
        <w:numPr>
          <w:ilvl w:val="0"/>
          <w:numId w:val="17"/>
        </w:numPr>
      </w:pPr>
      <w:bookmarkStart w:id="8" w:name="_Toc175576397"/>
      <w:r>
        <w:lastRenderedPageBreak/>
        <w:t>Overview</w:t>
      </w:r>
      <w:bookmarkEnd w:id="8"/>
    </w:p>
    <w:p w14:paraId="7974E40A" w14:textId="6A007E4B" w:rsidR="00272098" w:rsidRDefault="00272098" w:rsidP="00043405">
      <w:r>
        <w:t>The regulatory impact assessment</w:t>
      </w:r>
      <w:r w:rsidR="00C95D53">
        <w:t xml:space="preserve"> (RIA)</w:t>
      </w:r>
      <w:r>
        <w:t xml:space="preserve"> process is a</w:t>
      </w:r>
      <w:r w:rsidR="00C95D53">
        <w:t xml:space="preserve">n important </w:t>
      </w:r>
      <w:r w:rsidR="00FB2BE1">
        <w:t xml:space="preserve">feature of the policy development cycle which assists an understanding of the </w:t>
      </w:r>
      <w:r>
        <w:t>overall costs and benefits of feasible options to address a policy problem</w:t>
      </w:r>
      <w:r w:rsidR="00FB2BE1">
        <w:t xml:space="preserve"> and likely implementation issues</w:t>
      </w:r>
      <w:r>
        <w:t>.</w:t>
      </w:r>
    </w:p>
    <w:p w14:paraId="32F39FB9" w14:textId="39F9F300" w:rsidR="00DB1C44" w:rsidRDefault="00C95D53" w:rsidP="00043405">
      <w:r>
        <w:t xml:space="preserve">The RIA </w:t>
      </w:r>
      <w:r w:rsidR="000264C0">
        <w:t xml:space="preserve">process </w:t>
      </w:r>
      <w:r>
        <w:t xml:space="preserve">can help the Government to achieve its objectives of ensuring good community outcomes through providing </w:t>
      </w:r>
      <w:r w:rsidR="00DB1C44">
        <w:t xml:space="preserve">a rigorous process for analysing the most </w:t>
      </w:r>
      <w:r w:rsidR="00DB1C44" w:rsidRPr="00DB1C44">
        <w:t>feasible (efficient and effective) options available.</w:t>
      </w:r>
      <w:r w:rsidR="00FC19E6">
        <w:t xml:space="preserve"> </w:t>
      </w:r>
      <w:r w:rsidR="00C9321D">
        <w:t xml:space="preserve">It </w:t>
      </w:r>
      <w:r w:rsidR="00C9321D" w:rsidRPr="00C9321D">
        <w:t xml:space="preserve">minimises the likelihood of </w:t>
      </w:r>
      <w:r>
        <w:t>unintended impacts on the community, through losses of opportunity or higher than needed costs, in seeking to address a policy problem.</w:t>
      </w:r>
      <w:r w:rsidR="00C9321D">
        <w:t xml:space="preserve"> </w:t>
      </w:r>
    </w:p>
    <w:p w14:paraId="2608ACBA" w14:textId="60E86D62" w:rsidR="00FB2BE1" w:rsidRPr="004B5176" w:rsidRDefault="00FB2BE1" w:rsidP="00FB2BE1">
      <w:pPr>
        <w:spacing w:beforeLines="60" w:before="144" w:afterLines="60" w:after="144"/>
        <w:rPr>
          <w:szCs w:val="22"/>
          <w:lang w:eastAsia="en-AU"/>
        </w:rPr>
      </w:pPr>
      <w:r>
        <w:t xml:space="preserve">Further, </w:t>
      </w:r>
      <w:proofErr w:type="gramStart"/>
      <w:r>
        <w:rPr>
          <w:szCs w:val="22"/>
          <w:lang w:eastAsia="en-AU"/>
        </w:rPr>
        <w:t>a</w:t>
      </w:r>
      <w:proofErr w:type="gramEnd"/>
      <w:r w:rsidRPr="004B5176">
        <w:rPr>
          <w:szCs w:val="22"/>
          <w:lang w:eastAsia="en-AU"/>
        </w:rPr>
        <w:t xml:space="preserve"> RIA can helpfully inform policy development by identifying the policy solution that is likely to result in the highest level of benefits for the community. In turn, this can help the economy to grow and make Canberra a better place to live.</w:t>
      </w:r>
    </w:p>
    <w:p w14:paraId="58A2B1CF" w14:textId="252F6856" w:rsidR="00C07DEA" w:rsidRDefault="00C9321D" w:rsidP="00043405">
      <w:r>
        <w:t>To</w:t>
      </w:r>
      <w:r w:rsidR="00512390">
        <w:t xml:space="preserve"> </w:t>
      </w:r>
      <w:r>
        <w:t>take advantage of the full</w:t>
      </w:r>
      <w:r w:rsidR="00512390">
        <w:t xml:space="preserve"> benefit</w:t>
      </w:r>
      <w:r>
        <w:t>s</w:t>
      </w:r>
      <w:r w:rsidR="00C07DEA">
        <w:t xml:space="preserve"> of the RIA, </w:t>
      </w:r>
      <w:r>
        <w:t>the assessment</w:t>
      </w:r>
      <w:r w:rsidR="00C07DEA">
        <w:t xml:space="preserve"> should be </w:t>
      </w:r>
      <w:r>
        <w:t>undertaken</w:t>
      </w:r>
      <w:r w:rsidR="00C07DEA">
        <w:t xml:space="preserve"> early in the policy development process, rather than at the end of that process. </w:t>
      </w:r>
      <w:r>
        <w:t xml:space="preserve">The RIA should clearly state the problem and the objective of the regulatory proposal, the best means of achieving that objective, and </w:t>
      </w:r>
      <w:r w:rsidR="000264C0">
        <w:t xml:space="preserve">their </w:t>
      </w:r>
      <w:r>
        <w:t xml:space="preserve">likely effects on the community. </w:t>
      </w:r>
    </w:p>
    <w:p w14:paraId="579B1850" w14:textId="77777777" w:rsidR="00916352" w:rsidRDefault="00916352" w:rsidP="00916352">
      <w:pPr>
        <w:spacing w:beforeLines="60" w:before="144" w:afterLines="60" w:after="144"/>
        <w:rPr>
          <w:szCs w:val="22"/>
          <w:lang w:eastAsia="en-AU"/>
        </w:rPr>
      </w:pPr>
      <w:r>
        <w:rPr>
          <w:szCs w:val="22"/>
          <w:lang w:eastAsia="en-AU"/>
        </w:rPr>
        <w:t xml:space="preserve">The process of </w:t>
      </w:r>
      <w:r w:rsidRPr="00232FEE">
        <w:rPr>
          <w:szCs w:val="22"/>
          <w:lang w:eastAsia="en-AU"/>
        </w:rPr>
        <w:t>understanding where impacts will be experienced by stakeholders, whether it be in the form of a cost or benefit, will assist policy maker</w:t>
      </w:r>
      <w:r>
        <w:rPr>
          <w:szCs w:val="22"/>
          <w:lang w:eastAsia="en-AU"/>
        </w:rPr>
        <w:t>s</w:t>
      </w:r>
      <w:r w:rsidRPr="00232FEE">
        <w:rPr>
          <w:szCs w:val="22"/>
          <w:lang w:eastAsia="en-AU"/>
        </w:rPr>
        <w:t xml:space="preserve"> and Minister</w:t>
      </w:r>
      <w:r>
        <w:rPr>
          <w:szCs w:val="22"/>
          <w:lang w:eastAsia="en-AU"/>
        </w:rPr>
        <w:t>s</w:t>
      </w:r>
      <w:r w:rsidRPr="00232FEE">
        <w:rPr>
          <w:szCs w:val="22"/>
          <w:lang w:eastAsia="en-AU"/>
        </w:rPr>
        <w:t xml:space="preserve"> to understand any implementation challenges that may arise when </w:t>
      </w:r>
      <w:r>
        <w:rPr>
          <w:szCs w:val="22"/>
          <w:lang w:eastAsia="en-AU"/>
        </w:rPr>
        <w:t>a</w:t>
      </w:r>
      <w:r w:rsidRPr="00232FEE">
        <w:rPr>
          <w:szCs w:val="22"/>
          <w:lang w:eastAsia="en-AU"/>
        </w:rPr>
        <w:t xml:space="preserve"> proposal is taken to the community, Cabinet, and the Legislative Assembly.</w:t>
      </w:r>
    </w:p>
    <w:p w14:paraId="3809B7BB" w14:textId="2DA3F214" w:rsidR="00CF5519" w:rsidRPr="005167C1" w:rsidRDefault="002E09DF" w:rsidP="001E6220">
      <w:pPr>
        <w:spacing w:beforeLines="60" w:before="144" w:afterLines="60" w:after="144"/>
        <w:rPr>
          <w:szCs w:val="22"/>
          <w:lang w:eastAsia="en-AU"/>
        </w:rPr>
      </w:pPr>
      <w:r w:rsidRPr="005167C1">
        <w:rPr>
          <w:szCs w:val="22"/>
          <w:lang w:eastAsia="en-AU"/>
        </w:rPr>
        <w:t xml:space="preserve">The RIA </w:t>
      </w:r>
      <w:r w:rsidR="000264C0">
        <w:rPr>
          <w:szCs w:val="22"/>
          <w:lang w:eastAsia="en-AU"/>
        </w:rPr>
        <w:t xml:space="preserve">will </w:t>
      </w:r>
      <w:r w:rsidR="00523D1B" w:rsidRPr="005167C1">
        <w:rPr>
          <w:szCs w:val="22"/>
          <w:lang w:eastAsia="en-AU"/>
        </w:rPr>
        <w:t xml:space="preserve">also </w:t>
      </w:r>
      <w:r w:rsidR="000264C0">
        <w:rPr>
          <w:szCs w:val="22"/>
          <w:lang w:eastAsia="en-AU"/>
        </w:rPr>
        <w:t>be</w:t>
      </w:r>
      <w:r w:rsidR="000264C0" w:rsidRPr="005167C1">
        <w:rPr>
          <w:szCs w:val="22"/>
          <w:lang w:eastAsia="en-AU"/>
        </w:rPr>
        <w:t xml:space="preserve"> </w:t>
      </w:r>
      <w:r w:rsidR="00523D1B" w:rsidRPr="005167C1">
        <w:rPr>
          <w:szCs w:val="22"/>
          <w:lang w:eastAsia="en-AU"/>
        </w:rPr>
        <w:t xml:space="preserve">an important </w:t>
      </w:r>
      <w:r w:rsidR="000264C0">
        <w:rPr>
          <w:szCs w:val="22"/>
          <w:lang w:eastAsia="en-AU"/>
        </w:rPr>
        <w:t>tool</w:t>
      </w:r>
      <w:r w:rsidR="000264C0" w:rsidRPr="005167C1">
        <w:rPr>
          <w:szCs w:val="22"/>
          <w:lang w:eastAsia="en-AU"/>
        </w:rPr>
        <w:t xml:space="preserve"> </w:t>
      </w:r>
      <w:r w:rsidR="00523D1B" w:rsidRPr="005167C1">
        <w:rPr>
          <w:szCs w:val="22"/>
          <w:lang w:eastAsia="en-AU"/>
        </w:rPr>
        <w:t>in supporting</w:t>
      </w:r>
      <w:r w:rsidRPr="005167C1">
        <w:rPr>
          <w:szCs w:val="22"/>
          <w:lang w:eastAsia="en-AU"/>
        </w:rPr>
        <w:t xml:space="preserve"> </w:t>
      </w:r>
      <w:r w:rsidR="000264C0">
        <w:rPr>
          <w:szCs w:val="22"/>
          <w:lang w:eastAsia="en-AU"/>
        </w:rPr>
        <w:t>continuous improvements in regulatory quality within the ACT</w:t>
      </w:r>
      <w:r w:rsidRPr="005167C1">
        <w:rPr>
          <w:szCs w:val="22"/>
          <w:lang w:eastAsia="en-AU"/>
        </w:rPr>
        <w:t xml:space="preserve"> Government</w:t>
      </w:r>
      <w:r w:rsidR="000264C0">
        <w:rPr>
          <w:szCs w:val="22"/>
          <w:lang w:eastAsia="en-AU"/>
        </w:rPr>
        <w:t xml:space="preserve">. </w:t>
      </w:r>
      <w:r w:rsidR="006922F2" w:rsidRPr="005167C1">
        <w:rPr>
          <w:szCs w:val="22"/>
          <w:lang w:eastAsia="en-AU"/>
        </w:rPr>
        <w:t xml:space="preserve"> </w:t>
      </w:r>
      <w:r w:rsidR="000264C0" w:rsidRPr="000264C0">
        <w:rPr>
          <w:szCs w:val="22"/>
          <w:lang w:eastAsia="en-AU"/>
        </w:rPr>
        <w:t>Future work is expected to include reviews of existing legislative schemes and other improvements to the process for developing new or amended laws, across the regulatory lifecycle. The objective is to move towards a Regulatory Quality Framework (RQF) which will include supporting regulators to take a regulatory stewardship approach and make strategic and systematic improvement to their practices.</w:t>
      </w:r>
      <w:r w:rsidR="00CF4FAB" w:rsidRPr="005167C1">
        <w:rPr>
          <w:szCs w:val="22"/>
          <w:lang w:eastAsia="en-AU"/>
        </w:rPr>
        <w:t xml:space="preserve"> </w:t>
      </w:r>
    </w:p>
    <w:p w14:paraId="30D433C7" w14:textId="254B1C3E" w:rsidR="00CF5519" w:rsidRPr="005F032C" w:rsidRDefault="00CF4FAB" w:rsidP="005F032C">
      <w:pPr>
        <w:pStyle w:val="bullet10"/>
        <w:spacing w:before="30" w:after="30"/>
      </w:pPr>
      <w:r w:rsidRPr="005F032C">
        <w:t xml:space="preserve">The RIA </w:t>
      </w:r>
      <w:r w:rsidR="00BC25BD" w:rsidRPr="005F032C">
        <w:t xml:space="preserve">process emphasises a range of considerations early in the lifecycle, </w:t>
      </w:r>
      <w:r w:rsidRPr="005F032C">
        <w:t xml:space="preserve">together with checkpoints after implementation, to ensure new </w:t>
      </w:r>
      <w:r w:rsidR="000264C0">
        <w:t>regulations</w:t>
      </w:r>
      <w:r w:rsidR="000264C0" w:rsidRPr="005F032C">
        <w:t xml:space="preserve"> </w:t>
      </w:r>
      <w:r w:rsidRPr="005F032C">
        <w:t>address</w:t>
      </w:r>
      <w:r w:rsidR="005167C1" w:rsidRPr="005F032C">
        <w:t xml:space="preserve"> identified</w:t>
      </w:r>
      <w:r w:rsidRPr="005F032C">
        <w:t xml:space="preserve"> policy problem</w:t>
      </w:r>
      <w:r w:rsidR="005167C1" w:rsidRPr="005F032C">
        <w:t>s</w:t>
      </w:r>
      <w:r w:rsidRPr="005F032C">
        <w:t>.</w:t>
      </w:r>
      <w:r w:rsidR="005F64E7" w:rsidRPr="005F032C">
        <w:t xml:space="preserve"> </w:t>
      </w:r>
    </w:p>
    <w:p w14:paraId="256EAD6B" w14:textId="1E1D3408" w:rsidR="004D00E7" w:rsidRPr="005F032C" w:rsidRDefault="005F64E7" w:rsidP="005F032C">
      <w:pPr>
        <w:pStyle w:val="bullet10"/>
        <w:spacing w:before="30" w:after="30"/>
      </w:pPr>
      <w:r w:rsidRPr="005F032C">
        <w:t xml:space="preserve">Both </w:t>
      </w:r>
      <w:r w:rsidR="00CF5519" w:rsidRPr="005F032C">
        <w:t>the RIA</w:t>
      </w:r>
      <w:r w:rsidR="000264C0">
        <w:t xml:space="preserve"> process</w:t>
      </w:r>
      <w:r w:rsidR="00CF5519" w:rsidRPr="005F032C">
        <w:t xml:space="preserve"> and </w:t>
      </w:r>
      <w:r w:rsidR="000264C0">
        <w:t xml:space="preserve">any future </w:t>
      </w:r>
      <w:r w:rsidR="00CF5519" w:rsidRPr="005F032C">
        <w:t>RQF</w:t>
      </w:r>
      <w:r w:rsidR="000264C0">
        <w:t xml:space="preserve"> will</w:t>
      </w:r>
      <w:r w:rsidR="00CF5519" w:rsidRPr="005F032C">
        <w:t xml:space="preserve"> </w:t>
      </w:r>
      <w:r w:rsidRPr="005F032C">
        <w:t xml:space="preserve">recognise the importance of collaboration with stakeholders in understanding the impacts of </w:t>
      </w:r>
      <w:r w:rsidR="001E6220" w:rsidRPr="005F032C">
        <w:t xml:space="preserve">options to be taken forward, together with the workability of the recommended option in practice. </w:t>
      </w:r>
    </w:p>
    <w:p w14:paraId="561F8EAC" w14:textId="141106C4" w:rsidR="00882BEF" w:rsidRPr="00CF5519" w:rsidRDefault="000264C0" w:rsidP="005167C1">
      <w:pPr>
        <w:spacing w:beforeLines="60" w:before="144" w:afterLines="60" w:after="144"/>
        <w:rPr>
          <w:szCs w:val="22"/>
          <w:lang w:eastAsia="en-AU"/>
        </w:rPr>
      </w:pPr>
      <w:r>
        <w:t xml:space="preserve">Viewed </w:t>
      </w:r>
      <w:r>
        <w:rPr>
          <w:szCs w:val="22"/>
          <w:lang w:eastAsia="en-AU"/>
        </w:rPr>
        <w:t>o</w:t>
      </w:r>
      <w:r w:rsidR="00BC4693" w:rsidRPr="005167C1">
        <w:rPr>
          <w:szCs w:val="22"/>
          <w:lang w:eastAsia="en-AU"/>
        </w:rPr>
        <w:t>verall</w:t>
      </w:r>
      <w:r w:rsidR="00EE5520">
        <w:rPr>
          <w:szCs w:val="22"/>
          <w:lang w:eastAsia="en-AU"/>
        </w:rPr>
        <w:t>,</w:t>
      </w:r>
      <w:r w:rsidR="00BC4693" w:rsidRPr="005167C1">
        <w:rPr>
          <w:szCs w:val="22"/>
          <w:lang w:eastAsia="en-AU"/>
        </w:rPr>
        <w:t xml:space="preserve"> </w:t>
      </w:r>
      <w:r>
        <w:rPr>
          <w:szCs w:val="22"/>
          <w:lang w:eastAsia="en-AU"/>
        </w:rPr>
        <w:t>both the RIA and the RQF</w:t>
      </w:r>
      <w:r w:rsidR="00BC4693" w:rsidRPr="005167C1">
        <w:rPr>
          <w:szCs w:val="22"/>
          <w:lang w:eastAsia="en-AU"/>
        </w:rPr>
        <w:t xml:space="preserve"> </w:t>
      </w:r>
      <w:r>
        <w:rPr>
          <w:szCs w:val="22"/>
          <w:lang w:eastAsia="en-AU"/>
        </w:rPr>
        <w:t>are expected to</w:t>
      </w:r>
      <w:r w:rsidRPr="005167C1">
        <w:rPr>
          <w:szCs w:val="22"/>
          <w:lang w:eastAsia="en-AU"/>
        </w:rPr>
        <w:t xml:space="preserve"> </w:t>
      </w:r>
      <w:r w:rsidR="00BC4693" w:rsidRPr="005167C1">
        <w:rPr>
          <w:szCs w:val="22"/>
          <w:lang w:eastAsia="en-AU"/>
        </w:rPr>
        <w:t xml:space="preserve">assist </w:t>
      </w:r>
      <w:r>
        <w:rPr>
          <w:szCs w:val="22"/>
          <w:lang w:eastAsia="en-AU"/>
        </w:rPr>
        <w:t>in</w:t>
      </w:r>
      <w:r w:rsidRPr="005167C1">
        <w:rPr>
          <w:szCs w:val="22"/>
          <w:lang w:eastAsia="en-AU"/>
        </w:rPr>
        <w:t xml:space="preserve"> </w:t>
      </w:r>
      <w:r w:rsidR="00CC68F7" w:rsidRPr="005167C1">
        <w:rPr>
          <w:szCs w:val="22"/>
          <w:lang w:eastAsia="en-AU"/>
        </w:rPr>
        <w:t>increas</w:t>
      </w:r>
      <w:r>
        <w:rPr>
          <w:szCs w:val="22"/>
          <w:lang w:eastAsia="en-AU"/>
        </w:rPr>
        <w:t>ing</w:t>
      </w:r>
      <w:r w:rsidR="00CC68F7" w:rsidRPr="005167C1">
        <w:rPr>
          <w:szCs w:val="22"/>
          <w:lang w:eastAsia="en-AU"/>
        </w:rPr>
        <w:t xml:space="preserve"> the quality of regulation </w:t>
      </w:r>
      <w:r>
        <w:rPr>
          <w:szCs w:val="22"/>
          <w:lang w:eastAsia="en-AU"/>
        </w:rPr>
        <w:t xml:space="preserve">and regulatory practice </w:t>
      </w:r>
      <w:r w:rsidR="00CC68F7" w:rsidRPr="005167C1">
        <w:rPr>
          <w:szCs w:val="22"/>
          <w:lang w:eastAsia="en-AU"/>
        </w:rPr>
        <w:t>in the ACT</w:t>
      </w:r>
      <w:r w:rsidR="001E6220" w:rsidRPr="005167C1">
        <w:rPr>
          <w:szCs w:val="22"/>
          <w:lang w:eastAsia="en-AU"/>
        </w:rPr>
        <w:t>.</w:t>
      </w:r>
    </w:p>
    <w:p w14:paraId="6217AEAC" w14:textId="62000F7F" w:rsidR="00F13C7C" w:rsidRDefault="00406B4E" w:rsidP="00043405">
      <w:r w:rsidRPr="00C9321D">
        <w:t>Th</w:t>
      </w:r>
      <w:r w:rsidR="00872E17">
        <w:t>e</w:t>
      </w:r>
      <w:r w:rsidRPr="00C9321D">
        <w:t xml:space="preserve"> objective of this manual is to assist ACT Government agencies to </w:t>
      </w:r>
      <w:r w:rsidR="00FC19E6" w:rsidRPr="00C9321D">
        <w:t xml:space="preserve">present a case for their regulatory proposal with </w:t>
      </w:r>
      <w:proofErr w:type="gramStart"/>
      <w:r w:rsidR="00FC19E6" w:rsidRPr="00C9321D">
        <w:t>a</w:t>
      </w:r>
      <w:proofErr w:type="gramEnd"/>
      <w:r w:rsidR="00FC19E6" w:rsidRPr="00C9321D">
        <w:t xml:space="preserve"> RIA. </w:t>
      </w:r>
    </w:p>
    <w:p w14:paraId="624186BA" w14:textId="79CDFB6E" w:rsidR="00872E17" w:rsidRDefault="00872E17" w:rsidP="0048076A">
      <w:pPr>
        <w:pStyle w:val="bullet10"/>
      </w:pPr>
      <w:r w:rsidRPr="00872E17">
        <w:t xml:space="preserve">Chapter 2 outlines what a RIA is, </w:t>
      </w:r>
      <w:r>
        <w:t>discusses</w:t>
      </w:r>
      <w:r w:rsidRPr="00872E17">
        <w:t xml:space="preserve"> </w:t>
      </w:r>
      <w:r>
        <w:t xml:space="preserve">the differences between </w:t>
      </w:r>
      <w:proofErr w:type="gramStart"/>
      <w:r>
        <w:t>a</w:t>
      </w:r>
      <w:proofErr w:type="gramEnd"/>
      <w:r>
        <w:t xml:space="preserve"> RIA and a R</w:t>
      </w:r>
      <w:r w:rsidRPr="00872E17">
        <w:t xml:space="preserve">egulatory </w:t>
      </w:r>
      <w:r>
        <w:t>I</w:t>
      </w:r>
      <w:r w:rsidRPr="00872E17">
        <w:t xml:space="preserve">mpact </w:t>
      </w:r>
      <w:r>
        <w:t>S</w:t>
      </w:r>
      <w:r w:rsidRPr="00872E17">
        <w:t xml:space="preserve">tatement, and </w:t>
      </w:r>
      <w:r>
        <w:t xml:space="preserve">clarifies </w:t>
      </w:r>
      <w:r w:rsidRPr="00872E17">
        <w:t xml:space="preserve">when a RIA </w:t>
      </w:r>
      <w:r>
        <w:t xml:space="preserve">should </w:t>
      </w:r>
      <w:r w:rsidRPr="00872E17">
        <w:t>be prepared.</w:t>
      </w:r>
    </w:p>
    <w:p w14:paraId="08EE0358" w14:textId="4DCA3AE0" w:rsidR="00316972" w:rsidRDefault="00316972" w:rsidP="005F032C">
      <w:pPr>
        <w:pStyle w:val="bullet10"/>
        <w:spacing w:before="30" w:after="30"/>
      </w:pPr>
      <w:r>
        <w:t xml:space="preserve">Chapter 3 provides a step-by-step guide to facilitate the development of the RIA. </w:t>
      </w:r>
    </w:p>
    <w:p w14:paraId="5E373348" w14:textId="032ADDB5" w:rsidR="00F13C7C" w:rsidRDefault="00F13C7C" w:rsidP="005F032C">
      <w:pPr>
        <w:pStyle w:val="bullet10"/>
        <w:spacing w:before="30" w:after="30"/>
      </w:pPr>
      <w:r>
        <w:lastRenderedPageBreak/>
        <w:t xml:space="preserve">The </w:t>
      </w:r>
      <w:r w:rsidR="004727C6">
        <w:t xml:space="preserve">appendices </w:t>
      </w:r>
      <w:r w:rsidR="000B171E">
        <w:t>provide more detailed information on typical examples of market failures</w:t>
      </w:r>
      <w:r w:rsidR="00831C7B">
        <w:t xml:space="preserve"> (</w:t>
      </w:r>
      <w:r w:rsidR="00831C7B" w:rsidRPr="005F032C">
        <w:rPr>
          <w:u w:val="single"/>
        </w:rPr>
        <w:t>Appendix A</w:t>
      </w:r>
      <w:r w:rsidR="00831C7B">
        <w:t>)</w:t>
      </w:r>
      <w:r w:rsidR="000B171E">
        <w:t>, which can lead to a need to regulate</w:t>
      </w:r>
      <w:r w:rsidR="00AA571E">
        <w:t>, non-regulatory and regulatory options</w:t>
      </w:r>
      <w:r w:rsidR="00831C7B">
        <w:t xml:space="preserve"> (</w:t>
      </w:r>
      <w:r w:rsidR="00831C7B" w:rsidRPr="005F032C">
        <w:rPr>
          <w:u w:val="single"/>
        </w:rPr>
        <w:t>Appendix B</w:t>
      </w:r>
      <w:r w:rsidR="00831C7B">
        <w:t>)</w:t>
      </w:r>
      <w:r w:rsidR="00AA571E">
        <w:t xml:space="preserve"> and </w:t>
      </w:r>
      <w:r w:rsidR="00831C7B">
        <w:t>on undertaking a cost benefit analysis (</w:t>
      </w:r>
      <w:r w:rsidR="00831C7B" w:rsidRPr="005F032C">
        <w:rPr>
          <w:u w:val="single"/>
        </w:rPr>
        <w:t>Appendix C</w:t>
      </w:r>
      <w:r w:rsidR="00831C7B">
        <w:t>)</w:t>
      </w:r>
      <w:r w:rsidR="00B73B06">
        <w:t>.</w:t>
      </w:r>
    </w:p>
    <w:p w14:paraId="53FD2115" w14:textId="5EEE1859" w:rsidR="00983AAF" w:rsidRPr="00C9321D" w:rsidRDefault="009F63DA" w:rsidP="00043405">
      <w:r>
        <w:t>For further advice or assistan</w:t>
      </w:r>
      <w:r w:rsidR="005167C1">
        <w:t>ce</w:t>
      </w:r>
      <w:r>
        <w:t xml:space="preserve"> on the RIA process </w:t>
      </w:r>
      <w:r w:rsidR="00316972">
        <w:t xml:space="preserve">or </w:t>
      </w:r>
      <w:r>
        <w:t xml:space="preserve">the development of </w:t>
      </w:r>
      <w:r w:rsidR="00714767">
        <w:t>a</w:t>
      </w:r>
      <w:r w:rsidR="00316972">
        <w:t xml:space="preserve"> </w:t>
      </w:r>
      <w:r>
        <w:t>cost-benefit analysis, please contact t</w:t>
      </w:r>
      <w:r w:rsidR="00F5544A">
        <w:t xml:space="preserve">he Economic and Regulatory Policy Unit </w:t>
      </w:r>
      <w:r>
        <w:t xml:space="preserve">at </w:t>
      </w:r>
      <w:hyperlink r:id="rId19" w:history="1">
        <w:r w:rsidRPr="00E12213">
          <w:rPr>
            <w:rStyle w:val="Hyperlink"/>
          </w:rPr>
          <w:t>EconomicandRegulatoryPolicy@act.gov.au</w:t>
        </w:r>
      </w:hyperlink>
      <w:r w:rsidR="00316972">
        <w:t>.</w:t>
      </w:r>
      <w:r>
        <w:t xml:space="preserve"> </w:t>
      </w:r>
      <w:r w:rsidR="00742DFA" w:rsidRPr="00742DFA">
        <w:t>Early contact with the unit is encouraged as this will allow for assistance to be provided promptly, resulting in the efficient usage of resources and good quality outcomes to inform government decisions.</w:t>
      </w:r>
    </w:p>
    <w:p w14:paraId="7E9FEE32" w14:textId="4B52EC35" w:rsidR="004B5176" w:rsidRDefault="004B5176" w:rsidP="00325F86">
      <w:pPr>
        <w:pStyle w:val="Heading2"/>
        <w:numPr>
          <w:ilvl w:val="0"/>
          <w:numId w:val="17"/>
        </w:numPr>
      </w:pPr>
      <w:bookmarkStart w:id="9" w:name="_Toc175576398"/>
      <w:r>
        <w:t>Understanding the Regulatory Impact Assessment</w:t>
      </w:r>
      <w:bookmarkEnd w:id="9"/>
    </w:p>
    <w:p w14:paraId="3E44ED7E" w14:textId="754A8E3D" w:rsidR="00783FB8" w:rsidRPr="00210E24" w:rsidRDefault="004B5176" w:rsidP="00210E24">
      <w:pPr>
        <w:spacing w:beforeLines="60" w:before="144" w:afterLines="60" w:after="144"/>
        <w:rPr>
          <w:rFonts w:ascii="Arial Bold" w:hAnsi="Arial Bold"/>
          <w:bCs/>
          <w:color w:val="808080" w:themeColor="background1" w:themeShade="80"/>
          <w:sz w:val="24"/>
          <w:szCs w:val="26"/>
        </w:rPr>
      </w:pPr>
      <w:bookmarkStart w:id="10" w:name="_Toc175576399"/>
      <w:r w:rsidRPr="00210E24">
        <w:rPr>
          <w:rFonts w:ascii="Arial Bold" w:hAnsi="Arial Bold"/>
          <w:bCs/>
          <w:color w:val="808080" w:themeColor="background1" w:themeShade="80"/>
          <w:sz w:val="24"/>
          <w:szCs w:val="26"/>
        </w:rPr>
        <w:t xml:space="preserve">2.1 </w:t>
      </w:r>
      <w:r w:rsidR="00783FB8" w:rsidRPr="00210E24">
        <w:rPr>
          <w:rFonts w:ascii="Arial Bold" w:hAnsi="Arial Bold"/>
          <w:bCs/>
          <w:color w:val="808080" w:themeColor="background1" w:themeShade="80"/>
          <w:sz w:val="24"/>
          <w:szCs w:val="26"/>
        </w:rPr>
        <w:t>What is a Regulatory Impact Assessment?</w:t>
      </w:r>
      <w:bookmarkEnd w:id="10"/>
    </w:p>
    <w:p w14:paraId="2CD010D7" w14:textId="245012B1" w:rsidR="009266DD" w:rsidRPr="004B5176" w:rsidRDefault="004B5176" w:rsidP="009266DD">
      <w:pPr>
        <w:pStyle w:val="IntroParagraph"/>
        <w:spacing w:before="144" w:after="144"/>
        <w:rPr>
          <w:color w:val="auto"/>
          <w:sz w:val="22"/>
          <w:szCs w:val="22"/>
          <w:lang w:eastAsia="en-AU"/>
        </w:rPr>
      </w:pPr>
      <w:proofErr w:type="gramStart"/>
      <w:r w:rsidRPr="004B5176">
        <w:rPr>
          <w:color w:val="auto"/>
          <w:sz w:val="22"/>
          <w:szCs w:val="22"/>
          <w:lang w:eastAsia="en-AU"/>
        </w:rPr>
        <w:t>A</w:t>
      </w:r>
      <w:proofErr w:type="gramEnd"/>
      <w:r w:rsidRPr="004B5176">
        <w:rPr>
          <w:color w:val="auto"/>
          <w:sz w:val="22"/>
          <w:szCs w:val="22"/>
          <w:lang w:eastAsia="en-AU"/>
        </w:rPr>
        <w:t xml:space="preserve"> RIA is </w:t>
      </w:r>
      <w:r w:rsidR="00783FB8" w:rsidRPr="004B5176">
        <w:rPr>
          <w:color w:val="auto"/>
          <w:sz w:val="22"/>
          <w:szCs w:val="22"/>
          <w:lang w:eastAsia="en-AU"/>
        </w:rPr>
        <w:t xml:space="preserve">a policy development tool that facilitates an assessment of the feasible options to achieve a policy goal and helps inform policy decisions. </w:t>
      </w:r>
      <w:r w:rsidR="00B435F8" w:rsidRPr="004B5176">
        <w:rPr>
          <w:color w:val="auto"/>
          <w:sz w:val="22"/>
          <w:szCs w:val="22"/>
          <w:lang w:eastAsia="en-AU"/>
        </w:rPr>
        <w:t>It</w:t>
      </w:r>
      <w:r w:rsidR="00783FB8" w:rsidRPr="004B5176">
        <w:rPr>
          <w:color w:val="auto"/>
          <w:sz w:val="22"/>
          <w:szCs w:val="22"/>
          <w:lang w:eastAsia="en-AU"/>
        </w:rPr>
        <w:t xml:space="preserve"> is prepared during the policy development phase and generally considers whether there is a need for a regulatory intervention (or </w:t>
      </w:r>
      <w:r w:rsidR="00DE7DDB" w:rsidRPr="004B5176">
        <w:rPr>
          <w:color w:val="auto"/>
          <w:sz w:val="22"/>
          <w:szCs w:val="22"/>
          <w:lang w:eastAsia="en-AU"/>
        </w:rPr>
        <w:t>whether</w:t>
      </w:r>
      <w:r w:rsidR="00783FB8" w:rsidRPr="004B5176">
        <w:rPr>
          <w:color w:val="auto"/>
          <w:sz w:val="22"/>
          <w:szCs w:val="22"/>
          <w:lang w:eastAsia="en-AU"/>
        </w:rPr>
        <w:t xml:space="preserve"> the goal </w:t>
      </w:r>
      <w:r w:rsidR="00DE7DDB" w:rsidRPr="004B5176">
        <w:rPr>
          <w:color w:val="auto"/>
          <w:sz w:val="22"/>
          <w:szCs w:val="22"/>
          <w:lang w:eastAsia="en-AU"/>
        </w:rPr>
        <w:t xml:space="preserve">can </w:t>
      </w:r>
      <w:r w:rsidR="00783FB8" w:rsidRPr="004B5176">
        <w:rPr>
          <w:color w:val="auto"/>
          <w:sz w:val="22"/>
          <w:szCs w:val="22"/>
          <w:lang w:eastAsia="en-AU"/>
        </w:rPr>
        <w:t>be achieved through non-regulatory means) and the relative costs and benefits of the feasible options to address the problem.</w:t>
      </w:r>
      <w:r w:rsidR="009266DD" w:rsidRPr="004B5176">
        <w:rPr>
          <w:color w:val="auto"/>
          <w:sz w:val="22"/>
          <w:szCs w:val="22"/>
          <w:lang w:eastAsia="en-AU"/>
        </w:rPr>
        <w:t xml:space="preserve"> </w:t>
      </w:r>
    </w:p>
    <w:p w14:paraId="7E07B41F" w14:textId="34D09D81" w:rsidR="0026124B" w:rsidRPr="001220C6" w:rsidRDefault="001220C6" w:rsidP="001220C6">
      <w:pPr>
        <w:spacing w:before="144" w:after="144"/>
        <w:rPr>
          <w:b/>
          <w:bCs/>
          <w:sz w:val="24"/>
          <w:szCs w:val="22"/>
        </w:rPr>
      </w:pPr>
      <w:r w:rsidRPr="001220C6">
        <w:rPr>
          <w:b/>
          <w:bCs/>
          <w:sz w:val="24"/>
          <w:szCs w:val="24"/>
          <w:lang w:eastAsia="en-AU"/>
        </w:rPr>
        <w:t>Regulatory Impact Assessment or Regulatory Impact Statement</w:t>
      </w:r>
      <w:r w:rsidR="00CE7724">
        <w:rPr>
          <w:b/>
          <w:bCs/>
          <w:sz w:val="24"/>
          <w:szCs w:val="24"/>
          <w:lang w:eastAsia="en-AU"/>
        </w:rPr>
        <w:t>?</w:t>
      </w:r>
      <w:r w:rsidR="0026124B" w:rsidRPr="001220C6">
        <w:rPr>
          <w:b/>
          <w:bCs/>
          <w:sz w:val="24"/>
          <w:szCs w:val="22"/>
        </w:rPr>
        <w:t xml:space="preserve"> </w:t>
      </w:r>
    </w:p>
    <w:p w14:paraId="11C9056A" w14:textId="78E4BB9D" w:rsidR="00637128" w:rsidRDefault="0026124B" w:rsidP="009266DD">
      <w:pPr>
        <w:spacing w:beforeLines="60" w:before="144" w:afterLines="60" w:after="144"/>
        <w:rPr>
          <w:szCs w:val="22"/>
          <w:lang w:eastAsia="en-AU"/>
        </w:rPr>
      </w:pPr>
      <w:r>
        <w:rPr>
          <w:szCs w:val="22"/>
          <w:lang w:eastAsia="en-AU"/>
        </w:rPr>
        <w:t xml:space="preserve">All </w:t>
      </w:r>
      <w:r w:rsidR="00637128">
        <w:rPr>
          <w:szCs w:val="22"/>
          <w:lang w:eastAsia="en-AU"/>
        </w:rPr>
        <w:t xml:space="preserve">Australian jurisdictions require </w:t>
      </w:r>
      <w:r w:rsidR="00FE6850">
        <w:rPr>
          <w:szCs w:val="22"/>
          <w:lang w:eastAsia="en-AU"/>
        </w:rPr>
        <w:t xml:space="preserve">a </w:t>
      </w:r>
      <w:r w:rsidR="00F16CC0">
        <w:rPr>
          <w:szCs w:val="22"/>
          <w:lang w:eastAsia="en-AU"/>
        </w:rPr>
        <w:t>Regulatory Impact Statement (</w:t>
      </w:r>
      <w:r w:rsidR="00637128">
        <w:rPr>
          <w:szCs w:val="22"/>
          <w:lang w:eastAsia="en-AU"/>
        </w:rPr>
        <w:t>RIS</w:t>
      </w:r>
      <w:r w:rsidR="00F16CC0">
        <w:rPr>
          <w:szCs w:val="22"/>
          <w:lang w:eastAsia="en-AU"/>
        </w:rPr>
        <w:t>)</w:t>
      </w:r>
      <w:r w:rsidR="00637128">
        <w:rPr>
          <w:szCs w:val="22"/>
          <w:lang w:eastAsia="en-AU"/>
        </w:rPr>
        <w:t xml:space="preserve"> to be prepared</w:t>
      </w:r>
      <w:r w:rsidR="00FE6850">
        <w:rPr>
          <w:szCs w:val="22"/>
          <w:lang w:eastAsia="en-AU"/>
        </w:rPr>
        <w:t xml:space="preserve"> for </w:t>
      </w:r>
      <w:r w:rsidR="000A2720">
        <w:rPr>
          <w:szCs w:val="22"/>
          <w:lang w:eastAsia="en-AU"/>
        </w:rPr>
        <w:t>new regulatory mechanisms that have a significant impact on the community, or parts of the community</w:t>
      </w:r>
      <w:r w:rsidR="00637128">
        <w:rPr>
          <w:szCs w:val="22"/>
          <w:lang w:eastAsia="en-AU"/>
        </w:rPr>
        <w:t>, and most jurisdictions</w:t>
      </w:r>
      <w:r w:rsidR="000E15D9">
        <w:rPr>
          <w:szCs w:val="22"/>
          <w:lang w:eastAsia="en-AU"/>
        </w:rPr>
        <w:t xml:space="preserve"> </w:t>
      </w:r>
      <w:r w:rsidR="00637128">
        <w:rPr>
          <w:szCs w:val="22"/>
          <w:lang w:eastAsia="en-AU"/>
        </w:rPr>
        <w:t>also require</w:t>
      </w:r>
      <w:r w:rsidR="00FE6850">
        <w:rPr>
          <w:szCs w:val="22"/>
          <w:lang w:eastAsia="en-AU"/>
        </w:rPr>
        <w:t xml:space="preserve"> the</w:t>
      </w:r>
      <w:r w:rsidR="00637128">
        <w:rPr>
          <w:szCs w:val="22"/>
          <w:lang w:eastAsia="en-AU"/>
        </w:rPr>
        <w:t xml:space="preserve"> RIS to be published</w:t>
      </w:r>
      <w:r w:rsidR="000E15D9">
        <w:rPr>
          <w:szCs w:val="22"/>
          <w:lang w:eastAsia="en-AU"/>
        </w:rPr>
        <w:t>, including the ACT</w:t>
      </w:r>
      <w:r w:rsidR="00637128">
        <w:rPr>
          <w:szCs w:val="22"/>
          <w:lang w:eastAsia="en-AU"/>
        </w:rPr>
        <w:t xml:space="preserve">. </w:t>
      </w:r>
    </w:p>
    <w:p w14:paraId="4F2B409D" w14:textId="4D3ADB63" w:rsidR="00DB297C" w:rsidRDefault="00DB297C" w:rsidP="0095231E">
      <w:pPr>
        <w:spacing w:beforeLines="60" w:before="144" w:afterLines="60" w:after="144"/>
        <w:rPr>
          <w:szCs w:val="22"/>
          <w:lang w:eastAsia="en-AU"/>
        </w:rPr>
      </w:pPr>
      <w:r>
        <w:rPr>
          <w:szCs w:val="22"/>
          <w:lang w:eastAsia="en-AU"/>
        </w:rPr>
        <w:t xml:space="preserve">The information that is provided in </w:t>
      </w:r>
      <w:proofErr w:type="gramStart"/>
      <w:r>
        <w:rPr>
          <w:szCs w:val="22"/>
          <w:lang w:eastAsia="en-AU"/>
        </w:rPr>
        <w:t>a</w:t>
      </w:r>
      <w:proofErr w:type="gramEnd"/>
      <w:r>
        <w:rPr>
          <w:szCs w:val="22"/>
          <w:lang w:eastAsia="en-AU"/>
        </w:rPr>
        <w:t xml:space="preserve"> RIA to Cabinet, the analysis of what is the problem and the feasible options to address the problem, is also a feature of the RIS </w:t>
      </w:r>
      <w:r w:rsidR="00511BF8">
        <w:rPr>
          <w:szCs w:val="22"/>
          <w:lang w:eastAsia="en-AU"/>
        </w:rPr>
        <w:t xml:space="preserve">that is required to be </w:t>
      </w:r>
      <w:r>
        <w:rPr>
          <w:szCs w:val="22"/>
          <w:lang w:eastAsia="en-AU"/>
        </w:rPr>
        <w:t xml:space="preserve">presented to the Legislative Assembly. </w:t>
      </w:r>
    </w:p>
    <w:p w14:paraId="623041B4" w14:textId="28645F7E" w:rsidR="005D4B93" w:rsidRDefault="005D4B93" w:rsidP="0095231E">
      <w:pPr>
        <w:spacing w:beforeLines="60" w:before="144" w:afterLines="60" w:after="144"/>
        <w:rPr>
          <w:szCs w:val="22"/>
          <w:lang w:eastAsia="en-AU"/>
        </w:rPr>
      </w:pPr>
      <w:r w:rsidRPr="00081EA3">
        <w:rPr>
          <w:szCs w:val="22"/>
          <w:lang w:eastAsia="en-AU"/>
        </w:rPr>
        <w:t xml:space="preserve">In </w:t>
      </w:r>
      <w:r w:rsidR="00FC24E8">
        <w:rPr>
          <w:szCs w:val="22"/>
          <w:lang w:eastAsia="en-AU"/>
        </w:rPr>
        <w:t xml:space="preserve">doing so, </w:t>
      </w:r>
      <w:r w:rsidRPr="00081EA3">
        <w:rPr>
          <w:szCs w:val="22"/>
          <w:lang w:eastAsia="en-AU"/>
        </w:rPr>
        <w:t xml:space="preserve">the </w:t>
      </w:r>
      <w:r>
        <w:rPr>
          <w:szCs w:val="22"/>
          <w:lang w:eastAsia="en-AU"/>
        </w:rPr>
        <w:t>RIA</w:t>
      </w:r>
      <w:r w:rsidRPr="00081EA3">
        <w:rPr>
          <w:szCs w:val="22"/>
          <w:lang w:eastAsia="en-AU"/>
        </w:rPr>
        <w:t xml:space="preserve"> serves to inform the choice of the decision maker</w:t>
      </w:r>
      <w:r w:rsidR="00511BF8">
        <w:rPr>
          <w:szCs w:val="22"/>
          <w:lang w:eastAsia="en-AU"/>
        </w:rPr>
        <w:t xml:space="preserve"> (</w:t>
      </w:r>
      <w:r>
        <w:rPr>
          <w:szCs w:val="22"/>
          <w:lang w:eastAsia="en-AU"/>
        </w:rPr>
        <w:t>Cabinet</w:t>
      </w:r>
      <w:r w:rsidR="00511BF8">
        <w:rPr>
          <w:szCs w:val="22"/>
          <w:lang w:eastAsia="en-AU"/>
        </w:rPr>
        <w:t>)</w:t>
      </w:r>
      <w:r>
        <w:rPr>
          <w:szCs w:val="22"/>
          <w:lang w:eastAsia="en-AU"/>
        </w:rPr>
        <w:t xml:space="preserve"> in the policy development phase</w:t>
      </w:r>
      <w:r w:rsidRPr="00081EA3">
        <w:rPr>
          <w:szCs w:val="22"/>
          <w:lang w:eastAsia="en-AU"/>
        </w:rPr>
        <w:t xml:space="preserve">, while the </w:t>
      </w:r>
      <w:r>
        <w:rPr>
          <w:szCs w:val="22"/>
          <w:lang w:eastAsia="en-AU"/>
        </w:rPr>
        <w:t xml:space="preserve">RIS </w:t>
      </w:r>
      <w:r w:rsidRPr="00081EA3">
        <w:rPr>
          <w:szCs w:val="22"/>
          <w:lang w:eastAsia="en-AU"/>
        </w:rPr>
        <w:t xml:space="preserve">builds on that information, </w:t>
      </w:r>
      <w:r>
        <w:rPr>
          <w:szCs w:val="22"/>
          <w:lang w:eastAsia="en-AU"/>
        </w:rPr>
        <w:t>and</w:t>
      </w:r>
      <w:r w:rsidR="00511BF8">
        <w:rPr>
          <w:szCs w:val="22"/>
          <w:lang w:eastAsia="en-AU"/>
        </w:rPr>
        <w:t xml:space="preserve"> informs</w:t>
      </w:r>
      <w:r w:rsidRPr="00081EA3">
        <w:rPr>
          <w:szCs w:val="22"/>
          <w:lang w:eastAsia="en-AU"/>
        </w:rPr>
        <w:t xml:space="preserve"> the </w:t>
      </w:r>
      <w:r w:rsidR="00511BF8" w:rsidRPr="00081EA3">
        <w:rPr>
          <w:szCs w:val="22"/>
          <w:lang w:eastAsia="en-AU"/>
        </w:rPr>
        <w:t xml:space="preserve">Assembly </w:t>
      </w:r>
      <w:r w:rsidRPr="00081EA3">
        <w:rPr>
          <w:szCs w:val="22"/>
          <w:lang w:eastAsia="en-AU"/>
        </w:rPr>
        <w:t>and</w:t>
      </w:r>
      <w:r w:rsidR="00511BF8">
        <w:rPr>
          <w:szCs w:val="22"/>
          <w:lang w:eastAsia="en-AU"/>
        </w:rPr>
        <w:t xml:space="preserve"> the community on</w:t>
      </w:r>
      <w:r w:rsidRPr="00081EA3">
        <w:rPr>
          <w:szCs w:val="22"/>
          <w:lang w:eastAsia="en-AU"/>
        </w:rPr>
        <w:t xml:space="preserve"> how the Government arrived at its decision</w:t>
      </w:r>
      <w:r>
        <w:rPr>
          <w:szCs w:val="22"/>
          <w:lang w:eastAsia="en-AU"/>
        </w:rPr>
        <w:t>.</w:t>
      </w:r>
    </w:p>
    <w:p w14:paraId="4A9E0827" w14:textId="11E177CB" w:rsidR="005D4B93" w:rsidRDefault="003326B9" w:rsidP="003048E7">
      <w:pPr>
        <w:spacing w:beforeLines="60" w:before="144" w:afterLines="60" w:after="144"/>
        <w:rPr>
          <w:szCs w:val="22"/>
          <w:lang w:eastAsia="en-AU"/>
        </w:rPr>
      </w:pPr>
      <w:r>
        <w:rPr>
          <w:szCs w:val="22"/>
          <w:lang w:eastAsia="en-AU"/>
        </w:rPr>
        <w:t>While</w:t>
      </w:r>
      <w:r w:rsidR="001A192A">
        <w:rPr>
          <w:szCs w:val="22"/>
          <w:lang w:eastAsia="en-AU"/>
        </w:rPr>
        <w:t xml:space="preserve"> </w:t>
      </w:r>
      <w:r w:rsidR="0032301C">
        <w:rPr>
          <w:szCs w:val="22"/>
          <w:lang w:eastAsia="en-AU"/>
        </w:rPr>
        <w:t>the terms</w:t>
      </w:r>
      <w:r w:rsidR="00B25BDF">
        <w:rPr>
          <w:szCs w:val="22"/>
          <w:lang w:eastAsia="en-AU"/>
        </w:rPr>
        <w:t xml:space="preserve"> </w:t>
      </w:r>
      <w:r w:rsidR="005D4B93">
        <w:rPr>
          <w:szCs w:val="22"/>
          <w:lang w:eastAsia="en-AU"/>
        </w:rPr>
        <w:t xml:space="preserve">RIA and RIS </w:t>
      </w:r>
      <w:r w:rsidR="00B25BDF">
        <w:rPr>
          <w:szCs w:val="22"/>
          <w:lang w:eastAsia="en-AU"/>
        </w:rPr>
        <w:t xml:space="preserve">are </w:t>
      </w:r>
      <w:r w:rsidR="00511BF8">
        <w:rPr>
          <w:szCs w:val="22"/>
          <w:lang w:eastAsia="en-AU"/>
        </w:rPr>
        <w:t xml:space="preserve">often used </w:t>
      </w:r>
      <w:r w:rsidR="00B25BDF">
        <w:rPr>
          <w:szCs w:val="22"/>
          <w:lang w:eastAsia="en-AU"/>
        </w:rPr>
        <w:t>interchangeabl</w:t>
      </w:r>
      <w:r w:rsidR="00511BF8">
        <w:rPr>
          <w:szCs w:val="22"/>
          <w:lang w:eastAsia="en-AU"/>
        </w:rPr>
        <w:t>y</w:t>
      </w:r>
      <w:r>
        <w:rPr>
          <w:szCs w:val="22"/>
          <w:lang w:eastAsia="en-AU"/>
        </w:rPr>
        <w:t xml:space="preserve">, </w:t>
      </w:r>
      <w:r w:rsidR="003048E7">
        <w:rPr>
          <w:szCs w:val="22"/>
          <w:lang w:eastAsia="en-AU"/>
        </w:rPr>
        <w:t xml:space="preserve">a RIS </w:t>
      </w:r>
      <w:r w:rsidR="005D4B93">
        <w:rPr>
          <w:szCs w:val="22"/>
          <w:lang w:eastAsia="en-AU"/>
        </w:rPr>
        <w:t xml:space="preserve">contains </w:t>
      </w:r>
      <w:r w:rsidR="003048E7">
        <w:rPr>
          <w:szCs w:val="22"/>
          <w:lang w:eastAsia="en-AU"/>
        </w:rPr>
        <w:t xml:space="preserve">additional information required by the </w:t>
      </w:r>
      <w:r w:rsidR="003048E7" w:rsidRPr="00D805F2">
        <w:rPr>
          <w:i/>
          <w:iCs/>
          <w:szCs w:val="22"/>
          <w:lang w:eastAsia="en-AU"/>
        </w:rPr>
        <w:t>Legislation Act</w:t>
      </w:r>
      <w:r w:rsidR="00E80C13" w:rsidRPr="00D805F2">
        <w:rPr>
          <w:i/>
          <w:iCs/>
          <w:szCs w:val="22"/>
          <w:lang w:eastAsia="en-AU"/>
        </w:rPr>
        <w:t xml:space="preserve"> 2001</w:t>
      </w:r>
      <w:r w:rsidR="009B0257">
        <w:rPr>
          <w:i/>
          <w:iCs/>
          <w:szCs w:val="22"/>
          <w:lang w:eastAsia="en-AU"/>
        </w:rPr>
        <w:t xml:space="preserve"> </w:t>
      </w:r>
      <w:r w:rsidR="009B0257">
        <w:rPr>
          <w:szCs w:val="22"/>
          <w:lang w:eastAsia="en-AU"/>
        </w:rPr>
        <w:t>(the Legislation Act)</w:t>
      </w:r>
      <w:r w:rsidR="005D4B93">
        <w:rPr>
          <w:szCs w:val="22"/>
          <w:lang w:eastAsia="en-AU"/>
        </w:rPr>
        <w:t>:</w:t>
      </w:r>
      <w:r w:rsidR="003048E7">
        <w:rPr>
          <w:szCs w:val="22"/>
          <w:lang w:eastAsia="en-AU"/>
        </w:rPr>
        <w:t xml:space="preserve"> </w:t>
      </w:r>
    </w:p>
    <w:p w14:paraId="2A793DD6" w14:textId="212A8DE5" w:rsidR="005D4B93" w:rsidRDefault="00E80558" w:rsidP="005D4B93">
      <w:pPr>
        <w:pStyle w:val="ListParagraph"/>
        <w:numPr>
          <w:ilvl w:val="0"/>
          <w:numId w:val="31"/>
        </w:numPr>
        <w:spacing w:beforeLines="60" w:before="144" w:afterLines="60" w:after="144"/>
        <w:rPr>
          <w:szCs w:val="22"/>
          <w:lang w:eastAsia="en-AU"/>
        </w:rPr>
      </w:pPr>
      <w:r w:rsidRPr="005D4B93">
        <w:rPr>
          <w:szCs w:val="22"/>
          <w:lang w:eastAsia="en-AU"/>
        </w:rPr>
        <w:t xml:space="preserve">to provide a brief assessment of the consistency of the proposed law </w:t>
      </w:r>
      <w:r w:rsidR="00703BCB" w:rsidRPr="005D4B93">
        <w:rPr>
          <w:szCs w:val="22"/>
          <w:lang w:eastAsia="en-AU"/>
        </w:rPr>
        <w:t xml:space="preserve">(i.e. the recommended option) </w:t>
      </w:r>
      <w:r w:rsidRPr="005D4B93">
        <w:rPr>
          <w:szCs w:val="22"/>
          <w:lang w:eastAsia="en-AU"/>
        </w:rPr>
        <w:t xml:space="preserve">with scrutiny committee principles, as is required for all new legislative proposals. </w:t>
      </w:r>
      <w:r w:rsidR="005D4B93">
        <w:rPr>
          <w:szCs w:val="22"/>
          <w:lang w:eastAsia="en-AU"/>
        </w:rPr>
        <w:t>This include</w:t>
      </w:r>
      <w:r w:rsidR="00872E17">
        <w:rPr>
          <w:szCs w:val="22"/>
          <w:lang w:eastAsia="en-AU"/>
        </w:rPr>
        <w:t>s</w:t>
      </w:r>
      <w:r w:rsidR="005D4B93">
        <w:rPr>
          <w:szCs w:val="22"/>
          <w:lang w:eastAsia="en-AU"/>
        </w:rPr>
        <w:t xml:space="preserve"> information on </w:t>
      </w:r>
      <w:r w:rsidR="005D4B93" w:rsidRPr="00081EA3">
        <w:rPr>
          <w:szCs w:val="22"/>
          <w:lang w:eastAsia="en-AU"/>
        </w:rPr>
        <w:t xml:space="preserve">how the proposed law interacts with generic </w:t>
      </w:r>
      <w:r w:rsidR="00872E17" w:rsidRPr="00081EA3">
        <w:rPr>
          <w:szCs w:val="22"/>
          <w:lang w:eastAsia="en-AU"/>
        </w:rPr>
        <w:t>law-making</w:t>
      </w:r>
      <w:r w:rsidR="005D4B93" w:rsidRPr="00081EA3">
        <w:rPr>
          <w:szCs w:val="22"/>
          <w:lang w:eastAsia="en-AU"/>
        </w:rPr>
        <w:t xml:space="preserve"> principles, such as whether the type of obligation should be made and voted on by the Assembly </w:t>
      </w:r>
      <w:r w:rsidR="00872E17">
        <w:rPr>
          <w:szCs w:val="22"/>
          <w:lang w:eastAsia="en-AU"/>
        </w:rPr>
        <w:t>(through amen</w:t>
      </w:r>
      <w:r w:rsidR="001A49E0">
        <w:rPr>
          <w:szCs w:val="22"/>
          <w:lang w:eastAsia="en-AU"/>
        </w:rPr>
        <w:t>ding primary legislation</w:t>
      </w:r>
      <w:r w:rsidR="00872E17">
        <w:rPr>
          <w:szCs w:val="22"/>
          <w:lang w:eastAsia="en-AU"/>
        </w:rPr>
        <w:t xml:space="preserve">) </w:t>
      </w:r>
      <w:r w:rsidR="005D4B93" w:rsidRPr="00081EA3">
        <w:rPr>
          <w:szCs w:val="22"/>
          <w:lang w:eastAsia="en-AU"/>
        </w:rPr>
        <w:t>rather than made by the Minister</w:t>
      </w:r>
      <w:r w:rsidR="00872E17">
        <w:rPr>
          <w:szCs w:val="22"/>
          <w:lang w:eastAsia="en-AU"/>
        </w:rPr>
        <w:t xml:space="preserve"> (through </w:t>
      </w:r>
      <w:r w:rsidR="001A49E0">
        <w:rPr>
          <w:szCs w:val="22"/>
          <w:lang w:eastAsia="en-AU"/>
        </w:rPr>
        <w:t xml:space="preserve">introducing or amending </w:t>
      </w:r>
      <w:r w:rsidR="00872E17">
        <w:rPr>
          <w:szCs w:val="22"/>
          <w:lang w:eastAsia="en-AU"/>
        </w:rPr>
        <w:t>a regulation</w:t>
      </w:r>
      <w:r w:rsidR="001A49E0">
        <w:rPr>
          <w:szCs w:val="22"/>
          <w:lang w:eastAsia="en-AU"/>
        </w:rPr>
        <w:t xml:space="preserve">, which is a </w:t>
      </w:r>
      <w:r w:rsidR="00872E17">
        <w:rPr>
          <w:szCs w:val="22"/>
          <w:lang w:eastAsia="en-AU"/>
        </w:rPr>
        <w:t>subordinate legislation)</w:t>
      </w:r>
      <w:r w:rsidR="005D4B93">
        <w:rPr>
          <w:szCs w:val="22"/>
          <w:lang w:eastAsia="en-AU"/>
        </w:rPr>
        <w:t>;</w:t>
      </w:r>
      <w:r w:rsidR="00511BF8">
        <w:rPr>
          <w:szCs w:val="22"/>
          <w:lang w:eastAsia="en-AU"/>
        </w:rPr>
        <w:t xml:space="preserve"> and</w:t>
      </w:r>
    </w:p>
    <w:p w14:paraId="43D0DD7A" w14:textId="77777777" w:rsidR="005D4B93" w:rsidRDefault="005D4B93" w:rsidP="00EB3B5B">
      <w:pPr>
        <w:pStyle w:val="ListParagraph"/>
        <w:numPr>
          <w:ilvl w:val="0"/>
          <w:numId w:val="31"/>
        </w:numPr>
        <w:spacing w:beforeLines="60" w:before="144" w:afterLines="60" w:after="144"/>
        <w:rPr>
          <w:szCs w:val="22"/>
          <w:lang w:eastAsia="en-AU"/>
        </w:rPr>
      </w:pPr>
      <w:r w:rsidRPr="005D4B93">
        <w:rPr>
          <w:szCs w:val="22"/>
          <w:lang w:eastAsia="en-AU"/>
        </w:rPr>
        <w:t>further, if the proposed law is inconsistent with the policy objectives of another territory law, the RIS will contain a brief explanation of the relationship with the other law and a brief explanation for the inconsistency</w:t>
      </w:r>
      <w:r>
        <w:rPr>
          <w:szCs w:val="22"/>
          <w:lang w:eastAsia="en-AU"/>
        </w:rPr>
        <w:t>.</w:t>
      </w:r>
    </w:p>
    <w:p w14:paraId="2D6D3489" w14:textId="4565E14D" w:rsidR="00D805F2" w:rsidRPr="0026633C" w:rsidRDefault="00E80558" w:rsidP="0026633C">
      <w:pPr>
        <w:spacing w:beforeLines="60" w:before="144" w:afterLines="60" w:after="144"/>
        <w:rPr>
          <w:szCs w:val="22"/>
          <w:lang w:eastAsia="en-AU"/>
        </w:rPr>
      </w:pPr>
      <w:r w:rsidRPr="005D4B93">
        <w:rPr>
          <w:szCs w:val="22"/>
          <w:lang w:eastAsia="en-AU"/>
        </w:rPr>
        <w:t>The RIS is intended for use by the Standing Committee on Justice and Community Safety, which is established to perform a legislative scrutiny role by examining all bills and subordinate legislation presented to the Assembly.</w:t>
      </w:r>
      <w:r w:rsidR="005D4B93">
        <w:rPr>
          <w:szCs w:val="22"/>
          <w:lang w:eastAsia="en-AU"/>
        </w:rPr>
        <w:t xml:space="preserve"> </w:t>
      </w:r>
    </w:p>
    <w:p w14:paraId="1EFC3103" w14:textId="45FC7CB6" w:rsidR="00701C0C" w:rsidRPr="00210E24" w:rsidRDefault="004B5176" w:rsidP="00210E24">
      <w:pPr>
        <w:spacing w:beforeLines="60" w:before="144" w:afterLines="60" w:after="144"/>
        <w:rPr>
          <w:rFonts w:ascii="Arial Bold" w:hAnsi="Arial Bold"/>
          <w:bCs/>
          <w:color w:val="808080" w:themeColor="background1" w:themeShade="80"/>
          <w:sz w:val="24"/>
          <w:szCs w:val="26"/>
        </w:rPr>
      </w:pPr>
      <w:bookmarkStart w:id="11" w:name="_Toc175576400"/>
      <w:r w:rsidRPr="00210E24">
        <w:rPr>
          <w:rFonts w:ascii="Arial Bold" w:hAnsi="Arial Bold"/>
          <w:bCs/>
          <w:color w:val="808080" w:themeColor="background1" w:themeShade="80"/>
          <w:sz w:val="24"/>
          <w:szCs w:val="26"/>
        </w:rPr>
        <w:lastRenderedPageBreak/>
        <w:t>2.</w:t>
      </w:r>
      <w:r w:rsidR="00AE7FBD" w:rsidRPr="00210E24">
        <w:rPr>
          <w:rFonts w:ascii="Arial Bold" w:hAnsi="Arial Bold"/>
          <w:bCs/>
          <w:color w:val="808080" w:themeColor="background1" w:themeShade="80"/>
          <w:sz w:val="24"/>
          <w:szCs w:val="26"/>
        </w:rPr>
        <w:t>2</w:t>
      </w:r>
      <w:r w:rsidRPr="00210E24">
        <w:rPr>
          <w:rFonts w:ascii="Arial Bold" w:hAnsi="Arial Bold"/>
          <w:bCs/>
          <w:color w:val="808080" w:themeColor="background1" w:themeShade="80"/>
          <w:sz w:val="24"/>
          <w:szCs w:val="26"/>
        </w:rPr>
        <w:t xml:space="preserve"> </w:t>
      </w:r>
      <w:r w:rsidR="00701C0C" w:rsidRPr="00210E24">
        <w:rPr>
          <w:rFonts w:ascii="Arial Bold" w:hAnsi="Arial Bold"/>
          <w:bCs/>
          <w:color w:val="808080" w:themeColor="background1" w:themeShade="80"/>
          <w:sz w:val="24"/>
          <w:szCs w:val="26"/>
        </w:rPr>
        <w:t xml:space="preserve">When should </w:t>
      </w:r>
      <w:proofErr w:type="gramStart"/>
      <w:r w:rsidR="00701C0C" w:rsidRPr="00210E24">
        <w:rPr>
          <w:rFonts w:ascii="Arial Bold" w:hAnsi="Arial Bold"/>
          <w:bCs/>
          <w:color w:val="808080" w:themeColor="background1" w:themeShade="80"/>
          <w:sz w:val="24"/>
          <w:szCs w:val="26"/>
        </w:rPr>
        <w:t>a</w:t>
      </w:r>
      <w:proofErr w:type="gramEnd"/>
      <w:r w:rsidR="00701C0C" w:rsidRPr="00210E24">
        <w:rPr>
          <w:rFonts w:ascii="Arial Bold" w:hAnsi="Arial Bold"/>
          <w:bCs/>
          <w:color w:val="808080" w:themeColor="background1" w:themeShade="80"/>
          <w:sz w:val="24"/>
          <w:szCs w:val="26"/>
        </w:rPr>
        <w:t xml:space="preserve"> RIA be prepared?</w:t>
      </w:r>
      <w:bookmarkEnd w:id="11"/>
    </w:p>
    <w:p w14:paraId="1FD46B61" w14:textId="0BC758AE" w:rsidR="00511BF8" w:rsidRDefault="00511BF8" w:rsidP="00E26AEE">
      <w:pPr>
        <w:spacing w:beforeLines="60" w:before="144" w:afterLines="60" w:after="144"/>
        <w:rPr>
          <w:lang w:eastAsia="en-AU"/>
        </w:rPr>
      </w:pPr>
      <w:r>
        <w:rPr>
          <w:lang w:eastAsia="en-AU"/>
        </w:rPr>
        <w:t xml:space="preserve">The </w:t>
      </w:r>
      <w:r w:rsidRPr="001220C6">
        <w:rPr>
          <w:lang w:eastAsia="en-AU"/>
        </w:rPr>
        <w:t xml:space="preserve">ACT Government Cabinet Handbook </w:t>
      </w:r>
      <w:r>
        <w:rPr>
          <w:lang w:eastAsia="en-AU"/>
        </w:rPr>
        <w:t xml:space="preserve">(Part C) requires </w:t>
      </w:r>
      <w:proofErr w:type="gramStart"/>
      <w:r>
        <w:rPr>
          <w:lang w:eastAsia="en-AU"/>
        </w:rPr>
        <w:t>a</w:t>
      </w:r>
      <w:proofErr w:type="gramEnd"/>
      <w:r>
        <w:rPr>
          <w:lang w:eastAsia="en-AU"/>
        </w:rPr>
        <w:t xml:space="preserve"> RIA to be brought to Cabinet where </w:t>
      </w:r>
      <w:r w:rsidRPr="001220C6">
        <w:rPr>
          <w:lang w:eastAsia="en-AU"/>
        </w:rPr>
        <w:t xml:space="preserve">a submission seeks policy approval for a </w:t>
      </w:r>
      <w:r w:rsidR="00E26AEE">
        <w:rPr>
          <w:lang w:eastAsia="en-AU"/>
        </w:rPr>
        <w:t xml:space="preserve">regulatory </w:t>
      </w:r>
      <w:r w:rsidRPr="001220C6">
        <w:rPr>
          <w:lang w:eastAsia="en-AU"/>
        </w:rPr>
        <w:t>policy option that imposes new obligations that are likely to result in appreciable costs on the community, or part of the community</w:t>
      </w:r>
      <w:r>
        <w:rPr>
          <w:lang w:eastAsia="en-AU"/>
        </w:rPr>
        <w:t>. This means that p</w:t>
      </w:r>
      <w:r>
        <w:rPr>
          <w:szCs w:val="22"/>
          <w:lang w:eastAsia="en-AU"/>
        </w:rPr>
        <w:t xml:space="preserve">olicy makers should undertake </w:t>
      </w:r>
      <w:proofErr w:type="gramStart"/>
      <w:r>
        <w:rPr>
          <w:szCs w:val="22"/>
          <w:lang w:eastAsia="en-AU"/>
        </w:rPr>
        <w:t>a</w:t>
      </w:r>
      <w:proofErr w:type="gramEnd"/>
      <w:r>
        <w:rPr>
          <w:szCs w:val="22"/>
          <w:lang w:eastAsia="en-AU"/>
        </w:rPr>
        <w:t xml:space="preserve"> RIA if implementing the regulatory proposal is expected to result </w:t>
      </w:r>
      <w:r w:rsidRPr="00BB5521">
        <w:rPr>
          <w:szCs w:val="22"/>
          <w:lang w:eastAsia="en-AU"/>
        </w:rPr>
        <w:t>in a more than minor change in the obligation, behaviour or impact for individuals, businesses, or community organisations</w:t>
      </w:r>
      <w:r>
        <w:rPr>
          <w:szCs w:val="22"/>
          <w:lang w:eastAsia="en-AU"/>
        </w:rPr>
        <w:t xml:space="preserve">. </w:t>
      </w:r>
    </w:p>
    <w:p w14:paraId="51ED50C5" w14:textId="5198AA58" w:rsidR="00511BF8" w:rsidRDefault="00511BF8" w:rsidP="00511BF8">
      <w:pPr>
        <w:spacing w:beforeLines="60" w:before="144" w:afterLines="60" w:after="144"/>
        <w:rPr>
          <w:szCs w:val="22"/>
          <w:lang w:eastAsia="en-AU"/>
        </w:rPr>
      </w:pPr>
      <w:r>
        <w:rPr>
          <w:szCs w:val="22"/>
          <w:lang w:eastAsia="en-AU"/>
        </w:rPr>
        <w:t xml:space="preserve">The RIA is prepared at the policy development stage, before a policy direction is chosen. </w:t>
      </w:r>
      <w:r w:rsidRPr="00336DFD">
        <w:rPr>
          <w:szCs w:val="22"/>
          <w:lang w:eastAsia="en-AU"/>
        </w:rPr>
        <w:t xml:space="preserve">By capturing and weighing the full range of costs and benefits, </w:t>
      </w:r>
      <w:proofErr w:type="gramStart"/>
      <w:r w:rsidRPr="00336DFD">
        <w:rPr>
          <w:szCs w:val="22"/>
          <w:lang w:eastAsia="en-AU"/>
        </w:rPr>
        <w:t>a</w:t>
      </w:r>
      <w:proofErr w:type="gramEnd"/>
      <w:r w:rsidRPr="00336DFD">
        <w:rPr>
          <w:szCs w:val="22"/>
          <w:lang w:eastAsia="en-AU"/>
        </w:rPr>
        <w:t xml:space="preserve"> RIA is able to help inform </w:t>
      </w:r>
      <w:r>
        <w:rPr>
          <w:szCs w:val="22"/>
          <w:lang w:eastAsia="en-AU"/>
        </w:rPr>
        <w:t>the directorate, Minister and Cabinet’s consideration of</w:t>
      </w:r>
      <w:r w:rsidRPr="00336DFD">
        <w:rPr>
          <w:szCs w:val="22"/>
          <w:lang w:eastAsia="en-AU"/>
        </w:rPr>
        <w:t xml:space="preserve"> feasible options to address the policy problem. </w:t>
      </w:r>
    </w:p>
    <w:p w14:paraId="32374FA0" w14:textId="77777777" w:rsidR="00511BF8" w:rsidRDefault="00511BF8" w:rsidP="00511BF8">
      <w:pPr>
        <w:spacing w:beforeLines="60" w:before="144" w:afterLines="60" w:after="144"/>
        <w:rPr>
          <w:szCs w:val="22"/>
          <w:lang w:eastAsia="en-AU"/>
        </w:rPr>
      </w:pPr>
      <w:proofErr w:type="gramStart"/>
      <w:r w:rsidRPr="00336DFD">
        <w:rPr>
          <w:szCs w:val="22"/>
          <w:lang w:eastAsia="en-AU"/>
        </w:rPr>
        <w:t>A</w:t>
      </w:r>
      <w:proofErr w:type="gramEnd"/>
      <w:r w:rsidRPr="00336DFD">
        <w:rPr>
          <w:szCs w:val="22"/>
          <w:lang w:eastAsia="en-AU"/>
        </w:rPr>
        <w:t xml:space="preserve"> RIA is not required in circumstances where an urgent regulatory intervention is required for public safety reasons or to change the sanctions for non-compliance with an existing obligation. A</w:t>
      </w:r>
      <w:r>
        <w:rPr>
          <w:szCs w:val="22"/>
          <w:lang w:eastAsia="en-AU"/>
        </w:rPr>
        <w:t xml:space="preserve">nother circumstance where </w:t>
      </w:r>
      <w:proofErr w:type="gramStart"/>
      <w:r>
        <w:rPr>
          <w:szCs w:val="22"/>
          <w:lang w:eastAsia="en-AU"/>
        </w:rPr>
        <w:t>a</w:t>
      </w:r>
      <w:proofErr w:type="gramEnd"/>
      <w:r w:rsidRPr="00336DFD">
        <w:rPr>
          <w:szCs w:val="22"/>
          <w:lang w:eastAsia="en-AU"/>
        </w:rPr>
        <w:t xml:space="preserve"> RIA is not required </w:t>
      </w:r>
      <w:r>
        <w:rPr>
          <w:szCs w:val="22"/>
          <w:lang w:eastAsia="en-AU"/>
        </w:rPr>
        <w:t xml:space="preserve">is </w:t>
      </w:r>
      <w:r w:rsidRPr="00336DFD">
        <w:rPr>
          <w:szCs w:val="22"/>
          <w:lang w:eastAsia="en-AU"/>
        </w:rPr>
        <w:t>if the matter involves adoption of a national or international standard, or an intergovernmental agreement, where an assessment of the benefits and costs has already been done and is relevant to the ACT.</w:t>
      </w:r>
    </w:p>
    <w:p w14:paraId="55E7FBCC" w14:textId="65D81EB2" w:rsidR="00511BF8" w:rsidRDefault="00511BF8" w:rsidP="00511BF8">
      <w:pPr>
        <w:rPr>
          <w:lang w:eastAsia="en-AU"/>
        </w:rPr>
      </w:pPr>
      <w:r>
        <w:rPr>
          <w:lang w:eastAsia="en-AU"/>
        </w:rPr>
        <w:t xml:space="preserve">The diagram at Figure 1 shows where the RIA process </w:t>
      </w:r>
      <w:r w:rsidRPr="00DE7D28">
        <w:rPr>
          <w:lang w:eastAsia="en-AU"/>
        </w:rPr>
        <w:t xml:space="preserve">sits </w:t>
      </w:r>
      <w:r>
        <w:rPr>
          <w:lang w:eastAsia="en-AU"/>
        </w:rPr>
        <w:t>in</w:t>
      </w:r>
      <w:r w:rsidRPr="00DE7D28">
        <w:rPr>
          <w:lang w:eastAsia="en-AU"/>
        </w:rPr>
        <w:t xml:space="preserve"> the policy development and </w:t>
      </w:r>
      <w:r>
        <w:rPr>
          <w:lang w:eastAsia="en-AU"/>
        </w:rPr>
        <w:t>C</w:t>
      </w:r>
      <w:r w:rsidRPr="00DE7D28">
        <w:rPr>
          <w:lang w:eastAsia="en-AU"/>
        </w:rPr>
        <w:t>abinet process</w:t>
      </w:r>
      <w:r>
        <w:rPr>
          <w:lang w:eastAsia="en-AU"/>
        </w:rPr>
        <w:t xml:space="preserve"> when a problem that potentially requires a regulatory response has been identified. </w:t>
      </w:r>
    </w:p>
    <w:p w14:paraId="24C45F07" w14:textId="0B48751B" w:rsidR="00BB5521" w:rsidRPr="00BB5521" w:rsidRDefault="000A2720" w:rsidP="009266DD">
      <w:pPr>
        <w:spacing w:beforeLines="60" w:before="144" w:afterLines="60" w:after="144"/>
        <w:rPr>
          <w:color w:val="7030A0"/>
          <w:sz w:val="26"/>
        </w:rPr>
      </w:pPr>
      <w:r>
        <w:rPr>
          <w:szCs w:val="22"/>
          <w:lang w:eastAsia="en-AU"/>
        </w:rPr>
        <w:t xml:space="preserve">Under the </w:t>
      </w:r>
      <w:r w:rsidRPr="00F92FC5">
        <w:rPr>
          <w:szCs w:val="22"/>
          <w:lang w:eastAsia="en-AU"/>
        </w:rPr>
        <w:t>Legislation Act</w:t>
      </w:r>
      <w:r>
        <w:rPr>
          <w:szCs w:val="22"/>
          <w:lang w:eastAsia="en-AU"/>
        </w:rPr>
        <w:t xml:space="preserve">, a Minister is required to present a RIS to the Legislative Assembly together with the </w:t>
      </w:r>
      <w:r w:rsidRPr="003A5FF9">
        <w:rPr>
          <w:i/>
          <w:iCs/>
          <w:szCs w:val="22"/>
          <w:lang w:eastAsia="en-AU"/>
        </w:rPr>
        <w:t>subordinate law or disallowable instrument</w:t>
      </w:r>
      <w:r>
        <w:rPr>
          <w:szCs w:val="22"/>
          <w:lang w:eastAsia="en-AU"/>
        </w:rPr>
        <w:t xml:space="preserve"> (through which new regulatory mechanisms are introduced) that is likely to impose appreciable cost</w:t>
      </w:r>
      <w:r w:rsidR="00722F9B">
        <w:rPr>
          <w:szCs w:val="22"/>
          <w:lang w:eastAsia="en-AU"/>
        </w:rPr>
        <w:t>s</w:t>
      </w:r>
      <w:r>
        <w:rPr>
          <w:szCs w:val="22"/>
          <w:lang w:eastAsia="en-AU"/>
        </w:rPr>
        <w:t xml:space="preserve"> on the community, or part of the community.</w:t>
      </w:r>
      <w:r w:rsidR="00BB5521" w:rsidRPr="00BB5521">
        <w:rPr>
          <w:color w:val="7030A0"/>
          <w:sz w:val="26"/>
        </w:rPr>
        <w:t xml:space="preserve"> </w:t>
      </w:r>
      <w:r w:rsidR="002A56F3">
        <w:rPr>
          <w:lang w:eastAsia="en-AU"/>
        </w:rPr>
        <w:t xml:space="preserve">If </w:t>
      </w:r>
      <w:proofErr w:type="gramStart"/>
      <w:r w:rsidR="002A56F3">
        <w:rPr>
          <w:lang w:eastAsia="en-AU"/>
        </w:rPr>
        <w:t>a</w:t>
      </w:r>
      <w:proofErr w:type="gramEnd"/>
      <w:r w:rsidR="002A56F3">
        <w:rPr>
          <w:lang w:eastAsia="en-AU"/>
        </w:rPr>
        <w:t xml:space="preserve"> RIA is not undertaken</w:t>
      </w:r>
      <w:r w:rsidR="00D805F2">
        <w:rPr>
          <w:lang w:eastAsia="en-AU"/>
        </w:rPr>
        <w:t xml:space="preserve"> in such circumstances</w:t>
      </w:r>
      <w:r w:rsidR="002A56F3" w:rsidRPr="0058350F">
        <w:rPr>
          <w:lang w:eastAsia="en-AU"/>
        </w:rPr>
        <w:t xml:space="preserve">, a RIS exemption </w:t>
      </w:r>
      <w:r w:rsidR="002A56F3">
        <w:rPr>
          <w:lang w:eastAsia="en-AU"/>
        </w:rPr>
        <w:t>is required to be notified and tabled in the Assembly</w:t>
      </w:r>
      <w:r w:rsidR="002A56F3" w:rsidRPr="0058350F">
        <w:rPr>
          <w:lang w:eastAsia="en-AU"/>
        </w:rPr>
        <w:t xml:space="preserve"> as a disallowable instrument.</w:t>
      </w:r>
    </w:p>
    <w:p w14:paraId="4C30ACE2" w14:textId="0ED46893" w:rsidR="00A525A5" w:rsidRDefault="004F0D1B" w:rsidP="009266DD">
      <w:pPr>
        <w:spacing w:beforeLines="60" w:before="144" w:afterLines="60" w:after="144"/>
        <w:rPr>
          <w:szCs w:val="22"/>
          <w:lang w:eastAsia="en-AU"/>
        </w:rPr>
      </w:pPr>
      <w:r>
        <w:rPr>
          <w:szCs w:val="22"/>
          <w:lang w:eastAsia="en-AU"/>
        </w:rPr>
        <w:t>It can be challenging to define ‘appreciable cost’ and what constitute</w:t>
      </w:r>
      <w:r w:rsidR="00650666">
        <w:rPr>
          <w:szCs w:val="22"/>
          <w:lang w:eastAsia="en-AU"/>
        </w:rPr>
        <w:t>s</w:t>
      </w:r>
      <w:r>
        <w:rPr>
          <w:szCs w:val="22"/>
          <w:lang w:eastAsia="en-AU"/>
        </w:rPr>
        <w:t xml:space="preserve"> ‘appreciable’ can vary across regulatory proposals.</w:t>
      </w:r>
      <w:r w:rsidR="00A525A5">
        <w:rPr>
          <w:szCs w:val="22"/>
          <w:lang w:eastAsia="en-AU"/>
        </w:rPr>
        <w:t xml:space="preserve"> Policy makers are encouraged to think beyond the usual notions of costs as financial measures and consider more intangible or imprecise variables such as public health</w:t>
      </w:r>
      <w:r w:rsidR="00650666">
        <w:rPr>
          <w:szCs w:val="22"/>
          <w:lang w:eastAsia="en-AU"/>
        </w:rPr>
        <w:t xml:space="preserve"> and the</w:t>
      </w:r>
      <w:r w:rsidR="00A525A5">
        <w:rPr>
          <w:szCs w:val="22"/>
          <w:lang w:eastAsia="en-AU"/>
        </w:rPr>
        <w:t xml:space="preserve"> environment.</w:t>
      </w:r>
    </w:p>
    <w:p w14:paraId="4DA982B9" w14:textId="026538F7" w:rsidR="00701C0C" w:rsidRDefault="00722F9B" w:rsidP="009266DD">
      <w:pPr>
        <w:spacing w:beforeLines="60" w:before="144" w:afterLines="60" w:after="144"/>
        <w:rPr>
          <w:szCs w:val="22"/>
          <w:lang w:eastAsia="en-AU"/>
        </w:rPr>
      </w:pPr>
      <w:r>
        <w:rPr>
          <w:szCs w:val="22"/>
          <w:lang w:eastAsia="en-AU"/>
        </w:rPr>
        <w:t xml:space="preserve">Refer to </w:t>
      </w:r>
      <w:r w:rsidRPr="004D28FF">
        <w:rPr>
          <w:i/>
          <w:iCs/>
          <w:szCs w:val="22"/>
          <w:lang w:eastAsia="en-AU"/>
        </w:rPr>
        <w:t>Appendix C – Cost benefit analysis</w:t>
      </w:r>
      <w:r>
        <w:rPr>
          <w:szCs w:val="22"/>
          <w:lang w:eastAsia="en-AU"/>
        </w:rPr>
        <w:t xml:space="preserve"> for further discussion on potential costs of regulation. The Economic and Regulatory Policy Unit can also provide additional guidance and advice on whether a regulatory proposal would incur appreciable costs to the community, or part of the community. </w:t>
      </w:r>
    </w:p>
    <w:p w14:paraId="49C5F8A9" w14:textId="77777777" w:rsidR="001F5AEC" w:rsidRDefault="001F5AEC">
      <w:pPr>
        <w:spacing w:before="0" w:after="160" w:line="259" w:lineRule="auto"/>
        <w:rPr>
          <w:b/>
          <w:bCs/>
          <w:lang w:eastAsia="en-AU"/>
        </w:rPr>
      </w:pPr>
      <w:r>
        <w:rPr>
          <w:b/>
          <w:bCs/>
          <w:lang w:eastAsia="en-AU"/>
        </w:rPr>
        <w:br w:type="page"/>
      </w:r>
    </w:p>
    <w:p w14:paraId="1F058873" w14:textId="50A0F438" w:rsidR="0069765C" w:rsidRDefault="0069765C" w:rsidP="001220C6">
      <w:pPr>
        <w:rPr>
          <w:b/>
          <w:bCs/>
          <w:lang w:eastAsia="en-AU"/>
        </w:rPr>
      </w:pPr>
      <w:r w:rsidRPr="001F5AEC">
        <w:rPr>
          <w:b/>
          <w:bCs/>
          <w:lang w:eastAsia="en-AU"/>
        </w:rPr>
        <w:lastRenderedPageBreak/>
        <w:t xml:space="preserve">Figure 1: </w:t>
      </w:r>
      <w:r w:rsidR="00806630" w:rsidRPr="001F5AEC">
        <w:rPr>
          <w:b/>
          <w:bCs/>
          <w:lang w:eastAsia="en-AU"/>
        </w:rPr>
        <w:t>Regulatory reform process</w:t>
      </w:r>
    </w:p>
    <w:p w14:paraId="56D7C05B" w14:textId="77777777" w:rsidR="006E1E47" w:rsidRDefault="006E1E47" w:rsidP="001220C6">
      <w:pPr>
        <w:rPr>
          <w:b/>
          <w:bCs/>
          <w:lang w:eastAsia="en-AU"/>
        </w:rPr>
      </w:pPr>
    </w:p>
    <w:p w14:paraId="3CAAF5E4" w14:textId="14E6D636" w:rsidR="006E1E47" w:rsidRPr="006E1E47" w:rsidRDefault="00CA670A" w:rsidP="006E1E47">
      <w:pPr>
        <w:spacing w:before="0" w:after="0" w:line="240" w:lineRule="auto"/>
        <w:rPr>
          <w:rFonts w:ascii="Times New Roman" w:hAnsi="Times New Roman"/>
          <w:sz w:val="24"/>
          <w:szCs w:val="24"/>
          <w:lang w:eastAsia="en-AU"/>
        </w:rPr>
      </w:pPr>
      <w:r>
        <w:rPr>
          <w:rFonts w:ascii="Times New Roman" w:hAnsi="Times New Roman"/>
          <w:noProof/>
          <w:sz w:val="24"/>
          <w:szCs w:val="24"/>
          <w:lang w:eastAsia="en-AU"/>
        </w:rPr>
        <w:drawing>
          <wp:inline distT="0" distB="0" distL="0" distR="0" wp14:anchorId="32BB489B" wp14:editId="48C4AC2C">
            <wp:extent cx="6581670" cy="466141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99636" cy="4674137"/>
                    </a:xfrm>
                    <a:prstGeom prst="rect">
                      <a:avLst/>
                    </a:prstGeom>
                    <a:noFill/>
                  </pic:spPr>
                </pic:pic>
              </a:graphicData>
            </a:graphic>
          </wp:inline>
        </w:drawing>
      </w:r>
    </w:p>
    <w:p w14:paraId="744A74C1" w14:textId="12527BB8" w:rsidR="00806630" w:rsidRDefault="00806630" w:rsidP="00FE44F8">
      <w:pPr>
        <w:rPr>
          <w:lang w:eastAsia="en-AU"/>
        </w:rPr>
      </w:pPr>
    </w:p>
    <w:p w14:paraId="0F06F91A" w14:textId="75565FA3" w:rsidR="00853954" w:rsidRDefault="00853954" w:rsidP="00325F86">
      <w:pPr>
        <w:pStyle w:val="Heading2"/>
        <w:numPr>
          <w:ilvl w:val="0"/>
          <w:numId w:val="17"/>
        </w:numPr>
      </w:pPr>
      <w:bookmarkStart w:id="12" w:name="_Toc175576401"/>
      <w:r>
        <w:t>Preparing a Regulatory Impact Assessment</w:t>
      </w:r>
      <w:bookmarkEnd w:id="12"/>
    </w:p>
    <w:p w14:paraId="66BD8374" w14:textId="0F605DDA" w:rsidR="00701C0C" w:rsidRDefault="00B71982" w:rsidP="009266DD">
      <w:pPr>
        <w:spacing w:beforeLines="60" w:before="144" w:afterLines="60" w:after="144"/>
        <w:rPr>
          <w:szCs w:val="22"/>
          <w:lang w:eastAsia="en-AU"/>
        </w:rPr>
      </w:pPr>
      <w:r>
        <w:rPr>
          <w:szCs w:val="22"/>
          <w:lang w:eastAsia="en-AU"/>
        </w:rPr>
        <w:t xml:space="preserve">This section provides guidance on preparing </w:t>
      </w:r>
      <w:proofErr w:type="gramStart"/>
      <w:r>
        <w:rPr>
          <w:szCs w:val="22"/>
          <w:lang w:eastAsia="en-AU"/>
        </w:rPr>
        <w:t>a</w:t>
      </w:r>
      <w:proofErr w:type="gramEnd"/>
      <w:r>
        <w:rPr>
          <w:szCs w:val="22"/>
          <w:lang w:eastAsia="en-AU"/>
        </w:rPr>
        <w:t xml:space="preserve"> RIA. The RIA should provide objective, evidence-based analysis across all feasible options </w:t>
      </w:r>
      <w:r w:rsidR="00B4582A">
        <w:rPr>
          <w:szCs w:val="22"/>
          <w:lang w:eastAsia="en-AU"/>
        </w:rPr>
        <w:t xml:space="preserve">that may help achieve the government’s policy goals. The recommended option should be the one that generates the highest net benefit to the community </w:t>
      </w:r>
      <w:r w:rsidR="00825293">
        <w:rPr>
          <w:szCs w:val="22"/>
          <w:lang w:eastAsia="en-AU"/>
        </w:rPr>
        <w:t>of all feasible options.</w:t>
      </w:r>
    </w:p>
    <w:p w14:paraId="0A145BCD" w14:textId="2F34C3C9" w:rsidR="00405C80" w:rsidRDefault="00C75BED" w:rsidP="009266DD">
      <w:pPr>
        <w:spacing w:beforeLines="60" w:before="144" w:afterLines="60" w:after="144"/>
        <w:rPr>
          <w:szCs w:val="22"/>
          <w:lang w:eastAsia="en-AU"/>
        </w:rPr>
      </w:pPr>
      <w:r w:rsidRPr="00C75BED">
        <w:rPr>
          <w:szCs w:val="22"/>
          <w:lang w:eastAsia="en-AU"/>
        </w:rPr>
        <w:t xml:space="preserve">There are seven key steps for developing </w:t>
      </w:r>
      <w:proofErr w:type="gramStart"/>
      <w:r>
        <w:rPr>
          <w:szCs w:val="22"/>
          <w:lang w:eastAsia="en-AU"/>
        </w:rPr>
        <w:t>a</w:t>
      </w:r>
      <w:proofErr w:type="gramEnd"/>
      <w:r>
        <w:rPr>
          <w:szCs w:val="22"/>
          <w:lang w:eastAsia="en-AU"/>
        </w:rPr>
        <w:t xml:space="preserve"> RIA. The </w:t>
      </w:r>
      <w:r w:rsidR="00D32F6E">
        <w:rPr>
          <w:szCs w:val="22"/>
          <w:lang w:eastAsia="en-AU"/>
        </w:rPr>
        <w:t xml:space="preserve">table </w:t>
      </w:r>
      <w:r>
        <w:rPr>
          <w:szCs w:val="22"/>
          <w:lang w:eastAsia="en-AU"/>
        </w:rPr>
        <w:t xml:space="preserve">below </w:t>
      </w:r>
      <w:r w:rsidR="00D32F6E">
        <w:rPr>
          <w:szCs w:val="22"/>
          <w:lang w:eastAsia="en-AU"/>
        </w:rPr>
        <w:t>shows</w:t>
      </w:r>
      <w:r>
        <w:rPr>
          <w:szCs w:val="22"/>
          <w:lang w:eastAsia="en-AU"/>
        </w:rPr>
        <w:t xml:space="preserve"> those steps and the </w:t>
      </w:r>
      <w:r w:rsidR="0021438C">
        <w:rPr>
          <w:szCs w:val="22"/>
          <w:lang w:eastAsia="en-AU"/>
        </w:rPr>
        <w:t>key</w:t>
      </w:r>
      <w:r>
        <w:rPr>
          <w:szCs w:val="22"/>
          <w:lang w:eastAsia="en-AU"/>
        </w:rPr>
        <w:t xml:space="preserve"> questions that </w:t>
      </w:r>
      <w:r w:rsidR="007718E2">
        <w:rPr>
          <w:szCs w:val="22"/>
          <w:lang w:eastAsia="en-AU"/>
        </w:rPr>
        <w:t>need</w:t>
      </w:r>
      <w:r>
        <w:rPr>
          <w:szCs w:val="22"/>
          <w:lang w:eastAsia="en-AU"/>
        </w:rPr>
        <w:t xml:space="preserve"> </w:t>
      </w:r>
      <w:r w:rsidR="00796C1E">
        <w:rPr>
          <w:szCs w:val="22"/>
          <w:lang w:eastAsia="en-AU"/>
        </w:rPr>
        <w:t xml:space="preserve">to </w:t>
      </w:r>
      <w:r>
        <w:rPr>
          <w:szCs w:val="22"/>
          <w:lang w:eastAsia="en-AU"/>
        </w:rPr>
        <w:t xml:space="preserve">be </w:t>
      </w:r>
      <w:r w:rsidR="007718E2">
        <w:rPr>
          <w:szCs w:val="22"/>
          <w:lang w:eastAsia="en-AU"/>
        </w:rPr>
        <w:t>addressed</w:t>
      </w:r>
      <w:r w:rsidR="0021438C">
        <w:rPr>
          <w:szCs w:val="22"/>
          <w:lang w:eastAsia="en-AU"/>
        </w:rPr>
        <w:t xml:space="preserve"> for each step</w:t>
      </w:r>
      <w:r w:rsidR="00C87BC8">
        <w:rPr>
          <w:szCs w:val="22"/>
          <w:lang w:eastAsia="en-AU"/>
        </w:rPr>
        <w:t xml:space="preserve">, </w:t>
      </w:r>
      <w:r w:rsidR="00D32F6E">
        <w:rPr>
          <w:szCs w:val="22"/>
          <w:lang w:eastAsia="en-AU"/>
        </w:rPr>
        <w:t>noting</w:t>
      </w:r>
      <w:r w:rsidR="00C87BC8">
        <w:rPr>
          <w:szCs w:val="22"/>
          <w:lang w:eastAsia="en-AU"/>
        </w:rPr>
        <w:t xml:space="preserve"> </w:t>
      </w:r>
      <w:r w:rsidR="00B23BF2">
        <w:rPr>
          <w:szCs w:val="22"/>
          <w:lang w:eastAsia="en-AU"/>
        </w:rPr>
        <w:t xml:space="preserve">stakeholder </w:t>
      </w:r>
      <w:r w:rsidR="00C87BC8">
        <w:rPr>
          <w:szCs w:val="22"/>
          <w:lang w:eastAsia="en-AU"/>
        </w:rPr>
        <w:t xml:space="preserve">consultation </w:t>
      </w:r>
      <w:r w:rsidR="00D32F6E">
        <w:rPr>
          <w:szCs w:val="22"/>
          <w:lang w:eastAsia="en-AU"/>
        </w:rPr>
        <w:t>needs</w:t>
      </w:r>
      <w:r w:rsidR="00C87BC8">
        <w:rPr>
          <w:szCs w:val="22"/>
          <w:lang w:eastAsia="en-AU"/>
        </w:rPr>
        <w:t xml:space="preserve"> to occur throughout </w:t>
      </w:r>
      <w:r w:rsidR="00D32F6E">
        <w:rPr>
          <w:szCs w:val="22"/>
          <w:lang w:eastAsia="en-AU"/>
        </w:rPr>
        <w:t>the RIA</w:t>
      </w:r>
      <w:r w:rsidR="00C87BC8">
        <w:rPr>
          <w:szCs w:val="22"/>
          <w:lang w:eastAsia="en-AU"/>
        </w:rPr>
        <w:t xml:space="preserve"> process</w:t>
      </w:r>
      <w:r w:rsidR="00796C1E">
        <w:rPr>
          <w:szCs w:val="22"/>
          <w:lang w:eastAsia="en-AU"/>
        </w:rPr>
        <w:t xml:space="preserve">. </w:t>
      </w:r>
    </w:p>
    <w:p w14:paraId="1647BB55" w14:textId="77777777" w:rsidR="00405C80" w:rsidRDefault="00405C80">
      <w:pPr>
        <w:spacing w:before="0" w:after="160" w:line="259" w:lineRule="auto"/>
        <w:rPr>
          <w:szCs w:val="22"/>
          <w:lang w:eastAsia="en-AU"/>
        </w:rPr>
      </w:pPr>
      <w:r>
        <w:rPr>
          <w:szCs w:val="22"/>
          <w:lang w:eastAsia="en-AU"/>
        </w:rPr>
        <w:br w:type="page"/>
      </w:r>
    </w:p>
    <w:p w14:paraId="1019E4D4" w14:textId="4E99FBB4" w:rsidR="00F94FC2" w:rsidRPr="004769C0" w:rsidRDefault="004769C0" w:rsidP="009266DD">
      <w:pPr>
        <w:spacing w:beforeLines="60" w:before="144" w:afterLines="60" w:after="144"/>
        <w:rPr>
          <w:b/>
          <w:bCs/>
          <w:szCs w:val="22"/>
          <w:lang w:eastAsia="en-AU"/>
        </w:rPr>
      </w:pPr>
      <w:r w:rsidRPr="004769C0">
        <w:rPr>
          <w:b/>
          <w:bCs/>
          <w:szCs w:val="22"/>
          <w:lang w:eastAsia="en-AU"/>
        </w:rPr>
        <w:lastRenderedPageBreak/>
        <w:t>Table 1: Key steps and questions to answer in a Regulatory Impact Assessment</w:t>
      </w:r>
    </w:p>
    <w:tbl>
      <w:tblPr>
        <w:tblStyle w:val="ARTableFigures"/>
        <w:tblW w:w="9639" w:type="dxa"/>
        <w:tblLayout w:type="fixed"/>
        <w:tblLook w:val="04A0" w:firstRow="1" w:lastRow="0" w:firstColumn="1" w:lastColumn="0" w:noHBand="0" w:noVBand="1"/>
      </w:tblPr>
      <w:tblGrid>
        <w:gridCol w:w="1448"/>
        <w:gridCol w:w="395"/>
        <w:gridCol w:w="2552"/>
        <w:gridCol w:w="5244"/>
      </w:tblGrid>
      <w:tr w:rsidR="0009011D" w14:paraId="173C80FE" w14:textId="77777777" w:rsidTr="00210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dxa"/>
            <w:vAlign w:val="center"/>
          </w:tcPr>
          <w:p w14:paraId="5340F45B" w14:textId="77777777" w:rsidR="0009011D" w:rsidRPr="00B83F53" w:rsidRDefault="0009011D" w:rsidP="00210E24">
            <w:pPr>
              <w:pStyle w:val="TableheadingNormal"/>
              <w:jc w:val="center"/>
            </w:pPr>
          </w:p>
        </w:tc>
        <w:tc>
          <w:tcPr>
            <w:tcW w:w="395" w:type="dxa"/>
          </w:tcPr>
          <w:p w14:paraId="1E3115C3" w14:textId="77777777" w:rsidR="0009011D" w:rsidRDefault="0009011D" w:rsidP="0009011D">
            <w:pPr>
              <w:pStyle w:val="TableheadingNormal"/>
              <w:cnfStyle w:val="100000000000" w:firstRow="1" w:lastRow="0" w:firstColumn="0" w:lastColumn="0" w:oddVBand="0" w:evenVBand="0" w:oddHBand="0" w:evenHBand="0" w:firstRowFirstColumn="0" w:firstRowLastColumn="0" w:lastRowFirstColumn="0" w:lastRowLastColumn="0"/>
            </w:pPr>
          </w:p>
        </w:tc>
        <w:tc>
          <w:tcPr>
            <w:tcW w:w="2552" w:type="dxa"/>
          </w:tcPr>
          <w:p w14:paraId="2699D43F" w14:textId="6BE72987" w:rsidR="0009011D" w:rsidRDefault="0009011D" w:rsidP="00E94B2C">
            <w:pPr>
              <w:pStyle w:val="TableheadingNormal"/>
              <w:cnfStyle w:val="100000000000" w:firstRow="1" w:lastRow="0" w:firstColumn="0" w:lastColumn="0" w:oddVBand="0" w:evenVBand="0" w:oddHBand="0" w:evenHBand="0" w:firstRowFirstColumn="0" w:firstRowLastColumn="0" w:lastRowFirstColumn="0" w:lastRowLastColumn="0"/>
            </w:pPr>
            <w:r>
              <w:t>Steps</w:t>
            </w:r>
          </w:p>
        </w:tc>
        <w:tc>
          <w:tcPr>
            <w:tcW w:w="5244" w:type="dxa"/>
          </w:tcPr>
          <w:p w14:paraId="563F90B0" w14:textId="429861D5" w:rsidR="0009011D" w:rsidRPr="00B83F53" w:rsidRDefault="0009011D" w:rsidP="00E94B2C">
            <w:pPr>
              <w:pStyle w:val="TableheadingNormal"/>
              <w:cnfStyle w:val="100000000000" w:firstRow="1" w:lastRow="0" w:firstColumn="0" w:lastColumn="0" w:oddVBand="0" w:evenVBand="0" w:oddHBand="0" w:evenHBand="0" w:firstRowFirstColumn="0" w:firstRowLastColumn="0" w:lastRowFirstColumn="0" w:lastRowLastColumn="0"/>
            </w:pPr>
            <w:r>
              <w:t>Key questions</w:t>
            </w:r>
          </w:p>
        </w:tc>
      </w:tr>
      <w:tr w:rsidR="0009011D" w14:paraId="0DA2F8BF" w14:textId="77777777" w:rsidTr="00210E2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8" w:type="dxa"/>
            <w:vMerge w:val="restart"/>
            <w:vAlign w:val="center"/>
          </w:tcPr>
          <w:p w14:paraId="42B86DF0" w14:textId="6FF39583" w:rsidR="0009011D" w:rsidRDefault="0009011D" w:rsidP="00210E24">
            <w:pPr>
              <w:pStyle w:val="Tabletext"/>
              <w:jc w:val="center"/>
            </w:pPr>
            <w:r>
              <w:t>Consultation with stakeholders</w:t>
            </w:r>
          </w:p>
        </w:tc>
        <w:tc>
          <w:tcPr>
            <w:tcW w:w="395" w:type="dxa"/>
            <w:vMerge w:val="restart"/>
          </w:tcPr>
          <w:p w14:paraId="4E26F0F1" w14:textId="045A13B1" w:rsidR="0009011D" w:rsidRDefault="001F5AEC" w:rsidP="007212A0">
            <w:pPr>
              <w:pStyle w:val="Tabletext"/>
              <w:cnfStyle w:val="000000100000" w:firstRow="0" w:lastRow="0" w:firstColumn="0" w:lastColumn="0" w:oddVBand="0" w:evenVBand="0" w:oddHBand="1" w:evenHBand="0" w:firstRowFirstColumn="0" w:firstRowLastColumn="0" w:lastRowFirstColumn="0" w:lastRowLastColumn="0"/>
            </w:pPr>
            <w:r>
              <mc:AlternateContent>
                <mc:Choice Requires="wps">
                  <w:drawing>
                    <wp:anchor distT="0" distB="0" distL="114300" distR="114300" simplePos="0" relativeHeight="251658244" behindDoc="0" locked="0" layoutInCell="1" allowOverlap="1" wp14:anchorId="35809A5F" wp14:editId="609D62E4">
                      <wp:simplePos x="0" y="0"/>
                      <wp:positionH relativeFrom="column">
                        <wp:posOffset>-105410</wp:posOffset>
                      </wp:positionH>
                      <wp:positionV relativeFrom="paragraph">
                        <wp:posOffset>-2717165</wp:posOffset>
                      </wp:positionV>
                      <wp:extent cx="118745" cy="2549525"/>
                      <wp:effectExtent l="19050" t="0" r="33655" b="60325"/>
                      <wp:wrapNone/>
                      <wp:docPr id="8" name="Arrow: Down 8"/>
                      <wp:cNvGraphicFramePr/>
                      <a:graphic xmlns:a="http://schemas.openxmlformats.org/drawingml/2006/main">
                        <a:graphicData uri="http://schemas.microsoft.com/office/word/2010/wordprocessingShape">
                          <wps:wsp>
                            <wps:cNvSpPr/>
                            <wps:spPr>
                              <a:xfrm>
                                <a:off x="0" y="0"/>
                                <a:ext cx="118745" cy="2549525"/>
                              </a:xfrm>
                              <a:prstGeom prst="downArrow">
                                <a:avLst>
                                  <a:gd name="adj1" fmla="val 50000"/>
                                  <a:gd name="adj2" fmla="val 15906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B7E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8.3pt;margin-top:-213.95pt;width:9.35pt;height:20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" adj="20000" filled="f" strokecolor="black [3213]" strokeweight="1pt"/>
                  </w:pict>
                </mc:Fallback>
              </mc:AlternateContent>
            </w:r>
          </w:p>
        </w:tc>
        <w:tc>
          <w:tcPr>
            <w:tcW w:w="2552" w:type="dxa"/>
            <w:vAlign w:val="center"/>
          </w:tcPr>
          <w:p w14:paraId="072D44F4" w14:textId="07F035FE" w:rsidR="0009011D"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t>1. Identify the problem</w:t>
            </w:r>
          </w:p>
        </w:tc>
        <w:tc>
          <w:tcPr>
            <w:tcW w:w="5244" w:type="dxa"/>
            <w:vAlign w:val="center"/>
          </w:tcPr>
          <w:p w14:paraId="630291AB" w14:textId="2BAD3F31" w:rsidR="0009011D" w:rsidRPr="00B83F53"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rsidRPr="00833E65">
              <w:t>Why is the Government considering action?</w:t>
            </w:r>
          </w:p>
        </w:tc>
      </w:tr>
      <w:tr w:rsidR="0009011D" w14:paraId="6ABE01AF" w14:textId="77777777" w:rsidTr="00210E24">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48" w:type="dxa"/>
            <w:vMerge/>
          </w:tcPr>
          <w:p w14:paraId="1AF38AC0" w14:textId="77777777" w:rsidR="0009011D" w:rsidRPr="009F59D2" w:rsidRDefault="0009011D" w:rsidP="007212A0">
            <w:pPr>
              <w:pStyle w:val="Tabletext"/>
            </w:pPr>
          </w:p>
        </w:tc>
        <w:tc>
          <w:tcPr>
            <w:tcW w:w="395" w:type="dxa"/>
            <w:vMerge/>
          </w:tcPr>
          <w:p w14:paraId="6E5761B8" w14:textId="77777777" w:rsidR="0009011D" w:rsidRPr="009F59D2" w:rsidRDefault="0009011D" w:rsidP="007212A0">
            <w:pPr>
              <w:pStyle w:val="Tabletext"/>
              <w:cnfStyle w:val="000000010000" w:firstRow="0" w:lastRow="0" w:firstColumn="0" w:lastColumn="0" w:oddVBand="0" w:evenVBand="0" w:oddHBand="0" w:evenHBand="1" w:firstRowFirstColumn="0" w:firstRowLastColumn="0" w:lastRowFirstColumn="0" w:lastRowLastColumn="0"/>
            </w:pPr>
          </w:p>
        </w:tc>
        <w:tc>
          <w:tcPr>
            <w:tcW w:w="2552" w:type="dxa"/>
            <w:vAlign w:val="center"/>
          </w:tcPr>
          <w:p w14:paraId="402D822B" w14:textId="79A91EF1" w:rsidR="0009011D" w:rsidRDefault="0009011D" w:rsidP="00210E24">
            <w:pPr>
              <w:pStyle w:val="Tabletext"/>
              <w:jc w:val="left"/>
              <w:cnfStyle w:val="000000010000" w:firstRow="0" w:lastRow="0" w:firstColumn="0" w:lastColumn="0" w:oddVBand="0" w:evenVBand="0" w:oddHBand="0" w:evenHBand="1" w:firstRowFirstColumn="0" w:firstRowLastColumn="0" w:lastRowFirstColumn="0" w:lastRowLastColumn="0"/>
            </w:pPr>
            <w:r>
              <w:t xml:space="preserve">2. </w:t>
            </w:r>
            <w:r w:rsidRPr="009F59D2">
              <w:t>State the objectives of government intervention</w:t>
            </w:r>
          </w:p>
        </w:tc>
        <w:tc>
          <w:tcPr>
            <w:tcW w:w="5244" w:type="dxa"/>
            <w:vAlign w:val="center"/>
          </w:tcPr>
          <w:p w14:paraId="23A35722" w14:textId="07BBD8E6" w:rsidR="0009011D" w:rsidRPr="00B83F53" w:rsidRDefault="0009011D" w:rsidP="00210E24">
            <w:pPr>
              <w:pStyle w:val="Tabletext"/>
              <w:jc w:val="left"/>
              <w:cnfStyle w:val="000000010000" w:firstRow="0" w:lastRow="0" w:firstColumn="0" w:lastColumn="0" w:oddVBand="0" w:evenVBand="0" w:oddHBand="0" w:evenHBand="1" w:firstRowFirstColumn="0" w:firstRowLastColumn="0" w:lastRowFirstColumn="0" w:lastRowLastColumn="0"/>
            </w:pPr>
            <w:r w:rsidRPr="00833E65">
              <w:t>What outcomes is the Government aiming to achieve</w:t>
            </w:r>
            <w:r>
              <w:t>?</w:t>
            </w:r>
          </w:p>
        </w:tc>
      </w:tr>
      <w:tr w:rsidR="0009011D" w14:paraId="37656553" w14:textId="77777777" w:rsidTr="00210E2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48" w:type="dxa"/>
            <w:vMerge/>
          </w:tcPr>
          <w:p w14:paraId="0E1BC766" w14:textId="77777777" w:rsidR="0009011D" w:rsidRDefault="0009011D" w:rsidP="007212A0">
            <w:pPr>
              <w:pStyle w:val="Tabletext"/>
            </w:pPr>
          </w:p>
        </w:tc>
        <w:tc>
          <w:tcPr>
            <w:tcW w:w="395" w:type="dxa"/>
            <w:vMerge/>
          </w:tcPr>
          <w:p w14:paraId="00D68521" w14:textId="77777777" w:rsidR="0009011D" w:rsidRDefault="0009011D" w:rsidP="007212A0">
            <w:pPr>
              <w:pStyle w:val="Tabletext"/>
              <w:cnfStyle w:val="000000100000" w:firstRow="0" w:lastRow="0" w:firstColumn="0" w:lastColumn="0" w:oddVBand="0" w:evenVBand="0" w:oddHBand="1" w:evenHBand="0" w:firstRowFirstColumn="0" w:firstRowLastColumn="0" w:lastRowFirstColumn="0" w:lastRowLastColumn="0"/>
            </w:pPr>
          </w:p>
        </w:tc>
        <w:tc>
          <w:tcPr>
            <w:tcW w:w="2552" w:type="dxa"/>
            <w:vAlign w:val="center"/>
          </w:tcPr>
          <w:p w14:paraId="165390C9" w14:textId="6653E93E" w:rsidR="0009011D"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t>3. Identity feasible options</w:t>
            </w:r>
          </w:p>
        </w:tc>
        <w:tc>
          <w:tcPr>
            <w:tcW w:w="5244" w:type="dxa"/>
            <w:vAlign w:val="center"/>
          </w:tcPr>
          <w:p w14:paraId="25C69544" w14:textId="3F153E34" w:rsidR="0009011D" w:rsidRPr="00B83F53"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rsidRPr="00833E65">
              <w:t>What are the possible different courses of actions that could be taken?</w:t>
            </w:r>
          </w:p>
        </w:tc>
      </w:tr>
      <w:tr w:rsidR="0009011D" w14:paraId="2D6E89D8" w14:textId="77777777" w:rsidTr="00210E24">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48" w:type="dxa"/>
            <w:vMerge/>
          </w:tcPr>
          <w:p w14:paraId="2CB2A3F5" w14:textId="77777777" w:rsidR="0009011D" w:rsidRPr="00833E65" w:rsidRDefault="0009011D" w:rsidP="007212A0">
            <w:pPr>
              <w:pStyle w:val="Tabletext"/>
            </w:pPr>
          </w:p>
        </w:tc>
        <w:tc>
          <w:tcPr>
            <w:tcW w:w="395" w:type="dxa"/>
            <w:vMerge/>
          </w:tcPr>
          <w:p w14:paraId="545151A2" w14:textId="77777777" w:rsidR="0009011D" w:rsidRPr="00833E65" w:rsidRDefault="0009011D" w:rsidP="007212A0">
            <w:pPr>
              <w:pStyle w:val="Tabletext"/>
              <w:cnfStyle w:val="000000010000" w:firstRow="0" w:lastRow="0" w:firstColumn="0" w:lastColumn="0" w:oddVBand="0" w:evenVBand="0" w:oddHBand="0" w:evenHBand="1" w:firstRowFirstColumn="0" w:firstRowLastColumn="0" w:lastRowFirstColumn="0" w:lastRowLastColumn="0"/>
            </w:pPr>
          </w:p>
        </w:tc>
        <w:tc>
          <w:tcPr>
            <w:tcW w:w="2552" w:type="dxa"/>
            <w:vAlign w:val="center"/>
          </w:tcPr>
          <w:p w14:paraId="47ECEAE2" w14:textId="319F01AE" w:rsidR="0009011D" w:rsidRPr="00B83F53" w:rsidRDefault="0009011D" w:rsidP="00210E24">
            <w:pPr>
              <w:pStyle w:val="Tabletext"/>
              <w:jc w:val="left"/>
              <w:cnfStyle w:val="000000010000" w:firstRow="0" w:lastRow="0" w:firstColumn="0" w:lastColumn="0" w:oddVBand="0" w:evenVBand="0" w:oddHBand="0" w:evenHBand="1" w:firstRowFirstColumn="0" w:firstRowLastColumn="0" w:lastRowFirstColumn="0" w:lastRowLastColumn="0"/>
            </w:pPr>
            <w:r>
              <w:t xml:space="preserve">4. </w:t>
            </w:r>
            <w:r w:rsidRPr="00833E65">
              <w:t>Identify mutual recognition issues</w:t>
            </w:r>
          </w:p>
        </w:tc>
        <w:tc>
          <w:tcPr>
            <w:tcW w:w="5244" w:type="dxa"/>
            <w:vAlign w:val="center"/>
          </w:tcPr>
          <w:p w14:paraId="642736F7" w14:textId="0BB9AC77" w:rsidR="0009011D" w:rsidRPr="00B83F53" w:rsidRDefault="0009011D" w:rsidP="00210E24">
            <w:pPr>
              <w:pStyle w:val="Tabletext"/>
              <w:jc w:val="left"/>
              <w:cnfStyle w:val="000000010000" w:firstRow="0" w:lastRow="0" w:firstColumn="0" w:lastColumn="0" w:oddVBand="0" w:evenVBand="0" w:oddHBand="0" w:evenHBand="1" w:firstRowFirstColumn="0" w:firstRowLastColumn="0" w:lastRowFirstColumn="0" w:lastRowLastColumn="0"/>
            </w:pPr>
            <w:r w:rsidRPr="004D771D">
              <w:t>Is there any legislation prepared by other jurisdictions that may meet ACT requirements?</w:t>
            </w:r>
          </w:p>
        </w:tc>
      </w:tr>
      <w:tr w:rsidR="0009011D" w14:paraId="77F90477" w14:textId="77777777" w:rsidTr="00210E2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48" w:type="dxa"/>
            <w:vMerge/>
          </w:tcPr>
          <w:p w14:paraId="6B112A37" w14:textId="77777777" w:rsidR="0009011D" w:rsidRPr="00833E65" w:rsidRDefault="0009011D" w:rsidP="007212A0">
            <w:pPr>
              <w:pStyle w:val="Tabletext"/>
            </w:pPr>
          </w:p>
        </w:tc>
        <w:tc>
          <w:tcPr>
            <w:tcW w:w="395" w:type="dxa"/>
            <w:vMerge/>
          </w:tcPr>
          <w:p w14:paraId="27A77E5A" w14:textId="77777777" w:rsidR="0009011D" w:rsidRPr="00833E65" w:rsidRDefault="0009011D" w:rsidP="007212A0">
            <w:pPr>
              <w:pStyle w:val="Tabletext"/>
              <w:cnfStyle w:val="000000100000" w:firstRow="0" w:lastRow="0" w:firstColumn="0" w:lastColumn="0" w:oddVBand="0" w:evenVBand="0" w:oddHBand="1" w:evenHBand="0" w:firstRowFirstColumn="0" w:firstRowLastColumn="0" w:lastRowFirstColumn="0" w:lastRowLastColumn="0"/>
            </w:pPr>
          </w:p>
        </w:tc>
        <w:tc>
          <w:tcPr>
            <w:tcW w:w="2552" w:type="dxa"/>
            <w:vAlign w:val="center"/>
          </w:tcPr>
          <w:p w14:paraId="04AAEBC7" w14:textId="316773CE" w:rsidR="0009011D" w:rsidRPr="00B83F53"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t xml:space="preserve">5. </w:t>
            </w:r>
            <w:r w:rsidRPr="00833E65">
              <w:t>Undertake impact analysis</w:t>
            </w:r>
          </w:p>
        </w:tc>
        <w:tc>
          <w:tcPr>
            <w:tcW w:w="5244" w:type="dxa"/>
            <w:vAlign w:val="center"/>
          </w:tcPr>
          <w:p w14:paraId="7BC596B1" w14:textId="7F8D5955" w:rsidR="0009011D" w:rsidRPr="00B83F53"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t>What are the expected impacts of options?</w:t>
            </w:r>
          </w:p>
        </w:tc>
      </w:tr>
      <w:tr w:rsidR="0009011D" w14:paraId="734634F7" w14:textId="77777777" w:rsidTr="00210E24">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48" w:type="dxa"/>
            <w:vMerge/>
          </w:tcPr>
          <w:p w14:paraId="263FD917" w14:textId="77777777" w:rsidR="0009011D" w:rsidRDefault="0009011D" w:rsidP="007212A0">
            <w:pPr>
              <w:pStyle w:val="Tabletext"/>
            </w:pPr>
          </w:p>
        </w:tc>
        <w:tc>
          <w:tcPr>
            <w:tcW w:w="395" w:type="dxa"/>
            <w:vMerge/>
          </w:tcPr>
          <w:p w14:paraId="263B6542" w14:textId="77777777" w:rsidR="0009011D" w:rsidRDefault="0009011D" w:rsidP="007212A0">
            <w:pPr>
              <w:pStyle w:val="Tabletext"/>
              <w:cnfStyle w:val="000000010000" w:firstRow="0" w:lastRow="0" w:firstColumn="0" w:lastColumn="0" w:oddVBand="0" w:evenVBand="0" w:oddHBand="0" w:evenHBand="1" w:firstRowFirstColumn="0" w:firstRowLastColumn="0" w:lastRowFirstColumn="0" w:lastRowLastColumn="0"/>
            </w:pPr>
          </w:p>
        </w:tc>
        <w:tc>
          <w:tcPr>
            <w:tcW w:w="2552" w:type="dxa"/>
            <w:vAlign w:val="center"/>
          </w:tcPr>
          <w:p w14:paraId="272D502E" w14:textId="15FD3696" w:rsidR="0009011D" w:rsidRPr="00B83F53" w:rsidRDefault="0009011D" w:rsidP="00210E24">
            <w:pPr>
              <w:pStyle w:val="Tabletext"/>
              <w:jc w:val="left"/>
              <w:cnfStyle w:val="000000010000" w:firstRow="0" w:lastRow="0" w:firstColumn="0" w:lastColumn="0" w:oddVBand="0" w:evenVBand="0" w:oddHBand="0" w:evenHBand="1" w:firstRowFirstColumn="0" w:firstRowLastColumn="0" w:lastRowFirstColumn="0" w:lastRowLastColumn="0"/>
            </w:pPr>
            <w:r>
              <w:t>6. Recommend an option</w:t>
            </w:r>
          </w:p>
        </w:tc>
        <w:tc>
          <w:tcPr>
            <w:tcW w:w="5244" w:type="dxa"/>
            <w:vAlign w:val="center"/>
          </w:tcPr>
          <w:p w14:paraId="4D05FEE8" w14:textId="435AC909" w:rsidR="0009011D" w:rsidRPr="00B83F53" w:rsidRDefault="0009011D" w:rsidP="00210E24">
            <w:pPr>
              <w:pStyle w:val="Tabletext"/>
              <w:jc w:val="left"/>
              <w:cnfStyle w:val="000000010000" w:firstRow="0" w:lastRow="0" w:firstColumn="0" w:lastColumn="0" w:oddVBand="0" w:evenVBand="0" w:oddHBand="0" w:evenHBand="1" w:firstRowFirstColumn="0" w:firstRowLastColumn="0" w:lastRowFirstColumn="0" w:lastRowLastColumn="0"/>
            </w:pPr>
            <w:r>
              <w:t>What is the preferred option?</w:t>
            </w:r>
          </w:p>
        </w:tc>
      </w:tr>
      <w:tr w:rsidR="0009011D" w14:paraId="5462B2C3" w14:textId="77777777" w:rsidTr="00210E24">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48" w:type="dxa"/>
            <w:vMerge/>
          </w:tcPr>
          <w:p w14:paraId="692EDFEB" w14:textId="77777777" w:rsidR="0009011D" w:rsidRPr="00833E65" w:rsidRDefault="0009011D" w:rsidP="007212A0">
            <w:pPr>
              <w:pStyle w:val="Tabletext"/>
            </w:pPr>
          </w:p>
        </w:tc>
        <w:tc>
          <w:tcPr>
            <w:tcW w:w="395" w:type="dxa"/>
            <w:vMerge/>
          </w:tcPr>
          <w:p w14:paraId="0851C066" w14:textId="77777777" w:rsidR="0009011D" w:rsidRPr="00833E65" w:rsidRDefault="0009011D" w:rsidP="007212A0">
            <w:pPr>
              <w:pStyle w:val="Tabletext"/>
              <w:cnfStyle w:val="000000100000" w:firstRow="0" w:lastRow="0" w:firstColumn="0" w:lastColumn="0" w:oddVBand="0" w:evenVBand="0" w:oddHBand="1" w:evenHBand="0" w:firstRowFirstColumn="0" w:firstRowLastColumn="0" w:lastRowFirstColumn="0" w:lastRowLastColumn="0"/>
            </w:pPr>
          </w:p>
        </w:tc>
        <w:tc>
          <w:tcPr>
            <w:tcW w:w="2552" w:type="dxa"/>
            <w:vAlign w:val="center"/>
          </w:tcPr>
          <w:p w14:paraId="7DD18492" w14:textId="162A6D5A" w:rsidR="0009011D" w:rsidRPr="00B83F53"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t xml:space="preserve">7. </w:t>
            </w:r>
            <w:r w:rsidR="00C50117" w:rsidRPr="00C50117">
              <w:t xml:space="preserve">Post implementation review of regulations  </w:t>
            </w:r>
          </w:p>
        </w:tc>
        <w:tc>
          <w:tcPr>
            <w:tcW w:w="5244" w:type="dxa"/>
            <w:vAlign w:val="center"/>
          </w:tcPr>
          <w:p w14:paraId="3DC3426A" w14:textId="77777777" w:rsidR="0009011D"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t>How will the preferred option be put into place?</w:t>
            </w:r>
          </w:p>
          <w:p w14:paraId="69D7DC48" w14:textId="5B19A69E" w:rsidR="0009011D" w:rsidRPr="00B83F53" w:rsidRDefault="0009011D" w:rsidP="00210E24">
            <w:pPr>
              <w:pStyle w:val="Tabletext"/>
              <w:jc w:val="left"/>
              <w:cnfStyle w:val="000000100000" w:firstRow="0" w:lastRow="0" w:firstColumn="0" w:lastColumn="0" w:oddVBand="0" w:evenVBand="0" w:oddHBand="1" w:evenHBand="0" w:firstRowFirstColumn="0" w:firstRowLastColumn="0" w:lastRowFirstColumn="0" w:lastRowLastColumn="0"/>
            </w:pPr>
            <w:r>
              <w:t>When will the Government evaluate the effectiveness of the preferred option in meeting the objectives?</w:t>
            </w:r>
          </w:p>
        </w:tc>
      </w:tr>
    </w:tbl>
    <w:p w14:paraId="7977E17D" w14:textId="523DC879" w:rsidR="008B0451" w:rsidRPr="00210E24" w:rsidRDefault="008B0451" w:rsidP="00210E24">
      <w:pPr>
        <w:spacing w:beforeLines="60" w:before="144" w:afterLines="60" w:after="144"/>
        <w:rPr>
          <w:rFonts w:ascii="Arial Bold" w:hAnsi="Arial Bold"/>
          <w:bCs/>
          <w:color w:val="808080" w:themeColor="background1" w:themeShade="80"/>
          <w:sz w:val="24"/>
          <w:szCs w:val="26"/>
        </w:rPr>
      </w:pPr>
      <w:bookmarkStart w:id="13" w:name="_Toc175576402"/>
      <w:r w:rsidRPr="00210E24">
        <w:rPr>
          <w:rFonts w:ascii="Arial Bold" w:hAnsi="Arial Bold"/>
          <w:bCs/>
          <w:color w:val="808080" w:themeColor="background1" w:themeShade="80"/>
          <w:sz w:val="24"/>
          <w:szCs w:val="26"/>
        </w:rPr>
        <w:t>3.1 Consultation</w:t>
      </w:r>
      <w:bookmarkEnd w:id="13"/>
      <w:r w:rsidRPr="00210E24">
        <w:rPr>
          <w:rFonts w:ascii="Arial Bold" w:hAnsi="Arial Bold"/>
          <w:bCs/>
          <w:color w:val="808080" w:themeColor="background1" w:themeShade="80"/>
          <w:sz w:val="24"/>
          <w:szCs w:val="26"/>
        </w:rPr>
        <w:t xml:space="preserve"> </w:t>
      </w:r>
    </w:p>
    <w:p w14:paraId="4907C910" w14:textId="4DF61791" w:rsidR="00EC4E6A" w:rsidRPr="00026D8D" w:rsidRDefault="00EC4E6A" w:rsidP="00EC4E6A">
      <w:pPr>
        <w:spacing w:after="0"/>
        <w:rPr>
          <w:b/>
          <w:bCs/>
        </w:rPr>
      </w:pPr>
      <w:r w:rsidRPr="00026D8D">
        <w:rPr>
          <w:b/>
          <w:bCs/>
        </w:rPr>
        <w:t xml:space="preserve">Box 1: </w:t>
      </w:r>
      <w:r w:rsidR="00026D8D" w:rsidRPr="00026D8D">
        <w:rPr>
          <w:b/>
          <w:bCs/>
        </w:rPr>
        <w:t>Questions to consider when undertaking c</w:t>
      </w:r>
      <w:r w:rsidRPr="00026D8D">
        <w:rPr>
          <w:b/>
          <w:bCs/>
        </w:rPr>
        <w:t>onsultation</w:t>
      </w:r>
    </w:p>
    <w:p w14:paraId="5951E20E" w14:textId="5CDA27DC" w:rsidR="00EC4E6A" w:rsidRPr="006140F5" w:rsidRDefault="00EC4E6A" w:rsidP="00EC4E6A">
      <w:pPr>
        <w:pStyle w:val="Boxed1Bullet"/>
        <w:spacing w:before="60"/>
        <w:ind w:left="568" w:hanging="284"/>
      </w:pPr>
      <w:r w:rsidRPr="00EC4E6A">
        <w:t>Who are the potentially affected groups or individuals of the proposals</w:t>
      </w:r>
      <w:r>
        <w:t>?</w:t>
      </w:r>
    </w:p>
    <w:p w14:paraId="736DF843" w14:textId="38381723" w:rsidR="00EC4E6A" w:rsidRDefault="00EC4E6A" w:rsidP="00EC4E6A">
      <w:pPr>
        <w:pStyle w:val="Boxed1Bullet"/>
        <w:spacing w:before="60"/>
        <w:ind w:left="568" w:hanging="284"/>
      </w:pPr>
      <w:r w:rsidRPr="00EC4E6A">
        <w:t>What are the views of the main affected parties</w:t>
      </w:r>
      <w:r>
        <w:t>?</w:t>
      </w:r>
    </w:p>
    <w:p w14:paraId="2BE3892C" w14:textId="4828C944" w:rsidR="00EC4E6A" w:rsidRDefault="00EC4E6A" w:rsidP="00EC4E6A">
      <w:pPr>
        <w:pStyle w:val="Boxed1Bullet"/>
        <w:spacing w:before="60"/>
        <w:ind w:left="568" w:hanging="284"/>
      </w:pPr>
      <w:r w:rsidRPr="00EC4E6A">
        <w:t>Where consultation was limited or not undertaken what were the reasons</w:t>
      </w:r>
    </w:p>
    <w:p w14:paraId="4DA4D090" w14:textId="446A6833" w:rsidR="00EC58C2" w:rsidRDefault="008B0451" w:rsidP="008B0451">
      <w:pPr>
        <w:pStyle w:val="bulletnumbers"/>
        <w:numPr>
          <w:ilvl w:val="0"/>
          <w:numId w:val="0"/>
        </w:numPr>
        <w:spacing w:before="120"/>
        <w:rPr>
          <w:lang w:eastAsia="en-AU"/>
        </w:rPr>
      </w:pPr>
      <w:r>
        <w:rPr>
          <w:lang w:eastAsia="en-AU"/>
        </w:rPr>
        <w:t>Consultation with stakeholders</w:t>
      </w:r>
      <w:r w:rsidR="00916352">
        <w:rPr>
          <w:lang w:eastAsia="en-AU"/>
        </w:rPr>
        <w:t xml:space="preserve"> during </w:t>
      </w:r>
      <w:proofErr w:type="gramStart"/>
      <w:r w:rsidR="00916352">
        <w:rPr>
          <w:lang w:eastAsia="en-AU"/>
        </w:rPr>
        <w:t>a</w:t>
      </w:r>
      <w:proofErr w:type="gramEnd"/>
      <w:r w:rsidR="00916352">
        <w:rPr>
          <w:lang w:eastAsia="en-AU"/>
        </w:rPr>
        <w:t xml:space="preserve"> RIA is likely to greatly assist </w:t>
      </w:r>
      <w:r w:rsidR="002A56F3">
        <w:rPr>
          <w:lang w:eastAsia="en-AU"/>
        </w:rPr>
        <w:t xml:space="preserve">consideration of and </w:t>
      </w:r>
      <w:r w:rsidR="00916352">
        <w:rPr>
          <w:lang w:eastAsia="en-AU"/>
        </w:rPr>
        <w:t>advice to Ministers and Cabinet on the likely costs and benefits of the feasible option and</w:t>
      </w:r>
      <w:r w:rsidR="002A56F3">
        <w:rPr>
          <w:lang w:eastAsia="en-AU"/>
        </w:rPr>
        <w:t xml:space="preserve"> any</w:t>
      </w:r>
      <w:r w:rsidR="00916352">
        <w:rPr>
          <w:lang w:eastAsia="en-AU"/>
        </w:rPr>
        <w:t xml:space="preserve"> implementation issues. </w:t>
      </w:r>
      <w:r w:rsidR="00D02FF9">
        <w:rPr>
          <w:lang w:eastAsia="en-AU"/>
        </w:rPr>
        <w:t>It is also likely, through providing information on how a policy may work in practice,</w:t>
      </w:r>
      <w:r w:rsidR="002A56F3">
        <w:rPr>
          <w:lang w:eastAsia="en-AU"/>
        </w:rPr>
        <w:t xml:space="preserve"> to</w:t>
      </w:r>
      <w:r w:rsidR="00D02FF9">
        <w:rPr>
          <w:lang w:eastAsia="en-AU"/>
        </w:rPr>
        <w:t xml:space="preserve"> provide valuable information to decision makers on the impact of a policy on various parts of the community.</w:t>
      </w:r>
    </w:p>
    <w:p w14:paraId="055FF26B" w14:textId="5998954F" w:rsidR="003B5572" w:rsidRPr="008B0451" w:rsidRDefault="00642481" w:rsidP="008B0451">
      <w:pPr>
        <w:pStyle w:val="bulletnumbers"/>
        <w:numPr>
          <w:ilvl w:val="0"/>
          <w:numId w:val="0"/>
        </w:numPr>
        <w:spacing w:before="120"/>
        <w:rPr>
          <w:lang w:eastAsia="en-AU"/>
        </w:rPr>
      </w:pPr>
      <w:r>
        <w:rPr>
          <w:lang w:eastAsia="en-AU"/>
        </w:rPr>
        <w:t>In addition, s</w:t>
      </w:r>
      <w:r w:rsidR="008B0451" w:rsidRPr="00267D0B">
        <w:rPr>
          <w:lang w:eastAsia="en-AU"/>
        </w:rPr>
        <w:t xml:space="preserve">takeholder consultation can </w:t>
      </w:r>
      <w:r>
        <w:rPr>
          <w:lang w:eastAsia="en-AU"/>
        </w:rPr>
        <w:t>be used to</w:t>
      </w:r>
      <w:r w:rsidR="008B0451" w:rsidRPr="00267D0B">
        <w:rPr>
          <w:lang w:eastAsia="en-AU"/>
        </w:rPr>
        <w:t xml:space="preserve"> collect data and information</w:t>
      </w:r>
      <w:r>
        <w:rPr>
          <w:lang w:eastAsia="en-AU"/>
        </w:rPr>
        <w:t xml:space="preserve"> that is not obtainable from official sources. This would help inform</w:t>
      </w:r>
      <w:r w:rsidR="008B0451" w:rsidRPr="00267D0B">
        <w:rPr>
          <w:lang w:eastAsia="en-AU"/>
        </w:rPr>
        <w:t xml:space="preserve"> the costs </w:t>
      </w:r>
      <w:r>
        <w:rPr>
          <w:lang w:eastAsia="en-AU"/>
        </w:rPr>
        <w:t>or</w:t>
      </w:r>
      <w:r w:rsidR="008B0451" w:rsidRPr="00267D0B">
        <w:rPr>
          <w:lang w:eastAsia="en-AU"/>
        </w:rPr>
        <w:t xml:space="preserve"> benefits for</w:t>
      </w:r>
      <w:r>
        <w:rPr>
          <w:lang w:eastAsia="en-AU"/>
        </w:rPr>
        <w:t xml:space="preserve"> feasible options identified for the regulatory proposal</w:t>
      </w:r>
      <w:r w:rsidR="008B0451" w:rsidRPr="00267D0B">
        <w:rPr>
          <w:lang w:eastAsia="en-AU"/>
        </w:rPr>
        <w:t>.</w:t>
      </w:r>
    </w:p>
    <w:p w14:paraId="695293A5" w14:textId="24FCA65A" w:rsidR="00EC58C2" w:rsidRDefault="00EC58C2" w:rsidP="009266DD">
      <w:pPr>
        <w:spacing w:beforeLines="60" w:before="144" w:afterLines="60" w:after="144"/>
        <w:rPr>
          <w:szCs w:val="22"/>
          <w:lang w:eastAsia="en-AU"/>
        </w:rPr>
      </w:pPr>
      <w:r>
        <w:rPr>
          <w:szCs w:val="22"/>
          <w:lang w:eastAsia="en-AU"/>
        </w:rPr>
        <w:t>Potential stakeholders could include:</w:t>
      </w:r>
    </w:p>
    <w:p w14:paraId="7E113F1F" w14:textId="512E8A7A" w:rsidR="00EC58C2" w:rsidRDefault="00EC58C2" w:rsidP="00EC58C2">
      <w:pPr>
        <w:pStyle w:val="bullet10"/>
        <w:spacing w:before="30" w:after="30"/>
      </w:pPr>
      <w:r>
        <w:t xml:space="preserve">consumer </w:t>
      </w:r>
      <w:proofErr w:type="gramStart"/>
      <w:r>
        <w:t>groups</w:t>
      </w:r>
      <w:r w:rsidR="004727C6">
        <w:t>;</w:t>
      </w:r>
      <w:proofErr w:type="gramEnd"/>
    </w:p>
    <w:p w14:paraId="60B1FBE3" w14:textId="30F47C54" w:rsidR="00EC58C2" w:rsidRDefault="00EC58C2" w:rsidP="00EC58C2">
      <w:pPr>
        <w:pStyle w:val="bullet10"/>
        <w:spacing w:before="30" w:after="30"/>
      </w:pPr>
      <w:r>
        <w:t xml:space="preserve">businesses and service </w:t>
      </w:r>
      <w:proofErr w:type="gramStart"/>
      <w:r>
        <w:t>providers</w:t>
      </w:r>
      <w:r w:rsidR="004727C6">
        <w:t>;</w:t>
      </w:r>
      <w:proofErr w:type="gramEnd"/>
      <w:r>
        <w:t xml:space="preserve"> </w:t>
      </w:r>
    </w:p>
    <w:p w14:paraId="29EDFEFD" w14:textId="244102B8" w:rsidR="00EC58C2" w:rsidRDefault="00EC58C2" w:rsidP="00EC58C2">
      <w:pPr>
        <w:pStyle w:val="bullet10"/>
        <w:spacing w:before="30" w:after="30"/>
      </w:pPr>
      <w:r>
        <w:t xml:space="preserve">peak representative </w:t>
      </w:r>
      <w:proofErr w:type="gramStart"/>
      <w:r>
        <w:t>organisations</w:t>
      </w:r>
      <w:r w:rsidR="004727C6">
        <w:t>;</w:t>
      </w:r>
      <w:proofErr w:type="gramEnd"/>
    </w:p>
    <w:p w14:paraId="715972AE" w14:textId="501FD536" w:rsidR="00EC58C2" w:rsidRDefault="00EC58C2" w:rsidP="00EC58C2">
      <w:pPr>
        <w:pStyle w:val="bullet10"/>
        <w:spacing w:before="30" w:after="30"/>
      </w:pPr>
      <w:r>
        <w:t xml:space="preserve">community support </w:t>
      </w:r>
      <w:proofErr w:type="gramStart"/>
      <w:r>
        <w:t>groups</w:t>
      </w:r>
      <w:r w:rsidR="004727C6">
        <w:t>;</w:t>
      </w:r>
      <w:proofErr w:type="gramEnd"/>
    </w:p>
    <w:p w14:paraId="1FFF7DDF" w14:textId="6E7889F1" w:rsidR="00EC58C2" w:rsidRDefault="00EC58C2" w:rsidP="00EC58C2">
      <w:pPr>
        <w:pStyle w:val="bullet10"/>
        <w:spacing w:before="30" w:after="30"/>
      </w:pPr>
      <w:r>
        <w:lastRenderedPageBreak/>
        <w:t>community members who may be affected by, or interested in the outcome of the decision; and</w:t>
      </w:r>
    </w:p>
    <w:p w14:paraId="2697E7D4" w14:textId="34F53B79" w:rsidR="00EC58C2" w:rsidRPr="00EC58C2" w:rsidRDefault="00EC58C2" w:rsidP="00EC58C2">
      <w:pPr>
        <w:pStyle w:val="bullet10"/>
        <w:spacing w:before="30" w:after="30"/>
      </w:pPr>
      <w:r>
        <w:t xml:space="preserve">other government agencies. </w:t>
      </w:r>
    </w:p>
    <w:p w14:paraId="43553C21" w14:textId="2A62865E" w:rsidR="008F6AA6" w:rsidRDefault="008F6AA6" w:rsidP="009266DD">
      <w:pPr>
        <w:spacing w:beforeLines="60" w:before="144" w:afterLines="60" w:after="144"/>
        <w:rPr>
          <w:szCs w:val="22"/>
          <w:lang w:eastAsia="en-AU"/>
        </w:rPr>
      </w:pPr>
      <w:r>
        <w:rPr>
          <w:szCs w:val="22"/>
          <w:lang w:eastAsia="en-AU"/>
        </w:rPr>
        <w:t>If you are unable to undertake community consultation, please note this in your advice to Ministers and Cabinet.</w:t>
      </w:r>
    </w:p>
    <w:p w14:paraId="760B55A8" w14:textId="7E09B8F9" w:rsidR="008B2084" w:rsidRDefault="008F6AA6" w:rsidP="009266DD">
      <w:pPr>
        <w:spacing w:beforeLines="60" w:before="144" w:afterLines="60" w:after="144"/>
        <w:rPr>
          <w:szCs w:val="22"/>
          <w:lang w:eastAsia="en-AU"/>
        </w:rPr>
      </w:pPr>
      <w:r>
        <w:rPr>
          <w:szCs w:val="22"/>
          <w:lang w:eastAsia="en-AU"/>
        </w:rPr>
        <w:t xml:space="preserve">The </w:t>
      </w:r>
      <w:r w:rsidR="008B2084">
        <w:rPr>
          <w:szCs w:val="22"/>
          <w:lang w:eastAsia="en-AU"/>
        </w:rPr>
        <w:t>Economic and Regulatory Policy Unit in ACT Treasury</w:t>
      </w:r>
      <w:r w:rsidR="000513E3">
        <w:rPr>
          <w:szCs w:val="22"/>
          <w:lang w:eastAsia="en-AU"/>
        </w:rPr>
        <w:t xml:space="preserve"> </w:t>
      </w:r>
      <w:r>
        <w:rPr>
          <w:szCs w:val="22"/>
          <w:lang w:eastAsia="en-AU"/>
        </w:rPr>
        <w:t xml:space="preserve">can assist you in your scoping of whether </w:t>
      </w:r>
      <w:proofErr w:type="gramStart"/>
      <w:r>
        <w:rPr>
          <w:szCs w:val="22"/>
          <w:lang w:eastAsia="en-AU"/>
        </w:rPr>
        <w:t>a</w:t>
      </w:r>
      <w:proofErr w:type="gramEnd"/>
      <w:r>
        <w:rPr>
          <w:szCs w:val="22"/>
          <w:lang w:eastAsia="en-AU"/>
        </w:rPr>
        <w:t xml:space="preserve"> RIA is needed and </w:t>
      </w:r>
      <w:r w:rsidR="00455DC7">
        <w:rPr>
          <w:szCs w:val="22"/>
          <w:lang w:eastAsia="en-AU"/>
        </w:rPr>
        <w:t>approaches to identify</w:t>
      </w:r>
      <w:r>
        <w:rPr>
          <w:szCs w:val="22"/>
          <w:lang w:eastAsia="en-AU"/>
        </w:rPr>
        <w:t xml:space="preserve"> direct and indirect</w:t>
      </w:r>
      <w:r w:rsidR="00455DC7">
        <w:rPr>
          <w:szCs w:val="22"/>
          <w:lang w:eastAsia="en-AU"/>
        </w:rPr>
        <w:t xml:space="preserve"> costs and benefits</w:t>
      </w:r>
      <w:r w:rsidR="002F1EB3">
        <w:rPr>
          <w:szCs w:val="22"/>
          <w:lang w:eastAsia="en-AU"/>
        </w:rPr>
        <w:t xml:space="preserve">. </w:t>
      </w:r>
      <w:r>
        <w:rPr>
          <w:szCs w:val="22"/>
          <w:lang w:eastAsia="en-AU"/>
        </w:rPr>
        <w:t xml:space="preserve">The Unit is also able to help you as you draft </w:t>
      </w:r>
      <w:proofErr w:type="gramStart"/>
      <w:r>
        <w:rPr>
          <w:szCs w:val="22"/>
          <w:lang w:eastAsia="en-AU"/>
        </w:rPr>
        <w:t>a</w:t>
      </w:r>
      <w:proofErr w:type="gramEnd"/>
      <w:r>
        <w:rPr>
          <w:szCs w:val="22"/>
          <w:lang w:eastAsia="en-AU"/>
        </w:rPr>
        <w:t xml:space="preserve"> RIA prior to its circulation to Cabinet subcommittees and Cabinet </w:t>
      </w:r>
      <w:r w:rsidR="000A6056">
        <w:rPr>
          <w:szCs w:val="22"/>
          <w:lang w:eastAsia="en-AU"/>
        </w:rPr>
        <w:t xml:space="preserve">and </w:t>
      </w:r>
      <w:r>
        <w:rPr>
          <w:szCs w:val="22"/>
          <w:lang w:eastAsia="en-AU"/>
        </w:rPr>
        <w:t xml:space="preserve">to provide a sounding board on </w:t>
      </w:r>
      <w:r w:rsidR="000A6056">
        <w:rPr>
          <w:szCs w:val="22"/>
          <w:lang w:eastAsia="en-AU"/>
        </w:rPr>
        <w:t>how issues arising through identification of various options can be weighed and presented.</w:t>
      </w:r>
      <w:r>
        <w:rPr>
          <w:szCs w:val="22"/>
          <w:lang w:eastAsia="en-AU"/>
        </w:rPr>
        <w:t xml:space="preserve"> </w:t>
      </w:r>
    </w:p>
    <w:p w14:paraId="3A2A511E" w14:textId="21DF8450" w:rsidR="0021438C" w:rsidRPr="00210E24" w:rsidRDefault="0021438C" w:rsidP="00210E24">
      <w:pPr>
        <w:spacing w:beforeLines="60" w:before="144" w:afterLines="60" w:after="144"/>
        <w:rPr>
          <w:rFonts w:ascii="Arial Bold" w:hAnsi="Arial Bold"/>
          <w:bCs/>
          <w:color w:val="808080" w:themeColor="background1" w:themeShade="80"/>
          <w:sz w:val="24"/>
          <w:szCs w:val="26"/>
        </w:rPr>
      </w:pPr>
      <w:bookmarkStart w:id="14" w:name="_Toc175576403"/>
      <w:r w:rsidRPr="00210E24">
        <w:rPr>
          <w:rFonts w:ascii="Arial Bold" w:hAnsi="Arial Bold"/>
          <w:bCs/>
          <w:color w:val="808080" w:themeColor="background1" w:themeShade="80"/>
          <w:sz w:val="24"/>
          <w:szCs w:val="26"/>
        </w:rPr>
        <w:t>3.2 Identify the problem</w:t>
      </w:r>
      <w:bookmarkEnd w:id="14"/>
      <w:r w:rsidRPr="00210E24">
        <w:rPr>
          <w:rFonts w:ascii="Arial Bold" w:hAnsi="Arial Bold"/>
          <w:bCs/>
          <w:color w:val="808080" w:themeColor="background1" w:themeShade="80"/>
          <w:sz w:val="24"/>
          <w:szCs w:val="26"/>
        </w:rPr>
        <w:t xml:space="preserve">  </w:t>
      </w:r>
    </w:p>
    <w:p w14:paraId="6BF8C0DD" w14:textId="34ACC9CE" w:rsidR="00026D8D" w:rsidRPr="00026D8D" w:rsidRDefault="00026D8D" w:rsidP="00026D8D">
      <w:pPr>
        <w:spacing w:after="0"/>
        <w:rPr>
          <w:b/>
          <w:bCs/>
        </w:rPr>
      </w:pPr>
      <w:r w:rsidRPr="00026D8D">
        <w:rPr>
          <w:b/>
          <w:bCs/>
        </w:rPr>
        <w:t xml:space="preserve">Box </w:t>
      </w:r>
      <w:r w:rsidR="00546F76">
        <w:rPr>
          <w:b/>
          <w:bCs/>
        </w:rPr>
        <w:t>2</w:t>
      </w:r>
      <w:r w:rsidRPr="00026D8D">
        <w:rPr>
          <w:b/>
          <w:bCs/>
        </w:rPr>
        <w:t xml:space="preserve">: Questions </w:t>
      </w:r>
      <w:r w:rsidR="00250FEA">
        <w:rPr>
          <w:b/>
          <w:bCs/>
        </w:rPr>
        <w:t>to consider when identifying the problem</w:t>
      </w:r>
    </w:p>
    <w:p w14:paraId="0BE33B31" w14:textId="68C07EA8" w:rsidR="00D02FF9" w:rsidRDefault="00D02FF9" w:rsidP="00026D8D">
      <w:pPr>
        <w:pStyle w:val="Boxed1Bullet"/>
        <w:spacing w:before="60"/>
        <w:ind w:left="568" w:hanging="284"/>
      </w:pPr>
      <w:r>
        <w:t>What is the adverse outcome being experienced, or that will be experienced?</w:t>
      </w:r>
    </w:p>
    <w:p w14:paraId="7623F3FD" w14:textId="63055BB6" w:rsidR="00D02FF9" w:rsidRDefault="00D02FF9" w:rsidP="00026D8D">
      <w:pPr>
        <w:pStyle w:val="Boxed1Bullet"/>
        <w:spacing w:before="60"/>
        <w:ind w:left="568" w:hanging="284"/>
      </w:pPr>
      <w:r>
        <w:t>What are the underlying causes of the problem / why does it occur?</w:t>
      </w:r>
    </w:p>
    <w:p w14:paraId="410BCAC8" w14:textId="11BB2899" w:rsidR="00026D8D" w:rsidRPr="006140F5" w:rsidRDefault="00026D8D" w:rsidP="00026D8D">
      <w:pPr>
        <w:pStyle w:val="Boxed1Bullet"/>
        <w:spacing w:before="60"/>
        <w:ind w:left="568" w:hanging="284"/>
      </w:pPr>
      <w:r>
        <w:t xml:space="preserve">What is the </w:t>
      </w:r>
      <w:r w:rsidR="00DC1B6C">
        <w:t xml:space="preserve">nature and magnitude of the </w:t>
      </w:r>
      <w:r>
        <w:t>problem</w:t>
      </w:r>
      <w:r w:rsidR="00D02FF9">
        <w:t>, or harm</w:t>
      </w:r>
      <w:r>
        <w:t xml:space="preserve"> being addressed?</w:t>
      </w:r>
      <w:r w:rsidR="00DC1B6C">
        <w:t xml:space="preserve"> </w:t>
      </w:r>
    </w:p>
    <w:p w14:paraId="2921BC78" w14:textId="23FAFBB1" w:rsidR="006840D9" w:rsidRDefault="006840D9" w:rsidP="00026D8D">
      <w:pPr>
        <w:pStyle w:val="Boxed1Bullet"/>
        <w:spacing w:before="60"/>
        <w:ind w:left="568" w:hanging="284"/>
      </w:pPr>
      <w:r w:rsidRPr="006840D9">
        <w:t>What are the consequences of not taking any action</w:t>
      </w:r>
      <w:r>
        <w:t>?</w:t>
      </w:r>
    </w:p>
    <w:p w14:paraId="7915DB7F" w14:textId="2CAE48ED" w:rsidR="00216763" w:rsidRDefault="00216763" w:rsidP="00026D8D">
      <w:pPr>
        <w:pStyle w:val="Boxed1Bullet"/>
        <w:spacing w:before="60"/>
        <w:ind w:left="568" w:hanging="284"/>
      </w:pPr>
      <w:r>
        <w:t>What are the potential risks</w:t>
      </w:r>
      <w:r w:rsidR="008256FA">
        <w:t xml:space="preserve"> of government action</w:t>
      </w:r>
      <w:r>
        <w:t>?</w:t>
      </w:r>
    </w:p>
    <w:p w14:paraId="0A79FB81" w14:textId="0EF21B90" w:rsidR="00A6289C" w:rsidRDefault="00A6289C" w:rsidP="00026D8D">
      <w:pPr>
        <w:spacing w:beforeLines="60" w:before="144" w:afterLines="60" w:after="144"/>
        <w:rPr>
          <w:i/>
          <w:iCs/>
        </w:rPr>
      </w:pPr>
      <w:r>
        <w:rPr>
          <w:i/>
          <w:iCs/>
        </w:rPr>
        <w:t>A problem well defined is a problem half solved</w:t>
      </w:r>
      <w:r w:rsidR="004B68AC">
        <w:rPr>
          <w:i/>
          <w:iCs/>
        </w:rPr>
        <w:t>.</w:t>
      </w:r>
    </w:p>
    <w:p w14:paraId="77436D47" w14:textId="32028202" w:rsidR="008369AF" w:rsidRDefault="00B85DC0" w:rsidP="00026D8D">
      <w:pPr>
        <w:spacing w:beforeLines="60" w:before="144" w:afterLines="60" w:after="144"/>
      </w:pPr>
      <w:r>
        <w:t>Identification of the problem is the starting point for developing any policy proposals.</w:t>
      </w:r>
      <w:r w:rsidR="008369AF">
        <w:t xml:space="preserve"> It should be the first issue that is explored in the impact assessment, followed by an analysis of feasible options to address that problem.</w:t>
      </w:r>
      <w:r>
        <w:t xml:space="preserve"> </w:t>
      </w:r>
    </w:p>
    <w:p w14:paraId="50B1EF85" w14:textId="6AFC9740" w:rsidR="0021438C" w:rsidRDefault="00B85DC0" w:rsidP="00026D8D">
      <w:pPr>
        <w:spacing w:beforeLines="60" w:before="144" w:afterLines="60" w:after="144"/>
      </w:pPr>
      <w:r>
        <w:t xml:space="preserve">The RIA should clearly specify the nature, </w:t>
      </w:r>
      <w:r w:rsidR="00A25233">
        <w:t>magnitude</w:t>
      </w:r>
      <w:r>
        <w:t xml:space="preserve"> and scope of the problem that needs to be addressed to ensure the appropriate action is taken. </w:t>
      </w:r>
      <w:r w:rsidR="00A25233">
        <w:t>When identifying the</w:t>
      </w:r>
      <w:r w:rsidR="0099072B">
        <w:t xml:space="preserve"> nature and magnitude of the</w:t>
      </w:r>
      <w:r w:rsidR="00A25233">
        <w:t xml:space="preserve"> problem, both empirical evidence and perceptions should be considered. </w:t>
      </w:r>
      <w:r w:rsidR="005F3232">
        <w:t>This will help the Government to understand whether there is a clear and compelling need to regulate.</w:t>
      </w:r>
    </w:p>
    <w:p w14:paraId="55D447A2" w14:textId="0F989B8B" w:rsidR="008E6E71" w:rsidRDefault="00A25233" w:rsidP="00026D8D">
      <w:pPr>
        <w:spacing w:beforeLines="60" w:before="144" w:afterLines="60" w:after="144"/>
        <w:rPr>
          <w:szCs w:val="22"/>
          <w:lang w:eastAsia="en-AU"/>
        </w:rPr>
      </w:pPr>
      <w:r w:rsidRPr="00A25233">
        <w:rPr>
          <w:szCs w:val="22"/>
          <w:lang w:eastAsia="en-AU"/>
        </w:rPr>
        <w:t>As no government action is without direct or indirect costs through shifting resources, the onus is on the agency proposing the action to justify the need for government intervention.</w:t>
      </w:r>
      <w:r w:rsidR="002D3DED">
        <w:rPr>
          <w:szCs w:val="22"/>
          <w:lang w:eastAsia="en-AU"/>
        </w:rPr>
        <w:t xml:space="preserve"> </w:t>
      </w:r>
      <w:r w:rsidR="000A6056">
        <w:rPr>
          <w:szCs w:val="22"/>
          <w:lang w:eastAsia="en-AU"/>
        </w:rPr>
        <w:t>Could</w:t>
      </w:r>
      <w:r w:rsidR="00DB2EDF">
        <w:rPr>
          <w:szCs w:val="22"/>
          <w:lang w:eastAsia="en-AU"/>
        </w:rPr>
        <w:t>,</w:t>
      </w:r>
      <w:r w:rsidR="000A6056">
        <w:rPr>
          <w:szCs w:val="22"/>
          <w:lang w:eastAsia="en-AU"/>
        </w:rPr>
        <w:t xml:space="preserve"> for example, the problem be addressed through maximising existing options under current laws and </w:t>
      </w:r>
      <w:r w:rsidR="004727C6">
        <w:rPr>
          <w:szCs w:val="22"/>
          <w:lang w:eastAsia="en-AU"/>
        </w:rPr>
        <w:t>g</w:t>
      </w:r>
      <w:r w:rsidR="000A6056">
        <w:rPr>
          <w:szCs w:val="22"/>
          <w:lang w:eastAsia="en-AU"/>
        </w:rPr>
        <w:t>overnment policies?</w:t>
      </w:r>
    </w:p>
    <w:p w14:paraId="658BBE57" w14:textId="5CDEAE01" w:rsidR="00C37F72" w:rsidRDefault="000A6056" w:rsidP="00026D8D">
      <w:pPr>
        <w:spacing w:beforeLines="60" w:before="144" w:afterLines="60" w:after="144"/>
        <w:rPr>
          <w:szCs w:val="22"/>
          <w:lang w:eastAsia="en-AU"/>
        </w:rPr>
      </w:pPr>
      <w:r>
        <w:rPr>
          <w:szCs w:val="22"/>
          <w:lang w:eastAsia="en-AU"/>
        </w:rPr>
        <w:t>However, w</w:t>
      </w:r>
      <w:r w:rsidRPr="000A6056">
        <w:rPr>
          <w:szCs w:val="22"/>
          <w:lang w:eastAsia="en-AU"/>
        </w:rPr>
        <w:t>here the market is</w:t>
      </w:r>
      <w:r>
        <w:rPr>
          <w:szCs w:val="22"/>
          <w:lang w:eastAsia="en-AU"/>
        </w:rPr>
        <w:t xml:space="preserve"> </w:t>
      </w:r>
      <w:r w:rsidRPr="000A6056">
        <w:rPr>
          <w:szCs w:val="22"/>
          <w:lang w:eastAsia="en-AU"/>
        </w:rPr>
        <w:t>n</w:t>
      </w:r>
      <w:r>
        <w:rPr>
          <w:szCs w:val="22"/>
          <w:lang w:eastAsia="en-AU"/>
        </w:rPr>
        <w:t>o</w:t>
      </w:r>
      <w:r w:rsidRPr="000A6056">
        <w:rPr>
          <w:szCs w:val="22"/>
          <w:lang w:eastAsia="en-AU"/>
        </w:rPr>
        <w:t>t working to produce the best outcome for society – where there</w:t>
      </w:r>
      <w:r w:rsidR="00FB2BE1">
        <w:rPr>
          <w:szCs w:val="22"/>
          <w:lang w:eastAsia="en-AU"/>
        </w:rPr>
        <w:t xml:space="preserve"> i</w:t>
      </w:r>
      <w:r w:rsidRPr="000A6056">
        <w:rPr>
          <w:szCs w:val="22"/>
          <w:lang w:eastAsia="en-AU"/>
        </w:rPr>
        <w:t>s a market failure</w:t>
      </w:r>
      <w:r>
        <w:rPr>
          <w:szCs w:val="22"/>
          <w:lang w:eastAsia="en-AU"/>
        </w:rPr>
        <w:t xml:space="preserve">, or regulatory </w:t>
      </w:r>
      <w:r w:rsidR="00FB2BE1">
        <w:rPr>
          <w:szCs w:val="22"/>
          <w:lang w:eastAsia="en-AU"/>
        </w:rPr>
        <w:t xml:space="preserve">or institutional </w:t>
      </w:r>
      <w:r>
        <w:rPr>
          <w:szCs w:val="22"/>
          <w:lang w:eastAsia="en-AU"/>
        </w:rPr>
        <w:t>settings cannot bring about that change</w:t>
      </w:r>
      <w:r w:rsidRPr="000A6056">
        <w:rPr>
          <w:szCs w:val="22"/>
          <w:lang w:eastAsia="en-AU"/>
        </w:rPr>
        <w:t xml:space="preserve"> – </w:t>
      </w:r>
      <w:r>
        <w:rPr>
          <w:szCs w:val="22"/>
          <w:lang w:eastAsia="en-AU"/>
        </w:rPr>
        <w:t>the</w:t>
      </w:r>
      <w:r w:rsidR="00D02FF9">
        <w:rPr>
          <w:szCs w:val="22"/>
          <w:lang w:eastAsia="en-AU"/>
        </w:rPr>
        <w:t>n regulation may be beneficial</w:t>
      </w:r>
      <w:r w:rsidRPr="000A6056">
        <w:rPr>
          <w:szCs w:val="22"/>
          <w:lang w:eastAsia="en-AU"/>
        </w:rPr>
        <w:t>.</w:t>
      </w:r>
      <w:r w:rsidR="00FB2BE1">
        <w:rPr>
          <w:szCs w:val="22"/>
          <w:lang w:eastAsia="en-AU"/>
        </w:rPr>
        <w:t xml:space="preserve"> </w:t>
      </w:r>
      <w:r>
        <w:rPr>
          <w:szCs w:val="22"/>
          <w:lang w:eastAsia="en-AU"/>
        </w:rPr>
        <w:t xml:space="preserve">The </w:t>
      </w:r>
      <w:r w:rsidR="007933AC">
        <w:rPr>
          <w:szCs w:val="22"/>
          <w:lang w:eastAsia="en-AU"/>
        </w:rPr>
        <w:t xml:space="preserve">RIA should identify the nature of the failure and its impacts. </w:t>
      </w:r>
    </w:p>
    <w:p w14:paraId="00806E4D" w14:textId="63DBEE2A" w:rsidR="00556D13" w:rsidRPr="00C37F72" w:rsidRDefault="008E6E71" w:rsidP="00C37F72">
      <w:pPr>
        <w:spacing w:beforeLines="60" w:before="144" w:after="0"/>
        <w:rPr>
          <w:b/>
          <w:bCs/>
          <w:szCs w:val="22"/>
          <w:lang w:eastAsia="en-AU"/>
        </w:rPr>
      </w:pPr>
      <w:r w:rsidRPr="00C37F72">
        <w:rPr>
          <w:b/>
          <w:bCs/>
          <w:szCs w:val="22"/>
          <w:lang w:eastAsia="en-AU"/>
        </w:rPr>
        <w:t xml:space="preserve">Box 3: </w:t>
      </w:r>
      <w:r w:rsidR="0049260E" w:rsidRPr="00C37F72">
        <w:rPr>
          <w:b/>
          <w:bCs/>
          <w:szCs w:val="22"/>
          <w:lang w:eastAsia="en-AU"/>
        </w:rPr>
        <w:t>Reasons for government intervention</w:t>
      </w:r>
    </w:p>
    <w:p w14:paraId="3A773FEF" w14:textId="3A82B24F" w:rsidR="0049260E" w:rsidRPr="00C37F72" w:rsidRDefault="0049260E" w:rsidP="00C37F72">
      <w:pPr>
        <w:pStyle w:val="Boxed1Text"/>
        <w:spacing w:before="60"/>
        <w:rPr>
          <w:b/>
          <w:bCs/>
          <w:lang w:eastAsia="en-AU"/>
        </w:rPr>
      </w:pPr>
      <w:r w:rsidRPr="00C37F72">
        <w:rPr>
          <w:b/>
          <w:bCs/>
          <w:lang w:eastAsia="en-AU"/>
        </w:rPr>
        <w:t>Market failure</w:t>
      </w:r>
    </w:p>
    <w:p w14:paraId="281B717E" w14:textId="1D48763E" w:rsidR="0049260E" w:rsidRDefault="00C37F72" w:rsidP="008E223B">
      <w:pPr>
        <w:pStyle w:val="Boxed1Text"/>
      </w:pPr>
      <w:r w:rsidRPr="00C37F72">
        <w:rPr>
          <w:lang w:eastAsia="en-AU"/>
        </w:rPr>
        <w:t xml:space="preserve">While open and unrestricted competition in markets is generally regarded as the most efficient mechanism for allocating resources, the nature of some goods and services prevents markets from attaining optimal economic and social outcomes for the community. The resulting market failure </w:t>
      </w:r>
      <w:r w:rsidR="006A2713">
        <w:rPr>
          <w:lang w:eastAsia="en-AU"/>
        </w:rPr>
        <w:t xml:space="preserve">can </w:t>
      </w:r>
      <w:r w:rsidR="006A2713">
        <w:rPr>
          <w:lang w:eastAsia="en-AU"/>
        </w:rPr>
        <w:lastRenderedPageBreak/>
        <w:t xml:space="preserve">indicate the desirability of </w:t>
      </w:r>
      <w:r w:rsidRPr="00C37F72">
        <w:rPr>
          <w:lang w:eastAsia="en-AU"/>
        </w:rPr>
        <w:t>government intervention. Market failure often arises in the presence of one or more of the following:</w:t>
      </w:r>
    </w:p>
    <w:p w14:paraId="6FF7C215" w14:textId="5C962EBC" w:rsidR="00C37F72" w:rsidRDefault="008E223B" w:rsidP="0049260E">
      <w:pPr>
        <w:pStyle w:val="Boxed1Bullet"/>
        <w:spacing w:before="60"/>
        <w:ind w:left="568" w:hanging="284"/>
      </w:pPr>
      <w:r>
        <w:t xml:space="preserve">natural monopolies or abuse of market </w:t>
      </w:r>
      <w:proofErr w:type="gramStart"/>
      <w:r>
        <w:t>power;</w:t>
      </w:r>
      <w:proofErr w:type="gramEnd"/>
    </w:p>
    <w:p w14:paraId="2806C93C" w14:textId="088BCF8C" w:rsidR="008E223B" w:rsidRDefault="008E223B" w:rsidP="0049260E">
      <w:pPr>
        <w:pStyle w:val="Boxed1Bullet"/>
        <w:spacing w:before="60"/>
        <w:ind w:left="568" w:hanging="284"/>
      </w:pPr>
      <w:proofErr w:type="gramStart"/>
      <w:r>
        <w:t>externalities;</w:t>
      </w:r>
      <w:proofErr w:type="gramEnd"/>
    </w:p>
    <w:p w14:paraId="053D8EE4" w14:textId="6722862C" w:rsidR="008E223B" w:rsidRDefault="008E223B" w:rsidP="0049260E">
      <w:pPr>
        <w:pStyle w:val="Boxed1Bullet"/>
        <w:spacing w:before="60"/>
        <w:ind w:left="568" w:hanging="284"/>
      </w:pPr>
      <w:r>
        <w:t>public goods; and</w:t>
      </w:r>
    </w:p>
    <w:p w14:paraId="2F4747B1" w14:textId="4347C1A1" w:rsidR="008E223B" w:rsidRDefault="008E223B" w:rsidP="0049260E">
      <w:pPr>
        <w:pStyle w:val="Boxed1Bullet"/>
        <w:spacing w:before="60"/>
        <w:ind w:left="568" w:hanging="284"/>
      </w:pPr>
      <w:r>
        <w:t>information asymmetries.</w:t>
      </w:r>
    </w:p>
    <w:p w14:paraId="54C02467" w14:textId="55CED506" w:rsidR="009757FD" w:rsidRDefault="009757FD" w:rsidP="009757FD">
      <w:pPr>
        <w:pStyle w:val="Boxed1Bullet"/>
        <w:numPr>
          <w:ilvl w:val="0"/>
          <w:numId w:val="0"/>
        </w:numPr>
        <w:spacing w:before="60"/>
        <w:ind w:left="567" w:hanging="283"/>
      </w:pPr>
      <w:r>
        <w:t xml:space="preserve">A brief explanation of each failure </w:t>
      </w:r>
      <w:r w:rsidR="00C55523">
        <w:t xml:space="preserve">is provided at </w:t>
      </w:r>
      <w:r w:rsidR="00C55523" w:rsidRPr="0098456F">
        <w:rPr>
          <w:i/>
          <w:iCs/>
        </w:rPr>
        <w:t>Appendix A: Types of market failure</w:t>
      </w:r>
      <w:r w:rsidR="0098456F">
        <w:t>.</w:t>
      </w:r>
    </w:p>
    <w:p w14:paraId="341B5057" w14:textId="514C3A99" w:rsidR="004619BE" w:rsidRPr="004619BE" w:rsidRDefault="004619BE" w:rsidP="004619BE">
      <w:pPr>
        <w:pStyle w:val="Boxed1Bullet"/>
        <w:numPr>
          <w:ilvl w:val="0"/>
          <w:numId w:val="0"/>
        </w:numPr>
        <w:ind w:left="567" w:hanging="283"/>
        <w:rPr>
          <w:b/>
          <w:bCs/>
          <w:lang w:eastAsia="en-AU"/>
        </w:rPr>
      </w:pPr>
      <w:r w:rsidRPr="004619BE">
        <w:rPr>
          <w:b/>
          <w:bCs/>
          <w:lang w:eastAsia="en-AU"/>
        </w:rPr>
        <w:t>Regulatory failure</w:t>
      </w:r>
    </w:p>
    <w:p w14:paraId="2EF8F120" w14:textId="77777777" w:rsidR="004619BE" w:rsidRDefault="004619BE" w:rsidP="004619BE">
      <w:pPr>
        <w:pStyle w:val="Boxed1Bullet"/>
        <w:numPr>
          <w:ilvl w:val="0"/>
          <w:numId w:val="0"/>
        </w:numPr>
        <w:ind w:left="284"/>
        <w:rPr>
          <w:lang w:eastAsia="en-AU"/>
        </w:rPr>
      </w:pPr>
      <w:r>
        <w:rPr>
          <w:lang w:eastAsia="en-AU"/>
        </w:rPr>
        <w:t>Regulatory failure arises when enforcement and legal frameworks are not delivering the intended outcomes in the community’s interest. This type of failure can be attributed to:</w:t>
      </w:r>
    </w:p>
    <w:p w14:paraId="1956BE74" w14:textId="0F4828BE" w:rsidR="004619BE" w:rsidRDefault="004619BE" w:rsidP="004619BE">
      <w:pPr>
        <w:pStyle w:val="Boxed1Bullet"/>
        <w:spacing w:before="60"/>
        <w:ind w:left="568" w:hanging="284"/>
      </w:pPr>
      <w:r w:rsidRPr="004619BE">
        <w:t xml:space="preserve">the regulations not being effective in addressing the problem they were seeking to </w:t>
      </w:r>
      <w:proofErr w:type="gramStart"/>
      <w:r w:rsidRPr="004619BE">
        <w:t>address</w:t>
      </w:r>
      <w:r>
        <w:t>;</w:t>
      </w:r>
      <w:proofErr w:type="gramEnd"/>
    </w:p>
    <w:p w14:paraId="11040C7B" w14:textId="34EACB9D" w:rsidR="006A2713" w:rsidRDefault="006A2713" w:rsidP="004619BE">
      <w:pPr>
        <w:pStyle w:val="Boxed1Bullet"/>
        <w:spacing w:before="60"/>
        <w:ind w:left="568" w:hanging="284"/>
      </w:pPr>
      <w:r>
        <w:t xml:space="preserve">the regulation having unintended consequences or </w:t>
      </w:r>
      <w:proofErr w:type="gramStart"/>
      <w:r>
        <w:t>costs;</w:t>
      </w:r>
      <w:proofErr w:type="gramEnd"/>
    </w:p>
    <w:p w14:paraId="2FD51CD1" w14:textId="04FF88AA" w:rsidR="004619BE" w:rsidRDefault="004619BE" w:rsidP="004619BE">
      <w:pPr>
        <w:pStyle w:val="Boxed1Bullet"/>
        <w:spacing w:before="60"/>
        <w:ind w:left="568" w:hanging="284"/>
      </w:pPr>
      <w:r w:rsidRPr="004619BE">
        <w:t>inadequate resources for enforcement</w:t>
      </w:r>
      <w:r>
        <w:t>; or</w:t>
      </w:r>
    </w:p>
    <w:p w14:paraId="1DBF4C01" w14:textId="0B277A80" w:rsidR="004619BE" w:rsidRDefault="004619BE" w:rsidP="004619BE">
      <w:pPr>
        <w:pStyle w:val="Boxed1Bullet"/>
        <w:spacing w:before="60"/>
        <w:ind w:left="568" w:hanging="284"/>
      </w:pPr>
      <w:r w:rsidRPr="004619BE">
        <w:t>a lack of consistency and equity in the regulation</w:t>
      </w:r>
      <w:r>
        <w:t>.</w:t>
      </w:r>
    </w:p>
    <w:p w14:paraId="1A0D3304" w14:textId="72CA2C22" w:rsidR="00E819D6" w:rsidRPr="004619BE" w:rsidRDefault="00E819D6" w:rsidP="00E819D6">
      <w:pPr>
        <w:pStyle w:val="Boxed1Bullet"/>
        <w:numPr>
          <w:ilvl w:val="0"/>
          <w:numId w:val="0"/>
        </w:numPr>
        <w:ind w:left="567" w:hanging="283"/>
        <w:rPr>
          <w:b/>
          <w:bCs/>
          <w:lang w:eastAsia="en-AU"/>
        </w:rPr>
      </w:pPr>
      <w:r>
        <w:rPr>
          <w:b/>
          <w:bCs/>
          <w:lang w:eastAsia="en-AU"/>
        </w:rPr>
        <w:t>Institutional</w:t>
      </w:r>
      <w:r w:rsidRPr="004619BE">
        <w:rPr>
          <w:b/>
          <w:bCs/>
          <w:lang w:eastAsia="en-AU"/>
        </w:rPr>
        <w:t xml:space="preserve"> failure</w:t>
      </w:r>
    </w:p>
    <w:p w14:paraId="076AD97A" w14:textId="5CE56966" w:rsidR="00E819D6" w:rsidRDefault="00C80CF2" w:rsidP="00E819D6">
      <w:pPr>
        <w:pStyle w:val="Boxed1Bullet"/>
        <w:numPr>
          <w:ilvl w:val="0"/>
          <w:numId w:val="0"/>
        </w:numPr>
        <w:ind w:left="284"/>
        <w:rPr>
          <w:lang w:eastAsia="en-AU"/>
        </w:rPr>
      </w:pPr>
      <w:r w:rsidRPr="00C80CF2">
        <w:rPr>
          <w:lang w:eastAsia="en-AU"/>
        </w:rPr>
        <w:t>Institutional failure arises when the processes and structures relating to the enforcement of laws do not operate efficiently or effectively. This type of failure is demonstrated particularly through</w:t>
      </w:r>
      <w:r w:rsidR="00E819D6">
        <w:rPr>
          <w:lang w:eastAsia="en-AU"/>
        </w:rPr>
        <w:t>:</w:t>
      </w:r>
    </w:p>
    <w:p w14:paraId="0A911F42" w14:textId="6808BE0E" w:rsidR="00C80CF2" w:rsidRDefault="00C80CF2" w:rsidP="00C80CF2">
      <w:pPr>
        <w:pStyle w:val="Boxed1Bullet"/>
        <w:spacing w:before="60"/>
        <w:ind w:left="568" w:hanging="284"/>
      </w:pPr>
      <w:r w:rsidRPr="00C80CF2">
        <w:t xml:space="preserve">obstacles experienced by consumers relying on the court </w:t>
      </w:r>
      <w:proofErr w:type="gramStart"/>
      <w:r w:rsidRPr="00C80CF2">
        <w:t>system</w:t>
      </w:r>
      <w:r>
        <w:t>;</w:t>
      </w:r>
      <w:proofErr w:type="gramEnd"/>
    </w:p>
    <w:p w14:paraId="7C68D282" w14:textId="1CFAEFB3" w:rsidR="00C80CF2" w:rsidRDefault="00C80CF2" w:rsidP="00C80CF2">
      <w:pPr>
        <w:pStyle w:val="Boxed1Bullet"/>
        <w:spacing w:before="60"/>
        <w:ind w:left="568" w:hanging="284"/>
      </w:pPr>
      <w:r w:rsidRPr="00C80CF2">
        <w:t xml:space="preserve">inadequate and uncoordinated enforcement effort facilitating unfair competition within </w:t>
      </w:r>
      <w:proofErr w:type="gramStart"/>
      <w:r w:rsidRPr="00C80CF2">
        <w:t>industry</w:t>
      </w:r>
      <w:r>
        <w:t>;</w:t>
      </w:r>
      <w:proofErr w:type="gramEnd"/>
    </w:p>
    <w:p w14:paraId="5C60B385" w14:textId="1631CD9B" w:rsidR="00C80CF2" w:rsidRDefault="00C80CF2" w:rsidP="00C80CF2">
      <w:pPr>
        <w:pStyle w:val="Boxed1Bullet"/>
        <w:spacing w:before="60"/>
        <w:ind w:left="568" w:hanging="284"/>
      </w:pPr>
      <w:r w:rsidRPr="00C80CF2">
        <w:t xml:space="preserve">lack of clarity and consistency in agency roles and responsibilities, resulting in confusion for industry and </w:t>
      </w:r>
      <w:proofErr w:type="gramStart"/>
      <w:r w:rsidRPr="00C80CF2">
        <w:t>consumers</w:t>
      </w:r>
      <w:r>
        <w:t>;</w:t>
      </w:r>
      <w:proofErr w:type="gramEnd"/>
      <w:r>
        <w:t xml:space="preserve"> </w:t>
      </w:r>
    </w:p>
    <w:p w14:paraId="2B41CBBD" w14:textId="77777777" w:rsidR="00C80CF2" w:rsidRDefault="00C80CF2" w:rsidP="00C80CF2">
      <w:pPr>
        <w:pStyle w:val="Boxed1Bullet"/>
        <w:spacing w:before="60"/>
        <w:ind w:left="568" w:hanging="284"/>
      </w:pPr>
      <w:r w:rsidRPr="00C80CF2">
        <w:t>overlap and duplication of agency responsibility with no co-ordination between agencies</w:t>
      </w:r>
      <w:r>
        <w:t>; and</w:t>
      </w:r>
    </w:p>
    <w:p w14:paraId="43242ACA" w14:textId="4BEA0CC7" w:rsidR="00E819D6" w:rsidRDefault="00C80CF2" w:rsidP="00D15F7B">
      <w:pPr>
        <w:pStyle w:val="Boxed1Bullet"/>
        <w:spacing w:before="60"/>
        <w:ind w:left="568" w:hanging="284"/>
      </w:pPr>
      <w:r w:rsidRPr="00C80CF2">
        <w:t>lack of resources or inadequate co-ordination of enforcement in a manner that best makes use of the available resources</w:t>
      </w:r>
      <w:r>
        <w:t>.</w:t>
      </w:r>
    </w:p>
    <w:p w14:paraId="779F616E" w14:textId="7A7DD797" w:rsidR="00B85DC0" w:rsidRDefault="00B85DC0" w:rsidP="00B85DC0">
      <w:pPr>
        <w:pStyle w:val="bulletnumbers"/>
        <w:numPr>
          <w:ilvl w:val="0"/>
          <w:numId w:val="0"/>
        </w:numPr>
        <w:spacing w:before="120"/>
        <w:rPr>
          <w:lang w:eastAsia="en-AU"/>
        </w:rPr>
      </w:pPr>
      <w:bookmarkStart w:id="15" w:name="_Hlk175321832"/>
      <w:r w:rsidRPr="008B2084">
        <w:rPr>
          <w:lang w:eastAsia="en-AU"/>
        </w:rPr>
        <w:t xml:space="preserve">Many regulatory interventions by the ACT Government reflect election </w:t>
      </w:r>
      <w:r w:rsidR="00406ABD">
        <w:rPr>
          <w:lang w:eastAsia="en-AU"/>
        </w:rPr>
        <w:t>commitments</w:t>
      </w:r>
      <w:r w:rsidR="00263A8F">
        <w:rPr>
          <w:lang w:eastAsia="en-AU"/>
        </w:rPr>
        <w:t xml:space="preserve">, </w:t>
      </w:r>
      <w:r w:rsidRPr="008B2084">
        <w:rPr>
          <w:lang w:eastAsia="en-AU"/>
        </w:rPr>
        <w:t>where the Government has publicly committed to one policy approach. In this instance</w:t>
      </w:r>
      <w:bookmarkStart w:id="16" w:name="_Hlk175322637"/>
      <w:r w:rsidRPr="008B2084">
        <w:rPr>
          <w:lang w:eastAsia="en-AU"/>
        </w:rPr>
        <w:t xml:space="preserve">, there is no need to explore the threshold issue of whether </w:t>
      </w:r>
      <w:r w:rsidR="004727C6">
        <w:rPr>
          <w:lang w:eastAsia="en-AU"/>
        </w:rPr>
        <w:t>g</w:t>
      </w:r>
      <w:r w:rsidRPr="008B2084">
        <w:rPr>
          <w:lang w:eastAsia="en-AU"/>
        </w:rPr>
        <w:t>overnment intervention is required</w:t>
      </w:r>
      <w:bookmarkEnd w:id="16"/>
      <w:r w:rsidRPr="008B2084">
        <w:rPr>
          <w:lang w:eastAsia="en-AU"/>
        </w:rPr>
        <w:t>. Rather, the RIA can focus on the different costs and benefits of the feasible options to achieve the Government’s commitment</w:t>
      </w:r>
      <w:bookmarkEnd w:id="15"/>
      <w:r w:rsidRPr="008B2084">
        <w:rPr>
          <w:lang w:eastAsia="en-AU"/>
        </w:rPr>
        <w:t>.</w:t>
      </w:r>
    </w:p>
    <w:p w14:paraId="06F6FBC3" w14:textId="30AE0587" w:rsidR="00C66711" w:rsidRPr="00783FB8" w:rsidRDefault="00C66711" w:rsidP="00210E24">
      <w:pPr>
        <w:spacing w:beforeLines="60" w:before="144" w:afterLines="60" w:after="144"/>
      </w:pPr>
      <w:bookmarkStart w:id="17" w:name="_Toc175576404"/>
      <w:r w:rsidRPr="00210E24">
        <w:rPr>
          <w:rFonts w:ascii="Arial Bold" w:hAnsi="Arial Bold"/>
          <w:bCs/>
          <w:color w:val="808080" w:themeColor="background1" w:themeShade="80"/>
          <w:sz w:val="24"/>
          <w:szCs w:val="26"/>
        </w:rPr>
        <w:t>3.</w:t>
      </w:r>
      <w:r w:rsidR="00971890" w:rsidRPr="00210E24">
        <w:rPr>
          <w:rFonts w:ascii="Arial Bold" w:hAnsi="Arial Bold"/>
          <w:bCs/>
          <w:color w:val="808080" w:themeColor="background1" w:themeShade="80"/>
          <w:sz w:val="24"/>
          <w:szCs w:val="26"/>
        </w:rPr>
        <w:t>3</w:t>
      </w:r>
      <w:r w:rsidRPr="00210E24">
        <w:rPr>
          <w:rFonts w:ascii="Arial Bold" w:hAnsi="Arial Bold"/>
          <w:bCs/>
          <w:color w:val="808080" w:themeColor="background1" w:themeShade="80"/>
          <w:sz w:val="24"/>
          <w:szCs w:val="26"/>
        </w:rPr>
        <w:t xml:space="preserve"> State the objectives of government intervention</w:t>
      </w:r>
      <w:bookmarkEnd w:id="17"/>
      <w:r w:rsidRPr="00210E24">
        <w:rPr>
          <w:rFonts w:ascii="Arial Bold" w:hAnsi="Arial Bold"/>
          <w:bCs/>
          <w:color w:val="808080" w:themeColor="background1" w:themeShade="80"/>
          <w:sz w:val="24"/>
          <w:szCs w:val="26"/>
        </w:rPr>
        <w:t xml:space="preserve">  </w:t>
      </w:r>
    </w:p>
    <w:p w14:paraId="27967786" w14:textId="21341A7A" w:rsidR="00C66711" w:rsidRPr="00026D8D" w:rsidRDefault="00C66711" w:rsidP="00C66711">
      <w:pPr>
        <w:spacing w:after="0"/>
        <w:rPr>
          <w:b/>
          <w:bCs/>
        </w:rPr>
      </w:pPr>
      <w:r w:rsidRPr="00026D8D">
        <w:rPr>
          <w:b/>
          <w:bCs/>
        </w:rPr>
        <w:t xml:space="preserve">Box </w:t>
      </w:r>
      <w:r>
        <w:rPr>
          <w:b/>
          <w:bCs/>
        </w:rPr>
        <w:t>4</w:t>
      </w:r>
      <w:r w:rsidRPr="00026D8D">
        <w:rPr>
          <w:b/>
          <w:bCs/>
        </w:rPr>
        <w:t xml:space="preserve">: Questions </w:t>
      </w:r>
      <w:r w:rsidR="00250FEA">
        <w:rPr>
          <w:b/>
          <w:bCs/>
        </w:rPr>
        <w:t>to consider when stating the</w:t>
      </w:r>
      <w:r w:rsidR="00286EAD">
        <w:rPr>
          <w:b/>
          <w:bCs/>
        </w:rPr>
        <w:t xml:space="preserve"> objectives of government intervention</w:t>
      </w:r>
    </w:p>
    <w:p w14:paraId="52740B52" w14:textId="1036238A" w:rsidR="00C66711" w:rsidRPr="00833E65" w:rsidRDefault="00286EAD" w:rsidP="00C66711">
      <w:pPr>
        <w:pStyle w:val="Boxed1Bullet"/>
        <w:spacing w:before="60"/>
        <w:ind w:left="568" w:hanging="284"/>
      </w:pPr>
      <w:r w:rsidRPr="00833E65">
        <w:t>What outcomes is the Government aiming to achieve</w:t>
      </w:r>
      <w:r w:rsidR="00C66711" w:rsidRPr="00833E65">
        <w:t>?</w:t>
      </w:r>
    </w:p>
    <w:p w14:paraId="48E3391B" w14:textId="678F6119" w:rsidR="00C66711" w:rsidRDefault="00286EAD" w:rsidP="00C66711">
      <w:pPr>
        <w:pStyle w:val="Boxed1Bullet"/>
        <w:spacing w:before="60"/>
        <w:ind w:left="568" w:hanging="284"/>
      </w:pPr>
      <w:r w:rsidRPr="00286EAD">
        <w:t>Is there a regulation/policy currently in place? Who administers it</w:t>
      </w:r>
      <w:r w:rsidR="00C66711">
        <w:t>?</w:t>
      </w:r>
    </w:p>
    <w:p w14:paraId="2B3AD52F" w14:textId="637F5A8D" w:rsidR="00D15F7B" w:rsidRDefault="003A7D9D" w:rsidP="00C66711">
      <w:pPr>
        <w:pStyle w:val="bulletnumbers"/>
        <w:numPr>
          <w:ilvl w:val="0"/>
          <w:numId w:val="0"/>
        </w:numPr>
        <w:spacing w:before="120"/>
      </w:pPr>
      <w:r>
        <w:t>T</w:t>
      </w:r>
      <w:r w:rsidR="00885422">
        <w:t>he RIA needs to specify the outcomes, goals or targets sought in relation to the identified problem.</w:t>
      </w:r>
    </w:p>
    <w:p w14:paraId="08013FB4" w14:textId="273BE143" w:rsidR="00885422" w:rsidRDefault="00885422" w:rsidP="00C66711">
      <w:pPr>
        <w:pStyle w:val="bulletnumbers"/>
        <w:numPr>
          <w:ilvl w:val="0"/>
          <w:numId w:val="0"/>
        </w:numPr>
        <w:spacing w:before="120"/>
        <w:rPr>
          <w:lang w:eastAsia="en-AU"/>
        </w:rPr>
      </w:pPr>
      <w:r w:rsidRPr="00885422">
        <w:rPr>
          <w:lang w:eastAsia="en-AU"/>
        </w:rPr>
        <w:lastRenderedPageBreak/>
        <w:t xml:space="preserve">The objective must be clear, concise and as specific as possible. It should be </w:t>
      </w:r>
      <w:r>
        <w:rPr>
          <w:lang w:eastAsia="en-AU"/>
        </w:rPr>
        <w:t>broad</w:t>
      </w:r>
      <w:r w:rsidRPr="00885422">
        <w:rPr>
          <w:lang w:eastAsia="en-AU"/>
        </w:rPr>
        <w:t xml:space="preserve"> enough to allow consideration of all relevant alternative solutions</w:t>
      </w:r>
      <w:r w:rsidR="00D15B45">
        <w:rPr>
          <w:lang w:eastAsia="en-AU"/>
        </w:rPr>
        <w:t>,</w:t>
      </w:r>
      <w:r w:rsidRPr="00885422">
        <w:rPr>
          <w:lang w:eastAsia="en-AU"/>
        </w:rPr>
        <w:t xml:space="preserve"> but not </w:t>
      </w:r>
      <w:r>
        <w:rPr>
          <w:lang w:eastAsia="en-AU"/>
        </w:rPr>
        <w:t xml:space="preserve">so </w:t>
      </w:r>
      <w:r w:rsidRPr="00885422">
        <w:rPr>
          <w:lang w:eastAsia="en-AU"/>
        </w:rPr>
        <w:t>broad that the range of alternatives becomes too large to assess</w:t>
      </w:r>
      <w:r w:rsidR="00D15B45">
        <w:rPr>
          <w:lang w:eastAsia="en-AU"/>
        </w:rPr>
        <w:t>,</w:t>
      </w:r>
      <w:r w:rsidRPr="00885422">
        <w:rPr>
          <w:lang w:eastAsia="en-AU"/>
        </w:rPr>
        <w:t xml:space="preserve"> or the extent to which the objective has been met becomes too hard to establish.</w:t>
      </w:r>
    </w:p>
    <w:p w14:paraId="43CC15EA" w14:textId="499F3B5B" w:rsidR="00885422" w:rsidRDefault="00885422" w:rsidP="00C66711">
      <w:pPr>
        <w:pStyle w:val="bulletnumbers"/>
        <w:numPr>
          <w:ilvl w:val="0"/>
          <w:numId w:val="0"/>
        </w:numPr>
        <w:spacing w:before="120"/>
        <w:rPr>
          <w:lang w:eastAsia="en-AU"/>
        </w:rPr>
      </w:pPr>
      <w:r w:rsidRPr="00885422">
        <w:rPr>
          <w:lang w:eastAsia="en-AU"/>
        </w:rPr>
        <w:t>The objective should allow for an examination of alternative solutions to the underlying problem. Care should be taken to ensure the objective is not specified in such a way that it pre-justifies a preferred solution.</w:t>
      </w:r>
    </w:p>
    <w:p w14:paraId="7F0C71F0" w14:textId="1EFE7999" w:rsidR="00D15B45" w:rsidRDefault="00D15B45" w:rsidP="00C66711">
      <w:pPr>
        <w:pStyle w:val="bulletnumbers"/>
        <w:numPr>
          <w:ilvl w:val="0"/>
          <w:numId w:val="0"/>
        </w:numPr>
        <w:spacing w:before="120"/>
        <w:rPr>
          <w:lang w:eastAsia="en-AU"/>
        </w:rPr>
      </w:pPr>
      <w:r w:rsidRPr="00D15B45">
        <w:rPr>
          <w:lang w:eastAsia="en-AU"/>
        </w:rPr>
        <w:t xml:space="preserve">A common error is to confuse the desired outcome of the proposal with the means of obtaining it. </w:t>
      </w:r>
      <w:r w:rsidR="00C12B92">
        <w:rPr>
          <w:lang w:eastAsia="en-AU"/>
        </w:rPr>
        <w:t>For example, an objective of the Government’s environmental policy</w:t>
      </w:r>
      <w:r w:rsidR="00132274">
        <w:rPr>
          <w:lang w:eastAsia="en-AU"/>
        </w:rPr>
        <w:t xml:space="preserve"> may be to ‘reduce plastic pollution’. This objective differs from ‘banning single-use plastic products’, which is one means of achieving the objective. </w:t>
      </w:r>
    </w:p>
    <w:p w14:paraId="12852DFF" w14:textId="77777777" w:rsidR="00144763" w:rsidRDefault="000A6056" w:rsidP="00C66711">
      <w:pPr>
        <w:pStyle w:val="bulletnumbers"/>
        <w:numPr>
          <w:ilvl w:val="0"/>
          <w:numId w:val="0"/>
        </w:numPr>
        <w:spacing w:before="120"/>
        <w:rPr>
          <w:lang w:eastAsia="en-AU"/>
        </w:rPr>
      </w:pPr>
      <w:r>
        <w:rPr>
          <w:lang w:eastAsia="en-AU"/>
        </w:rPr>
        <w:t xml:space="preserve">The RIA should set out whether the objective needs to be met within a certain </w:t>
      </w:r>
      <w:proofErr w:type="gramStart"/>
      <w:r>
        <w:rPr>
          <w:lang w:eastAsia="en-AU"/>
        </w:rPr>
        <w:t>period of time</w:t>
      </w:r>
      <w:proofErr w:type="gramEnd"/>
      <w:r>
        <w:rPr>
          <w:lang w:eastAsia="en-AU"/>
        </w:rPr>
        <w:t xml:space="preserve">. This is likely to impact on the feasible options to achieve the objective. </w:t>
      </w:r>
    </w:p>
    <w:p w14:paraId="4346FDA0" w14:textId="4B6B66EC" w:rsidR="00391407" w:rsidRDefault="00D5523D" w:rsidP="00C66711">
      <w:pPr>
        <w:pStyle w:val="bulletnumbers"/>
        <w:numPr>
          <w:ilvl w:val="0"/>
          <w:numId w:val="0"/>
        </w:numPr>
        <w:spacing w:before="120"/>
        <w:rPr>
          <w:lang w:eastAsia="en-AU"/>
        </w:rPr>
      </w:pPr>
      <w:r>
        <w:rPr>
          <w:lang w:eastAsia="en-AU"/>
        </w:rPr>
        <w:t>Lastly</w:t>
      </w:r>
      <w:r w:rsidR="00673081">
        <w:rPr>
          <w:lang w:eastAsia="en-AU"/>
        </w:rPr>
        <w:t>, d</w:t>
      </w:r>
      <w:r w:rsidR="00391407" w:rsidRPr="00391407">
        <w:rPr>
          <w:lang w:eastAsia="en-AU"/>
        </w:rPr>
        <w:t>etails of existing regulations should be identified, along with relevant government policy</w:t>
      </w:r>
      <w:r w:rsidR="00144763">
        <w:rPr>
          <w:lang w:eastAsia="en-AU"/>
        </w:rPr>
        <w:t xml:space="preserve">, either to establish how existing mechanisms can assist to address the </w:t>
      </w:r>
      <w:proofErr w:type="gramStart"/>
      <w:r w:rsidR="00144763">
        <w:rPr>
          <w:lang w:eastAsia="en-AU"/>
        </w:rPr>
        <w:t>problem, or</w:t>
      </w:r>
      <w:proofErr w:type="gramEnd"/>
      <w:r w:rsidR="00144763">
        <w:rPr>
          <w:lang w:eastAsia="en-AU"/>
        </w:rPr>
        <w:t xml:space="preserve"> fall short</w:t>
      </w:r>
      <w:r w:rsidR="00FB2BE1">
        <w:rPr>
          <w:lang w:eastAsia="en-AU"/>
        </w:rPr>
        <w:t>.</w:t>
      </w:r>
    </w:p>
    <w:p w14:paraId="19993E92" w14:textId="195F1701" w:rsidR="00971890" w:rsidRPr="00210E24" w:rsidRDefault="00971890" w:rsidP="00210E24">
      <w:pPr>
        <w:spacing w:beforeLines="60" w:before="144" w:afterLines="60" w:after="144"/>
        <w:rPr>
          <w:rFonts w:ascii="Arial Bold" w:hAnsi="Arial Bold"/>
          <w:bCs/>
          <w:color w:val="808080" w:themeColor="background1" w:themeShade="80"/>
          <w:sz w:val="24"/>
          <w:szCs w:val="26"/>
        </w:rPr>
      </w:pPr>
      <w:bookmarkStart w:id="18" w:name="_Toc175576405"/>
      <w:r w:rsidRPr="00210E24">
        <w:rPr>
          <w:rFonts w:ascii="Arial Bold" w:hAnsi="Arial Bold"/>
          <w:bCs/>
          <w:color w:val="808080" w:themeColor="background1" w:themeShade="80"/>
          <w:sz w:val="24"/>
          <w:szCs w:val="26"/>
        </w:rPr>
        <w:t>3.4 Identify feasible options</w:t>
      </w:r>
      <w:bookmarkEnd w:id="18"/>
      <w:r w:rsidRPr="00210E24">
        <w:rPr>
          <w:rFonts w:ascii="Arial Bold" w:hAnsi="Arial Bold"/>
          <w:bCs/>
          <w:color w:val="808080" w:themeColor="background1" w:themeShade="80"/>
          <w:sz w:val="24"/>
          <w:szCs w:val="26"/>
        </w:rPr>
        <w:t xml:space="preserve">  </w:t>
      </w:r>
    </w:p>
    <w:p w14:paraId="50E759D4" w14:textId="04D206CF" w:rsidR="00E6389C" w:rsidRPr="00026D8D" w:rsidRDefault="00E6389C" w:rsidP="00E6389C">
      <w:pPr>
        <w:spacing w:after="0"/>
        <w:rPr>
          <w:b/>
          <w:bCs/>
        </w:rPr>
      </w:pPr>
      <w:r w:rsidRPr="00026D8D">
        <w:rPr>
          <w:b/>
          <w:bCs/>
        </w:rPr>
        <w:t xml:space="preserve">Box </w:t>
      </w:r>
      <w:r w:rsidR="00E36D53">
        <w:rPr>
          <w:b/>
          <w:bCs/>
        </w:rPr>
        <w:t>5</w:t>
      </w:r>
      <w:r w:rsidRPr="00026D8D">
        <w:rPr>
          <w:b/>
          <w:bCs/>
        </w:rPr>
        <w:t xml:space="preserve">: Questions </w:t>
      </w:r>
      <w:r w:rsidR="00250FEA">
        <w:rPr>
          <w:b/>
          <w:bCs/>
        </w:rPr>
        <w:t>to consider when</w:t>
      </w:r>
      <w:r>
        <w:rPr>
          <w:b/>
          <w:bCs/>
        </w:rPr>
        <w:t xml:space="preserve"> </w:t>
      </w:r>
      <w:r w:rsidR="00250FEA">
        <w:rPr>
          <w:b/>
          <w:bCs/>
        </w:rPr>
        <w:t>identifying</w:t>
      </w:r>
      <w:r>
        <w:rPr>
          <w:b/>
          <w:bCs/>
        </w:rPr>
        <w:t xml:space="preserve"> feasible options</w:t>
      </w:r>
    </w:p>
    <w:p w14:paraId="566DE851" w14:textId="32A87AF7" w:rsidR="00E6389C" w:rsidRDefault="00E6389C" w:rsidP="00E6389C">
      <w:pPr>
        <w:pStyle w:val="Boxed1Bullet"/>
        <w:spacing w:before="60"/>
        <w:ind w:left="568" w:hanging="284"/>
      </w:pPr>
      <w:r w:rsidRPr="00286EAD">
        <w:t>Wh</w:t>
      </w:r>
      <w:r>
        <w:t>at</w:t>
      </w:r>
      <w:r w:rsidRPr="00286EAD">
        <w:t xml:space="preserve"> </w:t>
      </w:r>
      <w:r>
        <w:t>are the possible different courses of actions that could be taken?</w:t>
      </w:r>
    </w:p>
    <w:p w14:paraId="671D04B9" w14:textId="4DE5346A" w:rsidR="0098456F" w:rsidRDefault="0098456F" w:rsidP="00E6389C">
      <w:pPr>
        <w:pStyle w:val="Boxed1Bullet"/>
        <w:spacing w:before="60"/>
        <w:ind w:left="568" w:hanging="284"/>
      </w:pPr>
      <w:r>
        <w:t xml:space="preserve">Which actions </w:t>
      </w:r>
      <w:r w:rsidR="00616AC6">
        <w:t xml:space="preserve">are feasible and </w:t>
      </w:r>
      <w:r>
        <w:t xml:space="preserve">can help achieve the policy objectives? </w:t>
      </w:r>
    </w:p>
    <w:p w14:paraId="6CF6588D" w14:textId="18AB8D57" w:rsidR="000C5F0A" w:rsidRDefault="00D651D2" w:rsidP="00E6389C">
      <w:pPr>
        <w:spacing w:beforeLines="60" w:before="144" w:afterLines="60" w:after="144"/>
      </w:pPr>
      <w:r>
        <w:t>A broad range of possible regulatory and non-regulatory options should be explored as part of the policy development process, and t</w:t>
      </w:r>
      <w:r w:rsidR="00F83726">
        <w:t xml:space="preserve">he most </w:t>
      </w:r>
      <w:r w:rsidR="00616AC6">
        <w:t xml:space="preserve">feasible options that are </w:t>
      </w:r>
      <w:r w:rsidR="00F83726">
        <w:t xml:space="preserve">genuinely </w:t>
      </w:r>
      <w:r w:rsidR="00616AC6">
        <w:t xml:space="preserve">able to help achieve the </w:t>
      </w:r>
      <w:r w:rsidR="00C43319">
        <w:t>stated</w:t>
      </w:r>
      <w:r w:rsidR="00616AC6">
        <w:t xml:space="preserve"> objectives should be considered </w:t>
      </w:r>
      <w:r w:rsidR="00C43319">
        <w:t xml:space="preserve">in detail </w:t>
      </w:r>
      <w:r w:rsidR="00616AC6">
        <w:t xml:space="preserve">and </w:t>
      </w:r>
      <w:r w:rsidR="00010F4F">
        <w:t>included in the RIA</w:t>
      </w:r>
      <w:r w:rsidR="0095532A">
        <w:t xml:space="preserve">. </w:t>
      </w:r>
      <w:r w:rsidR="00F83726">
        <w:t xml:space="preserve">Ideally, the RIA should explore and present at least </w:t>
      </w:r>
      <w:r w:rsidR="00DA56F5">
        <w:t xml:space="preserve">three </w:t>
      </w:r>
      <w:r w:rsidR="00AE7B21">
        <w:t xml:space="preserve">feasible </w:t>
      </w:r>
      <w:r w:rsidR="00F83726">
        <w:t>options</w:t>
      </w:r>
      <w:r w:rsidR="00AE7B21">
        <w:t xml:space="preserve"> to address the problem</w:t>
      </w:r>
      <w:r w:rsidR="00F83726">
        <w:t>, with one being a non-regulatory option.</w:t>
      </w:r>
    </w:p>
    <w:p w14:paraId="279C60C3" w14:textId="3EBE37F2" w:rsidR="00D651D2" w:rsidRDefault="00D651D2" w:rsidP="00D651D2">
      <w:pPr>
        <w:spacing w:beforeLines="60" w:before="144" w:afterLines="60" w:after="144"/>
      </w:pPr>
      <w:r>
        <w:t xml:space="preserve">Considering </w:t>
      </w:r>
      <w:r w:rsidR="00414534">
        <w:t xml:space="preserve">a </w:t>
      </w:r>
      <w:r w:rsidR="00BF41E2">
        <w:t>range of</w:t>
      </w:r>
      <w:r>
        <w:t xml:space="preserve"> options not only increase</w:t>
      </w:r>
      <w:r w:rsidR="00AE7B21">
        <w:t>s</w:t>
      </w:r>
      <w:r>
        <w:t xml:space="preserve"> the chance of identifying the most appropriate approach to addressing the problem and achieving the objectives, but it also provides great flexibility for the decision-making process. </w:t>
      </w:r>
    </w:p>
    <w:p w14:paraId="12A3C74D" w14:textId="0FEFDD27" w:rsidR="00AE7B21" w:rsidRDefault="00AE7B21" w:rsidP="004E4DE9">
      <w:pPr>
        <w:spacing w:beforeLines="60" w:before="144" w:afterLines="60" w:after="144"/>
        <w:rPr>
          <w:szCs w:val="22"/>
        </w:rPr>
      </w:pPr>
      <w:r>
        <w:rPr>
          <w:szCs w:val="22"/>
        </w:rPr>
        <w:t>A common starting point for an option is what mechanism</w:t>
      </w:r>
      <w:r w:rsidR="009A2C54">
        <w:rPr>
          <w:szCs w:val="22"/>
        </w:rPr>
        <w:t>s</w:t>
      </w:r>
      <w:r>
        <w:rPr>
          <w:szCs w:val="22"/>
        </w:rPr>
        <w:t xml:space="preserve"> </w:t>
      </w:r>
      <w:r w:rsidR="009A2C54">
        <w:rPr>
          <w:szCs w:val="22"/>
        </w:rPr>
        <w:t>are</w:t>
      </w:r>
      <w:r>
        <w:rPr>
          <w:szCs w:val="22"/>
        </w:rPr>
        <w:t xml:space="preserve"> being used to address a similar problem in </w:t>
      </w:r>
      <w:r w:rsidR="009A2C54">
        <w:rPr>
          <w:szCs w:val="22"/>
        </w:rPr>
        <w:t>other</w:t>
      </w:r>
      <w:r>
        <w:rPr>
          <w:szCs w:val="22"/>
        </w:rPr>
        <w:t xml:space="preserve"> jurisdiction</w:t>
      </w:r>
      <w:r w:rsidR="009A2C54">
        <w:rPr>
          <w:szCs w:val="22"/>
        </w:rPr>
        <w:t>s</w:t>
      </w:r>
      <w:r>
        <w:rPr>
          <w:szCs w:val="22"/>
        </w:rPr>
        <w:t xml:space="preserve">. </w:t>
      </w:r>
      <w:r w:rsidR="009A2C54">
        <w:rPr>
          <w:szCs w:val="22"/>
        </w:rPr>
        <w:t xml:space="preserve">This can provide learnings of how the option has fared in practice in its home jurisdiction and whether it might need tailoring </w:t>
      </w:r>
      <w:proofErr w:type="gramStart"/>
      <w:r w:rsidR="009A2C54">
        <w:rPr>
          <w:szCs w:val="22"/>
        </w:rPr>
        <w:t>in light of</w:t>
      </w:r>
      <w:proofErr w:type="gramEnd"/>
      <w:r w:rsidR="009A2C54">
        <w:rPr>
          <w:szCs w:val="22"/>
        </w:rPr>
        <w:t xml:space="preserve"> the ACT context or not address ACT needs. This filtering and analysis </w:t>
      </w:r>
      <w:proofErr w:type="gramStart"/>
      <w:r w:rsidR="009A2C54">
        <w:rPr>
          <w:szCs w:val="22"/>
        </w:rPr>
        <w:t>is</w:t>
      </w:r>
      <w:proofErr w:type="gramEnd"/>
      <w:r w:rsidR="009A2C54">
        <w:rPr>
          <w:szCs w:val="22"/>
        </w:rPr>
        <w:t xml:space="preserve"> likely to be particularly important when several jurisdictions have chosen different pathways to address the same underlying policy problem. </w:t>
      </w:r>
    </w:p>
    <w:p w14:paraId="51467F8B" w14:textId="5A22537F" w:rsidR="00472B8A" w:rsidRPr="00472B8A" w:rsidRDefault="00472B8A" w:rsidP="00D651D2">
      <w:pPr>
        <w:spacing w:beforeLines="60" w:before="144" w:afterLines="60" w:after="144"/>
        <w:rPr>
          <w:b/>
          <w:bCs/>
          <w:sz w:val="24"/>
          <w:szCs w:val="22"/>
        </w:rPr>
      </w:pPr>
      <w:r w:rsidRPr="00472B8A">
        <w:rPr>
          <w:b/>
          <w:bCs/>
          <w:sz w:val="24"/>
          <w:szCs w:val="22"/>
        </w:rPr>
        <w:t>Non-regulatory options</w:t>
      </w:r>
    </w:p>
    <w:p w14:paraId="53F2DF9A" w14:textId="1623285A" w:rsidR="00B74C01" w:rsidRDefault="002F0BA3" w:rsidP="002F0BA3">
      <w:pPr>
        <w:spacing w:beforeLines="60" w:before="144" w:afterLines="60" w:after="144"/>
      </w:pPr>
      <w:r>
        <w:t xml:space="preserve">Policy makers should consider exploring non-regulatory measures to achieve their policy objectives in the first instance. </w:t>
      </w:r>
    </w:p>
    <w:p w14:paraId="5D20652D" w14:textId="5AB41134" w:rsidR="00FA7E3B" w:rsidRDefault="00587143" w:rsidP="00587143">
      <w:pPr>
        <w:spacing w:beforeLines="60" w:before="144" w:afterLines="60" w:after="144"/>
      </w:pPr>
      <w:r>
        <w:t xml:space="preserve">If the non-regulatory option achieves the desired </w:t>
      </w:r>
      <w:proofErr w:type="gramStart"/>
      <w:r>
        <w:t>outcome</w:t>
      </w:r>
      <w:proofErr w:type="gramEnd"/>
      <w:r>
        <w:t xml:space="preserve"> it should be preferred for reason that it minimises costs to government and business and </w:t>
      </w:r>
      <w:r w:rsidR="00460872">
        <w:t>in do</w:t>
      </w:r>
      <w:r w:rsidR="00DE1080">
        <w:t>ing</w:t>
      </w:r>
      <w:r w:rsidR="00460872">
        <w:t xml:space="preserve"> so, can bring broader benefits to the community.</w:t>
      </w:r>
    </w:p>
    <w:p w14:paraId="5276E565" w14:textId="2778F61B" w:rsidR="007230B4" w:rsidRDefault="007230B4" w:rsidP="002F0BA3">
      <w:pPr>
        <w:spacing w:beforeLines="60" w:before="144" w:afterLines="60" w:after="144"/>
      </w:pPr>
      <w:r>
        <w:t>Examples of non-regulatory options include:</w:t>
      </w:r>
    </w:p>
    <w:p w14:paraId="34F4D6C9" w14:textId="16C00BDF" w:rsidR="007230B4" w:rsidRDefault="008E3D3F">
      <w:pPr>
        <w:pStyle w:val="bullet10"/>
        <w:spacing w:before="30" w:after="30"/>
      </w:pPr>
      <w:r>
        <w:lastRenderedPageBreak/>
        <w:t xml:space="preserve">maximising existing options, using existing laws, policies of the Government, education and </w:t>
      </w:r>
      <w:proofErr w:type="gramStart"/>
      <w:r>
        <w:t>complian</w:t>
      </w:r>
      <w:r w:rsidR="007447A6">
        <w:t>c</w:t>
      </w:r>
      <w:r>
        <w:t>e;</w:t>
      </w:r>
      <w:proofErr w:type="gramEnd"/>
    </w:p>
    <w:p w14:paraId="0EE26E26" w14:textId="6AA810D9" w:rsidR="00E440A6" w:rsidRDefault="00E440A6" w:rsidP="00E440A6">
      <w:pPr>
        <w:pStyle w:val="bullet10"/>
        <w:spacing w:before="30" w:after="30"/>
      </w:pPr>
      <w:r>
        <w:t>m</w:t>
      </w:r>
      <w:r w:rsidRPr="00CD5F1D">
        <w:t>arket-based approaches including taxes, subsidies</w:t>
      </w:r>
      <w:r w:rsidR="0042205B">
        <w:t xml:space="preserve"> </w:t>
      </w:r>
      <w:r w:rsidRPr="00CD5F1D">
        <w:t>an</w:t>
      </w:r>
      <w:r>
        <w:t xml:space="preserve">d </w:t>
      </w:r>
      <w:r w:rsidRPr="00CD5F1D">
        <w:t xml:space="preserve">tradeable property </w:t>
      </w:r>
      <w:proofErr w:type="gramStart"/>
      <w:r w:rsidRPr="00CD5F1D">
        <w:t>rights</w:t>
      </w:r>
      <w:r w:rsidR="00BD2910">
        <w:t>;</w:t>
      </w:r>
      <w:proofErr w:type="gramEnd"/>
    </w:p>
    <w:p w14:paraId="58B4A009" w14:textId="19B2482C" w:rsidR="007230B4" w:rsidRDefault="00BD2910" w:rsidP="007230B4">
      <w:pPr>
        <w:pStyle w:val="bullet10"/>
        <w:spacing w:before="30" w:after="30"/>
      </w:pPr>
      <w:r>
        <w:t xml:space="preserve">voluntary agreements </w:t>
      </w:r>
      <w:r w:rsidR="00DE1080">
        <w:t>by</w:t>
      </w:r>
      <w:r>
        <w:t xml:space="preserve"> industry</w:t>
      </w:r>
      <w:r w:rsidR="00DE1080">
        <w:t xml:space="preserve"> to adopt</w:t>
      </w:r>
      <w:r w:rsidR="002C4E6C">
        <w:t xml:space="preserve"> a standard or program</w:t>
      </w:r>
      <w:r>
        <w:t xml:space="preserve">; or </w:t>
      </w:r>
    </w:p>
    <w:p w14:paraId="07867BCC" w14:textId="007E9408" w:rsidR="00BD2910" w:rsidRDefault="00BD2910" w:rsidP="007230B4">
      <w:pPr>
        <w:pStyle w:val="bullet10"/>
        <w:spacing w:before="30" w:after="30"/>
      </w:pPr>
      <w:r>
        <w:t>persuasion.</w:t>
      </w:r>
    </w:p>
    <w:p w14:paraId="04199EBB" w14:textId="62317FF0" w:rsidR="003B285A" w:rsidRDefault="003B285A" w:rsidP="003B285A">
      <w:pPr>
        <w:spacing w:beforeLines="60" w:before="144" w:afterLines="60" w:after="144"/>
      </w:pPr>
      <w:r>
        <w:t xml:space="preserve">In many instances, the </w:t>
      </w:r>
      <w:r w:rsidR="00366ED2">
        <w:t xml:space="preserve">existing operation of the market leads to calls for new regulation. </w:t>
      </w:r>
      <w:r>
        <w:t xml:space="preserve">However, in assessing feasible options to address the issue, it is important to capture market behaviours and incentives </w:t>
      </w:r>
      <w:r w:rsidRPr="00DE3FF0">
        <w:t xml:space="preserve">that can be reasonably expected </w:t>
      </w:r>
      <w:r>
        <w:t xml:space="preserve">if the Government seeks to improve outcomes through a program of enforcement, engagement and compliance. </w:t>
      </w:r>
    </w:p>
    <w:p w14:paraId="3A88DC0E" w14:textId="584B9574" w:rsidR="009637A8" w:rsidRDefault="003B285A" w:rsidP="00193328">
      <w:pPr>
        <w:spacing w:beforeLines="60" w:before="144" w:afterLines="60" w:after="144"/>
      </w:pPr>
      <w:r>
        <w:t>As an example</w:t>
      </w:r>
      <w:r w:rsidR="00650666">
        <w:t>,</w:t>
      </w:r>
      <w:r w:rsidR="00193328">
        <w:t xml:space="preserve"> </w:t>
      </w:r>
      <w:r>
        <w:t>a combination o</w:t>
      </w:r>
      <w:r w:rsidR="00650666">
        <w:t>f</w:t>
      </w:r>
      <w:r>
        <w:t xml:space="preserve"> consumer and manufacturer outreach led to a reduction of micro-bead</w:t>
      </w:r>
      <w:r w:rsidR="00822BCF">
        <w:t xml:space="preserve">s, as used in shampoos and toiletry products, </w:t>
      </w:r>
      <w:r>
        <w:t>by 99</w:t>
      </w:r>
      <w:r w:rsidR="00650666">
        <w:t xml:space="preserve"> per cent</w:t>
      </w:r>
      <w:r w:rsidR="00956DCB">
        <w:t xml:space="preserve"> without regulation</w:t>
      </w:r>
      <w:r w:rsidR="00193328">
        <w:t>.</w:t>
      </w:r>
    </w:p>
    <w:p w14:paraId="147B2B76" w14:textId="4B3E262A" w:rsidR="003E0D6E" w:rsidRPr="003E0D6E" w:rsidRDefault="003E0D6E" w:rsidP="003E0D6E">
      <w:pPr>
        <w:spacing w:beforeLines="60" w:before="144" w:afterLines="60" w:after="144"/>
      </w:pPr>
      <w:r w:rsidRPr="003E0D6E">
        <w:t xml:space="preserve">Further, the ACT Government successfully obtained similar outcomes for motorists and fuel price competition through implementing the </w:t>
      </w:r>
      <w:proofErr w:type="spellStart"/>
      <w:r w:rsidRPr="003E0D6E">
        <w:t>FuelCheck</w:t>
      </w:r>
      <w:proofErr w:type="spellEnd"/>
      <w:r w:rsidRPr="003E0D6E">
        <w:t xml:space="preserve"> price transparency service via an opt-in model for service stations, as jurisdictions who regulated to compel participation of service stations. </w:t>
      </w:r>
    </w:p>
    <w:p w14:paraId="543F1AE4" w14:textId="77777777" w:rsidR="003E0D6E" w:rsidRPr="003E0D6E" w:rsidRDefault="003E0D6E" w:rsidP="003E0D6E">
      <w:pPr>
        <w:pStyle w:val="bullet10"/>
        <w:spacing w:before="30" w:after="30"/>
      </w:pPr>
      <w:r w:rsidRPr="003E0D6E">
        <w:t>This was achieved through a process of engagement with retailers and consumers to drive take up and relying on market incentives for retailers to provide real time fuel pricing information to their customers. </w:t>
      </w:r>
    </w:p>
    <w:p w14:paraId="4C932157" w14:textId="33892D3E" w:rsidR="003E54B5" w:rsidRDefault="003E54B5" w:rsidP="00193328">
      <w:pPr>
        <w:spacing w:beforeLines="60" w:before="144" w:afterLines="60" w:after="144"/>
        <w:rPr>
          <w:i/>
          <w:iCs/>
        </w:rPr>
      </w:pPr>
      <w:r>
        <w:rPr>
          <w:i/>
          <w:iCs/>
        </w:rPr>
        <w:t xml:space="preserve">Should I include the status quo as a feasible option?  </w:t>
      </w:r>
    </w:p>
    <w:p w14:paraId="238CD9F9" w14:textId="7A955BAC" w:rsidR="003E54B5" w:rsidRDefault="003E54B5" w:rsidP="00193328">
      <w:pPr>
        <w:spacing w:beforeLines="60" w:before="144" w:afterLines="60" w:after="144"/>
      </w:pPr>
      <w:r>
        <w:t xml:space="preserve">The status quo is not </w:t>
      </w:r>
      <w:proofErr w:type="gramStart"/>
      <w:r>
        <w:t xml:space="preserve">a </w:t>
      </w:r>
      <w:r w:rsidR="00F92FC5">
        <w:t>”</w:t>
      </w:r>
      <w:r>
        <w:t>do</w:t>
      </w:r>
      <w:proofErr w:type="gramEnd"/>
      <w:r>
        <w:t xml:space="preserve"> nothing</w:t>
      </w:r>
      <w:r w:rsidR="00F92FC5">
        <w:t>”</w:t>
      </w:r>
      <w:r>
        <w:t xml:space="preserve"> option. It includes the implementation of all relevant </w:t>
      </w:r>
      <w:r w:rsidR="00DA56F5">
        <w:t>g</w:t>
      </w:r>
      <w:r>
        <w:t xml:space="preserve">overnment policies. If this would not address the problem, it should not be included in the impact assessment as feasible option to achieve the policy outcome.  </w:t>
      </w:r>
    </w:p>
    <w:p w14:paraId="1E7BEB0C" w14:textId="3D430975" w:rsidR="006A2713" w:rsidRDefault="006A2713" w:rsidP="00193328">
      <w:pPr>
        <w:spacing w:beforeLines="60" w:before="144" w:afterLines="60" w:after="144"/>
      </w:pPr>
      <w:r>
        <w:t>However</w:t>
      </w:r>
      <w:r w:rsidR="00BF182E">
        <w:t xml:space="preserve">, </w:t>
      </w:r>
      <w:r w:rsidR="00974B58">
        <w:t xml:space="preserve">it is important to understand the expected level of harm, or benefits from the status quo. It provides the baseline against which you can compare the </w:t>
      </w:r>
      <w:r w:rsidR="001E22BD">
        <w:t xml:space="preserve">change from current settings, to what would be </w:t>
      </w:r>
      <w:r w:rsidR="003E54B5">
        <w:t xml:space="preserve">expected from feasible options </w:t>
      </w:r>
      <w:r w:rsidR="001E22BD">
        <w:t>that</w:t>
      </w:r>
      <w:r w:rsidR="003E54B5">
        <w:t xml:space="preserve"> address the policy problem</w:t>
      </w:r>
      <w:r w:rsidR="008E28EE">
        <w:t xml:space="preserve"> (</w:t>
      </w:r>
      <w:r w:rsidR="008E28EE" w:rsidRPr="008E28EE">
        <w:t xml:space="preserve">please see </w:t>
      </w:r>
      <w:r w:rsidR="008E28EE" w:rsidRPr="008E28EE">
        <w:rPr>
          <w:i/>
          <w:iCs/>
        </w:rPr>
        <w:t>What are costs and benefits?</w:t>
      </w:r>
      <w:r w:rsidR="008E28EE">
        <w:rPr>
          <w:i/>
          <w:iCs/>
        </w:rPr>
        <w:t xml:space="preserve"> </w:t>
      </w:r>
      <w:r w:rsidR="008E28EE" w:rsidRPr="008E28EE">
        <w:t xml:space="preserve">below on how to </w:t>
      </w:r>
      <w:r w:rsidR="008E28EE">
        <w:t xml:space="preserve">capture and compare </w:t>
      </w:r>
      <w:r w:rsidR="008E28EE" w:rsidRPr="008E28EE">
        <w:t xml:space="preserve">the </w:t>
      </w:r>
      <w:r w:rsidR="008E28EE">
        <w:t xml:space="preserve">costs and benefits of </w:t>
      </w:r>
      <w:r w:rsidR="008E28EE" w:rsidRPr="008E28EE">
        <w:t>various options</w:t>
      </w:r>
      <w:r w:rsidR="008E28EE">
        <w:t>)</w:t>
      </w:r>
      <w:r w:rsidR="003E54B5">
        <w:t>.</w:t>
      </w:r>
    </w:p>
    <w:p w14:paraId="14959264" w14:textId="0AA2B163" w:rsidR="002C4E6C" w:rsidRDefault="002C4E6C" w:rsidP="00193328">
      <w:pPr>
        <w:spacing w:beforeLines="60" w:before="144" w:afterLines="60" w:after="144"/>
      </w:pPr>
      <w:r>
        <w:t xml:space="preserve">Refer to </w:t>
      </w:r>
      <w:r w:rsidRPr="00EC2ABB">
        <w:rPr>
          <w:i/>
          <w:iCs/>
        </w:rPr>
        <w:t xml:space="preserve">Appendix B – </w:t>
      </w:r>
      <w:r w:rsidR="00EC2ABB" w:rsidRPr="00EC2ABB">
        <w:rPr>
          <w:i/>
          <w:iCs/>
        </w:rPr>
        <w:t>Non-regulatory and regulatory options</w:t>
      </w:r>
      <w:r w:rsidR="00EC2ABB" w:rsidRPr="00EC2ABB">
        <w:t xml:space="preserve"> </w:t>
      </w:r>
      <w:r>
        <w:t>for further details on the non-regulatory approaches.</w:t>
      </w:r>
    </w:p>
    <w:p w14:paraId="164BDCC0" w14:textId="1949780C" w:rsidR="00472B8A" w:rsidRPr="008F4EF2" w:rsidRDefault="00472B8A" w:rsidP="00472B8A">
      <w:pPr>
        <w:spacing w:beforeLines="60" w:before="144" w:afterLines="60" w:after="144"/>
        <w:rPr>
          <w:b/>
          <w:bCs/>
          <w:sz w:val="24"/>
          <w:szCs w:val="22"/>
        </w:rPr>
      </w:pPr>
      <w:r w:rsidRPr="008F4EF2">
        <w:rPr>
          <w:b/>
          <w:bCs/>
          <w:sz w:val="24"/>
          <w:szCs w:val="22"/>
        </w:rPr>
        <w:t>Regulatory</w:t>
      </w:r>
      <w:r>
        <w:rPr>
          <w:b/>
          <w:bCs/>
          <w:sz w:val="24"/>
          <w:szCs w:val="22"/>
        </w:rPr>
        <w:t xml:space="preserve"> options</w:t>
      </w:r>
    </w:p>
    <w:p w14:paraId="678714E4" w14:textId="77777777" w:rsidR="00A355BA" w:rsidRDefault="00472B8A" w:rsidP="00BD2910">
      <w:pPr>
        <w:spacing w:beforeLines="60" w:before="144" w:afterLines="60" w:after="144"/>
      </w:pPr>
      <w:r w:rsidRPr="00AF0E03">
        <w:rPr>
          <w:b/>
          <w:bCs/>
        </w:rPr>
        <w:t>Direct government regulation</w:t>
      </w:r>
      <w:r w:rsidR="008A14E3">
        <w:t xml:space="preserve"> comprises primary and subordinate legislation. In the ACT, only</w:t>
      </w:r>
      <w:r w:rsidR="00B3184E">
        <w:t xml:space="preserve"> the</w:t>
      </w:r>
      <w:r w:rsidR="008A14E3">
        <w:t xml:space="preserve"> introduction of subordinate legislation or disallowable instrument requires the preparation of </w:t>
      </w:r>
      <w:proofErr w:type="gramStart"/>
      <w:r w:rsidR="008A14E3">
        <w:t>a</w:t>
      </w:r>
      <w:proofErr w:type="gramEnd"/>
      <w:r w:rsidR="008A14E3">
        <w:t xml:space="preserve"> RIA. </w:t>
      </w:r>
    </w:p>
    <w:p w14:paraId="2E95612B" w14:textId="55441F06" w:rsidR="00BD2910" w:rsidRDefault="00AF0E03" w:rsidP="00BD2910">
      <w:pPr>
        <w:spacing w:beforeLines="60" w:before="144" w:afterLines="60" w:after="144"/>
      </w:pPr>
      <w:r>
        <w:t>P</w:t>
      </w:r>
      <w:r w:rsidR="00B3184E">
        <w:t>rescriptive regulation (or rule-based regulation)</w:t>
      </w:r>
      <w:r>
        <w:t xml:space="preserve"> is a common form of regulation introduced via </w:t>
      </w:r>
      <w:r w:rsidRPr="00AF0E03">
        <w:t>subordinate legislation or disallowable instrument</w:t>
      </w:r>
      <w:r w:rsidR="005116BE">
        <w:t xml:space="preserve">. It is </w:t>
      </w:r>
      <w:r w:rsidR="00B3184E">
        <w:t>highly specific and detailed in</w:t>
      </w:r>
      <w:r w:rsidR="005116BE">
        <w:t xml:space="preserve"> the obligations of the regulated parties and</w:t>
      </w:r>
      <w:r w:rsidR="00B3184E">
        <w:t xml:space="preserve"> measures </w:t>
      </w:r>
      <w:r w:rsidR="005116BE">
        <w:t xml:space="preserve">to regulate. </w:t>
      </w:r>
      <w:r w:rsidR="00A355BA">
        <w:t xml:space="preserve">This is compared to principles-based regulation which </w:t>
      </w:r>
      <w:r w:rsidR="00534ED1">
        <w:t>r</w:t>
      </w:r>
      <w:r w:rsidR="00534ED1" w:rsidRPr="00534ED1">
        <w:t>elies on principles to articulate the outcomes to be achieved by the regulated entities</w:t>
      </w:r>
      <w:r w:rsidR="00534ED1">
        <w:rPr>
          <w:rStyle w:val="FootnoteReference"/>
        </w:rPr>
        <w:footnoteReference w:id="2"/>
      </w:r>
      <w:r w:rsidR="00534ED1" w:rsidRPr="00534ED1">
        <w:t>.</w:t>
      </w:r>
    </w:p>
    <w:p w14:paraId="6EBC6506" w14:textId="77777777" w:rsidR="00FD258F" w:rsidRDefault="00FD258F" w:rsidP="00FD258F">
      <w:pPr>
        <w:spacing w:beforeLines="60" w:before="144" w:afterLines="60" w:after="144"/>
      </w:pPr>
      <w:r w:rsidRPr="00FD258F">
        <w:t>Direct government regulation</w:t>
      </w:r>
      <w:r w:rsidRPr="00463842">
        <w:t xml:space="preserve"> </w:t>
      </w:r>
      <w:r>
        <w:t>should be considered where:</w:t>
      </w:r>
    </w:p>
    <w:p w14:paraId="4C7C7EBB" w14:textId="77777777" w:rsidR="00FD258F" w:rsidRDefault="00FD258F" w:rsidP="00FD258F">
      <w:pPr>
        <w:pStyle w:val="bullet10"/>
        <w:spacing w:before="30" w:after="30"/>
      </w:pPr>
      <w:r w:rsidRPr="00282C1A">
        <w:t xml:space="preserve">the problem is high risk, of high impact/significance, for example a major public health and safety </w:t>
      </w:r>
      <w:proofErr w:type="gramStart"/>
      <w:r w:rsidRPr="00282C1A">
        <w:t>issue</w:t>
      </w:r>
      <w:r>
        <w:t>;</w:t>
      </w:r>
      <w:proofErr w:type="gramEnd"/>
    </w:p>
    <w:p w14:paraId="5F16A6F8" w14:textId="77777777" w:rsidR="00FD258F" w:rsidRDefault="00FD258F" w:rsidP="00FD258F">
      <w:pPr>
        <w:pStyle w:val="bullet10"/>
        <w:spacing w:before="30" w:after="30"/>
      </w:pPr>
      <w:r w:rsidRPr="00336CCB">
        <w:lastRenderedPageBreak/>
        <w:t xml:space="preserve">the government requires the certainty provided by legal </w:t>
      </w:r>
      <w:proofErr w:type="gramStart"/>
      <w:r w:rsidRPr="00336CCB">
        <w:t>sanctions</w:t>
      </w:r>
      <w:r>
        <w:t>;</w:t>
      </w:r>
      <w:proofErr w:type="gramEnd"/>
    </w:p>
    <w:p w14:paraId="03106C89" w14:textId="77777777" w:rsidR="00FD258F" w:rsidRDefault="00FD258F" w:rsidP="00FD258F">
      <w:pPr>
        <w:pStyle w:val="bullet10"/>
        <w:spacing w:before="30" w:after="30"/>
      </w:pPr>
      <w:r w:rsidRPr="00336CCB">
        <w:t>universal application is required (or at least where the coverage of an entire industry sector or more than one industry sector is judged as necessary</w:t>
      </w:r>
      <w:proofErr w:type="gramStart"/>
      <w:r w:rsidRPr="00336CCB">
        <w:t>)</w:t>
      </w:r>
      <w:r>
        <w:t>;</w:t>
      </w:r>
      <w:proofErr w:type="gramEnd"/>
    </w:p>
    <w:p w14:paraId="28208196" w14:textId="77777777" w:rsidR="00FD258F" w:rsidRDefault="00FD258F" w:rsidP="00FD258F">
      <w:pPr>
        <w:pStyle w:val="bullet10"/>
        <w:spacing w:before="30" w:after="30"/>
      </w:pPr>
      <w:r w:rsidRPr="00336CCB">
        <w:t xml:space="preserve">there is a systemic compliance problem with a history of intractable disputes and repeated or flagrant breaches of </w:t>
      </w:r>
      <w:proofErr w:type="gramStart"/>
      <w:r w:rsidRPr="00336CCB">
        <w:t>fair trading</w:t>
      </w:r>
      <w:proofErr w:type="gramEnd"/>
      <w:r w:rsidRPr="00336CCB">
        <w:t xml:space="preserve"> principles and no possibility of effective sanctions being applied</w:t>
      </w:r>
      <w:r>
        <w:t>; and</w:t>
      </w:r>
    </w:p>
    <w:p w14:paraId="58CE1D9E" w14:textId="1651EFB6" w:rsidR="00BD2910" w:rsidRDefault="00FD258F" w:rsidP="004E4DE9">
      <w:pPr>
        <w:pStyle w:val="bullet10"/>
        <w:spacing w:before="30" w:after="30"/>
      </w:pPr>
      <w:r w:rsidRPr="00336CCB">
        <w:t>existing industry bodies lack adequate coverage of industry participants, are inadequately resourced or do not have a strong regulatory commitment</w:t>
      </w:r>
      <w:r>
        <w:t>.</w:t>
      </w:r>
    </w:p>
    <w:p w14:paraId="13EA4021" w14:textId="1FF164C0" w:rsidR="002A0679" w:rsidRDefault="00FD258F" w:rsidP="00FD258F">
      <w:pPr>
        <w:spacing w:beforeLines="60" w:before="144" w:afterLines="60" w:after="144"/>
      </w:pPr>
      <w:r>
        <w:t xml:space="preserve">Introducing regulation through the Government’s legislative process should not be seen as the only regulatory option for the Government. </w:t>
      </w:r>
      <w:r w:rsidR="0071639D">
        <w:t xml:space="preserve">Industry can be motivated to introduce self-regulation </w:t>
      </w:r>
      <w:r w:rsidR="002A0679">
        <w:t xml:space="preserve">with a view to addressing emerging customer issues without the need for the Government to </w:t>
      </w:r>
      <w:r w:rsidR="00917E9C">
        <w:t xml:space="preserve">impose higher levels of regulation. </w:t>
      </w:r>
      <w:r w:rsidR="0071639D">
        <w:t xml:space="preserve"> </w:t>
      </w:r>
    </w:p>
    <w:p w14:paraId="793B9664" w14:textId="2096F10A" w:rsidR="00917E9C" w:rsidRDefault="00917E9C" w:rsidP="00917E9C">
      <w:pPr>
        <w:pStyle w:val="bullet10"/>
        <w:numPr>
          <w:ilvl w:val="0"/>
          <w:numId w:val="0"/>
        </w:numPr>
      </w:pPr>
      <w:r>
        <w:t xml:space="preserve">As an </w:t>
      </w:r>
      <w:r w:rsidR="00B83497">
        <w:t>example,</w:t>
      </w:r>
      <w:r>
        <w:t xml:space="preserve"> supermarkets introduced voluntary codes of conduct to address incorrect pricing at the scanner to ensure customers were not overcharged. This in turn was supported by consumer law regulators, who could </w:t>
      </w:r>
      <w:proofErr w:type="gramStart"/>
      <w:r>
        <w:t>take action</w:t>
      </w:r>
      <w:proofErr w:type="gramEnd"/>
      <w:r>
        <w:t xml:space="preserve"> against supermarkets if obligations under the code were not met. </w:t>
      </w:r>
    </w:p>
    <w:p w14:paraId="5B6F0CCE" w14:textId="3125D85D" w:rsidR="00FD258F" w:rsidRDefault="00FD258F" w:rsidP="00FD258F">
      <w:pPr>
        <w:spacing w:beforeLines="60" w:before="144" w:afterLines="60" w:after="144"/>
      </w:pPr>
      <w:r>
        <w:t xml:space="preserve">Below is a list of </w:t>
      </w:r>
      <w:r w:rsidR="004362C8">
        <w:t xml:space="preserve">other </w:t>
      </w:r>
      <w:r>
        <w:t xml:space="preserve">regulatory options, across which government involvement can vary. </w:t>
      </w:r>
      <w:r w:rsidRPr="00A07664">
        <w:t xml:space="preserve">Further information </w:t>
      </w:r>
      <w:r>
        <w:t>on regulatory options can be found</w:t>
      </w:r>
      <w:r w:rsidRPr="00A07664">
        <w:t xml:space="preserve"> at </w:t>
      </w:r>
      <w:r w:rsidRPr="00A07664">
        <w:rPr>
          <w:i/>
          <w:iCs/>
        </w:rPr>
        <w:t>Appendix B</w:t>
      </w:r>
      <w:r>
        <w:rPr>
          <w:i/>
          <w:iCs/>
        </w:rPr>
        <w:t>:</w:t>
      </w:r>
      <w:r w:rsidR="004362C8">
        <w:rPr>
          <w:i/>
          <w:iCs/>
        </w:rPr>
        <w:t xml:space="preserve"> Non-regulatory and</w:t>
      </w:r>
      <w:r w:rsidRPr="00A07664">
        <w:rPr>
          <w:i/>
          <w:iCs/>
        </w:rPr>
        <w:t xml:space="preserve"> regulatory options</w:t>
      </w:r>
      <w:r>
        <w:t>.</w:t>
      </w:r>
    </w:p>
    <w:p w14:paraId="4E4B2921" w14:textId="77777777" w:rsidR="00FD258F" w:rsidRDefault="00FD258F" w:rsidP="00FD258F">
      <w:pPr>
        <w:pStyle w:val="bullet10"/>
        <w:spacing w:before="30" w:after="30"/>
      </w:pPr>
      <w:r w:rsidRPr="00F44ED7">
        <w:rPr>
          <w:b/>
          <w:bCs/>
        </w:rPr>
        <w:t>Self-regulation</w:t>
      </w:r>
      <w:r>
        <w:t xml:space="preserve"> – </w:t>
      </w:r>
      <w:r w:rsidRPr="00D1688C">
        <w:t>generally characterised by industry-formulated rules and codes of conduct, with industry solely responsible for enforcement</w:t>
      </w:r>
      <w:r>
        <w:rPr>
          <w:rStyle w:val="FootnoteReference"/>
        </w:rPr>
        <w:footnoteReference w:id="3"/>
      </w:r>
      <w:r>
        <w:t xml:space="preserve">. </w:t>
      </w:r>
    </w:p>
    <w:p w14:paraId="3475BF37" w14:textId="77777777" w:rsidR="00FD258F" w:rsidRDefault="00FD258F" w:rsidP="00FD258F">
      <w:pPr>
        <w:pStyle w:val="bullet10"/>
        <w:spacing w:before="30" w:after="30"/>
      </w:pPr>
      <w:r w:rsidRPr="00D1688C">
        <w:rPr>
          <w:b/>
          <w:bCs/>
        </w:rPr>
        <w:t>Quasi-regulation</w:t>
      </w:r>
      <w:r>
        <w:t xml:space="preserve"> – </w:t>
      </w:r>
      <w:r w:rsidRPr="00463842">
        <w:t>arrangements where government influences businesses to comply, but which do not form part of explicit government regulation</w:t>
      </w:r>
      <w:r>
        <w:rPr>
          <w:vertAlign w:val="superscript"/>
        </w:rPr>
        <w:t>4</w:t>
      </w:r>
      <w:r>
        <w:t xml:space="preserve">. </w:t>
      </w:r>
    </w:p>
    <w:p w14:paraId="330B5DC6" w14:textId="421D42A2" w:rsidR="004E4DE9" w:rsidRPr="004E4DE9" w:rsidRDefault="00FD258F" w:rsidP="004E4DE9">
      <w:pPr>
        <w:pStyle w:val="bullet10"/>
        <w:spacing w:before="30" w:after="30"/>
      </w:pPr>
      <w:r w:rsidRPr="00463842">
        <w:rPr>
          <w:b/>
          <w:bCs/>
        </w:rPr>
        <w:t>Co-regulation</w:t>
      </w:r>
      <w:r>
        <w:t xml:space="preserve"> – </w:t>
      </w:r>
      <w:r w:rsidRPr="00463842">
        <w:t>situations where industry develops and administers its own arrangements, but government provides legislative backing to enable the arrangements to be enforced</w:t>
      </w:r>
      <w:r>
        <w:rPr>
          <w:vertAlign w:val="superscript"/>
        </w:rPr>
        <w:t>4</w:t>
      </w:r>
      <w:r>
        <w:t>.</w:t>
      </w:r>
    </w:p>
    <w:p w14:paraId="3A5ED240" w14:textId="3F3D1B47" w:rsidR="004E4DE9" w:rsidRPr="004E4DE9" w:rsidRDefault="00283DA5" w:rsidP="00B23559">
      <w:pPr>
        <w:spacing w:beforeLines="60" w:before="144" w:afterLines="60" w:after="144"/>
      </w:pPr>
      <w:r>
        <w:t>Please r</w:t>
      </w:r>
      <w:r w:rsidR="004E4DE9" w:rsidRPr="004E4DE9">
        <w:t xml:space="preserve">efer to </w:t>
      </w:r>
      <w:r w:rsidR="004362C8" w:rsidRPr="00A07664">
        <w:rPr>
          <w:i/>
          <w:iCs/>
        </w:rPr>
        <w:t>Appendix B</w:t>
      </w:r>
      <w:r w:rsidR="004362C8">
        <w:rPr>
          <w:i/>
          <w:iCs/>
        </w:rPr>
        <w:t>: Non-regulatory and</w:t>
      </w:r>
      <w:r w:rsidR="004362C8" w:rsidRPr="00A07664">
        <w:rPr>
          <w:i/>
          <w:iCs/>
        </w:rPr>
        <w:t xml:space="preserve"> regulatory options</w:t>
      </w:r>
      <w:r w:rsidR="004362C8" w:rsidRPr="004E4DE9">
        <w:t xml:space="preserve"> </w:t>
      </w:r>
      <w:r w:rsidR="004E4DE9" w:rsidRPr="004E4DE9">
        <w:t xml:space="preserve">for further details on </w:t>
      </w:r>
      <w:r w:rsidR="002C112F">
        <w:t xml:space="preserve">potential </w:t>
      </w:r>
      <w:r w:rsidR="004E4DE9" w:rsidRPr="004E4DE9">
        <w:t>regulatory approaches.</w:t>
      </w:r>
    </w:p>
    <w:p w14:paraId="6541B068" w14:textId="779215E4" w:rsidR="007230B4" w:rsidRPr="007230B4" w:rsidRDefault="007230B4" w:rsidP="00B23559">
      <w:pPr>
        <w:spacing w:beforeLines="60" w:before="144" w:afterLines="60" w:after="144"/>
        <w:rPr>
          <w:b/>
          <w:bCs/>
          <w:sz w:val="24"/>
          <w:szCs w:val="22"/>
        </w:rPr>
      </w:pPr>
      <w:r w:rsidRPr="007230B4">
        <w:rPr>
          <w:b/>
          <w:bCs/>
          <w:sz w:val="24"/>
          <w:szCs w:val="22"/>
        </w:rPr>
        <w:t>Filtering options</w:t>
      </w:r>
    </w:p>
    <w:p w14:paraId="41F16148" w14:textId="0B3C0640" w:rsidR="007462FE" w:rsidRDefault="00BC5F99" w:rsidP="00E6389C">
      <w:pPr>
        <w:spacing w:beforeLines="60" w:before="144" w:afterLines="60" w:after="144"/>
      </w:pPr>
      <w:r>
        <w:t>O</w:t>
      </w:r>
      <w:r w:rsidR="00D440A8">
        <w:t>ptions may be infeasible due to</w:t>
      </w:r>
      <w:r w:rsidR="007462FE">
        <w:t xml:space="preserve"> </w:t>
      </w:r>
      <w:r w:rsidR="00332C27">
        <w:t>certain</w:t>
      </w:r>
      <w:r w:rsidR="007462FE">
        <w:t xml:space="preserve"> constraint</w:t>
      </w:r>
      <w:r w:rsidR="006A0198">
        <w:t xml:space="preserve">s, and explanation and justification should be provided in the RIA where constraints occur. </w:t>
      </w:r>
      <w:r w:rsidR="001F5113">
        <w:t xml:space="preserve">This is particularly the case when less </w:t>
      </w:r>
      <w:r w:rsidR="00CF0C1B">
        <w:t>than three</w:t>
      </w:r>
      <w:r w:rsidR="001F5113">
        <w:t xml:space="preserve"> options are ultimately considered feasible. </w:t>
      </w:r>
      <w:r w:rsidR="006A0198">
        <w:t>Possible constraints</w:t>
      </w:r>
      <w:r w:rsidR="007462FE">
        <w:t xml:space="preserve"> includ</w:t>
      </w:r>
      <w:r w:rsidR="006A0198">
        <w:t>e</w:t>
      </w:r>
      <w:r w:rsidR="007462FE">
        <w:t>:</w:t>
      </w:r>
    </w:p>
    <w:p w14:paraId="5433FE6A" w14:textId="476903B0" w:rsidR="007462FE" w:rsidRDefault="007462FE" w:rsidP="007462FE">
      <w:pPr>
        <w:pStyle w:val="bullet10"/>
        <w:spacing w:before="30" w:after="30"/>
      </w:pPr>
      <w:r>
        <w:t xml:space="preserve">technological </w:t>
      </w:r>
      <w:proofErr w:type="gramStart"/>
      <w:r>
        <w:t>constraint;</w:t>
      </w:r>
      <w:proofErr w:type="gramEnd"/>
    </w:p>
    <w:p w14:paraId="21E68452" w14:textId="6CB409BF" w:rsidR="007462FE" w:rsidRDefault="007462FE" w:rsidP="007462FE">
      <w:pPr>
        <w:pStyle w:val="bullet10"/>
        <w:spacing w:before="30" w:after="30"/>
      </w:pPr>
      <w:r>
        <w:t xml:space="preserve">legal limitations of the </w:t>
      </w:r>
      <w:proofErr w:type="gramStart"/>
      <w:r>
        <w:t>Government;</w:t>
      </w:r>
      <w:proofErr w:type="gramEnd"/>
    </w:p>
    <w:p w14:paraId="3D801AD1" w14:textId="70DC1931" w:rsidR="007462FE" w:rsidRDefault="007462FE" w:rsidP="007462FE">
      <w:pPr>
        <w:pStyle w:val="bullet10"/>
        <w:spacing w:before="30" w:after="30"/>
      </w:pPr>
      <w:r>
        <w:t>limitation on the timeframe for implementing policy; and</w:t>
      </w:r>
    </w:p>
    <w:p w14:paraId="21EC7392" w14:textId="3891BAFD" w:rsidR="004E4DE9" w:rsidRPr="001F5113" w:rsidRDefault="007462FE" w:rsidP="001F5113">
      <w:pPr>
        <w:pStyle w:val="bullet10"/>
        <w:spacing w:before="30" w:after="30"/>
        <w:rPr>
          <w:szCs w:val="22"/>
        </w:rPr>
      </w:pPr>
      <w:r w:rsidRPr="00D972FF">
        <w:rPr>
          <w:szCs w:val="22"/>
        </w:rPr>
        <w:t>contradiction with existing government policies</w:t>
      </w:r>
      <w:r w:rsidR="008F703F" w:rsidRPr="00D972FF">
        <w:rPr>
          <w:szCs w:val="22"/>
        </w:rPr>
        <w:t>.</w:t>
      </w:r>
    </w:p>
    <w:p w14:paraId="21D39AB9" w14:textId="741E7D9E" w:rsidR="00C9555F" w:rsidRPr="00210E24" w:rsidRDefault="00C9555F" w:rsidP="00210E24">
      <w:pPr>
        <w:spacing w:beforeLines="60" w:before="144" w:afterLines="60" w:after="144"/>
        <w:rPr>
          <w:rFonts w:ascii="Arial Bold" w:hAnsi="Arial Bold"/>
          <w:bCs/>
          <w:color w:val="808080" w:themeColor="background1" w:themeShade="80"/>
          <w:sz w:val="24"/>
          <w:szCs w:val="26"/>
        </w:rPr>
      </w:pPr>
      <w:bookmarkStart w:id="19" w:name="_Toc175576406"/>
      <w:r w:rsidRPr="00210E24">
        <w:rPr>
          <w:rFonts w:ascii="Arial Bold" w:hAnsi="Arial Bold"/>
          <w:bCs/>
          <w:color w:val="808080" w:themeColor="background1" w:themeShade="80"/>
          <w:sz w:val="24"/>
          <w:szCs w:val="26"/>
        </w:rPr>
        <w:t xml:space="preserve">3.5 Identify </w:t>
      </w:r>
      <w:r w:rsidR="00A11D3F" w:rsidRPr="00210E24">
        <w:rPr>
          <w:rFonts w:ascii="Arial Bold" w:hAnsi="Arial Bold"/>
          <w:bCs/>
          <w:color w:val="808080" w:themeColor="background1" w:themeShade="80"/>
          <w:sz w:val="24"/>
          <w:szCs w:val="26"/>
        </w:rPr>
        <w:t>m</w:t>
      </w:r>
      <w:r w:rsidRPr="00210E24">
        <w:rPr>
          <w:rFonts w:ascii="Arial Bold" w:hAnsi="Arial Bold"/>
          <w:bCs/>
          <w:color w:val="808080" w:themeColor="background1" w:themeShade="80"/>
          <w:sz w:val="24"/>
          <w:szCs w:val="26"/>
        </w:rPr>
        <w:t xml:space="preserve">utual </w:t>
      </w:r>
      <w:r w:rsidR="00A11D3F" w:rsidRPr="00210E24">
        <w:rPr>
          <w:rFonts w:ascii="Arial Bold" w:hAnsi="Arial Bold"/>
          <w:bCs/>
          <w:color w:val="808080" w:themeColor="background1" w:themeShade="80"/>
          <w:sz w:val="24"/>
          <w:szCs w:val="26"/>
        </w:rPr>
        <w:t>r</w:t>
      </w:r>
      <w:r w:rsidRPr="00210E24">
        <w:rPr>
          <w:rFonts w:ascii="Arial Bold" w:hAnsi="Arial Bold"/>
          <w:bCs/>
          <w:color w:val="808080" w:themeColor="background1" w:themeShade="80"/>
          <w:sz w:val="24"/>
          <w:szCs w:val="26"/>
        </w:rPr>
        <w:t>ecognition issues</w:t>
      </w:r>
      <w:bookmarkEnd w:id="19"/>
      <w:r w:rsidRPr="00210E24">
        <w:rPr>
          <w:rFonts w:ascii="Arial Bold" w:hAnsi="Arial Bold"/>
          <w:bCs/>
          <w:color w:val="808080" w:themeColor="background1" w:themeShade="80"/>
          <w:sz w:val="24"/>
          <w:szCs w:val="26"/>
        </w:rPr>
        <w:t xml:space="preserve"> </w:t>
      </w:r>
    </w:p>
    <w:p w14:paraId="5E272E4D" w14:textId="4AD03654" w:rsidR="00A11D3F" w:rsidRPr="00026D8D" w:rsidRDefault="00A11D3F" w:rsidP="00A11D3F">
      <w:pPr>
        <w:spacing w:after="0"/>
        <w:rPr>
          <w:b/>
          <w:bCs/>
        </w:rPr>
      </w:pPr>
      <w:r w:rsidRPr="00026D8D">
        <w:rPr>
          <w:b/>
          <w:bCs/>
        </w:rPr>
        <w:t xml:space="preserve">Box </w:t>
      </w:r>
      <w:r w:rsidR="00E36D53">
        <w:rPr>
          <w:b/>
          <w:bCs/>
        </w:rPr>
        <w:t>6</w:t>
      </w:r>
      <w:r w:rsidRPr="00026D8D">
        <w:rPr>
          <w:b/>
          <w:bCs/>
        </w:rPr>
        <w:t xml:space="preserve">: Questions </w:t>
      </w:r>
      <w:r w:rsidR="00250FEA">
        <w:rPr>
          <w:b/>
          <w:bCs/>
        </w:rPr>
        <w:t>to consider when identifying</w:t>
      </w:r>
      <w:r>
        <w:rPr>
          <w:b/>
          <w:bCs/>
        </w:rPr>
        <w:t xml:space="preserve"> mutual recognition</w:t>
      </w:r>
      <w:r w:rsidR="00250FEA">
        <w:rPr>
          <w:b/>
          <w:bCs/>
        </w:rPr>
        <w:t xml:space="preserve"> issues</w:t>
      </w:r>
    </w:p>
    <w:p w14:paraId="20283277" w14:textId="292549EC" w:rsidR="00A11D3F" w:rsidRDefault="00A11D3F" w:rsidP="00A11D3F">
      <w:pPr>
        <w:pStyle w:val="Boxed1Bullet"/>
        <w:spacing w:before="60"/>
        <w:ind w:left="568" w:hanging="284"/>
      </w:pPr>
      <w:r w:rsidRPr="00A11D3F">
        <w:t>Is there any legislation prepared by other jurisdictions that may meet ACT requirements</w:t>
      </w:r>
      <w:r>
        <w:t>?</w:t>
      </w:r>
    </w:p>
    <w:p w14:paraId="4124C7B0" w14:textId="0531A700" w:rsidR="00A11D3F" w:rsidRDefault="00A11D3F" w:rsidP="00A11D3F">
      <w:pPr>
        <w:pStyle w:val="Boxed1Bullet"/>
        <w:spacing w:before="60"/>
        <w:ind w:left="568" w:hanging="284"/>
      </w:pPr>
      <w:r w:rsidRPr="00A11D3F">
        <w:lastRenderedPageBreak/>
        <w:t>Is the intended regulation overridden by or permanently exempt from existing mutual recognition agreements</w:t>
      </w:r>
      <w:r>
        <w:t>?</w:t>
      </w:r>
    </w:p>
    <w:p w14:paraId="32DB44E5" w14:textId="1AEECDC8" w:rsidR="00A11D3F" w:rsidRPr="00A11D3F" w:rsidRDefault="00C667A7" w:rsidP="00C667A7">
      <w:r>
        <w:t xml:space="preserve">Mutual recognition agreements allow goods and occupational qualifications that are produced or registered in one state or territory to be accepted in other states and territories. For example, a practitioner registered in one jurisdiction is entitled to automatic registration for an equivalent occupation in a second jurisdiction. As such, efficiency gains that allow regulatory consistency between jurisdictions can aid business and consumers. Relevant agreements </w:t>
      </w:r>
      <w:r w:rsidRPr="005B1093">
        <w:t>are the Mutual Recognition Agreement (MRA) between all Australian States and Territories and the Trans-Tasman</w:t>
      </w:r>
      <w:r>
        <w:t xml:space="preserve"> Mutual Recognition Arrangement (TTMRA) between Australia and New Zealand.</w:t>
      </w:r>
    </w:p>
    <w:p w14:paraId="3963414F" w14:textId="78BDAA41" w:rsidR="00C9555F" w:rsidRDefault="00C036A8" w:rsidP="00C036A8">
      <w:pPr>
        <w:spacing w:beforeLines="60" w:before="144" w:afterLines="60" w:after="144"/>
        <w:rPr>
          <w:szCs w:val="22"/>
          <w:lang w:eastAsia="en-AU"/>
        </w:rPr>
      </w:pPr>
      <w:r w:rsidRPr="00C036A8">
        <w:rPr>
          <w:szCs w:val="22"/>
          <w:lang w:eastAsia="en-AU"/>
        </w:rPr>
        <w:t>Laws implementing mutual recognition may also override other laws such as those that regulate the manufacture or sale of goods. Examples of laws overridden include requirements relating to production standards, packaging and labelling,</w:t>
      </w:r>
      <w:r>
        <w:rPr>
          <w:szCs w:val="22"/>
          <w:lang w:eastAsia="en-AU"/>
        </w:rPr>
        <w:t xml:space="preserve"> </w:t>
      </w:r>
      <w:r w:rsidRPr="00C036A8">
        <w:rPr>
          <w:szCs w:val="22"/>
          <w:lang w:eastAsia="en-AU"/>
        </w:rPr>
        <w:t>and conformance assessment requirements relating to the sale or manufacture of goods.</w:t>
      </w:r>
    </w:p>
    <w:p w14:paraId="7BF1E65B" w14:textId="074A6702" w:rsidR="00C036A8" w:rsidRDefault="00C036A8" w:rsidP="00C036A8">
      <w:pPr>
        <w:spacing w:beforeLines="60" w:before="144" w:afterLines="60" w:after="144"/>
        <w:rPr>
          <w:szCs w:val="22"/>
          <w:lang w:eastAsia="en-AU"/>
        </w:rPr>
      </w:pPr>
      <w:r w:rsidRPr="00C036A8">
        <w:rPr>
          <w:szCs w:val="22"/>
          <w:lang w:eastAsia="en-AU"/>
        </w:rPr>
        <w:t>Hence, before preparing regulatory measures, agencies should examine legislation prepared by other jurisdictions that may meet ACT requirements.</w:t>
      </w:r>
    </w:p>
    <w:p w14:paraId="6F402570" w14:textId="17CB19DE" w:rsidR="00CE21B1" w:rsidRPr="00210E24" w:rsidRDefault="00CE21B1" w:rsidP="00210E24">
      <w:pPr>
        <w:spacing w:beforeLines="60" w:before="144" w:afterLines="60" w:after="144"/>
        <w:rPr>
          <w:rFonts w:ascii="Arial Bold" w:hAnsi="Arial Bold"/>
          <w:bCs/>
          <w:color w:val="808080" w:themeColor="background1" w:themeShade="80"/>
          <w:sz w:val="24"/>
          <w:szCs w:val="26"/>
        </w:rPr>
      </w:pPr>
      <w:bookmarkStart w:id="20" w:name="_Toc175576407"/>
      <w:r w:rsidRPr="00210E24">
        <w:rPr>
          <w:rFonts w:ascii="Arial Bold" w:hAnsi="Arial Bold"/>
          <w:bCs/>
          <w:color w:val="808080" w:themeColor="background1" w:themeShade="80"/>
          <w:sz w:val="24"/>
          <w:szCs w:val="26"/>
        </w:rPr>
        <w:t>3.6 Undertake impact analysis</w:t>
      </w:r>
      <w:bookmarkEnd w:id="20"/>
      <w:r w:rsidRPr="00210E24">
        <w:rPr>
          <w:rFonts w:ascii="Arial Bold" w:hAnsi="Arial Bold"/>
          <w:bCs/>
          <w:color w:val="808080" w:themeColor="background1" w:themeShade="80"/>
          <w:sz w:val="24"/>
          <w:szCs w:val="26"/>
        </w:rPr>
        <w:t xml:space="preserve">  </w:t>
      </w:r>
    </w:p>
    <w:p w14:paraId="34F7B86B" w14:textId="0177DB77" w:rsidR="00ED514C" w:rsidRPr="00026D8D" w:rsidRDefault="00ED514C" w:rsidP="00ED514C">
      <w:pPr>
        <w:spacing w:after="0"/>
        <w:rPr>
          <w:b/>
          <w:bCs/>
        </w:rPr>
      </w:pPr>
      <w:r w:rsidRPr="00026D8D">
        <w:rPr>
          <w:b/>
          <w:bCs/>
        </w:rPr>
        <w:t xml:space="preserve">Box </w:t>
      </w:r>
      <w:r w:rsidR="00E36D53">
        <w:rPr>
          <w:b/>
          <w:bCs/>
        </w:rPr>
        <w:t>7</w:t>
      </w:r>
      <w:r w:rsidRPr="00026D8D">
        <w:rPr>
          <w:b/>
          <w:bCs/>
        </w:rPr>
        <w:t xml:space="preserve">: Questions </w:t>
      </w:r>
      <w:r w:rsidR="00250FEA">
        <w:rPr>
          <w:b/>
          <w:bCs/>
        </w:rPr>
        <w:t>to consider when</w:t>
      </w:r>
      <w:r>
        <w:rPr>
          <w:b/>
          <w:bCs/>
        </w:rPr>
        <w:t xml:space="preserve"> undertaking impact analysis</w:t>
      </w:r>
    </w:p>
    <w:p w14:paraId="1E6AB924" w14:textId="41E7DC47" w:rsidR="00ED514C" w:rsidRDefault="008E0B38" w:rsidP="00ED514C">
      <w:pPr>
        <w:pStyle w:val="Boxed1Bullet"/>
        <w:spacing w:before="60"/>
        <w:ind w:left="568" w:hanging="284"/>
      </w:pPr>
      <w:r>
        <w:t>Who is affected by the problem and who is likely to be affected by the proposed solutions?</w:t>
      </w:r>
    </w:p>
    <w:p w14:paraId="4182157C" w14:textId="46A433CB" w:rsidR="008E0B38" w:rsidRDefault="008E0B38" w:rsidP="00ED514C">
      <w:pPr>
        <w:pStyle w:val="Boxed1Bullet"/>
        <w:spacing w:before="60"/>
        <w:ind w:left="568" w:hanging="284"/>
      </w:pPr>
      <w:r w:rsidRPr="008E0B38">
        <w:t>What are the quantified costs and benefits imposed on the affected parties</w:t>
      </w:r>
      <w:r>
        <w:t>?</w:t>
      </w:r>
    </w:p>
    <w:p w14:paraId="7F4D4C80" w14:textId="652AB9C1" w:rsidR="00ED514C" w:rsidRDefault="008E0B38" w:rsidP="00ED514C">
      <w:pPr>
        <w:pStyle w:val="Boxed1Bullet"/>
        <w:spacing w:before="60"/>
        <w:ind w:left="568" w:hanging="284"/>
      </w:pPr>
      <w:r w:rsidRPr="008E0B38">
        <w:t>What are the assumptions and data sources used in making these assessments</w:t>
      </w:r>
      <w:r w:rsidR="00ED514C">
        <w:t>?</w:t>
      </w:r>
    </w:p>
    <w:p w14:paraId="321FF63D" w14:textId="5E2AB7DC" w:rsidR="008E0B38" w:rsidRDefault="008E0B38" w:rsidP="00ED514C">
      <w:pPr>
        <w:pStyle w:val="Boxed1Bullet"/>
        <w:spacing w:before="60"/>
        <w:ind w:left="568" w:hanging="284"/>
      </w:pPr>
      <w:r w:rsidRPr="008E0B38">
        <w:t>What are the outcomes for each option</w:t>
      </w:r>
      <w:r>
        <w:t>?</w:t>
      </w:r>
    </w:p>
    <w:p w14:paraId="08B151D3" w14:textId="159CD310" w:rsidR="004E4A33" w:rsidRDefault="00C63DFF" w:rsidP="00ED514C">
      <w:pPr>
        <w:spacing w:beforeLines="60" w:before="144" w:afterLines="60" w:after="144"/>
      </w:pPr>
      <w:r>
        <w:t xml:space="preserve">Undertaking a comprehensive assessment of the expected impact of each option is one of the most, if not the most, important step of the RIA process. </w:t>
      </w:r>
      <w:r w:rsidRPr="00C63DFF">
        <w:t>In general, the degree of detail and depth of analysis should be commensurate with the magnitude of the problem and with the size of the potential impact of the regulatory proposals</w:t>
      </w:r>
      <w:r>
        <w:t>.</w:t>
      </w:r>
    </w:p>
    <w:p w14:paraId="0C9F13F4" w14:textId="1274E0EB" w:rsidR="00C63DFF" w:rsidRDefault="00C63DFF" w:rsidP="00ED514C">
      <w:pPr>
        <w:spacing w:beforeLines="60" w:before="144" w:afterLines="60" w:after="144"/>
        <w:rPr>
          <w:szCs w:val="22"/>
          <w:lang w:eastAsia="en-AU"/>
        </w:rPr>
      </w:pPr>
      <w:r w:rsidRPr="00C63DFF">
        <w:rPr>
          <w:szCs w:val="22"/>
          <w:lang w:eastAsia="en-AU"/>
        </w:rPr>
        <w:t xml:space="preserve">Qualitative and quantitative evidence should be utilised to adequately assess the costs and benefits of each option </w:t>
      </w:r>
      <w:proofErr w:type="gramStart"/>
      <w:r w:rsidRPr="00C63DFF">
        <w:rPr>
          <w:szCs w:val="22"/>
          <w:lang w:eastAsia="en-AU"/>
        </w:rPr>
        <w:t>in order to</w:t>
      </w:r>
      <w:proofErr w:type="gramEnd"/>
      <w:r w:rsidRPr="00C63DFF">
        <w:rPr>
          <w:szCs w:val="22"/>
          <w:lang w:eastAsia="en-AU"/>
        </w:rPr>
        <w:t xml:space="preserve"> determine the option that most efficiently and effectively addresses the problem</w:t>
      </w:r>
      <w:r>
        <w:rPr>
          <w:szCs w:val="22"/>
          <w:lang w:eastAsia="en-AU"/>
        </w:rPr>
        <w:t xml:space="preserve">. For transparency, the RIA should report the sources of data used in the analysis, and any assumptions that have been made. </w:t>
      </w:r>
    </w:p>
    <w:p w14:paraId="12CF2583" w14:textId="6F286E37" w:rsidR="00503A53" w:rsidRDefault="00503A53" w:rsidP="00ED514C">
      <w:pPr>
        <w:spacing w:beforeLines="60" w:before="144" w:afterLines="60" w:after="144"/>
        <w:rPr>
          <w:szCs w:val="22"/>
          <w:lang w:eastAsia="en-AU"/>
        </w:rPr>
      </w:pPr>
      <w:r>
        <w:rPr>
          <w:szCs w:val="22"/>
          <w:lang w:eastAsia="en-AU"/>
        </w:rPr>
        <w:t xml:space="preserve">In addition, if the regulatory proposal is likely to restrict competition, the RIA should contain a competition assessment demonstrating that benefits of the restriction outweigh the costs and that the Government objectives can only be achieved by restricting competition. </w:t>
      </w:r>
    </w:p>
    <w:p w14:paraId="31739061" w14:textId="3074F8AD" w:rsidR="00394D85" w:rsidRDefault="00394D85" w:rsidP="00394D85">
      <w:pPr>
        <w:spacing w:beforeLines="60" w:before="144" w:afterLines="60" w:after="144"/>
        <w:rPr>
          <w:b/>
          <w:bCs/>
          <w:sz w:val="24"/>
          <w:szCs w:val="24"/>
          <w:lang w:eastAsia="en-AU"/>
        </w:rPr>
      </w:pPr>
      <w:r>
        <w:rPr>
          <w:b/>
          <w:bCs/>
          <w:sz w:val="24"/>
          <w:szCs w:val="24"/>
          <w:lang w:eastAsia="en-AU"/>
        </w:rPr>
        <w:t>Who is affected?</w:t>
      </w:r>
    </w:p>
    <w:p w14:paraId="7A52D432" w14:textId="088B3CD9" w:rsidR="00F70ADF" w:rsidRDefault="00F70ADF" w:rsidP="00394D85">
      <w:pPr>
        <w:spacing w:beforeLines="60" w:before="144" w:afterLines="60" w:after="144"/>
        <w:rPr>
          <w:szCs w:val="22"/>
          <w:lang w:eastAsia="en-AU"/>
        </w:rPr>
      </w:pPr>
      <w:r w:rsidRPr="00F70ADF">
        <w:rPr>
          <w:szCs w:val="22"/>
          <w:lang w:eastAsia="en-AU"/>
        </w:rPr>
        <w:t xml:space="preserve">It is important to identify who in the ACT is going to be affected by the proposed policy, be it households, businesses, or the broader community. Practically, </w:t>
      </w:r>
      <w:r>
        <w:rPr>
          <w:szCs w:val="22"/>
          <w:lang w:eastAsia="en-AU"/>
        </w:rPr>
        <w:t>one should</w:t>
      </w:r>
      <w:r w:rsidRPr="00F70ADF">
        <w:rPr>
          <w:szCs w:val="22"/>
          <w:lang w:eastAsia="en-AU"/>
        </w:rPr>
        <w:t xml:space="preserve"> look to understand this by asking – who is going to be better or worse off from </w:t>
      </w:r>
      <w:r>
        <w:rPr>
          <w:szCs w:val="22"/>
          <w:lang w:eastAsia="en-AU"/>
        </w:rPr>
        <w:t>the</w:t>
      </w:r>
      <w:r w:rsidRPr="00F70ADF">
        <w:rPr>
          <w:szCs w:val="22"/>
          <w:lang w:eastAsia="en-AU"/>
        </w:rPr>
        <w:t xml:space="preserve"> </w:t>
      </w:r>
      <w:r>
        <w:rPr>
          <w:szCs w:val="22"/>
          <w:lang w:eastAsia="en-AU"/>
        </w:rPr>
        <w:t>regulatory proposal</w:t>
      </w:r>
      <w:r w:rsidR="00650666">
        <w:rPr>
          <w:szCs w:val="22"/>
          <w:lang w:eastAsia="en-AU"/>
        </w:rPr>
        <w:t>?</w:t>
      </w:r>
    </w:p>
    <w:p w14:paraId="202261EF" w14:textId="77777777" w:rsidR="00313AA1" w:rsidRDefault="00394D85" w:rsidP="00394D85">
      <w:pPr>
        <w:spacing w:beforeLines="60" w:before="144" w:afterLines="60" w:after="144"/>
        <w:rPr>
          <w:szCs w:val="22"/>
          <w:lang w:eastAsia="en-AU"/>
        </w:rPr>
      </w:pPr>
      <w:r w:rsidRPr="00394D85">
        <w:rPr>
          <w:szCs w:val="22"/>
          <w:lang w:eastAsia="en-AU"/>
        </w:rPr>
        <w:lastRenderedPageBreak/>
        <w:t xml:space="preserve">Input from stakeholders is fundamental in identifying the qualitative and quantitative benefits and costs of </w:t>
      </w:r>
      <w:r w:rsidR="00F70ADF">
        <w:rPr>
          <w:szCs w:val="22"/>
          <w:lang w:eastAsia="en-AU"/>
        </w:rPr>
        <w:t>the</w:t>
      </w:r>
      <w:r w:rsidRPr="00394D85">
        <w:rPr>
          <w:szCs w:val="22"/>
          <w:lang w:eastAsia="en-AU"/>
        </w:rPr>
        <w:t xml:space="preserve"> regulatory proposal. Accordingly, those affected by the problem and those who will be likely affected by the solution should be identified early in the policy development process. </w:t>
      </w:r>
    </w:p>
    <w:p w14:paraId="055B8126" w14:textId="76895194" w:rsidR="00313AA1" w:rsidRDefault="00313AA1" w:rsidP="00313AA1">
      <w:pPr>
        <w:spacing w:beforeLines="60" w:before="144" w:afterLines="60" w:after="144"/>
        <w:rPr>
          <w:szCs w:val="22"/>
          <w:lang w:eastAsia="en-AU"/>
        </w:rPr>
      </w:pPr>
      <w:r>
        <w:rPr>
          <w:szCs w:val="22"/>
          <w:lang w:eastAsia="en-AU"/>
        </w:rPr>
        <w:t>The impact assessment should summarise the feedback you received from stakeholders and categorise the cost</w:t>
      </w:r>
      <w:r w:rsidR="009B0257">
        <w:rPr>
          <w:szCs w:val="22"/>
          <w:lang w:eastAsia="en-AU"/>
        </w:rPr>
        <w:t>s</w:t>
      </w:r>
      <w:r>
        <w:rPr>
          <w:szCs w:val="22"/>
          <w:lang w:eastAsia="en-AU"/>
        </w:rPr>
        <w:t xml:space="preserve"> and benefits across categories of stakeholders.</w:t>
      </w:r>
    </w:p>
    <w:p w14:paraId="0104C688" w14:textId="6356C02C" w:rsidR="00C63DFF" w:rsidRDefault="00394D85" w:rsidP="00ED514C">
      <w:pPr>
        <w:spacing w:beforeLines="60" w:before="144" w:afterLines="60" w:after="144"/>
        <w:rPr>
          <w:szCs w:val="22"/>
          <w:lang w:eastAsia="en-AU"/>
        </w:rPr>
      </w:pPr>
      <w:r w:rsidRPr="00394D85">
        <w:rPr>
          <w:szCs w:val="22"/>
          <w:lang w:eastAsia="en-AU"/>
        </w:rPr>
        <w:t>Stakeholders should be classified in terms of how they are affected by each option. Classifications should be as specific as possible to ensure accurate identification of groups and subsequent assessment of costs and benefits, e.g. business can be classified in terms of being large, medium or small.</w:t>
      </w:r>
    </w:p>
    <w:p w14:paraId="2D181C0B" w14:textId="6394EBE0" w:rsidR="00C63DFF" w:rsidRPr="00D202A0" w:rsidRDefault="00D202A0" w:rsidP="00ED514C">
      <w:pPr>
        <w:spacing w:beforeLines="60" w:before="144" w:afterLines="60" w:after="144"/>
        <w:rPr>
          <w:b/>
          <w:bCs/>
          <w:sz w:val="24"/>
          <w:szCs w:val="24"/>
          <w:lang w:eastAsia="en-AU"/>
        </w:rPr>
      </w:pPr>
      <w:r w:rsidRPr="00D202A0">
        <w:rPr>
          <w:b/>
          <w:bCs/>
          <w:sz w:val="24"/>
          <w:szCs w:val="24"/>
          <w:lang w:eastAsia="en-AU"/>
        </w:rPr>
        <w:t>What are costs and benefits?</w:t>
      </w:r>
    </w:p>
    <w:p w14:paraId="3163980B" w14:textId="77777777" w:rsidR="00940CCE" w:rsidRPr="002C112F" w:rsidRDefault="00C01073" w:rsidP="00ED514C">
      <w:pPr>
        <w:spacing w:beforeLines="60" w:before="144" w:afterLines="60" w:after="144"/>
        <w:rPr>
          <w:szCs w:val="22"/>
          <w:lang w:eastAsia="en-AU"/>
        </w:rPr>
      </w:pPr>
      <w:r w:rsidRPr="002C112F">
        <w:rPr>
          <w:szCs w:val="22"/>
          <w:lang w:eastAsia="en-AU"/>
        </w:rPr>
        <w:t xml:space="preserve">All costs and benefits of each option should be clearly identified and assessed to enable the identification of the option with the greatest net benefit to the community. Costs and benefits should be measured against </w:t>
      </w:r>
      <w:r w:rsidR="00822BCF" w:rsidRPr="002C112F">
        <w:rPr>
          <w:szCs w:val="22"/>
          <w:lang w:eastAsia="en-AU"/>
        </w:rPr>
        <w:t>a</w:t>
      </w:r>
      <w:r w:rsidRPr="002C112F">
        <w:rPr>
          <w:szCs w:val="22"/>
          <w:lang w:eastAsia="en-AU"/>
        </w:rPr>
        <w:t xml:space="preserve"> </w:t>
      </w:r>
      <w:r w:rsidRPr="00FE44F8">
        <w:rPr>
          <w:b/>
          <w:bCs/>
          <w:szCs w:val="22"/>
          <w:lang w:eastAsia="en-AU"/>
        </w:rPr>
        <w:t>base case</w:t>
      </w:r>
      <w:r w:rsidRPr="002C112F">
        <w:rPr>
          <w:szCs w:val="22"/>
          <w:lang w:eastAsia="en-AU"/>
        </w:rPr>
        <w:t xml:space="preserve">, which </w:t>
      </w:r>
      <w:r w:rsidR="00822BCF" w:rsidRPr="002C112F">
        <w:rPr>
          <w:szCs w:val="22"/>
          <w:lang w:eastAsia="en-AU"/>
        </w:rPr>
        <w:t>captures the existing level of impacts</w:t>
      </w:r>
      <w:r w:rsidR="004D5BDD" w:rsidRPr="002C112F">
        <w:rPr>
          <w:szCs w:val="22"/>
          <w:lang w:eastAsia="en-AU"/>
        </w:rPr>
        <w:t xml:space="preserve"> – in terms of the costs and benefits</w:t>
      </w:r>
      <w:r w:rsidR="008C5142" w:rsidRPr="002C112F">
        <w:rPr>
          <w:szCs w:val="22"/>
          <w:lang w:eastAsia="en-AU"/>
        </w:rPr>
        <w:t xml:space="preserve"> – of the continuation of the current settings. This then allows the change in behaviours, through the </w:t>
      </w:r>
      <w:r w:rsidR="00940CCE" w:rsidRPr="002C112F">
        <w:rPr>
          <w:szCs w:val="22"/>
          <w:lang w:eastAsia="en-AU"/>
        </w:rPr>
        <w:t>other options to be understood.</w:t>
      </w:r>
    </w:p>
    <w:p w14:paraId="480064FA" w14:textId="7CB6A30D" w:rsidR="001538E2" w:rsidRDefault="00C01073" w:rsidP="00ED514C">
      <w:pPr>
        <w:spacing w:beforeLines="60" w:before="144" w:afterLines="60" w:after="144"/>
        <w:rPr>
          <w:szCs w:val="22"/>
          <w:lang w:eastAsia="en-AU"/>
        </w:rPr>
      </w:pPr>
      <w:r>
        <w:rPr>
          <w:szCs w:val="22"/>
          <w:lang w:eastAsia="en-AU"/>
        </w:rPr>
        <w:t xml:space="preserve">Only additional costs and benefits arising from implementing the proposed options, compared to the base case, should be included in the analysis. </w:t>
      </w:r>
    </w:p>
    <w:p w14:paraId="5FD6852B" w14:textId="4C8244BA" w:rsidR="00C63DFF" w:rsidRDefault="00A476A9" w:rsidP="00ED514C">
      <w:pPr>
        <w:spacing w:beforeLines="60" w:before="144" w:afterLines="60" w:after="144"/>
        <w:rPr>
          <w:szCs w:val="22"/>
          <w:lang w:eastAsia="en-AU"/>
        </w:rPr>
      </w:pPr>
      <w:r w:rsidRPr="00A476A9">
        <w:rPr>
          <w:szCs w:val="22"/>
          <w:lang w:eastAsia="en-AU"/>
        </w:rPr>
        <w:t xml:space="preserve">A </w:t>
      </w:r>
      <w:r w:rsidRPr="00A476A9">
        <w:rPr>
          <w:b/>
          <w:bCs/>
          <w:szCs w:val="22"/>
          <w:lang w:eastAsia="en-AU"/>
        </w:rPr>
        <w:t>benefit</w:t>
      </w:r>
      <w:r w:rsidRPr="00A476A9">
        <w:rPr>
          <w:szCs w:val="22"/>
          <w:lang w:eastAsia="en-AU"/>
        </w:rPr>
        <w:t xml:space="preserve"> is described as the positive effect or the advantages of a </w:t>
      </w:r>
      <w:r w:rsidR="00CD0591" w:rsidRPr="00A476A9">
        <w:rPr>
          <w:szCs w:val="22"/>
          <w:lang w:eastAsia="en-AU"/>
        </w:rPr>
        <w:t>proposal and</w:t>
      </w:r>
      <w:r w:rsidRPr="00A476A9">
        <w:rPr>
          <w:szCs w:val="22"/>
          <w:lang w:eastAsia="en-AU"/>
        </w:rPr>
        <w:t xml:space="preserve"> may include any item that makes </w:t>
      </w:r>
      <w:r>
        <w:rPr>
          <w:szCs w:val="22"/>
          <w:lang w:eastAsia="en-AU"/>
        </w:rPr>
        <w:t>a</w:t>
      </w:r>
      <w:r w:rsidRPr="00A476A9">
        <w:rPr>
          <w:szCs w:val="22"/>
          <w:lang w:eastAsia="en-AU"/>
        </w:rPr>
        <w:t xml:space="preserve"> person better off regardless of whether it can be quantified</w:t>
      </w:r>
      <w:r>
        <w:rPr>
          <w:szCs w:val="22"/>
          <w:lang w:eastAsia="en-AU"/>
        </w:rPr>
        <w:t>.</w:t>
      </w:r>
    </w:p>
    <w:p w14:paraId="41393C66" w14:textId="24CCA0E1" w:rsidR="00A476A9" w:rsidRDefault="00A476A9" w:rsidP="00ED514C">
      <w:pPr>
        <w:spacing w:beforeLines="60" w:before="144" w:afterLines="60" w:after="144"/>
        <w:rPr>
          <w:szCs w:val="22"/>
          <w:lang w:eastAsia="en-AU"/>
        </w:rPr>
      </w:pPr>
      <w:r w:rsidRPr="00A476A9">
        <w:rPr>
          <w:szCs w:val="22"/>
          <w:lang w:eastAsia="en-AU"/>
        </w:rPr>
        <w:t xml:space="preserve">A </w:t>
      </w:r>
      <w:r w:rsidRPr="00A476A9">
        <w:rPr>
          <w:b/>
          <w:bCs/>
          <w:szCs w:val="22"/>
          <w:lang w:eastAsia="en-AU"/>
        </w:rPr>
        <w:t>cost</w:t>
      </w:r>
      <w:r w:rsidRPr="00A476A9">
        <w:rPr>
          <w:szCs w:val="22"/>
          <w:lang w:eastAsia="en-AU"/>
        </w:rPr>
        <w:t xml:space="preserve"> is described as the </w:t>
      </w:r>
      <w:r>
        <w:rPr>
          <w:szCs w:val="22"/>
          <w:lang w:eastAsia="en-AU"/>
        </w:rPr>
        <w:t>negative</w:t>
      </w:r>
      <w:r w:rsidRPr="00A476A9">
        <w:rPr>
          <w:szCs w:val="22"/>
          <w:lang w:eastAsia="en-AU"/>
        </w:rPr>
        <w:t xml:space="preserve"> effect or the </w:t>
      </w:r>
      <w:r>
        <w:rPr>
          <w:szCs w:val="22"/>
          <w:lang w:eastAsia="en-AU"/>
        </w:rPr>
        <w:t>dis</w:t>
      </w:r>
      <w:r w:rsidRPr="00A476A9">
        <w:rPr>
          <w:szCs w:val="22"/>
          <w:lang w:eastAsia="en-AU"/>
        </w:rPr>
        <w:t xml:space="preserve">advantages of a </w:t>
      </w:r>
      <w:r w:rsidR="00CD0591" w:rsidRPr="00A476A9">
        <w:rPr>
          <w:szCs w:val="22"/>
          <w:lang w:eastAsia="en-AU"/>
        </w:rPr>
        <w:t>proposal</w:t>
      </w:r>
      <w:r w:rsidR="00CD0591">
        <w:rPr>
          <w:szCs w:val="22"/>
          <w:lang w:eastAsia="en-AU"/>
        </w:rPr>
        <w:t xml:space="preserve"> and</w:t>
      </w:r>
      <w:r>
        <w:rPr>
          <w:szCs w:val="22"/>
          <w:lang w:eastAsia="en-AU"/>
        </w:rPr>
        <w:t xml:space="preserve"> may include</w:t>
      </w:r>
      <w:r w:rsidRPr="00A476A9">
        <w:rPr>
          <w:szCs w:val="22"/>
          <w:lang w:eastAsia="en-AU"/>
        </w:rPr>
        <w:t xml:space="preserve"> any item that makes </w:t>
      </w:r>
      <w:r>
        <w:rPr>
          <w:szCs w:val="22"/>
          <w:lang w:eastAsia="en-AU"/>
        </w:rPr>
        <w:t>a person</w:t>
      </w:r>
      <w:r w:rsidRPr="00A476A9">
        <w:rPr>
          <w:szCs w:val="22"/>
          <w:lang w:eastAsia="en-AU"/>
        </w:rPr>
        <w:t xml:space="preserve"> worse off or that reduces a person’s sense of well-being</w:t>
      </w:r>
      <w:r w:rsidR="00CA7B83">
        <w:rPr>
          <w:szCs w:val="22"/>
          <w:lang w:eastAsia="en-AU"/>
        </w:rPr>
        <w:t>, regardless of whether it can be quantified</w:t>
      </w:r>
      <w:r>
        <w:rPr>
          <w:szCs w:val="22"/>
          <w:lang w:eastAsia="en-AU"/>
        </w:rPr>
        <w:t>.</w:t>
      </w:r>
    </w:p>
    <w:p w14:paraId="57B22593" w14:textId="633DF2AE" w:rsidR="005267D0" w:rsidRPr="009020B6" w:rsidRDefault="005267D0" w:rsidP="00ED514C">
      <w:pPr>
        <w:spacing w:beforeLines="60" w:before="144" w:afterLines="60" w:after="144"/>
        <w:rPr>
          <w:szCs w:val="22"/>
          <w:lang w:eastAsia="en-AU"/>
        </w:rPr>
      </w:pPr>
      <w:r>
        <w:rPr>
          <w:szCs w:val="22"/>
          <w:lang w:eastAsia="en-AU"/>
        </w:rPr>
        <w:t>There are a range of costs and benefits that should be considered when assessing the impact of the proposed options. These include costs and benefits in relation to direct financial impact, compliance impact, market and economic impact, and other impact</w:t>
      </w:r>
      <w:r w:rsidR="00CF21C2">
        <w:rPr>
          <w:szCs w:val="22"/>
          <w:lang w:eastAsia="en-AU"/>
        </w:rPr>
        <w:t>s</w:t>
      </w:r>
      <w:r>
        <w:rPr>
          <w:szCs w:val="22"/>
          <w:lang w:eastAsia="en-AU"/>
        </w:rPr>
        <w:t xml:space="preserve"> like environmental and health impacts.</w:t>
      </w:r>
      <w:r w:rsidR="00F00D94">
        <w:rPr>
          <w:szCs w:val="22"/>
          <w:lang w:eastAsia="en-AU"/>
        </w:rPr>
        <w:t xml:space="preserve"> Refer to </w:t>
      </w:r>
      <w:r w:rsidR="00F00D94" w:rsidRPr="009020B6">
        <w:rPr>
          <w:i/>
          <w:iCs/>
          <w:szCs w:val="22"/>
          <w:lang w:eastAsia="en-AU"/>
        </w:rPr>
        <w:t xml:space="preserve">Appendix </w:t>
      </w:r>
      <w:r w:rsidR="003237EB" w:rsidRPr="009020B6">
        <w:rPr>
          <w:i/>
          <w:iCs/>
          <w:szCs w:val="22"/>
          <w:lang w:eastAsia="en-AU"/>
        </w:rPr>
        <w:t>C</w:t>
      </w:r>
      <w:r w:rsidR="00F00D94" w:rsidRPr="009020B6">
        <w:rPr>
          <w:i/>
          <w:iCs/>
          <w:szCs w:val="22"/>
          <w:lang w:eastAsia="en-AU"/>
        </w:rPr>
        <w:t xml:space="preserve"> – </w:t>
      </w:r>
      <w:r w:rsidR="003237EB" w:rsidRPr="009020B6">
        <w:rPr>
          <w:i/>
          <w:iCs/>
          <w:szCs w:val="22"/>
          <w:lang w:eastAsia="en-AU"/>
        </w:rPr>
        <w:t>Cost benefit analysis</w:t>
      </w:r>
      <w:r w:rsidR="00F00D94" w:rsidRPr="009020B6">
        <w:rPr>
          <w:szCs w:val="22"/>
          <w:lang w:eastAsia="en-AU"/>
        </w:rPr>
        <w:t xml:space="preserve"> for further details.</w:t>
      </w:r>
    </w:p>
    <w:p w14:paraId="5ACB01B3" w14:textId="67E19864" w:rsidR="004E4A33" w:rsidRPr="00091AD4" w:rsidRDefault="004E4A33" w:rsidP="00ED514C">
      <w:pPr>
        <w:spacing w:beforeLines="60" w:before="144" w:afterLines="60" w:after="144"/>
        <w:rPr>
          <w:b/>
          <w:bCs/>
          <w:sz w:val="24"/>
          <w:szCs w:val="24"/>
          <w:lang w:eastAsia="en-AU"/>
        </w:rPr>
      </w:pPr>
      <w:r w:rsidRPr="00091AD4">
        <w:rPr>
          <w:b/>
          <w:bCs/>
          <w:sz w:val="24"/>
          <w:szCs w:val="24"/>
          <w:lang w:eastAsia="en-AU"/>
        </w:rPr>
        <w:t>How to assess costs and benefits?</w:t>
      </w:r>
    </w:p>
    <w:p w14:paraId="1FD5A50C" w14:textId="10EB3267" w:rsidR="004E4A33" w:rsidRDefault="000219A2" w:rsidP="00ED514C">
      <w:pPr>
        <w:spacing w:beforeLines="60" w:before="144" w:afterLines="60" w:after="144"/>
        <w:rPr>
          <w:szCs w:val="22"/>
          <w:lang w:eastAsia="en-AU"/>
        </w:rPr>
      </w:pPr>
      <w:r>
        <w:rPr>
          <w:szCs w:val="22"/>
          <w:lang w:eastAsia="en-AU"/>
        </w:rPr>
        <w:t>While t</w:t>
      </w:r>
      <w:r w:rsidR="005267D0">
        <w:rPr>
          <w:szCs w:val="22"/>
          <w:lang w:eastAsia="en-AU"/>
        </w:rPr>
        <w:t>here are a range of methods for assessing costs and benefits</w:t>
      </w:r>
      <w:r>
        <w:rPr>
          <w:szCs w:val="22"/>
          <w:lang w:eastAsia="en-AU"/>
        </w:rPr>
        <w:t>, the preferred method in the RIA is cost-benefit analysis (CBA)</w:t>
      </w:r>
      <w:r w:rsidR="00C24EDA">
        <w:rPr>
          <w:szCs w:val="22"/>
          <w:lang w:eastAsia="en-AU"/>
        </w:rPr>
        <w:t>, as it</w:t>
      </w:r>
      <w:r w:rsidR="00464E33" w:rsidRPr="00464E33">
        <w:rPr>
          <w:szCs w:val="22"/>
          <w:lang w:eastAsia="en-AU"/>
        </w:rPr>
        <w:t xml:space="preserve"> allows a systematic evaluation and comparison of the costs and benefits of the options to address the problem.</w:t>
      </w:r>
      <w:r w:rsidR="0032294D">
        <w:rPr>
          <w:szCs w:val="22"/>
          <w:lang w:eastAsia="en-AU"/>
        </w:rPr>
        <w:t xml:space="preserve"> The key principles for undertaking a CBA are:</w:t>
      </w:r>
    </w:p>
    <w:p w14:paraId="4AF01A88" w14:textId="12B78A61" w:rsidR="0032294D" w:rsidRDefault="00B2687D" w:rsidP="0032294D">
      <w:pPr>
        <w:pStyle w:val="bullet10"/>
        <w:spacing w:before="30" w:after="30"/>
      </w:pPr>
      <w:r>
        <w:t>impacts</w:t>
      </w:r>
      <w:r w:rsidR="0032294D">
        <w:t xml:space="preserve"> should be monetised wherever possible, particularly for highly significant </w:t>
      </w:r>
      <w:proofErr w:type="gramStart"/>
      <w:r w:rsidR="0032294D">
        <w:t>impacts;</w:t>
      </w:r>
      <w:proofErr w:type="gramEnd"/>
    </w:p>
    <w:p w14:paraId="46BD1BFE" w14:textId="6C33A341" w:rsidR="0032294D" w:rsidRPr="00976284" w:rsidRDefault="0032294D" w:rsidP="0032294D">
      <w:pPr>
        <w:pStyle w:val="bullet10"/>
        <w:spacing w:before="30" w:after="30"/>
      </w:pPr>
      <w:r>
        <w:t xml:space="preserve">where monetisation is not possible, impacts should be </w:t>
      </w:r>
      <w:r w:rsidR="00B2687D">
        <w:t xml:space="preserve">quantified, </w:t>
      </w:r>
      <w:r w:rsidR="000D216F">
        <w:t>with examples being</w:t>
      </w:r>
      <w:r w:rsidR="00B2687D">
        <w:t xml:space="preserve"> lives saved, injuries/accidents avoided, </w:t>
      </w:r>
      <w:proofErr w:type="gramStart"/>
      <w:r w:rsidR="00B2687D">
        <w:t>etc;</w:t>
      </w:r>
      <w:proofErr w:type="gramEnd"/>
      <w:r>
        <w:t xml:space="preserve"> </w:t>
      </w:r>
    </w:p>
    <w:p w14:paraId="0C03FD76" w14:textId="40A20AC5" w:rsidR="000D216F" w:rsidRPr="000D216F" w:rsidRDefault="00B2687D" w:rsidP="000D216F">
      <w:pPr>
        <w:pStyle w:val="bullet10"/>
        <w:spacing w:before="30" w:after="30"/>
      </w:pPr>
      <w:r>
        <w:t xml:space="preserve">where quantification is not possible, impacts should be qualitatively assessed with justification and </w:t>
      </w:r>
      <w:r w:rsidR="00A318D3">
        <w:t>analysis</w:t>
      </w:r>
      <w:r>
        <w:t>.</w:t>
      </w:r>
    </w:p>
    <w:p w14:paraId="032BFA8E" w14:textId="2F913D2F" w:rsidR="003A0285" w:rsidRDefault="0031376F" w:rsidP="0031376F">
      <w:pPr>
        <w:spacing w:beforeLines="60" w:before="144" w:afterLines="60" w:after="144"/>
        <w:rPr>
          <w:szCs w:val="22"/>
          <w:lang w:eastAsia="en-AU"/>
        </w:rPr>
      </w:pPr>
      <w:r>
        <w:rPr>
          <w:szCs w:val="22"/>
          <w:lang w:eastAsia="en-AU"/>
        </w:rPr>
        <w:t xml:space="preserve">Capturing the expected changes in behaviours and outcomes from each </w:t>
      </w:r>
      <w:proofErr w:type="gramStart"/>
      <w:r>
        <w:rPr>
          <w:szCs w:val="22"/>
          <w:lang w:eastAsia="en-AU"/>
        </w:rPr>
        <w:t>option, and</w:t>
      </w:r>
      <w:proofErr w:type="gramEnd"/>
      <w:r>
        <w:rPr>
          <w:szCs w:val="22"/>
          <w:lang w:eastAsia="en-AU"/>
        </w:rPr>
        <w:t xml:space="preserve"> e</w:t>
      </w:r>
      <w:r w:rsidR="003A0285">
        <w:rPr>
          <w:szCs w:val="22"/>
          <w:lang w:eastAsia="en-AU"/>
        </w:rPr>
        <w:t xml:space="preserve">stimating costs and benefits in monetary terms allows easy calculation of net benefits, which in turn allows for </w:t>
      </w:r>
      <w:r w:rsidR="00190E06">
        <w:rPr>
          <w:szCs w:val="22"/>
          <w:lang w:eastAsia="en-AU"/>
        </w:rPr>
        <w:t>direct comparison of the proposed options.</w:t>
      </w:r>
      <w:r w:rsidR="00A6289C">
        <w:rPr>
          <w:szCs w:val="22"/>
          <w:lang w:eastAsia="en-AU"/>
        </w:rPr>
        <w:t xml:space="preserve"> </w:t>
      </w:r>
    </w:p>
    <w:p w14:paraId="32FA48AB" w14:textId="6FCB25FD" w:rsidR="003A0285" w:rsidRDefault="00533CA9" w:rsidP="00ED514C">
      <w:pPr>
        <w:spacing w:beforeLines="60" w:before="144" w:afterLines="60" w:after="144"/>
        <w:rPr>
          <w:szCs w:val="22"/>
          <w:lang w:eastAsia="en-AU"/>
        </w:rPr>
      </w:pPr>
      <w:r>
        <w:rPr>
          <w:szCs w:val="22"/>
          <w:lang w:eastAsia="en-AU"/>
        </w:rPr>
        <w:lastRenderedPageBreak/>
        <w:t xml:space="preserve">Broader discussion </w:t>
      </w:r>
      <w:r w:rsidR="001B6D2B">
        <w:rPr>
          <w:szCs w:val="22"/>
          <w:lang w:eastAsia="en-AU"/>
        </w:rPr>
        <w:t xml:space="preserve">on the implications of the </w:t>
      </w:r>
      <w:r w:rsidR="00190E06">
        <w:rPr>
          <w:szCs w:val="22"/>
          <w:lang w:eastAsia="en-AU"/>
        </w:rPr>
        <w:t xml:space="preserve">proposed </w:t>
      </w:r>
      <w:r w:rsidR="001B6D2B">
        <w:rPr>
          <w:szCs w:val="22"/>
          <w:lang w:eastAsia="en-AU"/>
        </w:rPr>
        <w:t xml:space="preserve">options may be necessary if they appear to result in similar levels of </w:t>
      </w:r>
      <w:r w:rsidR="00190E06">
        <w:rPr>
          <w:szCs w:val="22"/>
          <w:lang w:eastAsia="en-AU"/>
        </w:rPr>
        <w:t>net benefits</w:t>
      </w:r>
      <w:r w:rsidR="001B6D2B">
        <w:rPr>
          <w:szCs w:val="22"/>
          <w:lang w:eastAsia="en-AU"/>
        </w:rPr>
        <w:t xml:space="preserve">, </w:t>
      </w:r>
      <w:r w:rsidR="00190E06">
        <w:rPr>
          <w:szCs w:val="22"/>
          <w:lang w:eastAsia="en-AU"/>
        </w:rPr>
        <w:t>so</w:t>
      </w:r>
      <w:r w:rsidR="001B6D2B">
        <w:rPr>
          <w:szCs w:val="22"/>
          <w:lang w:eastAsia="en-AU"/>
        </w:rPr>
        <w:t xml:space="preserve"> that no one option is clearly superior to the others. </w:t>
      </w:r>
    </w:p>
    <w:p w14:paraId="16D0B30D" w14:textId="6DCA5379" w:rsidR="00F91D55" w:rsidRDefault="00E842FC" w:rsidP="00ED514C">
      <w:pPr>
        <w:spacing w:beforeLines="60" w:before="144" w:afterLines="60" w:after="144"/>
        <w:rPr>
          <w:szCs w:val="22"/>
          <w:lang w:eastAsia="en-AU"/>
        </w:rPr>
      </w:pPr>
      <w:r>
        <w:rPr>
          <w:szCs w:val="22"/>
          <w:lang w:eastAsia="en-AU"/>
        </w:rPr>
        <w:t xml:space="preserve">Refer to </w:t>
      </w:r>
      <w:r w:rsidRPr="009020B6">
        <w:rPr>
          <w:i/>
          <w:iCs/>
          <w:szCs w:val="22"/>
          <w:lang w:eastAsia="en-AU"/>
        </w:rPr>
        <w:t xml:space="preserve">Appendix </w:t>
      </w:r>
      <w:r w:rsidR="003237EB" w:rsidRPr="009020B6">
        <w:rPr>
          <w:i/>
          <w:iCs/>
          <w:szCs w:val="22"/>
          <w:lang w:eastAsia="en-AU"/>
        </w:rPr>
        <w:t>C</w:t>
      </w:r>
      <w:r w:rsidRPr="009020B6">
        <w:rPr>
          <w:i/>
          <w:iCs/>
          <w:szCs w:val="22"/>
          <w:lang w:eastAsia="en-AU"/>
        </w:rPr>
        <w:t xml:space="preserve"> – </w:t>
      </w:r>
      <w:r w:rsidR="003237EB" w:rsidRPr="009020B6">
        <w:rPr>
          <w:i/>
          <w:iCs/>
          <w:szCs w:val="22"/>
          <w:lang w:eastAsia="en-AU"/>
        </w:rPr>
        <w:t>Cost benefit analysis</w:t>
      </w:r>
      <w:r>
        <w:rPr>
          <w:szCs w:val="22"/>
          <w:lang w:eastAsia="en-AU"/>
        </w:rPr>
        <w:t xml:space="preserve"> for a simple guide </w:t>
      </w:r>
      <w:r w:rsidR="00645F1F">
        <w:rPr>
          <w:szCs w:val="22"/>
          <w:lang w:eastAsia="en-AU"/>
        </w:rPr>
        <w:t>for</w:t>
      </w:r>
      <w:r>
        <w:rPr>
          <w:szCs w:val="22"/>
          <w:lang w:eastAsia="en-AU"/>
        </w:rPr>
        <w:t xml:space="preserve"> undertaking a CBA.</w:t>
      </w:r>
    </w:p>
    <w:p w14:paraId="2CF8F8E2" w14:textId="2F8A9E35" w:rsidR="00A1760A" w:rsidRPr="00210E24" w:rsidRDefault="00A1760A" w:rsidP="00210E24">
      <w:pPr>
        <w:spacing w:beforeLines="60" w:before="144" w:afterLines="60" w:after="144"/>
        <w:rPr>
          <w:rFonts w:ascii="Arial Bold" w:hAnsi="Arial Bold"/>
          <w:bCs/>
          <w:color w:val="808080" w:themeColor="background1" w:themeShade="80"/>
          <w:sz w:val="24"/>
          <w:szCs w:val="26"/>
        </w:rPr>
      </w:pPr>
      <w:bookmarkStart w:id="21" w:name="_Toc175576408"/>
      <w:r w:rsidRPr="00210E24">
        <w:rPr>
          <w:rFonts w:ascii="Arial Bold" w:hAnsi="Arial Bold"/>
          <w:bCs/>
          <w:color w:val="808080" w:themeColor="background1" w:themeShade="80"/>
          <w:sz w:val="24"/>
          <w:szCs w:val="26"/>
        </w:rPr>
        <w:t xml:space="preserve">3.7 </w:t>
      </w:r>
      <w:r w:rsidR="005718EE" w:rsidRPr="00210E24">
        <w:rPr>
          <w:rFonts w:ascii="Arial Bold" w:hAnsi="Arial Bold"/>
          <w:bCs/>
          <w:color w:val="808080" w:themeColor="background1" w:themeShade="80"/>
          <w:sz w:val="24"/>
          <w:szCs w:val="26"/>
        </w:rPr>
        <w:t>Recommend an option</w:t>
      </w:r>
      <w:bookmarkEnd w:id="21"/>
      <w:r w:rsidRPr="00210E24">
        <w:rPr>
          <w:rFonts w:ascii="Arial Bold" w:hAnsi="Arial Bold"/>
          <w:bCs/>
          <w:color w:val="808080" w:themeColor="background1" w:themeShade="80"/>
          <w:sz w:val="24"/>
          <w:szCs w:val="26"/>
        </w:rPr>
        <w:t xml:space="preserve">  </w:t>
      </w:r>
    </w:p>
    <w:p w14:paraId="4F41E6E5" w14:textId="5931EECF" w:rsidR="00A16E87" w:rsidRPr="00026D8D" w:rsidRDefault="00A16E87" w:rsidP="00A16E87">
      <w:pPr>
        <w:spacing w:after="0"/>
        <w:rPr>
          <w:b/>
          <w:bCs/>
        </w:rPr>
      </w:pPr>
      <w:r w:rsidRPr="00026D8D">
        <w:rPr>
          <w:b/>
          <w:bCs/>
        </w:rPr>
        <w:t xml:space="preserve">Box </w:t>
      </w:r>
      <w:r w:rsidR="00E36D53">
        <w:rPr>
          <w:b/>
          <w:bCs/>
        </w:rPr>
        <w:t>8</w:t>
      </w:r>
      <w:r w:rsidRPr="00026D8D">
        <w:rPr>
          <w:b/>
          <w:bCs/>
        </w:rPr>
        <w:t xml:space="preserve">: Questions </w:t>
      </w:r>
      <w:r w:rsidR="00250FEA">
        <w:rPr>
          <w:b/>
          <w:bCs/>
        </w:rPr>
        <w:t>to consider when</w:t>
      </w:r>
      <w:r>
        <w:rPr>
          <w:b/>
          <w:bCs/>
        </w:rPr>
        <w:t xml:space="preserve"> recommend</w:t>
      </w:r>
      <w:r w:rsidR="00250FEA">
        <w:rPr>
          <w:b/>
          <w:bCs/>
        </w:rPr>
        <w:t>ing an</w:t>
      </w:r>
      <w:r>
        <w:rPr>
          <w:b/>
          <w:bCs/>
        </w:rPr>
        <w:t xml:space="preserve"> option</w:t>
      </w:r>
    </w:p>
    <w:p w14:paraId="2E43AEFE" w14:textId="27427174" w:rsidR="00A16E87" w:rsidRDefault="00A16E87" w:rsidP="00A16E87">
      <w:pPr>
        <w:pStyle w:val="Boxed1Bullet"/>
        <w:spacing w:before="60"/>
        <w:ind w:left="568" w:hanging="284"/>
      </w:pPr>
      <w:r>
        <w:t>What is the preferred option?</w:t>
      </w:r>
    </w:p>
    <w:p w14:paraId="759D0AE8" w14:textId="41ECBACF" w:rsidR="00A16E87" w:rsidRDefault="00A16E87" w:rsidP="00A16E87">
      <w:pPr>
        <w:pStyle w:val="Boxed1Bullet"/>
        <w:spacing w:before="60"/>
        <w:ind w:left="568" w:hanging="284"/>
      </w:pPr>
      <w:r>
        <w:t xml:space="preserve">Why is this option recommended </w:t>
      </w:r>
      <w:r w:rsidR="00F57A85">
        <w:t>over the others</w:t>
      </w:r>
      <w:r>
        <w:t>?</w:t>
      </w:r>
    </w:p>
    <w:p w14:paraId="63554AEB" w14:textId="18C86912" w:rsidR="00580023" w:rsidRDefault="004631BA" w:rsidP="002161A6">
      <w:pPr>
        <w:spacing w:beforeLines="60" w:before="144" w:afterLines="60" w:after="144"/>
      </w:pPr>
      <w:r>
        <w:t>The process of arriving at a recommendation – and articulating how you got there – is likely to greatly benefit</w:t>
      </w:r>
      <w:r w:rsidR="002161A6">
        <w:t xml:space="preserve"> the policy making process for reason that it </w:t>
      </w:r>
      <w:r w:rsidR="003B19DE">
        <w:t xml:space="preserve">requires the evaluation of </w:t>
      </w:r>
      <w:r w:rsidR="007B5F8F">
        <w:t xml:space="preserve">all the information </w:t>
      </w:r>
      <w:r w:rsidR="00CB36B0">
        <w:t xml:space="preserve">in one go. </w:t>
      </w:r>
      <w:r w:rsidR="008E28EE">
        <w:t>No new information is required here</w:t>
      </w:r>
      <w:r w:rsidR="00EB6D01">
        <w:t>.</w:t>
      </w:r>
      <w:r w:rsidR="008E28EE">
        <w:t xml:space="preserve"> Rather, this is where you provide </w:t>
      </w:r>
      <w:r w:rsidR="00CB36B0">
        <w:t>a</w:t>
      </w:r>
      <w:r w:rsidR="00E561FF">
        <w:t xml:space="preserve"> summary of each option, together with a</w:t>
      </w:r>
      <w:r w:rsidR="00CB36B0">
        <w:t xml:space="preserve">n articulation of why an option is preferred, having regards to the </w:t>
      </w:r>
      <w:r w:rsidR="00E37735">
        <w:t xml:space="preserve">differing impacts </w:t>
      </w:r>
      <w:r w:rsidR="00580023">
        <w:t>–</w:t>
      </w:r>
      <w:r w:rsidR="00E37735">
        <w:t xml:space="preserve"> </w:t>
      </w:r>
      <w:r w:rsidR="00580023">
        <w:t>both in terms of benefits and costs and where they are felt in the community</w:t>
      </w:r>
      <w:r w:rsidR="00CB36B0">
        <w:t>,</w:t>
      </w:r>
      <w:r w:rsidR="00580023">
        <w:t xml:space="preserve"> for each of the feasible options.</w:t>
      </w:r>
    </w:p>
    <w:p w14:paraId="25F9806A" w14:textId="77777777" w:rsidR="00EB6D01" w:rsidRDefault="001B771B" w:rsidP="00A16E87">
      <w:pPr>
        <w:spacing w:beforeLines="60" w:before="144" w:afterLines="60" w:after="144"/>
      </w:pPr>
      <w:r>
        <w:t xml:space="preserve">The recommended option should be the </w:t>
      </w:r>
      <w:r w:rsidR="00F74021">
        <w:t>option</w:t>
      </w:r>
      <w:r>
        <w:t xml:space="preserve"> that yields the greatest net benefit for the community.</w:t>
      </w:r>
      <w:r w:rsidR="00E21C32">
        <w:t xml:space="preserve"> Where all options result in a net cost, the preferred option should be the one that incurs the least net cost.</w:t>
      </w:r>
    </w:p>
    <w:p w14:paraId="5C84C9DF" w14:textId="65AC387D" w:rsidR="00FE44F8" w:rsidRPr="002B58CD" w:rsidRDefault="00EB6D01" w:rsidP="002B58CD">
      <w:r w:rsidRPr="0092206E">
        <w:t xml:space="preserve">Please see Appendix C for further information, including when an option other than one with the highest net benefit might be recommended.  </w:t>
      </w:r>
      <w:r w:rsidR="00E21C32" w:rsidRPr="0092206E">
        <w:t xml:space="preserve"> </w:t>
      </w:r>
    </w:p>
    <w:p w14:paraId="1B3D85D9" w14:textId="2C1FEF5B" w:rsidR="00B86287" w:rsidRPr="00210E24" w:rsidRDefault="00B86287" w:rsidP="00210E24">
      <w:pPr>
        <w:spacing w:beforeLines="60" w:before="144" w:afterLines="60" w:after="144"/>
        <w:rPr>
          <w:rFonts w:ascii="Arial Bold" w:hAnsi="Arial Bold"/>
          <w:bCs/>
          <w:color w:val="808080" w:themeColor="background1" w:themeShade="80"/>
          <w:sz w:val="24"/>
          <w:szCs w:val="26"/>
        </w:rPr>
      </w:pPr>
      <w:bookmarkStart w:id="22" w:name="_Toc175576409"/>
      <w:r w:rsidRPr="00210E24">
        <w:rPr>
          <w:rFonts w:ascii="Arial Bold" w:hAnsi="Arial Bold"/>
          <w:bCs/>
          <w:color w:val="808080" w:themeColor="background1" w:themeShade="80"/>
          <w:sz w:val="24"/>
          <w:szCs w:val="26"/>
        </w:rPr>
        <w:t>3.</w:t>
      </w:r>
      <w:r w:rsidR="00E36D53" w:rsidRPr="00210E24">
        <w:rPr>
          <w:rFonts w:ascii="Arial Bold" w:hAnsi="Arial Bold"/>
          <w:bCs/>
          <w:color w:val="808080" w:themeColor="background1" w:themeShade="80"/>
          <w:sz w:val="24"/>
          <w:szCs w:val="26"/>
        </w:rPr>
        <w:t>8</w:t>
      </w:r>
      <w:r w:rsidR="00190A3B" w:rsidRPr="00210E24">
        <w:rPr>
          <w:rFonts w:ascii="Arial Bold" w:hAnsi="Arial Bold"/>
          <w:bCs/>
          <w:color w:val="808080" w:themeColor="background1" w:themeShade="80"/>
          <w:sz w:val="24"/>
          <w:szCs w:val="26"/>
        </w:rPr>
        <w:t xml:space="preserve"> </w:t>
      </w:r>
      <w:proofErr w:type="gramStart"/>
      <w:r w:rsidR="00190A3B" w:rsidRPr="00210E24">
        <w:rPr>
          <w:rFonts w:ascii="Arial Bold" w:hAnsi="Arial Bold"/>
          <w:bCs/>
          <w:color w:val="808080" w:themeColor="background1" w:themeShade="80"/>
          <w:sz w:val="24"/>
          <w:szCs w:val="26"/>
        </w:rPr>
        <w:t>Post</w:t>
      </w:r>
      <w:r w:rsidR="00841503" w:rsidRPr="00210E24">
        <w:rPr>
          <w:rFonts w:ascii="Arial Bold" w:hAnsi="Arial Bold"/>
          <w:bCs/>
          <w:color w:val="808080" w:themeColor="background1" w:themeShade="80"/>
          <w:sz w:val="24"/>
          <w:szCs w:val="26"/>
        </w:rPr>
        <w:t>-</w:t>
      </w:r>
      <w:r w:rsidR="00190A3B" w:rsidRPr="00210E24">
        <w:rPr>
          <w:rFonts w:ascii="Arial Bold" w:hAnsi="Arial Bold"/>
          <w:bCs/>
          <w:color w:val="808080" w:themeColor="background1" w:themeShade="80"/>
          <w:sz w:val="24"/>
          <w:szCs w:val="26"/>
        </w:rPr>
        <w:t>implementation</w:t>
      </w:r>
      <w:proofErr w:type="gramEnd"/>
      <w:r w:rsidR="00190A3B" w:rsidRPr="00210E24">
        <w:rPr>
          <w:rFonts w:ascii="Arial Bold" w:hAnsi="Arial Bold"/>
          <w:bCs/>
          <w:color w:val="808080" w:themeColor="background1" w:themeShade="80"/>
          <w:sz w:val="24"/>
          <w:szCs w:val="26"/>
        </w:rPr>
        <w:t xml:space="preserve"> review of regulations</w:t>
      </w:r>
      <w:bookmarkEnd w:id="22"/>
      <w:r w:rsidRPr="00210E24">
        <w:rPr>
          <w:rFonts w:ascii="Arial Bold" w:hAnsi="Arial Bold"/>
          <w:bCs/>
          <w:color w:val="808080" w:themeColor="background1" w:themeShade="80"/>
          <w:sz w:val="24"/>
          <w:szCs w:val="26"/>
        </w:rPr>
        <w:t xml:space="preserve">  </w:t>
      </w:r>
    </w:p>
    <w:p w14:paraId="6BC9C303" w14:textId="12FB058F" w:rsidR="00E36D53" w:rsidRPr="00026D8D" w:rsidRDefault="00E36D53" w:rsidP="00E36D53">
      <w:pPr>
        <w:spacing w:after="0"/>
        <w:rPr>
          <w:b/>
          <w:bCs/>
        </w:rPr>
      </w:pPr>
      <w:r w:rsidRPr="00026D8D">
        <w:rPr>
          <w:b/>
          <w:bCs/>
        </w:rPr>
        <w:t xml:space="preserve">Box </w:t>
      </w:r>
      <w:r w:rsidR="00CE7724">
        <w:rPr>
          <w:b/>
          <w:bCs/>
        </w:rPr>
        <w:t>9</w:t>
      </w:r>
      <w:r w:rsidRPr="00026D8D">
        <w:rPr>
          <w:b/>
          <w:bCs/>
        </w:rPr>
        <w:t xml:space="preserve">:  </w:t>
      </w:r>
      <w:r w:rsidR="00190A3B">
        <w:rPr>
          <w:b/>
          <w:bCs/>
        </w:rPr>
        <w:t>What to</w:t>
      </w:r>
      <w:r w:rsidR="00250FEA">
        <w:rPr>
          <w:b/>
          <w:bCs/>
        </w:rPr>
        <w:t xml:space="preserve"> consider when</w:t>
      </w:r>
      <w:r>
        <w:rPr>
          <w:b/>
          <w:bCs/>
        </w:rPr>
        <w:t xml:space="preserve"> </w:t>
      </w:r>
      <w:r w:rsidR="00250FEA">
        <w:rPr>
          <w:b/>
          <w:bCs/>
        </w:rPr>
        <w:t>reviewing regulation</w:t>
      </w:r>
    </w:p>
    <w:p w14:paraId="1BA8AEF1" w14:textId="5B738445" w:rsidR="00030878" w:rsidRDefault="00030878" w:rsidP="00E36D53">
      <w:pPr>
        <w:pStyle w:val="Boxed1Bullet"/>
        <w:spacing w:before="60"/>
        <w:ind w:left="568" w:hanging="284"/>
      </w:pPr>
      <w:r>
        <w:t>When and how will the Government evaluate the effectiveness of the preferred option in meeting the objectives?</w:t>
      </w:r>
    </w:p>
    <w:p w14:paraId="37999435" w14:textId="62EC30A7" w:rsidR="00030878" w:rsidRDefault="00030878" w:rsidP="00E36D53">
      <w:pPr>
        <w:pStyle w:val="Boxed1Bullet"/>
        <w:spacing w:before="60"/>
        <w:ind w:left="568" w:hanging="284"/>
      </w:pPr>
      <w:r>
        <w:t xml:space="preserve">If the option takes the form of regulation, is there a built-in provision to review or revoke the regulation after it has been in place for a certain length of time? </w:t>
      </w:r>
    </w:p>
    <w:p w14:paraId="526B9452" w14:textId="77777777" w:rsidR="00EB3B5B" w:rsidRDefault="00EB3B5B" w:rsidP="00EB3B5B">
      <w:pPr>
        <w:spacing w:beforeLines="60" w:before="144" w:afterLines="60" w:after="144"/>
        <w:rPr>
          <w:szCs w:val="22"/>
          <w:lang w:eastAsia="en-AU"/>
        </w:rPr>
      </w:pPr>
      <w:r>
        <w:rPr>
          <w:szCs w:val="22"/>
          <w:lang w:eastAsia="en-AU"/>
        </w:rPr>
        <w:t>Setting clear objectives for the policy, through articulating what is the problem and how the recommended option addresses it, will help you to evaluate the outcome of the intervention.</w:t>
      </w:r>
    </w:p>
    <w:p w14:paraId="7FC319D7" w14:textId="0D28193A" w:rsidR="0031376F" w:rsidRDefault="0031376F" w:rsidP="00E36D53">
      <w:pPr>
        <w:spacing w:beforeLines="60" w:before="144" w:afterLines="60" w:after="144"/>
        <w:rPr>
          <w:i/>
          <w:iCs/>
        </w:rPr>
      </w:pPr>
      <w:r>
        <w:rPr>
          <w:i/>
          <w:iCs/>
        </w:rPr>
        <w:t>Don't set and forget</w:t>
      </w:r>
      <w:r w:rsidR="004B68AC">
        <w:rPr>
          <w:i/>
          <w:iCs/>
        </w:rPr>
        <w:t>.</w:t>
      </w:r>
    </w:p>
    <w:p w14:paraId="2C529A3A" w14:textId="57BBA631" w:rsidR="00181146" w:rsidRDefault="00ED2123" w:rsidP="00E36D53">
      <w:pPr>
        <w:spacing w:beforeLines="60" w:before="144" w:afterLines="60" w:after="144"/>
      </w:pPr>
      <w:r>
        <w:t>After establishing the best option that will address the problem, the final stage in the RIA process is to</w:t>
      </w:r>
      <w:r w:rsidR="00491127">
        <w:t xml:space="preserve"> provide for </w:t>
      </w:r>
      <w:r w:rsidR="00392189">
        <w:t>a</w:t>
      </w:r>
      <w:r w:rsidR="00B218FE">
        <w:t xml:space="preserve"> post</w:t>
      </w:r>
      <w:r w:rsidR="00841503">
        <w:t>-</w:t>
      </w:r>
      <w:r w:rsidR="00392189">
        <w:t xml:space="preserve">implementation </w:t>
      </w:r>
      <w:r w:rsidR="00DE3BA4">
        <w:t xml:space="preserve">plan to ensure </w:t>
      </w:r>
      <w:r w:rsidR="00A21555">
        <w:t xml:space="preserve">the scheme remains relevant and addresses the problems as intended. </w:t>
      </w:r>
    </w:p>
    <w:p w14:paraId="63CB7288" w14:textId="1EBCB18E" w:rsidR="00841503" w:rsidRDefault="00841503" w:rsidP="00E36D53">
      <w:pPr>
        <w:spacing w:beforeLines="60" w:before="144" w:afterLines="60" w:after="144"/>
      </w:pPr>
      <w:r>
        <w:t>A post</w:t>
      </w:r>
      <w:r w:rsidR="00B75167">
        <w:t>-</w:t>
      </w:r>
      <w:r>
        <w:t xml:space="preserve">implementation review </w:t>
      </w:r>
      <w:r w:rsidR="00B75167">
        <w:t xml:space="preserve">(PIR) </w:t>
      </w:r>
      <w:r>
        <w:t xml:space="preserve">should be undertaken when the regulatory change </w:t>
      </w:r>
      <w:r w:rsidR="005B03CA">
        <w:t>is likely to have</w:t>
      </w:r>
      <w:r>
        <w:t xml:space="preserve"> a substantial or widespread social, environmental or economic impact.</w:t>
      </w:r>
    </w:p>
    <w:p w14:paraId="54BCBAF8" w14:textId="72DA4813" w:rsidR="00B75167" w:rsidRDefault="0092206E" w:rsidP="006F660B">
      <w:pPr>
        <w:spacing w:beforeLines="60" w:before="144" w:afterLines="60" w:after="144"/>
      </w:pPr>
      <w:r>
        <w:t>Preparation for t</w:t>
      </w:r>
      <w:r w:rsidR="00B75167">
        <w:t xml:space="preserve">he </w:t>
      </w:r>
      <w:r w:rsidR="00123174">
        <w:t xml:space="preserve">PIR should commence as soon as the policy is </w:t>
      </w:r>
      <w:r>
        <w:t>agreed</w:t>
      </w:r>
      <w:r w:rsidR="00123174">
        <w:t xml:space="preserve">, rather than just before when it is due to </w:t>
      </w:r>
      <w:r>
        <w:t>be completed</w:t>
      </w:r>
      <w:r w:rsidR="00123174">
        <w:t xml:space="preserve">. The reason for this is to </w:t>
      </w:r>
      <w:r w:rsidR="00A32CDB">
        <w:t>allow for the g</w:t>
      </w:r>
      <w:r w:rsidR="00B75167">
        <w:t xml:space="preserve">athering </w:t>
      </w:r>
      <w:r w:rsidR="00A32CDB">
        <w:t xml:space="preserve">of </w:t>
      </w:r>
      <w:r w:rsidR="00B75167">
        <w:t>necessary data and consult</w:t>
      </w:r>
      <w:r w:rsidR="00A32CDB">
        <w:t xml:space="preserve">ation with </w:t>
      </w:r>
      <w:r w:rsidR="00B75167">
        <w:t>stakeholders</w:t>
      </w:r>
      <w:r w:rsidR="00E41488">
        <w:t xml:space="preserve">. </w:t>
      </w:r>
    </w:p>
    <w:p w14:paraId="5508EA47" w14:textId="7F6F08B5" w:rsidR="008A6BC6" w:rsidRDefault="00E846C2" w:rsidP="009266DD">
      <w:pPr>
        <w:spacing w:beforeLines="60" w:before="144" w:afterLines="60" w:after="144"/>
        <w:rPr>
          <w:szCs w:val="22"/>
          <w:lang w:eastAsia="en-AU"/>
        </w:rPr>
      </w:pPr>
      <w:r>
        <w:rPr>
          <w:szCs w:val="22"/>
          <w:lang w:eastAsia="en-AU"/>
        </w:rPr>
        <w:lastRenderedPageBreak/>
        <w:t>T</w:t>
      </w:r>
      <w:r w:rsidR="00655804">
        <w:rPr>
          <w:szCs w:val="22"/>
          <w:lang w:eastAsia="en-AU"/>
        </w:rPr>
        <w:t>his step of the RIA</w:t>
      </w:r>
      <w:r w:rsidR="00A85C9C">
        <w:rPr>
          <w:szCs w:val="22"/>
          <w:lang w:eastAsia="en-AU"/>
        </w:rPr>
        <w:t xml:space="preserve"> should</w:t>
      </w:r>
      <w:r w:rsidR="00655804">
        <w:rPr>
          <w:szCs w:val="22"/>
          <w:lang w:eastAsia="en-AU"/>
        </w:rPr>
        <w:t xml:space="preserve"> </w:t>
      </w:r>
      <w:r w:rsidR="00A85C9C">
        <w:rPr>
          <w:szCs w:val="22"/>
          <w:lang w:eastAsia="en-AU"/>
        </w:rPr>
        <w:t>specify how the preferred option will be monitored and assessed against achieving its objectives</w:t>
      </w:r>
      <w:r w:rsidR="00B15282">
        <w:rPr>
          <w:szCs w:val="22"/>
          <w:lang w:eastAsia="en-AU"/>
        </w:rPr>
        <w:t xml:space="preserve"> post implementation</w:t>
      </w:r>
      <w:r w:rsidR="00655804">
        <w:rPr>
          <w:szCs w:val="22"/>
          <w:lang w:eastAsia="en-AU"/>
        </w:rPr>
        <w:t xml:space="preserve">. Key </w:t>
      </w:r>
      <w:r w:rsidR="00B15282">
        <w:rPr>
          <w:szCs w:val="22"/>
          <w:lang w:eastAsia="en-AU"/>
        </w:rPr>
        <w:t>elements</w:t>
      </w:r>
      <w:r w:rsidR="00655804">
        <w:rPr>
          <w:szCs w:val="22"/>
          <w:lang w:eastAsia="en-AU"/>
        </w:rPr>
        <w:t xml:space="preserve"> that are worth setting out include</w:t>
      </w:r>
      <w:r w:rsidR="007A2859">
        <w:rPr>
          <w:szCs w:val="22"/>
          <w:lang w:eastAsia="en-AU"/>
        </w:rPr>
        <w:t>:</w:t>
      </w:r>
    </w:p>
    <w:p w14:paraId="0425F65F" w14:textId="654D98EC" w:rsidR="000D0448" w:rsidRDefault="000D0448" w:rsidP="000D0448">
      <w:pPr>
        <w:pStyle w:val="bullet10"/>
        <w:spacing w:before="30" w:after="30"/>
      </w:pPr>
      <w:r>
        <w:t>key performance indicators or measures of success that you think will be relevant to evaluate the effectiveness of the preferred option</w:t>
      </w:r>
      <w:r w:rsidR="00606D56">
        <w:t xml:space="preserve"> with a view to understanding</w:t>
      </w:r>
      <w:r w:rsidR="0031376F">
        <w:t xml:space="preserve"> (as an example, what was the change in behaviour/consumer outcome that you expect from the recommended option, such as an expected level of avoided greenhouse gas emissions</w:t>
      </w:r>
      <w:proofErr w:type="gramStart"/>
      <w:r w:rsidR="0031376F">
        <w:t>)</w:t>
      </w:r>
      <w:r>
        <w:t>;</w:t>
      </w:r>
      <w:proofErr w:type="gramEnd"/>
    </w:p>
    <w:p w14:paraId="27957DAB" w14:textId="5619B9B6" w:rsidR="004151E4" w:rsidRDefault="004151E4" w:rsidP="007A2859">
      <w:pPr>
        <w:pStyle w:val="bullet10"/>
        <w:spacing w:before="30" w:after="30"/>
      </w:pPr>
      <w:r>
        <w:t xml:space="preserve">a data collection strategy, including the methods for obtaining data and frequency of </w:t>
      </w:r>
      <w:proofErr w:type="gramStart"/>
      <w:r>
        <w:t>collection;</w:t>
      </w:r>
      <w:proofErr w:type="gramEnd"/>
      <w:r>
        <w:t xml:space="preserve"> </w:t>
      </w:r>
    </w:p>
    <w:p w14:paraId="57C7E85D" w14:textId="688C030A" w:rsidR="008F71D5" w:rsidRDefault="006A14FD" w:rsidP="007A2859">
      <w:pPr>
        <w:pStyle w:val="bullet10"/>
        <w:spacing w:before="30" w:after="30"/>
      </w:pPr>
      <w:r>
        <w:t xml:space="preserve">the </w:t>
      </w:r>
      <w:r w:rsidR="008F71D5">
        <w:t>mechanism for complaints/feedback and arrangements for ongoing consultation and complaints/feedback; and</w:t>
      </w:r>
    </w:p>
    <w:p w14:paraId="133C70E6" w14:textId="542910E0" w:rsidR="00C278DD" w:rsidRDefault="004151E4" w:rsidP="00C278DD">
      <w:pPr>
        <w:pStyle w:val="bullet10"/>
        <w:spacing w:before="30" w:after="30"/>
      </w:pPr>
      <w:r>
        <w:t>timing or frequency of evaluation and reporting</w:t>
      </w:r>
      <w:r w:rsidR="0046538F">
        <w:t>.</w:t>
      </w:r>
    </w:p>
    <w:p w14:paraId="2C7F776F" w14:textId="5311F864" w:rsidR="006E5B9F" w:rsidRDefault="00F43449" w:rsidP="009266DD">
      <w:pPr>
        <w:spacing w:beforeLines="60" w:before="144" w:afterLines="60" w:after="144"/>
        <w:rPr>
          <w:szCs w:val="22"/>
          <w:lang w:eastAsia="en-AU"/>
        </w:rPr>
      </w:pPr>
      <w:r>
        <w:rPr>
          <w:szCs w:val="22"/>
          <w:lang w:eastAsia="en-AU"/>
        </w:rPr>
        <w:t>P</w:t>
      </w:r>
      <w:r w:rsidR="00D728AB">
        <w:rPr>
          <w:szCs w:val="22"/>
          <w:lang w:eastAsia="en-AU"/>
        </w:rPr>
        <w:t xml:space="preserve">olicy makers can consider inserting a review or sunset clause in </w:t>
      </w:r>
      <w:r w:rsidR="007402A3">
        <w:rPr>
          <w:szCs w:val="22"/>
          <w:lang w:eastAsia="en-AU"/>
        </w:rPr>
        <w:t xml:space="preserve">new laws </w:t>
      </w:r>
      <w:r w:rsidR="0046538F">
        <w:rPr>
          <w:szCs w:val="22"/>
          <w:lang w:eastAsia="en-AU"/>
        </w:rPr>
        <w:t>to ensure an evaluation will take place</w:t>
      </w:r>
      <w:r w:rsidR="00D728AB">
        <w:rPr>
          <w:szCs w:val="22"/>
          <w:lang w:eastAsia="en-AU"/>
        </w:rPr>
        <w:t xml:space="preserve">. </w:t>
      </w:r>
      <w:r w:rsidR="00D728AB" w:rsidRPr="00D728AB">
        <w:rPr>
          <w:szCs w:val="22"/>
          <w:lang w:eastAsia="en-AU"/>
        </w:rPr>
        <w:t xml:space="preserve">A sunset clause </w:t>
      </w:r>
      <w:r w:rsidR="00821BA5">
        <w:rPr>
          <w:szCs w:val="22"/>
          <w:lang w:eastAsia="en-AU"/>
        </w:rPr>
        <w:t xml:space="preserve">contains the </w:t>
      </w:r>
      <w:r w:rsidR="00D728AB" w:rsidRPr="00D728AB">
        <w:rPr>
          <w:szCs w:val="22"/>
          <w:lang w:eastAsia="en-AU"/>
        </w:rPr>
        <w:t xml:space="preserve">date at which the </w:t>
      </w:r>
      <w:r w:rsidR="00821BA5">
        <w:rPr>
          <w:szCs w:val="22"/>
          <w:lang w:eastAsia="en-AU"/>
        </w:rPr>
        <w:t>law</w:t>
      </w:r>
      <w:r w:rsidR="00D728AB" w:rsidRPr="00D728AB">
        <w:rPr>
          <w:szCs w:val="22"/>
          <w:lang w:eastAsia="en-AU"/>
        </w:rPr>
        <w:t xml:space="preserve"> expires</w:t>
      </w:r>
      <w:r w:rsidR="00821BA5">
        <w:rPr>
          <w:szCs w:val="22"/>
          <w:lang w:eastAsia="en-AU"/>
        </w:rPr>
        <w:t xml:space="preserve"> unless it is renewed</w:t>
      </w:r>
      <w:r w:rsidR="00D728AB" w:rsidRPr="00D728AB">
        <w:rPr>
          <w:szCs w:val="22"/>
          <w:lang w:eastAsia="en-AU"/>
        </w:rPr>
        <w:t>.</w:t>
      </w:r>
      <w:r w:rsidR="00D728AB">
        <w:rPr>
          <w:szCs w:val="22"/>
          <w:lang w:eastAsia="en-AU"/>
        </w:rPr>
        <w:t xml:space="preserve"> </w:t>
      </w:r>
      <w:r w:rsidR="00D728AB" w:rsidRPr="00D728AB">
        <w:rPr>
          <w:szCs w:val="22"/>
          <w:lang w:eastAsia="en-AU"/>
        </w:rPr>
        <w:t>Prior to expiry</w:t>
      </w:r>
      <w:r w:rsidR="00D728AB">
        <w:rPr>
          <w:szCs w:val="22"/>
          <w:lang w:eastAsia="en-AU"/>
        </w:rPr>
        <w:t>,</w:t>
      </w:r>
      <w:r w:rsidR="00D728AB" w:rsidRPr="00D728AB">
        <w:rPr>
          <w:szCs w:val="22"/>
          <w:lang w:eastAsia="en-AU"/>
        </w:rPr>
        <w:t xml:space="preserve"> the regulation should be reviewed and re-enacted if appropriate.</w:t>
      </w:r>
      <w:r w:rsidR="0046538F">
        <w:rPr>
          <w:szCs w:val="22"/>
          <w:lang w:eastAsia="en-AU"/>
        </w:rPr>
        <w:t xml:space="preserve"> </w:t>
      </w:r>
      <w:r w:rsidR="0046538F" w:rsidRPr="0046538F">
        <w:rPr>
          <w:szCs w:val="22"/>
          <w:lang w:eastAsia="en-AU"/>
        </w:rPr>
        <w:t>This clause is particularly suited to regulation implemented to address an emergency</w:t>
      </w:r>
      <w:r w:rsidR="0046538F">
        <w:rPr>
          <w:szCs w:val="22"/>
          <w:lang w:eastAsia="en-AU"/>
        </w:rPr>
        <w:t xml:space="preserve">. </w:t>
      </w:r>
    </w:p>
    <w:p w14:paraId="4663DA17" w14:textId="21DA503A" w:rsidR="00DF1560" w:rsidRDefault="0046538F" w:rsidP="009266DD">
      <w:pPr>
        <w:spacing w:beforeLines="60" w:before="144" w:afterLines="60" w:after="144"/>
        <w:rPr>
          <w:lang w:eastAsia="en-AU"/>
        </w:rPr>
      </w:pPr>
      <w:bookmarkStart w:id="23" w:name="_Hlk175325547"/>
      <w:r w:rsidRPr="76454592">
        <w:rPr>
          <w:lang w:eastAsia="en-AU"/>
        </w:rPr>
        <w:t xml:space="preserve">Where no sunset clause is enacted or the sunset </w:t>
      </w:r>
      <w:r w:rsidR="00B15282" w:rsidRPr="76454592">
        <w:rPr>
          <w:lang w:eastAsia="en-AU"/>
        </w:rPr>
        <w:t>period</w:t>
      </w:r>
      <w:r w:rsidRPr="76454592">
        <w:rPr>
          <w:lang w:eastAsia="en-AU"/>
        </w:rPr>
        <w:t xml:space="preserve"> is significantly longer</w:t>
      </w:r>
      <w:r w:rsidR="00B15282" w:rsidRPr="76454592">
        <w:rPr>
          <w:lang w:eastAsia="en-AU"/>
        </w:rPr>
        <w:t xml:space="preserve"> than </w:t>
      </w:r>
      <w:r w:rsidR="009B0257">
        <w:rPr>
          <w:lang w:eastAsia="en-AU"/>
        </w:rPr>
        <w:t>three</w:t>
      </w:r>
      <w:r w:rsidR="009B0257" w:rsidRPr="76454592">
        <w:rPr>
          <w:lang w:eastAsia="en-AU"/>
        </w:rPr>
        <w:t xml:space="preserve"> </w:t>
      </w:r>
      <w:r w:rsidR="00B15282" w:rsidRPr="76454592">
        <w:rPr>
          <w:lang w:eastAsia="en-AU"/>
        </w:rPr>
        <w:t xml:space="preserve">years, it is recommended that </w:t>
      </w:r>
      <w:r w:rsidR="006E5B9F" w:rsidRPr="76454592">
        <w:rPr>
          <w:lang w:eastAsia="en-AU"/>
        </w:rPr>
        <w:t xml:space="preserve">a PIR of the regulation be conducted </w:t>
      </w:r>
      <w:r w:rsidR="00B15282" w:rsidRPr="76454592">
        <w:rPr>
          <w:lang w:eastAsia="en-AU"/>
        </w:rPr>
        <w:t xml:space="preserve">after </w:t>
      </w:r>
      <w:r w:rsidR="009B0257">
        <w:rPr>
          <w:lang w:eastAsia="en-AU"/>
        </w:rPr>
        <w:t>three</w:t>
      </w:r>
      <w:r w:rsidR="009B0257" w:rsidRPr="76454592">
        <w:rPr>
          <w:lang w:eastAsia="en-AU"/>
        </w:rPr>
        <w:t xml:space="preserve"> </w:t>
      </w:r>
      <w:r w:rsidR="00B15282" w:rsidRPr="76454592">
        <w:rPr>
          <w:lang w:eastAsia="en-AU"/>
        </w:rPr>
        <w:t xml:space="preserve">years of its initial implementation. </w:t>
      </w:r>
      <w:r w:rsidR="006E5B9F" w:rsidRPr="76454592">
        <w:rPr>
          <w:lang w:eastAsia="en-AU"/>
        </w:rPr>
        <w:t>The PIR should present the key outcomes of the regulation and answer the following questions</w:t>
      </w:r>
      <w:r w:rsidR="0014450A">
        <w:rPr>
          <w:szCs w:val="22"/>
          <w:lang w:eastAsia="en-AU"/>
        </w:rPr>
        <w:t xml:space="preserve"> with a view to establishing </w:t>
      </w:r>
      <w:r w:rsidR="0014450A" w:rsidRPr="0014450A">
        <w:rPr>
          <w:szCs w:val="22"/>
          <w:lang w:eastAsia="en-AU"/>
        </w:rPr>
        <w:t>whether the law remains fit for purpose</w:t>
      </w:r>
      <w:r w:rsidR="00095302">
        <w:rPr>
          <w:szCs w:val="22"/>
          <w:lang w:eastAsia="en-AU"/>
        </w:rPr>
        <w:t>, needs m</w:t>
      </w:r>
      <w:r w:rsidR="005A6921">
        <w:rPr>
          <w:szCs w:val="22"/>
          <w:lang w:eastAsia="en-AU"/>
        </w:rPr>
        <w:t xml:space="preserve">odifying, or </w:t>
      </w:r>
      <w:r w:rsidR="00BD3FB8">
        <w:rPr>
          <w:szCs w:val="22"/>
          <w:lang w:eastAsia="en-AU"/>
        </w:rPr>
        <w:t>is no longer required</w:t>
      </w:r>
      <w:r w:rsidR="009B0257">
        <w:rPr>
          <w:szCs w:val="22"/>
          <w:lang w:eastAsia="en-AU"/>
        </w:rPr>
        <w:t>.</w:t>
      </w:r>
    </w:p>
    <w:bookmarkEnd w:id="23"/>
    <w:p w14:paraId="7762190C" w14:textId="4C33C91A" w:rsidR="00D43F4C" w:rsidRDefault="008A6BC6" w:rsidP="00F3122E">
      <w:pPr>
        <w:pStyle w:val="bullet10"/>
        <w:spacing w:before="30" w:after="30"/>
      </w:pPr>
      <w:r>
        <w:t>Is there still a problem?</w:t>
      </w:r>
      <w:r w:rsidR="00564813">
        <w:t xml:space="preserve"> Has </w:t>
      </w:r>
      <w:r w:rsidR="0000681A">
        <w:t>the problem</w:t>
      </w:r>
      <w:r w:rsidR="00564813">
        <w:t xml:space="preserve"> been reduced in scope</w:t>
      </w:r>
      <w:r w:rsidR="00D43F4C">
        <w:t>?</w:t>
      </w:r>
    </w:p>
    <w:p w14:paraId="782565A9" w14:textId="13EF743B" w:rsidR="008A6BC6" w:rsidRDefault="006F660B" w:rsidP="008A6BC6">
      <w:pPr>
        <w:pStyle w:val="bullet10"/>
        <w:spacing w:before="30" w:after="30"/>
      </w:pPr>
      <w:r>
        <w:t xml:space="preserve">Did the intervention work as expected? What was the impact, on who, and why? </w:t>
      </w:r>
      <w:r w:rsidR="00AE4B73">
        <w:t>Have there been any unanticipated outcomes?</w:t>
      </w:r>
      <w:r w:rsidR="0014450A">
        <w:t xml:space="preserve"> </w:t>
      </w:r>
    </w:p>
    <w:p w14:paraId="54409A9B" w14:textId="4F4477D8" w:rsidR="008A6BC6" w:rsidRPr="00B15282" w:rsidRDefault="001842B3" w:rsidP="00B15282">
      <w:pPr>
        <w:pStyle w:val="bullet10"/>
        <w:spacing w:before="30" w:after="30"/>
      </w:pPr>
      <w:r>
        <w:t xml:space="preserve">Has the landscape changed after </w:t>
      </w:r>
      <w:r w:rsidR="009B0257">
        <w:t xml:space="preserve">three </w:t>
      </w:r>
      <w:r>
        <w:t>years</w:t>
      </w:r>
      <w:r w:rsidR="007B4265">
        <w:t>,</w:t>
      </w:r>
      <w:r w:rsidR="00ED161B">
        <w:t xml:space="preserve"> such that </w:t>
      </w:r>
      <w:r w:rsidR="008D6631">
        <w:t xml:space="preserve">a different regulatory response is </w:t>
      </w:r>
      <w:r w:rsidR="00BD3FB8">
        <w:t xml:space="preserve">now </w:t>
      </w:r>
      <w:r w:rsidR="008D6631">
        <w:t>appropriate</w:t>
      </w:r>
      <w:r w:rsidR="007346D2">
        <w:t xml:space="preserve">? </w:t>
      </w:r>
      <w:r w:rsidR="00E5319F">
        <w:t>I</w:t>
      </w:r>
      <w:r w:rsidR="008A6BC6">
        <w:t>.e.</w:t>
      </w:r>
      <w:r w:rsidR="00E5319F">
        <w:t xml:space="preserve"> </w:t>
      </w:r>
      <w:r w:rsidR="00EC2ABB">
        <w:t xml:space="preserve">is </w:t>
      </w:r>
      <w:r w:rsidR="00E5319F">
        <w:t xml:space="preserve">there a need to </w:t>
      </w:r>
      <w:r w:rsidR="008A6BC6">
        <w:t>implement a modified or different regulatory model</w:t>
      </w:r>
      <w:r w:rsidR="00B15282">
        <w:t>?</w:t>
      </w:r>
    </w:p>
    <w:p w14:paraId="221EBDEB" w14:textId="77777777" w:rsidR="00E3027B" w:rsidRDefault="00E3027B" w:rsidP="00E3027B">
      <w:pPr>
        <w:pStyle w:val="bullet10"/>
        <w:spacing w:before="30" w:after="30"/>
      </w:pPr>
      <w:r>
        <w:t xml:space="preserve">Is further action still required? </w:t>
      </w:r>
    </w:p>
    <w:p w14:paraId="5302B40F" w14:textId="7112F18B" w:rsidR="00EB3B5B" w:rsidRDefault="00EB3B5B" w:rsidP="002B58CD">
      <w:pPr>
        <w:pStyle w:val="Heading2"/>
        <w:numPr>
          <w:ilvl w:val="0"/>
          <w:numId w:val="17"/>
        </w:numPr>
      </w:pPr>
      <w:bookmarkStart w:id="24" w:name="_Toc175576410"/>
      <w:r>
        <w:t>Preparing a R</w:t>
      </w:r>
      <w:r w:rsidR="00CE7724">
        <w:t>egulatory Impact Statement</w:t>
      </w:r>
      <w:bookmarkEnd w:id="24"/>
      <w:r>
        <w:t xml:space="preserve">  </w:t>
      </w:r>
    </w:p>
    <w:p w14:paraId="29C28801" w14:textId="6D536EDA" w:rsidR="00EB3B5B" w:rsidRPr="00026D8D" w:rsidRDefault="00EB3B5B" w:rsidP="00EB3B5B">
      <w:pPr>
        <w:spacing w:after="0"/>
        <w:rPr>
          <w:b/>
          <w:bCs/>
        </w:rPr>
      </w:pPr>
      <w:r w:rsidRPr="00026D8D">
        <w:rPr>
          <w:b/>
          <w:bCs/>
        </w:rPr>
        <w:t xml:space="preserve">Box </w:t>
      </w:r>
      <w:r w:rsidR="00CE7724">
        <w:rPr>
          <w:b/>
          <w:bCs/>
        </w:rPr>
        <w:t>10</w:t>
      </w:r>
      <w:r w:rsidRPr="00026D8D">
        <w:rPr>
          <w:b/>
          <w:bCs/>
        </w:rPr>
        <w:t xml:space="preserve">:  </w:t>
      </w:r>
      <w:r>
        <w:rPr>
          <w:b/>
          <w:bCs/>
        </w:rPr>
        <w:t>What to include in the RIS to the Assembly</w:t>
      </w:r>
    </w:p>
    <w:p w14:paraId="3B93B457" w14:textId="74CF0B93" w:rsidR="00EB3B5B" w:rsidRDefault="00EB3B5B" w:rsidP="00FE44F8">
      <w:pPr>
        <w:pStyle w:val="Boxed1Bullet"/>
        <w:spacing w:before="60"/>
        <w:ind w:left="568" w:hanging="284"/>
      </w:pPr>
      <w:r>
        <w:t xml:space="preserve">The RIS </w:t>
      </w:r>
      <w:r w:rsidR="00FE44F8">
        <w:t>combines</w:t>
      </w:r>
      <w:r>
        <w:t xml:space="preserve"> the </w:t>
      </w:r>
      <w:r w:rsidR="00FE44F8">
        <w:t xml:space="preserve">RIA </w:t>
      </w:r>
      <w:r>
        <w:t>you</w:t>
      </w:r>
      <w:r w:rsidR="00FE44F8">
        <w:t xml:space="preserve"> have </w:t>
      </w:r>
      <w:r>
        <w:t>prepared</w:t>
      </w:r>
      <w:r w:rsidR="00FE44F8">
        <w:t xml:space="preserve"> </w:t>
      </w:r>
      <w:r>
        <w:t>plus the material</w:t>
      </w:r>
      <w:r w:rsidR="00FC5AAF">
        <w:t xml:space="preserve"> </w:t>
      </w:r>
      <w:r>
        <w:t>need</w:t>
      </w:r>
      <w:r w:rsidR="002B58CD">
        <w:t>ed</w:t>
      </w:r>
      <w:r>
        <w:t xml:space="preserve"> to meet </w:t>
      </w:r>
      <w:hyperlink r:id="rId21" w:history="1">
        <w:r w:rsidR="00EB3497" w:rsidRPr="00D710EC">
          <w:rPr>
            <w:rStyle w:val="Hyperlink"/>
          </w:rPr>
          <w:t>scrutiny committee principles</w:t>
        </w:r>
      </w:hyperlink>
      <w:r w:rsidR="005B578B" w:rsidRPr="00210E24">
        <w:rPr>
          <w:rStyle w:val="Hyperlink"/>
          <w:color w:val="auto"/>
          <w:u w:val="none"/>
        </w:rPr>
        <w:t xml:space="preserve"> for the law that is being made</w:t>
      </w:r>
      <w:r w:rsidR="00FE44F8" w:rsidRPr="00210E24">
        <w:rPr>
          <w:color w:val="auto"/>
        </w:rPr>
        <w:t>.</w:t>
      </w:r>
      <w:r w:rsidRPr="00210E24">
        <w:rPr>
          <w:color w:val="auto"/>
        </w:rPr>
        <w:t xml:space="preserve"> </w:t>
      </w:r>
    </w:p>
    <w:p w14:paraId="069DF44E" w14:textId="050986B2" w:rsidR="00FC5AAF" w:rsidRPr="00FC5AAF" w:rsidRDefault="00FC5AAF" w:rsidP="002B58CD">
      <w:pPr>
        <w:spacing w:beforeLines="60" w:before="144" w:afterLines="60" w:after="144"/>
        <w:rPr>
          <w:lang w:eastAsia="en-AU"/>
        </w:rPr>
      </w:pPr>
      <w:r w:rsidRPr="00FC5AAF">
        <w:rPr>
          <w:lang w:eastAsia="en-AU"/>
        </w:rPr>
        <w:t>The legislative requirements for what should be contained in a RIS is set out in section 35 of the Legislation Act. The RIA will meet the need for</w:t>
      </w:r>
      <w:r w:rsidR="00E80C13">
        <w:rPr>
          <w:lang w:eastAsia="en-AU"/>
        </w:rPr>
        <w:t xml:space="preserve"> most of those requirements, being</w:t>
      </w:r>
      <w:r w:rsidRPr="00FC5AAF">
        <w:rPr>
          <w:lang w:eastAsia="en-AU"/>
        </w:rPr>
        <w:t>:</w:t>
      </w:r>
    </w:p>
    <w:p w14:paraId="164D9DAF" w14:textId="43C1AF20" w:rsidR="00FC5AAF" w:rsidRDefault="00E80C13" w:rsidP="00FC5AAF">
      <w:pPr>
        <w:pStyle w:val="ListParagraph"/>
        <w:numPr>
          <w:ilvl w:val="0"/>
          <w:numId w:val="32"/>
        </w:numPr>
        <w:spacing w:beforeLines="60" w:before="144" w:afterLines="60" w:after="144"/>
        <w:rPr>
          <w:lang w:eastAsia="en-AU"/>
        </w:rPr>
      </w:pPr>
      <w:r>
        <w:rPr>
          <w:lang w:eastAsia="en-AU"/>
        </w:rPr>
        <w:t>t</w:t>
      </w:r>
      <w:r w:rsidR="00FC5AAF">
        <w:rPr>
          <w:lang w:eastAsia="en-AU"/>
        </w:rPr>
        <w:t xml:space="preserve">he </w:t>
      </w:r>
      <w:r>
        <w:rPr>
          <w:lang w:eastAsia="en-AU"/>
        </w:rPr>
        <w:t xml:space="preserve">law that authorises the subordinate law or disallowable instrument to be made, </w:t>
      </w:r>
      <w:r w:rsidR="00FC5AAF">
        <w:rPr>
          <w:lang w:eastAsia="en-AU"/>
        </w:rPr>
        <w:t>a brief statement of the policy objectives of the proposed law and the reasons for them, of the way the policy objectives will be achieved</w:t>
      </w:r>
      <w:r>
        <w:rPr>
          <w:lang w:eastAsia="en-AU"/>
        </w:rPr>
        <w:t xml:space="preserve"> by the proposed law, </w:t>
      </w:r>
      <w:r w:rsidR="00FC5AAF">
        <w:rPr>
          <w:lang w:eastAsia="en-AU"/>
        </w:rPr>
        <w:t>why this way of achieving them is reasonable and appropriate, the costs and benefits of implementing the proposed law</w:t>
      </w:r>
      <w:r>
        <w:rPr>
          <w:lang w:eastAsia="en-AU"/>
        </w:rPr>
        <w:t xml:space="preserve"> and a comparison of the costs and benefits of any reasonable alternative way of achieving the policy objective</w:t>
      </w:r>
      <w:r w:rsidR="00FC5AAF">
        <w:rPr>
          <w:lang w:eastAsia="en-AU"/>
        </w:rPr>
        <w:t>.</w:t>
      </w:r>
    </w:p>
    <w:p w14:paraId="059BB3DB" w14:textId="446DE260" w:rsidR="00FC5AAF" w:rsidRDefault="00FC5AAF" w:rsidP="002B58CD">
      <w:pPr>
        <w:spacing w:beforeLines="60" w:before="144" w:afterLines="60" w:after="144"/>
        <w:rPr>
          <w:lang w:eastAsia="en-AU"/>
        </w:rPr>
      </w:pPr>
      <w:r>
        <w:rPr>
          <w:lang w:eastAsia="en-AU"/>
        </w:rPr>
        <w:lastRenderedPageBreak/>
        <w:t xml:space="preserve">However, the RIA is unlikely to contain elements to meet factors relevant to meeting </w:t>
      </w:r>
      <w:hyperlink r:id="rId22" w:history="1">
        <w:r w:rsidRPr="00EB3497">
          <w:rPr>
            <w:rStyle w:val="Hyperlink"/>
            <w:lang w:eastAsia="en-AU"/>
          </w:rPr>
          <w:t>scrutiny committee principles</w:t>
        </w:r>
      </w:hyperlink>
      <w:r>
        <w:rPr>
          <w:lang w:eastAsia="en-AU"/>
        </w:rPr>
        <w:t xml:space="preserve"> such as:</w:t>
      </w:r>
    </w:p>
    <w:p w14:paraId="1176BDDD" w14:textId="0F560009" w:rsidR="00C92745" w:rsidRDefault="00C92745" w:rsidP="00E80C13">
      <w:pPr>
        <w:pStyle w:val="ListParagraph"/>
        <w:numPr>
          <w:ilvl w:val="0"/>
          <w:numId w:val="32"/>
        </w:numPr>
        <w:spacing w:beforeLines="60" w:before="144" w:afterLines="60" w:after="144"/>
        <w:rPr>
          <w:color w:val="000000"/>
          <w:shd w:val="clear" w:color="auto" w:fill="FFFFFF"/>
        </w:rPr>
      </w:pPr>
      <w:r>
        <w:rPr>
          <w:lang w:eastAsia="en-AU"/>
        </w:rPr>
        <w:t>a</w:t>
      </w:r>
      <w:r w:rsidR="00FC5AAF">
        <w:rPr>
          <w:lang w:eastAsia="en-AU"/>
        </w:rPr>
        <w:t xml:space="preserve"> brief </w:t>
      </w:r>
      <w:r w:rsidR="00FC5AAF">
        <w:rPr>
          <w:color w:val="000000"/>
          <w:shd w:val="clear" w:color="auto" w:fill="FFFFFF"/>
        </w:rPr>
        <w:t>explanation of how the proposed law is consistent with the policy objectives of the authorising law</w:t>
      </w:r>
      <w:r w:rsidR="00E80C13">
        <w:rPr>
          <w:color w:val="000000"/>
          <w:shd w:val="clear" w:color="auto" w:fill="FFFFFF"/>
        </w:rPr>
        <w:t>, and i</w:t>
      </w:r>
      <w:r w:rsidR="00E80C13" w:rsidRPr="00E80C13">
        <w:rPr>
          <w:color w:val="000000"/>
          <w:shd w:val="clear" w:color="auto" w:fill="FFFFFF"/>
        </w:rPr>
        <w:t>f the proposed law is inconsistent with the policy objectives of another territory law</w:t>
      </w:r>
      <w:r w:rsidR="009B0257">
        <w:rPr>
          <w:color w:val="000000"/>
          <w:shd w:val="clear" w:color="auto" w:fill="FFFFFF"/>
        </w:rPr>
        <w:t xml:space="preserve"> </w:t>
      </w:r>
      <w:r w:rsidR="00E80C13" w:rsidRPr="00E80C13">
        <w:rPr>
          <w:color w:val="000000"/>
          <w:shd w:val="clear" w:color="auto" w:fill="FFFFFF"/>
        </w:rPr>
        <w:t>—</w:t>
      </w:r>
      <w:r w:rsidR="009B0257">
        <w:rPr>
          <w:color w:val="000000"/>
          <w:shd w:val="clear" w:color="auto" w:fill="FFFFFF"/>
        </w:rPr>
        <w:t xml:space="preserve"> </w:t>
      </w:r>
      <w:r w:rsidR="00E80C13">
        <w:rPr>
          <w:color w:val="000000"/>
          <w:shd w:val="clear" w:color="auto" w:fill="FFFFFF"/>
        </w:rPr>
        <w:t>the relationship with the other law and an explanation for the inconsistency, and assessment of the consistency of the proposed law with the scrutiny committee principles and, if it is inconsistent with the principles, the reasons for the</w:t>
      </w:r>
      <w:r>
        <w:rPr>
          <w:color w:val="000000"/>
          <w:shd w:val="clear" w:color="auto" w:fill="FFFFFF"/>
        </w:rPr>
        <w:t xml:space="preserve"> inconsistency;</w:t>
      </w:r>
      <w:r w:rsidR="009B0257">
        <w:rPr>
          <w:color w:val="000000"/>
          <w:shd w:val="clear" w:color="auto" w:fill="FFFFFF"/>
        </w:rPr>
        <w:t xml:space="preserve"> and</w:t>
      </w:r>
    </w:p>
    <w:p w14:paraId="664799CF" w14:textId="714C0A45" w:rsidR="00C92745" w:rsidRPr="00210E24" w:rsidRDefault="00C92745" w:rsidP="00E80C13">
      <w:pPr>
        <w:pStyle w:val="ListParagraph"/>
        <w:numPr>
          <w:ilvl w:val="0"/>
          <w:numId w:val="32"/>
        </w:numPr>
        <w:spacing w:beforeLines="60" w:before="144" w:afterLines="60" w:after="144"/>
        <w:rPr>
          <w:color w:val="000000"/>
          <w:shd w:val="clear" w:color="auto" w:fill="FFFFFF"/>
        </w:rPr>
      </w:pPr>
      <w:r>
        <w:rPr>
          <w:lang w:eastAsia="en-AU"/>
        </w:rPr>
        <w:t xml:space="preserve">additional principles </w:t>
      </w:r>
      <w:r w:rsidR="009B0257">
        <w:rPr>
          <w:lang w:eastAsia="en-AU"/>
        </w:rPr>
        <w:t xml:space="preserve">around </w:t>
      </w:r>
      <w:r>
        <w:rPr>
          <w:lang w:eastAsia="en-AU"/>
        </w:rPr>
        <w:t>best practice legislative drafting.</w:t>
      </w:r>
    </w:p>
    <w:p w14:paraId="10A21145" w14:textId="59199464" w:rsidR="005B578B" w:rsidRPr="00210E24" w:rsidRDefault="00EB3497" w:rsidP="00210E24">
      <w:pPr>
        <w:spacing w:beforeLines="60" w:before="144" w:afterLines="60" w:after="144"/>
        <w:rPr>
          <w:lang w:eastAsia="en-AU"/>
        </w:rPr>
      </w:pPr>
      <w:r w:rsidRPr="00210E24">
        <w:rPr>
          <w:lang w:eastAsia="en-AU"/>
        </w:rPr>
        <w:t>You should include a brief explanation of how the proposed law is consistent (or otherwise) with the scrutiny committee principles</w:t>
      </w:r>
      <w:r w:rsidR="004656A1" w:rsidRPr="00210E24">
        <w:rPr>
          <w:lang w:eastAsia="en-AU"/>
        </w:rPr>
        <w:t xml:space="preserve"> in the RIS</w:t>
      </w:r>
      <w:r w:rsidRPr="00210E24">
        <w:rPr>
          <w:lang w:eastAsia="en-AU"/>
        </w:rPr>
        <w:t>.</w:t>
      </w:r>
      <w:r>
        <w:rPr>
          <w:lang w:eastAsia="en-AU"/>
        </w:rPr>
        <w:t xml:space="preserve"> </w:t>
      </w:r>
    </w:p>
    <w:p w14:paraId="6A3E851F" w14:textId="77777777" w:rsidR="00C92745" w:rsidRPr="002B58CD" w:rsidRDefault="00C92745" w:rsidP="002B58CD">
      <w:pPr>
        <w:pStyle w:val="ListParagraph"/>
        <w:spacing w:beforeLines="60" w:before="144" w:afterLines="60" w:after="144"/>
        <w:rPr>
          <w:color w:val="000000"/>
          <w:shd w:val="clear" w:color="auto" w:fill="FFFFFF"/>
        </w:rPr>
      </w:pPr>
    </w:p>
    <w:p w14:paraId="4415709D" w14:textId="6BA7FB99" w:rsidR="00C92745" w:rsidRDefault="00C92745" w:rsidP="002B58CD">
      <w:pPr>
        <w:pStyle w:val="Boxed1Bullet"/>
        <w:numPr>
          <w:ilvl w:val="0"/>
          <w:numId w:val="0"/>
        </w:numPr>
        <w:rPr>
          <w:lang w:eastAsia="en-AU"/>
        </w:rPr>
        <w:sectPr w:rsidR="00C92745" w:rsidSect="001723F7">
          <w:type w:val="continuous"/>
          <w:pgSz w:w="11907" w:h="16840" w:code="9"/>
          <w:pgMar w:top="1134" w:right="1134" w:bottom="1702" w:left="1134" w:header="567" w:footer="254" w:gutter="0"/>
          <w:cols w:space="720"/>
          <w:docGrid w:linePitch="299"/>
        </w:sectPr>
      </w:pPr>
    </w:p>
    <w:p w14:paraId="3758C7DC" w14:textId="322C2459" w:rsidR="006E5B9F" w:rsidRDefault="006E5B9F" w:rsidP="006E5B9F">
      <w:pPr>
        <w:pStyle w:val="Heading2"/>
      </w:pPr>
      <w:bookmarkStart w:id="25" w:name="_Toc175576411"/>
      <w:r>
        <w:lastRenderedPageBreak/>
        <w:t xml:space="preserve">Appendix A </w:t>
      </w:r>
      <w:r w:rsidR="00AD1933">
        <w:t>–</w:t>
      </w:r>
      <w:r>
        <w:t xml:space="preserve"> </w:t>
      </w:r>
      <w:r w:rsidR="00AD1933">
        <w:t>Types of market failure</w:t>
      </w:r>
      <w:bookmarkEnd w:id="25"/>
      <w:r w:rsidR="00AD1933">
        <w:t xml:space="preserve"> </w:t>
      </w:r>
    </w:p>
    <w:p w14:paraId="410A1A17" w14:textId="4D83BE69" w:rsidR="002365A8" w:rsidRPr="002365A8" w:rsidRDefault="002365A8" w:rsidP="004B79B3">
      <w:r>
        <w:t>The table below provides definitions and explanations for the broad categories of market failure.</w:t>
      </w:r>
      <w:r w:rsidR="00A35338">
        <w:rPr>
          <w:rStyle w:val="FootnoteReference"/>
        </w:rPr>
        <w:footnoteReference w:id="4"/>
      </w:r>
      <w:r>
        <w:t xml:space="preserve"> </w:t>
      </w:r>
    </w:p>
    <w:tbl>
      <w:tblPr>
        <w:tblStyle w:val="ARTableFigures"/>
        <w:tblW w:w="9466" w:type="dxa"/>
        <w:tblLook w:val="04A0" w:firstRow="1" w:lastRow="0" w:firstColumn="1" w:lastColumn="0" w:noHBand="0" w:noVBand="1"/>
      </w:tblPr>
      <w:tblGrid>
        <w:gridCol w:w="2410"/>
        <w:gridCol w:w="3528"/>
        <w:gridCol w:w="3528"/>
      </w:tblGrid>
      <w:tr w:rsidR="007212A0" w14:paraId="1D19FCD2" w14:textId="77777777" w:rsidTr="00EB3B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vAlign w:val="top"/>
          </w:tcPr>
          <w:p w14:paraId="59F9F783" w14:textId="77777777" w:rsidR="007212A0" w:rsidRDefault="007212A0" w:rsidP="00EB3B5B">
            <w:pPr>
              <w:pStyle w:val="TableheadingNormal"/>
            </w:pPr>
            <w:r>
              <w:t>Types</w:t>
            </w:r>
          </w:p>
        </w:tc>
        <w:tc>
          <w:tcPr>
            <w:tcW w:w="3528" w:type="dxa"/>
            <w:vAlign w:val="top"/>
          </w:tcPr>
          <w:p w14:paraId="65995380" w14:textId="77777777" w:rsidR="007212A0" w:rsidRDefault="007212A0" w:rsidP="00EB3B5B">
            <w:pPr>
              <w:pStyle w:val="TableheadingNormal"/>
              <w:cnfStyle w:val="100000000000" w:firstRow="1" w:lastRow="0" w:firstColumn="0" w:lastColumn="0" w:oddVBand="0" w:evenVBand="0" w:oddHBand="0" w:evenHBand="0" w:firstRowFirstColumn="0" w:firstRowLastColumn="0" w:lastRowFirstColumn="0" w:lastRowLastColumn="0"/>
            </w:pPr>
            <w:r>
              <w:t>Market failure</w:t>
            </w:r>
          </w:p>
        </w:tc>
        <w:tc>
          <w:tcPr>
            <w:tcW w:w="3528" w:type="dxa"/>
            <w:vAlign w:val="top"/>
          </w:tcPr>
          <w:p w14:paraId="46253974" w14:textId="77777777" w:rsidR="007212A0" w:rsidRDefault="007212A0" w:rsidP="00EB3B5B">
            <w:pPr>
              <w:pStyle w:val="TableheadingNormal"/>
              <w:cnfStyle w:val="100000000000" w:firstRow="1" w:lastRow="0" w:firstColumn="0" w:lastColumn="0" w:oddVBand="0" w:evenVBand="0" w:oddHBand="0" w:evenHBand="0" w:firstRowFirstColumn="0" w:firstRowLastColumn="0" w:lastRowFirstColumn="0" w:lastRowLastColumn="0"/>
            </w:pPr>
            <w:r>
              <w:t>Need for government intervention</w:t>
            </w:r>
          </w:p>
        </w:tc>
      </w:tr>
      <w:tr w:rsidR="007212A0" w14:paraId="445D1929" w14:textId="77777777" w:rsidTr="00EB3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top"/>
          </w:tcPr>
          <w:p w14:paraId="0904CA6D" w14:textId="77777777" w:rsidR="007212A0" w:rsidRDefault="007212A0" w:rsidP="00EB3B5B">
            <w:pPr>
              <w:pStyle w:val="Tabletext"/>
            </w:pPr>
            <w:r>
              <w:t>Public goods</w:t>
            </w:r>
          </w:p>
        </w:tc>
        <w:tc>
          <w:tcPr>
            <w:tcW w:w="3528" w:type="dxa"/>
            <w:vAlign w:val="top"/>
          </w:tcPr>
          <w:p w14:paraId="17D66BAD" w14:textId="77777777" w:rsidR="007212A0" w:rsidRDefault="007212A0" w:rsidP="00EB3B5B">
            <w:pPr>
              <w:pStyle w:val="Tabletext"/>
              <w:jc w:val="left"/>
              <w:cnfStyle w:val="000000100000" w:firstRow="0" w:lastRow="0" w:firstColumn="0" w:lastColumn="0" w:oddVBand="0" w:evenVBand="0" w:oddHBand="1" w:evenHBand="0" w:firstRowFirstColumn="0" w:firstRowLastColumn="0" w:lastRowFirstColumn="0" w:lastRowLastColumn="0"/>
            </w:pPr>
            <w:r w:rsidRPr="005F142F">
              <w:t>Public goods are typically ones where</w:t>
            </w:r>
            <w:r>
              <w:t xml:space="preserve"> </w:t>
            </w:r>
            <w:r w:rsidRPr="005F142F">
              <w:t>the supplier cannot exclude others from enjoying the benefits of the good</w:t>
            </w:r>
            <w:r>
              <w:t xml:space="preserve"> or service once produced </w:t>
            </w:r>
            <w:r w:rsidRPr="005F142F">
              <w:t xml:space="preserve">and any number of persons may enjoy the benefits of the good </w:t>
            </w:r>
            <w:r>
              <w:t xml:space="preserve">or service </w:t>
            </w:r>
            <w:r w:rsidRPr="005F142F">
              <w:t>without reducing the level of benefits for others</w:t>
            </w:r>
            <w:r>
              <w:t>,</w:t>
            </w:r>
            <w:r w:rsidRPr="005F142F">
              <w:t xml:space="preserve"> e.g. </w:t>
            </w:r>
            <w:r>
              <w:t xml:space="preserve">street lighting, </w:t>
            </w:r>
            <w:r w:rsidRPr="005F142F">
              <w:t>a free to air radio program</w:t>
            </w:r>
            <w:r>
              <w:t>, etc</w:t>
            </w:r>
            <w:r w:rsidRPr="005F142F">
              <w:t>.</w:t>
            </w:r>
          </w:p>
        </w:tc>
        <w:tc>
          <w:tcPr>
            <w:tcW w:w="3528" w:type="dxa"/>
            <w:vAlign w:val="top"/>
          </w:tcPr>
          <w:p w14:paraId="17ED888B" w14:textId="77777777" w:rsidR="007212A0" w:rsidRDefault="007212A0" w:rsidP="00EB3B5B">
            <w:pPr>
              <w:pStyle w:val="Tabletext"/>
              <w:jc w:val="left"/>
              <w:cnfStyle w:val="000000100000" w:firstRow="0" w:lastRow="0" w:firstColumn="0" w:lastColumn="0" w:oddVBand="0" w:evenVBand="0" w:oddHBand="1" w:evenHBand="0" w:firstRowFirstColumn="0" w:firstRowLastColumn="0" w:lastRowFirstColumn="0" w:lastRowLastColumn="0"/>
            </w:pPr>
            <w:r>
              <w:t>To ensure the provision of such goods or services, the government may:</w:t>
            </w:r>
          </w:p>
          <w:p w14:paraId="0E9BF4EC" w14:textId="77777777" w:rsidR="007212A0" w:rsidRDefault="007212A0" w:rsidP="00EB3B5B">
            <w:pPr>
              <w:pStyle w:val="Tabletext"/>
              <w:numPr>
                <w:ilvl w:val="0"/>
                <w:numId w:val="18"/>
              </w:numPr>
              <w:jc w:val="left"/>
              <w:cnfStyle w:val="000000100000" w:firstRow="0" w:lastRow="0" w:firstColumn="0" w:lastColumn="0" w:oddVBand="0" w:evenVBand="0" w:oddHBand="1" w:evenHBand="0" w:firstRowFirstColumn="0" w:firstRowLastColumn="0" w:lastRowFirstColumn="0" w:lastRowLastColumn="0"/>
            </w:pPr>
            <w:r>
              <w:t>directly provide the good or service – as is the case with defence and community parks; or</w:t>
            </w:r>
          </w:p>
          <w:p w14:paraId="100FAC99" w14:textId="77777777" w:rsidR="007212A0" w:rsidRDefault="007212A0" w:rsidP="00EB3B5B">
            <w:pPr>
              <w:pStyle w:val="Tabletext"/>
              <w:numPr>
                <w:ilvl w:val="0"/>
                <w:numId w:val="18"/>
              </w:numPr>
              <w:jc w:val="left"/>
              <w:cnfStyle w:val="000000100000" w:firstRow="0" w:lastRow="0" w:firstColumn="0" w:lastColumn="0" w:oddVBand="0" w:evenVBand="0" w:oddHBand="1" w:evenHBand="0" w:firstRowFirstColumn="0" w:firstRowLastColumn="0" w:lastRowFirstColumn="0" w:lastRowLastColumn="0"/>
            </w:pPr>
            <w:r>
              <w:t>create private property rights such as copyright to provide the private sector an incentive to provide the good or service.</w:t>
            </w:r>
          </w:p>
        </w:tc>
      </w:tr>
      <w:tr w:rsidR="007212A0" w14:paraId="01A7F159" w14:textId="77777777" w:rsidTr="00EB3B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top"/>
          </w:tcPr>
          <w:p w14:paraId="429B20D9" w14:textId="77777777" w:rsidR="007212A0" w:rsidRDefault="007212A0" w:rsidP="00EB3B5B">
            <w:pPr>
              <w:pStyle w:val="Tabletext"/>
            </w:pPr>
            <w:r w:rsidRPr="005F142F">
              <w:t>Externalities</w:t>
            </w:r>
          </w:p>
        </w:tc>
        <w:tc>
          <w:tcPr>
            <w:tcW w:w="3528" w:type="dxa"/>
            <w:vAlign w:val="top"/>
          </w:tcPr>
          <w:p w14:paraId="5447EE56" w14:textId="77777777" w:rsidR="007212A0" w:rsidRDefault="007212A0" w:rsidP="00EB3B5B">
            <w:pPr>
              <w:pStyle w:val="Tabletext"/>
              <w:jc w:val="left"/>
              <w:cnfStyle w:val="000000010000" w:firstRow="0" w:lastRow="0" w:firstColumn="0" w:lastColumn="0" w:oddVBand="0" w:evenVBand="0" w:oddHBand="0" w:evenHBand="1" w:firstRowFirstColumn="0" w:firstRowLastColumn="0" w:lastRowFirstColumn="0" w:lastRowLastColumn="0"/>
            </w:pPr>
            <w:r w:rsidRPr="00A9667C">
              <w:t>Externalities arise where an activity, service or good confers spillover benefits or imposes spillover costs on third parties. As the spillover is not borne by the originator, there is little incentive to engage in the activity in the case of a positive externality or decrease the activity in the case of a negative externality.</w:t>
            </w:r>
          </w:p>
        </w:tc>
        <w:tc>
          <w:tcPr>
            <w:tcW w:w="3528" w:type="dxa"/>
            <w:vAlign w:val="top"/>
          </w:tcPr>
          <w:p w14:paraId="668F3A59" w14:textId="1D438C90" w:rsidR="007212A0" w:rsidRDefault="007212A0" w:rsidP="00EB3B5B">
            <w:pPr>
              <w:pStyle w:val="Tabletext"/>
              <w:jc w:val="left"/>
              <w:cnfStyle w:val="000000010000" w:firstRow="0" w:lastRow="0" w:firstColumn="0" w:lastColumn="0" w:oddVBand="0" w:evenVBand="0" w:oddHBand="0" w:evenHBand="1" w:firstRowFirstColumn="0" w:firstRowLastColumn="0" w:lastRowFirstColumn="0" w:lastRowLastColumn="0"/>
            </w:pPr>
            <w:r>
              <w:t xml:space="preserve">The </w:t>
            </w:r>
            <w:r w:rsidR="009B0257">
              <w:t>G</w:t>
            </w:r>
            <w:r>
              <w:t>overnment can reduce the incidence of spillover costs in the case of a negative externality by:</w:t>
            </w:r>
          </w:p>
          <w:p w14:paraId="1FBE51C2"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prohibiting the activity outright e.g. drink driving;</w:t>
            </w:r>
          </w:p>
          <w:p w14:paraId="635348C1"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imposing a tax or charge on the activity;</w:t>
            </w:r>
          </w:p>
          <w:p w14:paraId="0D1B06AF" w14:textId="625F5DA2"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imposing minimum safety standards;</w:t>
            </w:r>
            <w:r w:rsidR="009B0257">
              <w:t xml:space="preserve"> or</w:t>
            </w:r>
          </w:p>
          <w:p w14:paraId="60DC10A2"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creating tradeable property rights such as the right to develop land within overall zoning constraints.</w:t>
            </w:r>
          </w:p>
          <w:p w14:paraId="7577055E" w14:textId="77777777" w:rsidR="007212A0" w:rsidRDefault="007212A0" w:rsidP="00EB3B5B">
            <w:pPr>
              <w:pStyle w:val="Tabletext"/>
              <w:jc w:val="left"/>
              <w:cnfStyle w:val="000000010000" w:firstRow="0" w:lastRow="0" w:firstColumn="0" w:lastColumn="0" w:oddVBand="0" w:evenVBand="0" w:oddHBand="0" w:evenHBand="1" w:firstRowFirstColumn="0" w:firstRowLastColumn="0" w:lastRowFirstColumn="0" w:lastRowLastColumn="0"/>
            </w:pPr>
          </w:p>
          <w:p w14:paraId="7215E447" w14:textId="00B2F1F0" w:rsidR="007212A0" w:rsidRDefault="007212A0" w:rsidP="00EB3B5B">
            <w:pPr>
              <w:pStyle w:val="Tabletext"/>
              <w:jc w:val="left"/>
              <w:cnfStyle w:val="000000010000" w:firstRow="0" w:lastRow="0" w:firstColumn="0" w:lastColumn="0" w:oddVBand="0" w:evenVBand="0" w:oddHBand="0" w:evenHBand="1" w:firstRowFirstColumn="0" w:firstRowLastColumn="0" w:lastRowFirstColumn="0" w:lastRowLastColumn="0"/>
            </w:pPr>
            <w:r>
              <w:t xml:space="preserve">The </w:t>
            </w:r>
            <w:r w:rsidR="009B0257">
              <w:t>G</w:t>
            </w:r>
            <w:r>
              <w:t>overnment can provide incentives to continue activities with spillover benefits in the case of a positive externality by:</w:t>
            </w:r>
          </w:p>
          <w:p w14:paraId="4CE35ED2"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subsidising the activity e.g. Research and Development tax concessions;</w:t>
            </w:r>
          </w:p>
          <w:p w14:paraId="49B96ED6" w14:textId="48987BFC"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requiring the activity to be carried out by law;</w:t>
            </w:r>
            <w:r w:rsidR="009B0257">
              <w:t xml:space="preserve"> or</w:t>
            </w:r>
          </w:p>
          <w:p w14:paraId="69DDEBB2"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creating private property rights.</w:t>
            </w:r>
          </w:p>
        </w:tc>
      </w:tr>
      <w:tr w:rsidR="007212A0" w14:paraId="2E0F4609" w14:textId="77777777" w:rsidTr="00EB3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top"/>
          </w:tcPr>
          <w:p w14:paraId="22E2831B" w14:textId="77777777" w:rsidR="007212A0" w:rsidRDefault="007212A0" w:rsidP="00EB3B5B">
            <w:pPr>
              <w:pStyle w:val="Tabletext"/>
            </w:pPr>
            <w:r w:rsidRPr="005F142F">
              <w:t>Natural monopolies</w:t>
            </w:r>
          </w:p>
        </w:tc>
        <w:tc>
          <w:tcPr>
            <w:tcW w:w="3528" w:type="dxa"/>
            <w:vAlign w:val="top"/>
          </w:tcPr>
          <w:p w14:paraId="66CC56E2" w14:textId="77777777" w:rsidR="007212A0" w:rsidRDefault="007212A0" w:rsidP="00EB3B5B">
            <w:pPr>
              <w:pStyle w:val="Tabletext"/>
              <w:jc w:val="left"/>
              <w:cnfStyle w:val="000000100000" w:firstRow="0" w:lastRow="0" w:firstColumn="0" w:lastColumn="0" w:oddVBand="0" w:evenVBand="0" w:oddHBand="1" w:evenHBand="0" w:firstRowFirstColumn="0" w:firstRowLastColumn="0" w:lastRowFirstColumn="0" w:lastRowLastColumn="0"/>
            </w:pPr>
            <w:r>
              <w:t xml:space="preserve">A natural monopoly occurs when a single business can offer a good or service at a lower cost than its competitors, resulting in practically no competition in the market. It usually happens when there are high infrastructural costs and other barriers to entry. Without government intervention, there is a risk that the business will abuse its market power. </w:t>
            </w:r>
          </w:p>
        </w:tc>
        <w:tc>
          <w:tcPr>
            <w:tcW w:w="3528" w:type="dxa"/>
            <w:vAlign w:val="top"/>
          </w:tcPr>
          <w:p w14:paraId="482E0AA8" w14:textId="1EB9BF6F" w:rsidR="007212A0" w:rsidRDefault="007212A0" w:rsidP="00EB3B5B">
            <w:pPr>
              <w:pStyle w:val="Tabletext"/>
              <w:jc w:val="left"/>
              <w:cnfStyle w:val="000000100000" w:firstRow="0" w:lastRow="0" w:firstColumn="0" w:lastColumn="0" w:oddVBand="0" w:evenVBand="0" w:oddHBand="1" w:evenHBand="0" w:firstRowFirstColumn="0" w:firstRowLastColumn="0" w:lastRowFirstColumn="0" w:lastRowLastColumn="0"/>
            </w:pPr>
            <w:r>
              <w:t xml:space="preserve">The </w:t>
            </w:r>
            <w:r w:rsidR="009B0257">
              <w:t>G</w:t>
            </w:r>
            <w:r>
              <w:t>overnment can prevent abuse of market power by:</w:t>
            </w:r>
          </w:p>
          <w:p w14:paraId="295BBC6E" w14:textId="6427C0AD" w:rsidR="007212A0" w:rsidRDefault="007212A0" w:rsidP="00EB3B5B">
            <w:pPr>
              <w:pStyle w:val="Tabletext"/>
              <w:numPr>
                <w:ilvl w:val="0"/>
                <w:numId w:val="18"/>
              </w:numPr>
              <w:jc w:val="left"/>
              <w:cnfStyle w:val="000000100000" w:firstRow="0" w:lastRow="0" w:firstColumn="0" w:lastColumn="0" w:oddVBand="0" w:evenVBand="0" w:oddHBand="1" w:evenHBand="0" w:firstRowFirstColumn="0" w:firstRowLastColumn="0" w:lastRowFirstColumn="0" w:lastRowLastColumn="0"/>
            </w:pPr>
            <w:r>
              <w:t>imposing price controls;</w:t>
            </w:r>
            <w:r w:rsidR="009B0257">
              <w:t xml:space="preserve"> or</w:t>
            </w:r>
          </w:p>
          <w:p w14:paraId="3F5882EE" w14:textId="77777777" w:rsidR="007212A0" w:rsidRDefault="007212A0" w:rsidP="00EB3B5B">
            <w:pPr>
              <w:pStyle w:val="Tabletext"/>
              <w:numPr>
                <w:ilvl w:val="0"/>
                <w:numId w:val="18"/>
              </w:numPr>
              <w:jc w:val="left"/>
              <w:cnfStyle w:val="000000100000" w:firstRow="0" w:lastRow="0" w:firstColumn="0" w:lastColumn="0" w:oddVBand="0" w:evenVBand="0" w:oddHBand="1" w:evenHBand="0" w:firstRowFirstColumn="0" w:firstRowLastColumn="0" w:lastRowFirstColumn="0" w:lastRowLastColumn="0"/>
            </w:pPr>
            <w:r>
              <w:t>creating third party rights to negotiate access to natural monopoly facilities where such access is required to permit competition in upstream of downstream markets.</w:t>
            </w:r>
          </w:p>
          <w:p w14:paraId="41A3BC6D" w14:textId="77777777" w:rsidR="007212A0" w:rsidRDefault="007212A0" w:rsidP="00EB3B5B">
            <w:pPr>
              <w:pStyle w:val="Tabletext"/>
              <w:jc w:val="left"/>
              <w:cnfStyle w:val="000000100000" w:firstRow="0" w:lastRow="0" w:firstColumn="0" w:lastColumn="0" w:oddVBand="0" w:evenVBand="0" w:oddHBand="1" w:evenHBand="0" w:firstRowFirstColumn="0" w:firstRowLastColumn="0" w:lastRowFirstColumn="0" w:lastRowLastColumn="0"/>
            </w:pPr>
            <w:r>
              <w:t xml:space="preserve">However, the availability of substitutes in the market may limit the economic </w:t>
            </w:r>
            <w:r>
              <w:lastRenderedPageBreak/>
              <w:t>inefficiencies associated with natural monopoly.</w:t>
            </w:r>
          </w:p>
          <w:p w14:paraId="418084E1" w14:textId="77777777" w:rsidR="007212A0" w:rsidRDefault="007212A0" w:rsidP="00EB3B5B">
            <w:pPr>
              <w:pStyle w:val="Tabletext"/>
              <w:jc w:val="left"/>
              <w:cnfStyle w:val="000000100000" w:firstRow="0" w:lastRow="0" w:firstColumn="0" w:lastColumn="0" w:oddVBand="0" w:evenVBand="0" w:oddHBand="1" w:evenHBand="0" w:firstRowFirstColumn="0" w:firstRowLastColumn="0" w:lastRowFirstColumn="0" w:lastRowLastColumn="0"/>
            </w:pPr>
          </w:p>
          <w:p w14:paraId="7A767910" w14:textId="77777777" w:rsidR="007212A0" w:rsidRDefault="007212A0" w:rsidP="00EB3B5B">
            <w:pPr>
              <w:pStyle w:val="Tabletext"/>
              <w:jc w:val="left"/>
              <w:cnfStyle w:val="000000100000" w:firstRow="0" w:lastRow="0" w:firstColumn="0" w:lastColumn="0" w:oddVBand="0" w:evenVBand="0" w:oddHBand="1" w:evenHBand="0" w:firstRowFirstColumn="0" w:firstRowLastColumn="0" w:lastRowFirstColumn="0" w:lastRowLastColumn="0"/>
            </w:pPr>
            <w:r>
              <w:t xml:space="preserve">Note that the need for government intervention may be lessened </w:t>
            </w:r>
            <w:r w:rsidRPr="00B643E0">
              <w:t>as the existence and extent of natural monopoly changes with changes in production technology or demand</w:t>
            </w:r>
            <w:r>
              <w:t>.</w:t>
            </w:r>
          </w:p>
        </w:tc>
      </w:tr>
      <w:tr w:rsidR="007212A0" w:rsidRPr="00B83F53" w14:paraId="0EA0013C" w14:textId="77777777" w:rsidTr="00EB3B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top"/>
          </w:tcPr>
          <w:p w14:paraId="1AFE9E6A" w14:textId="77777777" w:rsidR="007212A0" w:rsidRPr="00B83F53" w:rsidRDefault="007212A0" w:rsidP="00EB3B5B">
            <w:pPr>
              <w:pStyle w:val="Tabletext"/>
            </w:pPr>
            <w:r w:rsidRPr="005F142F">
              <w:lastRenderedPageBreak/>
              <w:t>Information asymmetries</w:t>
            </w:r>
          </w:p>
        </w:tc>
        <w:tc>
          <w:tcPr>
            <w:tcW w:w="3528" w:type="dxa"/>
            <w:vAlign w:val="top"/>
          </w:tcPr>
          <w:p w14:paraId="35100580" w14:textId="77777777" w:rsidR="007212A0" w:rsidRPr="00B83F53" w:rsidRDefault="007212A0" w:rsidP="00EB3B5B">
            <w:pPr>
              <w:pStyle w:val="Tabletext"/>
              <w:jc w:val="left"/>
              <w:cnfStyle w:val="000000010000" w:firstRow="0" w:lastRow="0" w:firstColumn="0" w:lastColumn="0" w:oddVBand="0" w:evenVBand="0" w:oddHBand="0" w:evenHBand="1" w:firstRowFirstColumn="0" w:firstRowLastColumn="0" w:lastRowFirstColumn="0" w:lastRowLastColumn="0"/>
            </w:pPr>
            <w:r w:rsidRPr="00B643E0">
              <w:t>In some markets, sellers have more information about quality</w:t>
            </w:r>
            <w:r>
              <w:t xml:space="preserve"> of a product</w:t>
            </w:r>
            <w:r w:rsidRPr="00B643E0">
              <w:t xml:space="preserve"> than buyers e.g. used cars. This may result in lower quality products driving higher quality products out of the market or consumers being unable to make rational, informed decisions about price and quality</w:t>
            </w:r>
            <w:r>
              <w:t xml:space="preserve"> of the product they are purchasing.</w:t>
            </w:r>
          </w:p>
        </w:tc>
        <w:tc>
          <w:tcPr>
            <w:tcW w:w="3528" w:type="dxa"/>
            <w:vAlign w:val="top"/>
          </w:tcPr>
          <w:p w14:paraId="42AFD3CB" w14:textId="77777777" w:rsidR="007212A0" w:rsidRDefault="007212A0" w:rsidP="00EB3B5B">
            <w:pPr>
              <w:pStyle w:val="Tabletext"/>
              <w:jc w:val="left"/>
              <w:cnfStyle w:val="000000010000" w:firstRow="0" w:lastRow="0" w:firstColumn="0" w:lastColumn="0" w:oddVBand="0" w:evenVBand="0" w:oddHBand="0" w:evenHBand="1" w:firstRowFirstColumn="0" w:firstRowLastColumn="0" w:lastRowFirstColumn="0" w:lastRowLastColumn="0"/>
            </w:pPr>
            <w:r>
              <w:t>Governments can ensure that consumers are better informed about the quality of products by:</w:t>
            </w:r>
          </w:p>
          <w:p w14:paraId="6E5CF9D8"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licensing and thus facilitating the ‘signalling’ of appropriately qualified suppliers;</w:t>
            </w:r>
          </w:p>
          <w:p w14:paraId="7FE9D145"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imposing minimum safety standards on production;</w:t>
            </w:r>
          </w:p>
          <w:p w14:paraId="480E435F" w14:textId="77777777" w:rsidR="007212A0"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imposing minimum information requirements; or</w:t>
            </w:r>
          </w:p>
          <w:p w14:paraId="663B5E5D" w14:textId="77777777" w:rsidR="007212A0" w:rsidRPr="00B83F53" w:rsidRDefault="007212A0" w:rsidP="00EB3B5B">
            <w:pPr>
              <w:pStyle w:val="Tabletext"/>
              <w:numPr>
                <w:ilvl w:val="0"/>
                <w:numId w:val="18"/>
              </w:numPr>
              <w:jc w:val="left"/>
              <w:cnfStyle w:val="000000010000" w:firstRow="0" w:lastRow="0" w:firstColumn="0" w:lastColumn="0" w:oddVBand="0" w:evenVBand="0" w:oddHBand="0" w:evenHBand="1" w:firstRowFirstColumn="0" w:firstRowLastColumn="0" w:lastRowFirstColumn="0" w:lastRowLastColumn="0"/>
            </w:pPr>
            <w:r>
              <w:t>encouraging appropriate industry self-regulation.</w:t>
            </w:r>
          </w:p>
        </w:tc>
      </w:tr>
    </w:tbl>
    <w:p w14:paraId="425B3C8C" w14:textId="18C853F7" w:rsidR="0044345D" w:rsidRDefault="0044345D" w:rsidP="009266DD">
      <w:pPr>
        <w:spacing w:beforeLines="60" w:before="144" w:afterLines="60" w:after="144"/>
        <w:rPr>
          <w:szCs w:val="22"/>
          <w:lang w:eastAsia="en-AU"/>
        </w:rPr>
      </w:pPr>
    </w:p>
    <w:p w14:paraId="5849E8B2" w14:textId="77777777" w:rsidR="0044345D" w:rsidRDefault="0044345D">
      <w:pPr>
        <w:spacing w:before="0" w:after="160" w:line="259" w:lineRule="auto"/>
        <w:rPr>
          <w:szCs w:val="22"/>
          <w:lang w:eastAsia="en-AU"/>
        </w:rPr>
      </w:pPr>
      <w:r>
        <w:rPr>
          <w:szCs w:val="22"/>
          <w:lang w:eastAsia="en-AU"/>
        </w:rPr>
        <w:br w:type="page"/>
      </w:r>
    </w:p>
    <w:p w14:paraId="2A6F1907" w14:textId="22086016" w:rsidR="002A190D" w:rsidRPr="002A190D" w:rsidRDefault="0044345D" w:rsidP="002A190D">
      <w:pPr>
        <w:pStyle w:val="Heading2"/>
      </w:pPr>
      <w:bookmarkStart w:id="26" w:name="_Toc175576412"/>
      <w:r>
        <w:lastRenderedPageBreak/>
        <w:t xml:space="preserve">Appendix B – </w:t>
      </w:r>
      <w:r w:rsidR="002A190D">
        <w:t>Non-regulatory and r</w:t>
      </w:r>
      <w:r w:rsidR="00F509E9">
        <w:t>egulatory options</w:t>
      </w:r>
      <w:bookmarkEnd w:id="26"/>
      <w:r>
        <w:t xml:space="preserve"> </w:t>
      </w:r>
    </w:p>
    <w:p w14:paraId="59231152" w14:textId="0E73D7B3" w:rsidR="002A190D" w:rsidRPr="002A190D" w:rsidRDefault="002A190D" w:rsidP="009266DD">
      <w:pPr>
        <w:spacing w:beforeLines="60" w:before="144" w:afterLines="60" w:after="144"/>
        <w:rPr>
          <w:rFonts w:ascii="Arial Bold" w:hAnsi="Arial Bold"/>
          <w:bCs/>
          <w:color w:val="808080" w:themeColor="background1" w:themeShade="80"/>
          <w:sz w:val="24"/>
          <w:szCs w:val="26"/>
        </w:rPr>
      </w:pPr>
      <w:r w:rsidRPr="002A190D">
        <w:rPr>
          <w:rFonts w:ascii="Arial Bold" w:hAnsi="Arial Bold"/>
          <w:bCs/>
          <w:color w:val="808080" w:themeColor="background1" w:themeShade="80"/>
          <w:sz w:val="24"/>
          <w:szCs w:val="26"/>
        </w:rPr>
        <w:t xml:space="preserve">Non-regulatory options </w:t>
      </w:r>
    </w:p>
    <w:p w14:paraId="582A6588" w14:textId="24107FBC" w:rsidR="002A190D" w:rsidRDefault="002A190D" w:rsidP="009266DD">
      <w:pPr>
        <w:spacing w:beforeLines="60" w:before="144" w:afterLines="60" w:after="144"/>
        <w:rPr>
          <w:b/>
          <w:bCs/>
          <w:sz w:val="24"/>
          <w:szCs w:val="24"/>
          <w:lang w:eastAsia="en-AU"/>
        </w:rPr>
      </w:pPr>
      <w:r>
        <w:rPr>
          <w:b/>
          <w:bCs/>
          <w:sz w:val="24"/>
          <w:szCs w:val="24"/>
          <w:lang w:eastAsia="en-AU"/>
        </w:rPr>
        <w:t xml:space="preserve">No specific </w:t>
      </w:r>
      <w:r w:rsidR="008F0764">
        <w:rPr>
          <w:b/>
          <w:bCs/>
          <w:sz w:val="24"/>
          <w:szCs w:val="24"/>
          <w:lang w:eastAsia="en-AU"/>
        </w:rPr>
        <w:t>action</w:t>
      </w:r>
    </w:p>
    <w:p w14:paraId="3AF81A51" w14:textId="0CBD18A0" w:rsidR="008F0764" w:rsidRPr="008F0764" w:rsidRDefault="008F0764" w:rsidP="009266DD">
      <w:pPr>
        <w:spacing w:beforeLines="60" w:before="144" w:afterLines="60" w:after="144"/>
        <w:rPr>
          <w:szCs w:val="22"/>
          <w:lang w:eastAsia="en-AU"/>
        </w:rPr>
      </w:pPr>
      <w:r w:rsidRPr="008F0764">
        <w:rPr>
          <w:szCs w:val="22"/>
          <w:lang w:eastAsia="en-AU"/>
        </w:rPr>
        <w:t>The case for government intervention should be assessed to determine whether the benefits outweigh the costs of such action.</w:t>
      </w:r>
      <w:r>
        <w:rPr>
          <w:szCs w:val="22"/>
          <w:lang w:eastAsia="en-AU"/>
        </w:rPr>
        <w:t xml:space="preserve"> </w:t>
      </w:r>
      <w:r w:rsidR="00BC1598">
        <w:rPr>
          <w:szCs w:val="22"/>
          <w:lang w:eastAsia="en-AU"/>
        </w:rPr>
        <w:t xml:space="preserve">No action might be the best option should all other government actions generate net costs to the community. </w:t>
      </w:r>
    </w:p>
    <w:p w14:paraId="06EE9548" w14:textId="365AE5B0" w:rsidR="002E6F74" w:rsidRPr="002A190D" w:rsidRDefault="00D02EA1" w:rsidP="009266DD">
      <w:pPr>
        <w:spacing w:beforeLines="60" w:before="144" w:afterLines="60" w:after="144"/>
        <w:rPr>
          <w:b/>
          <w:bCs/>
          <w:sz w:val="24"/>
          <w:szCs w:val="24"/>
          <w:lang w:eastAsia="en-AU"/>
        </w:rPr>
      </w:pPr>
      <w:r w:rsidRPr="002A190D">
        <w:rPr>
          <w:b/>
          <w:bCs/>
          <w:sz w:val="24"/>
          <w:szCs w:val="24"/>
          <w:lang w:eastAsia="en-AU"/>
        </w:rPr>
        <w:t>Information and education campaigns</w:t>
      </w:r>
    </w:p>
    <w:p w14:paraId="21F709E8" w14:textId="65B0BFC7" w:rsidR="00D02EA1" w:rsidRDefault="00D02EA1" w:rsidP="009266DD">
      <w:pPr>
        <w:spacing w:beforeLines="60" w:before="144" w:afterLines="60" w:after="144"/>
        <w:rPr>
          <w:szCs w:val="22"/>
          <w:lang w:eastAsia="en-AU"/>
        </w:rPr>
      </w:pPr>
      <w:r w:rsidRPr="00D02EA1">
        <w:rPr>
          <w:szCs w:val="22"/>
          <w:lang w:eastAsia="en-AU"/>
        </w:rPr>
        <w:t xml:space="preserve">If the problem requiring action is due to information asymmetry in the market, that is, sellers having information that buyers do not, the solutions might be best based on information </w:t>
      </w:r>
      <w:r>
        <w:rPr>
          <w:szCs w:val="22"/>
          <w:lang w:eastAsia="en-AU"/>
        </w:rPr>
        <w:t>and education campaigns</w:t>
      </w:r>
      <w:r w:rsidRPr="00D02EA1">
        <w:rPr>
          <w:szCs w:val="22"/>
          <w:lang w:eastAsia="en-AU"/>
        </w:rPr>
        <w:t>. For example, publishing the results of a hygiene survey of local restaurants provides a non-</w:t>
      </w:r>
      <w:r>
        <w:rPr>
          <w:szCs w:val="22"/>
          <w:lang w:eastAsia="en-AU"/>
        </w:rPr>
        <w:t>r</w:t>
      </w:r>
      <w:r w:rsidRPr="00D02EA1">
        <w:rPr>
          <w:szCs w:val="22"/>
          <w:lang w:eastAsia="en-AU"/>
        </w:rPr>
        <w:t>egulatory incentive to meet the standards.</w:t>
      </w:r>
    </w:p>
    <w:p w14:paraId="1BBE88F6" w14:textId="7828D9BB" w:rsidR="002A190D" w:rsidRDefault="00BC1598" w:rsidP="009266DD">
      <w:pPr>
        <w:spacing w:beforeLines="60" w:before="144" w:afterLines="60" w:after="144"/>
        <w:rPr>
          <w:b/>
          <w:bCs/>
          <w:sz w:val="24"/>
          <w:szCs w:val="24"/>
          <w:lang w:eastAsia="en-AU"/>
        </w:rPr>
      </w:pPr>
      <w:r w:rsidRPr="00BC1598">
        <w:rPr>
          <w:b/>
          <w:bCs/>
          <w:sz w:val="24"/>
          <w:szCs w:val="24"/>
          <w:lang w:eastAsia="en-AU"/>
        </w:rPr>
        <w:t>Market-based approaches</w:t>
      </w:r>
    </w:p>
    <w:p w14:paraId="744A981B" w14:textId="3224DA91" w:rsidR="00D83B82" w:rsidRDefault="00D83B82" w:rsidP="009266DD">
      <w:pPr>
        <w:spacing w:beforeLines="60" w:before="144" w:afterLines="60" w:after="144"/>
        <w:rPr>
          <w:szCs w:val="22"/>
          <w:lang w:eastAsia="en-AU"/>
        </w:rPr>
      </w:pPr>
      <w:r>
        <w:rPr>
          <w:szCs w:val="22"/>
          <w:lang w:eastAsia="en-AU"/>
        </w:rPr>
        <w:t>Below are some of the market-based approaches that can be considered to help achieve policy goals</w:t>
      </w:r>
      <w:r w:rsidR="009B0257">
        <w:rPr>
          <w:szCs w:val="22"/>
          <w:lang w:eastAsia="en-AU"/>
        </w:rPr>
        <w:t>.</w:t>
      </w:r>
    </w:p>
    <w:p w14:paraId="6EDD06E5" w14:textId="5201572E" w:rsidR="002A190D" w:rsidRDefault="00D83B82" w:rsidP="002A190D">
      <w:pPr>
        <w:pStyle w:val="bullet10"/>
        <w:spacing w:before="30" w:after="30"/>
      </w:pPr>
      <w:r w:rsidRPr="00525C1B">
        <w:rPr>
          <w:b/>
          <w:bCs/>
        </w:rPr>
        <w:t xml:space="preserve">Taxes </w:t>
      </w:r>
      <w:r w:rsidR="00525C1B" w:rsidRPr="00525C1B">
        <w:rPr>
          <w:b/>
          <w:bCs/>
        </w:rPr>
        <w:t>and subsides</w:t>
      </w:r>
      <w:r w:rsidR="00525C1B">
        <w:t xml:space="preserve"> </w:t>
      </w:r>
      <w:r>
        <w:t>– Imposing taxes</w:t>
      </w:r>
      <w:r w:rsidR="00525C1B">
        <w:t xml:space="preserve"> or providing subsidies</w:t>
      </w:r>
      <w:r>
        <w:t xml:space="preserve"> </w:t>
      </w:r>
      <w:r w:rsidRPr="00D83B82">
        <w:t>on the activity requiring regulation can change behaviour</w:t>
      </w:r>
      <w:r>
        <w:t xml:space="preserve">. </w:t>
      </w:r>
      <w:r w:rsidRPr="00D83B82">
        <w:t>For example,</w:t>
      </w:r>
      <w:r w:rsidR="00525C1B">
        <w:t xml:space="preserve"> imposing</w:t>
      </w:r>
      <w:r w:rsidRPr="00D83B82">
        <w:t xml:space="preserve"> emission fees for pollutants or </w:t>
      </w:r>
      <w:r w:rsidR="00525C1B">
        <w:t>providing subsidies to purchase of electric vehicles can alter business and consumer behaviours to help achieve climate action targets</w:t>
      </w:r>
      <w:r w:rsidRPr="00D83B82">
        <w:t>. This approach can be cost-effective, stimulate innovation and avoids frequent revisions.</w:t>
      </w:r>
    </w:p>
    <w:p w14:paraId="6F659013" w14:textId="32F025F3" w:rsidR="00F5772A" w:rsidRPr="0042205B" w:rsidRDefault="0042205B" w:rsidP="00F5772A">
      <w:pPr>
        <w:pStyle w:val="bullet10"/>
        <w:spacing w:before="30" w:after="30"/>
      </w:pPr>
      <w:r>
        <w:rPr>
          <w:b/>
          <w:bCs/>
        </w:rPr>
        <w:t xml:space="preserve">Tradeable </w:t>
      </w:r>
      <w:r w:rsidR="00E006AA">
        <w:rPr>
          <w:b/>
          <w:bCs/>
        </w:rPr>
        <w:t>property rights</w:t>
      </w:r>
      <w:r>
        <w:rPr>
          <w:b/>
          <w:bCs/>
        </w:rPr>
        <w:t xml:space="preserve"> </w:t>
      </w:r>
      <w:r>
        <w:t xml:space="preserve">– </w:t>
      </w:r>
      <w:r w:rsidR="00E006AA" w:rsidRPr="00E006AA">
        <w:t xml:space="preserve">Tradeable property rights allow the trading of the rights and obligations created by regulation. Governments have found that the use of licenses and permits to limit business activities when production or consumption must be limited in the public interest is more efficient when the licences and permits are tradeable. Tradeable property rights include pollution permits or take-off and landing rights at crowded airports. The benefits arise from the fact that the market will reallocate ownership of permits to those firms who can use them most efficiently. </w:t>
      </w:r>
      <w:r>
        <w:t xml:space="preserve"> </w:t>
      </w:r>
    </w:p>
    <w:p w14:paraId="5AF6861E" w14:textId="30009A54" w:rsidR="00F5772A" w:rsidRDefault="00F5772A" w:rsidP="00F5772A">
      <w:pPr>
        <w:spacing w:beforeLines="60" w:before="144" w:afterLines="60" w:after="144"/>
        <w:rPr>
          <w:b/>
          <w:bCs/>
          <w:sz w:val="24"/>
          <w:szCs w:val="24"/>
          <w:lang w:eastAsia="en-AU"/>
        </w:rPr>
      </w:pPr>
      <w:r>
        <w:rPr>
          <w:b/>
          <w:bCs/>
          <w:sz w:val="24"/>
          <w:szCs w:val="24"/>
          <w:lang w:eastAsia="en-AU"/>
        </w:rPr>
        <w:t xml:space="preserve">Voluntary agreements </w:t>
      </w:r>
    </w:p>
    <w:p w14:paraId="4406FBCB" w14:textId="2B636246" w:rsidR="00F5772A" w:rsidRPr="00F5772A" w:rsidRDefault="00F5772A" w:rsidP="009266DD">
      <w:pPr>
        <w:spacing w:beforeLines="60" w:before="144" w:afterLines="60" w:after="144"/>
        <w:rPr>
          <w:szCs w:val="22"/>
          <w:lang w:eastAsia="en-AU"/>
        </w:rPr>
      </w:pPr>
      <w:r w:rsidRPr="00F5772A">
        <w:rPr>
          <w:szCs w:val="22"/>
          <w:lang w:eastAsia="en-AU"/>
        </w:rPr>
        <w:t xml:space="preserve">This option is particularly appropriate when public and private interests coincide. Examples include non-mandatory codes of </w:t>
      </w:r>
      <w:r>
        <w:rPr>
          <w:szCs w:val="22"/>
          <w:lang w:eastAsia="en-AU"/>
        </w:rPr>
        <w:t>conduct</w:t>
      </w:r>
      <w:r w:rsidRPr="00F5772A">
        <w:rPr>
          <w:szCs w:val="22"/>
          <w:lang w:eastAsia="en-AU"/>
        </w:rPr>
        <w:t>, agreements on standards, or information disclosure such as labelling. The benefits of this approach are that it avoids adversarial actions, involve a wide cross-section of the community, and may improve compliance because rules rest on consensus rather than coercion.</w:t>
      </w:r>
    </w:p>
    <w:p w14:paraId="74D87886" w14:textId="6D4B2405" w:rsidR="00F5772A" w:rsidRDefault="00F5772A" w:rsidP="009266DD">
      <w:pPr>
        <w:spacing w:beforeLines="60" w:before="144" w:afterLines="60" w:after="144"/>
        <w:rPr>
          <w:b/>
          <w:bCs/>
          <w:sz w:val="24"/>
          <w:szCs w:val="24"/>
          <w:lang w:eastAsia="en-AU"/>
        </w:rPr>
      </w:pPr>
      <w:r>
        <w:rPr>
          <w:b/>
          <w:bCs/>
          <w:sz w:val="24"/>
          <w:szCs w:val="24"/>
          <w:lang w:eastAsia="en-AU"/>
        </w:rPr>
        <w:t>Persuasion</w:t>
      </w:r>
    </w:p>
    <w:p w14:paraId="03AB085A" w14:textId="7789C696" w:rsidR="00F5772A" w:rsidRDefault="00F5772A" w:rsidP="009266DD">
      <w:pPr>
        <w:spacing w:beforeLines="60" w:before="144" w:afterLines="60" w:after="144"/>
        <w:rPr>
          <w:szCs w:val="22"/>
          <w:lang w:eastAsia="en-AU"/>
        </w:rPr>
      </w:pPr>
      <w:r w:rsidRPr="00F5772A">
        <w:rPr>
          <w:szCs w:val="22"/>
          <w:lang w:eastAsia="en-AU"/>
        </w:rPr>
        <w:t xml:space="preserve">Persuasion, </w:t>
      </w:r>
      <w:proofErr w:type="gramStart"/>
      <w:r w:rsidRPr="00F5772A">
        <w:rPr>
          <w:szCs w:val="22"/>
          <w:lang w:eastAsia="en-AU"/>
        </w:rPr>
        <w:t>through the use of</w:t>
      </w:r>
      <w:proofErr w:type="gramEnd"/>
      <w:r w:rsidRPr="00F5772A">
        <w:rPr>
          <w:szCs w:val="22"/>
          <w:lang w:eastAsia="en-AU"/>
        </w:rPr>
        <w:t xml:space="preserve"> information-based strategies in which government seeks to leverage values of good citizenship, self-preservation or peer pressure</w:t>
      </w:r>
      <w:r w:rsidR="009E5CB1">
        <w:rPr>
          <w:szCs w:val="22"/>
          <w:lang w:eastAsia="en-AU"/>
        </w:rPr>
        <w:t>,</w:t>
      </w:r>
      <w:r w:rsidRPr="00F5772A">
        <w:rPr>
          <w:szCs w:val="22"/>
          <w:lang w:eastAsia="en-AU"/>
        </w:rPr>
        <w:t xml:space="preserve"> </w:t>
      </w:r>
      <w:r w:rsidR="009E5CB1">
        <w:rPr>
          <w:szCs w:val="22"/>
          <w:lang w:eastAsia="en-AU"/>
        </w:rPr>
        <w:t>is</w:t>
      </w:r>
      <w:r w:rsidRPr="00F5772A">
        <w:rPr>
          <w:szCs w:val="22"/>
          <w:lang w:eastAsia="en-AU"/>
        </w:rPr>
        <w:t xml:space="preserve"> also</w:t>
      </w:r>
      <w:r w:rsidR="009E5CB1">
        <w:rPr>
          <w:szCs w:val="22"/>
          <w:lang w:eastAsia="en-AU"/>
        </w:rPr>
        <w:t xml:space="preserve"> an</w:t>
      </w:r>
      <w:r w:rsidRPr="00F5772A">
        <w:rPr>
          <w:szCs w:val="22"/>
          <w:lang w:eastAsia="en-AU"/>
        </w:rPr>
        <w:t xml:space="preserve"> option for achieving a particular end.</w:t>
      </w:r>
      <w:r>
        <w:rPr>
          <w:szCs w:val="22"/>
          <w:lang w:eastAsia="en-AU"/>
        </w:rPr>
        <w:t xml:space="preserve"> </w:t>
      </w:r>
      <w:r w:rsidRPr="00F5772A">
        <w:rPr>
          <w:szCs w:val="22"/>
          <w:lang w:eastAsia="en-AU"/>
        </w:rPr>
        <w:t>Persuasion is appropriate when public consensus about the need for authoritarian action is insufficient or when regulation has reached its limits. Examples include programs to discourage drink driving and smoking, or conserve energy.</w:t>
      </w:r>
    </w:p>
    <w:p w14:paraId="020CAE22" w14:textId="3B80F4CA" w:rsidR="00EA3D65" w:rsidRDefault="00EA3D65">
      <w:pPr>
        <w:spacing w:before="0" w:after="160" w:line="259" w:lineRule="auto"/>
        <w:rPr>
          <w:szCs w:val="22"/>
          <w:lang w:eastAsia="en-AU"/>
        </w:rPr>
      </w:pPr>
      <w:r>
        <w:rPr>
          <w:szCs w:val="22"/>
          <w:lang w:eastAsia="en-AU"/>
        </w:rPr>
        <w:br w:type="page"/>
      </w:r>
    </w:p>
    <w:p w14:paraId="023D0ACE" w14:textId="78797EDF" w:rsidR="00EA3D65" w:rsidRPr="002A190D" w:rsidRDefault="00EA3D65" w:rsidP="00EA3D65">
      <w:pPr>
        <w:spacing w:beforeLines="60" w:before="144" w:afterLines="60" w:after="144"/>
        <w:rPr>
          <w:rFonts w:ascii="Arial Bold" w:hAnsi="Arial Bold"/>
          <w:bCs/>
          <w:color w:val="808080" w:themeColor="background1" w:themeShade="80"/>
          <w:sz w:val="24"/>
          <w:szCs w:val="26"/>
        </w:rPr>
      </w:pPr>
      <w:r>
        <w:rPr>
          <w:rFonts w:ascii="Arial Bold" w:hAnsi="Arial Bold"/>
          <w:bCs/>
          <w:color w:val="808080" w:themeColor="background1" w:themeShade="80"/>
          <w:sz w:val="24"/>
          <w:szCs w:val="26"/>
        </w:rPr>
        <w:lastRenderedPageBreak/>
        <w:t>R</w:t>
      </w:r>
      <w:r w:rsidRPr="002A190D">
        <w:rPr>
          <w:rFonts w:ascii="Arial Bold" w:hAnsi="Arial Bold"/>
          <w:bCs/>
          <w:color w:val="808080" w:themeColor="background1" w:themeShade="80"/>
          <w:sz w:val="24"/>
          <w:szCs w:val="26"/>
        </w:rPr>
        <w:t xml:space="preserve">egulatory options </w:t>
      </w:r>
    </w:p>
    <w:p w14:paraId="006FD9C3" w14:textId="7D0044DD" w:rsidR="00EA3D65" w:rsidRDefault="00EA3D65" w:rsidP="009266DD">
      <w:pPr>
        <w:spacing w:beforeLines="60" w:before="144" w:afterLines="60" w:after="144"/>
        <w:rPr>
          <w:b/>
          <w:bCs/>
          <w:sz w:val="24"/>
          <w:szCs w:val="24"/>
          <w:lang w:eastAsia="en-AU"/>
        </w:rPr>
      </w:pPr>
      <w:r w:rsidRPr="00EA3D65">
        <w:rPr>
          <w:b/>
          <w:bCs/>
          <w:sz w:val="24"/>
          <w:szCs w:val="24"/>
          <w:lang w:eastAsia="en-AU"/>
        </w:rPr>
        <w:t>Prescriptive regulation</w:t>
      </w:r>
    </w:p>
    <w:p w14:paraId="652B6943" w14:textId="2FFC6615" w:rsidR="00EA3D65" w:rsidRDefault="00EA3D65" w:rsidP="009266DD">
      <w:pPr>
        <w:spacing w:beforeLines="60" w:before="144" w:afterLines="60" w:after="144"/>
        <w:rPr>
          <w:szCs w:val="22"/>
          <w:lang w:eastAsia="en-AU"/>
        </w:rPr>
      </w:pPr>
      <w:r w:rsidRPr="00EA3D65">
        <w:rPr>
          <w:szCs w:val="22"/>
          <w:lang w:eastAsia="en-AU"/>
        </w:rPr>
        <w:t>Prescriptive regulation of obligations is a common form of regulation. It is often used as a regulatory tool where there is a high perceived risk or fundamental public interest and achieving compliance is seen as critically important.</w:t>
      </w:r>
    </w:p>
    <w:p w14:paraId="6A34D4F3" w14:textId="4B022B9F" w:rsidR="00EA3D65" w:rsidRPr="00EA3D65" w:rsidRDefault="00EA3D65" w:rsidP="009266DD">
      <w:pPr>
        <w:spacing w:beforeLines="60" w:before="144" w:afterLines="60" w:after="144"/>
        <w:rPr>
          <w:b/>
          <w:bCs/>
          <w:sz w:val="24"/>
          <w:szCs w:val="24"/>
          <w:lang w:eastAsia="en-AU"/>
        </w:rPr>
      </w:pPr>
      <w:r w:rsidRPr="00EA3D65">
        <w:rPr>
          <w:b/>
          <w:bCs/>
          <w:sz w:val="24"/>
          <w:szCs w:val="24"/>
          <w:lang w:eastAsia="en-AU"/>
        </w:rPr>
        <w:t>Principles</w:t>
      </w:r>
      <w:r>
        <w:rPr>
          <w:b/>
          <w:bCs/>
          <w:sz w:val="24"/>
          <w:szCs w:val="24"/>
          <w:lang w:eastAsia="en-AU"/>
        </w:rPr>
        <w:t>-</w:t>
      </w:r>
      <w:r w:rsidRPr="00EA3D65">
        <w:rPr>
          <w:b/>
          <w:bCs/>
          <w:sz w:val="24"/>
          <w:szCs w:val="24"/>
          <w:lang w:eastAsia="en-AU"/>
        </w:rPr>
        <w:t>based regulation</w:t>
      </w:r>
    </w:p>
    <w:p w14:paraId="1841993C" w14:textId="72E834A1" w:rsidR="00EA3D65" w:rsidRPr="00EA3D65" w:rsidRDefault="00EA3D65" w:rsidP="009266DD">
      <w:pPr>
        <w:spacing w:beforeLines="60" w:before="144" w:afterLines="60" w:after="144"/>
        <w:rPr>
          <w:szCs w:val="22"/>
          <w:lang w:eastAsia="en-AU"/>
        </w:rPr>
      </w:pPr>
      <w:r>
        <w:rPr>
          <w:szCs w:val="22"/>
          <w:lang w:eastAsia="en-AU"/>
        </w:rPr>
        <w:t>Principles-based regulation is a</w:t>
      </w:r>
      <w:r w:rsidRPr="00EA3D65">
        <w:rPr>
          <w:szCs w:val="22"/>
          <w:lang w:eastAsia="en-AU"/>
        </w:rPr>
        <w:t xml:space="preserve"> less prescriptive approach and give</w:t>
      </w:r>
      <w:r>
        <w:rPr>
          <w:szCs w:val="22"/>
          <w:lang w:eastAsia="en-AU"/>
        </w:rPr>
        <w:t>s</w:t>
      </w:r>
      <w:r w:rsidRPr="00EA3D65">
        <w:rPr>
          <w:szCs w:val="22"/>
          <w:lang w:eastAsia="en-AU"/>
        </w:rPr>
        <w:t xml:space="preserve"> discretion to regulated parties on how they can act. </w:t>
      </w:r>
      <w:r>
        <w:rPr>
          <w:szCs w:val="22"/>
          <w:lang w:eastAsia="en-AU"/>
        </w:rPr>
        <w:t>It</w:t>
      </w:r>
      <w:r w:rsidRPr="00EA3D65">
        <w:rPr>
          <w:szCs w:val="22"/>
          <w:lang w:eastAsia="en-AU"/>
        </w:rPr>
        <w:t xml:space="preserve"> allows maximum flexibility among affected groups as to how they achieve compliance. For example, where there are multiple ways to achieve the outcomes, principles-based regulation may be appropriate to encourage innovation and provide options and opportunities to regulated parties.</w:t>
      </w:r>
    </w:p>
    <w:p w14:paraId="42E2FB1D" w14:textId="59C89E5A" w:rsidR="00A85C9C" w:rsidRPr="00EA194C" w:rsidRDefault="00F509E9" w:rsidP="009266DD">
      <w:pPr>
        <w:spacing w:beforeLines="60" w:before="144" w:afterLines="60" w:after="144"/>
        <w:rPr>
          <w:b/>
          <w:bCs/>
          <w:sz w:val="24"/>
          <w:szCs w:val="24"/>
          <w:lang w:eastAsia="en-AU"/>
        </w:rPr>
      </w:pPr>
      <w:r w:rsidRPr="00EA194C">
        <w:rPr>
          <w:b/>
          <w:bCs/>
          <w:sz w:val="24"/>
          <w:szCs w:val="24"/>
          <w:lang w:eastAsia="en-AU"/>
        </w:rPr>
        <w:t>Self-regulation</w:t>
      </w:r>
    </w:p>
    <w:p w14:paraId="14CB1AD3" w14:textId="7E1A6572" w:rsidR="00EA194C" w:rsidRDefault="00EA194C" w:rsidP="009266DD">
      <w:pPr>
        <w:spacing w:beforeLines="60" w:before="144" w:afterLines="60" w:after="144"/>
      </w:pPr>
      <w:r>
        <w:t xml:space="preserve">Self-regulation is </w:t>
      </w:r>
      <w:r w:rsidRPr="00D1688C">
        <w:t>generally characterised by industry-formulated rules and codes of conduct, with industry solely responsible for enforcement</w:t>
      </w:r>
      <w:r>
        <w:t xml:space="preserve">. It can be seen as an arrangement </w:t>
      </w:r>
      <w:r w:rsidRPr="00EA194C">
        <w:t xml:space="preserve">in which </w:t>
      </w:r>
      <w:r>
        <w:t>an industry</w:t>
      </w:r>
      <w:r w:rsidRPr="00EA194C">
        <w:t xml:space="preserve"> regulates the behaviour of its members</w:t>
      </w:r>
      <w:r>
        <w:t xml:space="preserve">. </w:t>
      </w:r>
    </w:p>
    <w:p w14:paraId="4135019E" w14:textId="24C79143" w:rsidR="00EA194C" w:rsidRDefault="00EA194C" w:rsidP="009266DD">
      <w:pPr>
        <w:spacing w:beforeLines="60" w:before="144" w:afterLines="60" w:after="144"/>
        <w:rPr>
          <w:szCs w:val="22"/>
          <w:lang w:eastAsia="en-AU"/>
        </w:rPr>
      </w:pPr>
      <w:r w:rsidRPr="00EA194C">
        <w:rPr>
          <w:szCs w:val="22"/>
          <w:lang w:eastAsia="en-AU"/>
        </w:rPr>
        <w:t>There are number of co-operative arrangements in which private organisations and government share regulatory authority and oversight. Such an approach can be appropriate where an outside body with a regulatory role has expertise that government lacks. However, while government may provide for a transfer of regulatory power, it remains accountable for the outcome.</w:t>
      </w:r>
    </w:p>
    <w:p w14:paraId="3E570518" w14:textId="77777777" w:rsidR="00BC1598" w:rsidRDefault="00BC1598" w:rsidP="00BC1598">
      <w:pPr>
        <w:spacing w:beforeLines="60" w:before="144" w:afterLines="60" w:after="144"/>
      </w:pPr>
      <w:r w:rsidRPr="00BC1598">
        <w:t>Self-regulation</w:t>
      </w:r>
      <w:r>
        <w:rPr>
          <w:b/>
          <w:bCs/>
        </w:rPr>
        <w:t xml:space="preserve"> </w:t>
      </w:r>
      <w:r>
        <w:t>should be considered where:</w:t>
      </w:r>
    </w:p>
    <w:p w14:paraId="2B6B3B04" w14:textId="77777777" w:rsidR="00BC1598" w:rsidRDefault="00BC1598" w:rsidP="00BC1598">
      <w:pPr>
        <w:pStyle w:val="bullet10"/>
        <w:spacing w:before="30" w:after="30"/>
      </w:pPr>
      <w:r w:rsidRPr="00A07664">
        <w:t xml:space="preserve">there is no strong public interest concern, in particular, no major public health and safety </w:t>
      </w:r>
      <w:proofErr w:type="gramStart"/>
      <w:r w:rsidRPr="00A07664">
        <w:t>concern</w:t>
      </w:r>
      <w:r>
        <w:t>;</w:t>
      </w:r>
      <w:proofErr w:type="gramEnd"/>
    </w:p>
    <w:p w14:paraId="4BC3E55D" w14:textId="77777777" w:rsidR="00BC1598" w:rsidRDefault="00BC1598" w:rsidP="00BC1598">
      <w:pPr>
        <w:pStyle w:val="bullet10"/>
        <w:spacing w:before="30" w:after="30"/>
      </w:pPr>
      <w:r w:rsidRPr="00A07664">
        <w:t>the problem is a low-risk event, of low impact/significance</w:t>
      </w:r>
      <w:r>
        <w:t xml:space="preserve">; and </w:t>
      </w:r>
    </w:p>
    <w:p w14:paraId="3543039E" w14:textId="77777777" w:rsidR="00BC1598" w:rsidRDefault="00BC1598" w:rsidP="00BC1598">
      <w:pPr>
        <w:pStyle w:val="bullet10"/>
        <w:spacing w:before="30" w:after="30"/>
      </w:pPr>
      <w:r w:rsidRPr="00A07664">
        <w:t>the problem can be fixed by the market itself. For example, there may be an incentive for individuals and groups to develop and comply with self- regulatory arrangements (industry survival, market advantage)</w:t>
      </w:r>
      <w:r>
        <w:t>.</w:t>
      </w:r>
    </w:p>
    <w:p w14:paraId="66EE8E47" w14:textId="77777777" w:rsidR="00BC1598" w:rsidRDefault="00BC1598" w:rsidP="00BC1598">
      <w:pPr>
        <w:spacing w:beforeLines="60" w:before="144" w:afterLines="60" w:after="144"/>
      </w:pPr>
      <w:r w:rsidRPr="00A07664">
        <w:t>The likelihood of self-regulatory industry schemes being successful is increased if there is</w:t>
      </w:r>
      <w:r>
        <w:t>:</w:t>
      </w:r>
    </w:p>
    <w:p w14:paraId="68D51760" w14:textId="77777777" w:rsidR="00BC1598" w:rsidRDefault="00BC1598" w:rsidP="00BC1598">
      <w:pPr>
        <w:pStyle w:val="bullet10"/>
        <w:spacing w:before="30" w:after="30"/>
      </w:pPr>
      <w:r w:rsidRPr="00A07664">
        <w:t xml:space="preserve">adequate coverage of industry </w:t>
      </w:r>
      <w:proofErr w:type="gramStart"/>
      <w:r w:rsidRPr="00A07664">
        <w:t>concerned</w:t>
      </w:r>
      <w:r>
        <w:t>;</w:t>
      </w:r>
      <w:proofErr w:type="gramEnd"/>
    </w:p>
    <w:p w14:paraId="51EEB90E" w14:textId="77777777" w:rsidR="00BC1598" w:rsidRDefault="00BC1598" w:rsidP="00BC1598">
      <w:pPr>
        <w:pStyle w:val="bullet10"/>
        <w:spacing w:before="30" w:after="30"/>
      </w:pPr>
      <w:r w:rsidRPr="00A07664">
        <w:t xml:space="preserve">a viable industry </w:t>
      </w:r>
      <w:proofErr w:type="gramStart"/>
      <w:r w:rsidRPr="00A07664">
        <w:t>association</w:t>
      </w:r>
      <w:r>
        <w:t>;</w:t>
      </w:r>
      <w:proofErr w:type="gramEnd"/>
      <w:r>
        <w:t xml:space="preserve"> </w:t>
      </w:r>
    </w:p>
    <w:p w14:paraId="4E3E3F9A" w14:textId="77777777" w:rsidR="00BC1598" w:rsidRDefault="00BC1598" w:rsidP="00BC1598">
      <w:pPr>
        <w:pStyle w:val="bullet10"/>
        <w:spacing w:before="30" w:after="30"/>
      </w:pPr>
      <w:r w:rsidRPr="00A07664">
        <w:t xml:space="preserve">a cohesive industry with like-minded/motivated participants committed to achieve the </w:t>
      </w:r>
      <w:proofErr w:type="gramStart"/>
      <w:r w:rsidRPr="00A07664">
        <w:t>goals</w:t>
      </w:r>
      <w:r>
        <w:t>;</w:t>
      </w:r>
      <w:proofErr w:type="gramEnd"/>
    </w:p>
    <w:p w14:paraId="451AD7E7" w14:textId="77777777" w:rsidR="00BC1598" w:rsidRDefault="00BC1598" w:rsidP="00BC1598">
      <w:pPr>
        <w:pStyle w:val="bullet10"/>
        <w:spacing w:before="30" w:after="30"/>
      </w:pPr>
      <w:r w:rsidRPr="00A07664">
        <w:t>evidence that voluntary participation can work – effective sanctions and incentives can be applied, with low scope for the benefits being shared by non-participants</w:t>
      </w:r>
      <w:r>
        <w:t xml:space="preserve">; and </w:t>
      </w:r>
    </w:p>
    <w:p w14:paraId="31D99468" w14:textId="77777777" w:rsidR="00BC1598" w:rsidRDefault="00BC1598" w:rsidP="00BC1598">
      <w:pPr>
        <w:pStyle w:val="bullet10"/>
        <w:spacing w:before="30" w:after="30"/>
      </w:pPr>
      <w:r w:rsidRPr="00A07664">
        <w:t>a cost advantage from tailor-made solutions and less formal mechanisms such as access to quick complaints handling and redress mechanisms</w:t>
      </w:r>
      <w:r>
        <w:t>.</w:t>
      </w:r>
    </w:p>
    <w:p w14:paraId="3B0F0502" w14:textId="19A52248" w:rsidR="00EA194C" w:rsidRPr="00EA194C" w:rsidRDefault="00EA194C" w:rsidP="009266DD">
      <w:pPr>
        <w:spacing w:beforeLines="60" w:before="144" w:afterLines="60" w:after="144"/>
        <w:rPr>
          <w:b/>
          <w:bCs/>
          <w:sz w:val="24"/>
          <w:szCs w:val="24"/>
          <w:lang w:eastAsia="en-AU"/>
        </w:rPr>
      </w:pPr>
      <w:r w:rsidRPr="00EA194C">
        <w:rPr>
          <w:b/>
          <w:bCs/>
          <w:sz w:val="24"/>
          <w:szCs w:val="24"/>
          <w:lang w:eastAsia="en-AU"/>
        </w:rPr>
        <w:t>Quasi-regulation</w:t>
      </w:r>
    </w:p>
    <w:p w14:paraId="34EC4AA7" w14:textId="4AD2635A" w:rsidR="00270076" w:rsidRDefault="00270076" w:rsidP="009266DD">
      <w:pPr>
        <w:spacing w:beforeLines="60" w:before="144" w:afterLines="60" w:after="144"/>
        <w:rPr>
          <w:szCs w:val="22"/>
          <w:lang w:eastAsia="en-AU"/>
        </w:rPr>
      </w:pPr>
      <w:r w:rsidRPr="00270076">
        <w:rPr>
          <w:szCs w:val="22"/>
          <w:lang w:eastAsia="en-AU"/>
        </w:rPr>
        <w:t>Quasi-regulation is the rules and arrangements for which there is a reasonable expectation of compliance, and for which there is some government involvement such as endorsement or funding. Codes of</w:t>
      </w:r>
      <w:r>
        <w:rPr>
          <w:szCs w:val="22"/>
          <w:lang w:eastAsia="en-AU"/>
        </w:rPr>
        <w:t xml:space="preserve"> </w:t>
      </w:r>
      <w:r w:rsidRPr="00270076">
        <w:rPr>
          <w:szCs w:val="22"/>
          <w:lang w:eastAsia="en-AU"/>
        </w:rPr>
        <w:t xml:space="preserve">conduct/practice are common forms of this type of regulation and are generally adopted and administered by the industry to which they relate. The advantages of codes are that they can be either voluntary or </w:t>
      </w:r>
      <w:r w:rsidRPr="00270076">
        <w:rPr>
          <w:szCs w:val="22"/>
          <w:lang w:eastAsia="en-AU"/>
        </w:rPr>
        <w:lastRenderedPageBreak/>
        <w:t xml:space="preserve">mandatory, are industry specific, flexible and can be easily amended. An example of quasi-regulation is compliance innovation. </w:t>
      </w:r>
    </w:p>
    <w:p w14:paraId="2DDCDC16" w14:textId="77777777" w:rsidR="00BC1598" w:rsidRDefault="00BC1598" w:rsidP="00BC1598">
      <w:pPr>
        <w:spacing w:beforeLines="60" w:before="144" w:afterLines="60" w:after="144"/>
      </w:pPr>
      <w:r w:rsidRPr="00BC1598">
        <w:t>Quasi-regulation</w:t>
      </w:r>
      <w:r>
        <w:t xml:space="preserve"> should be considered where:</w:t>
      </w:r>
    </w:p>
    <w:p w14:paraId="0CF401BA" w14:textId="77777777" w:rsidR="00BC1598" w:rsidRDefault="00BC1598" w:rsidP="00BC1598">
      <w:pPr>
        <w:pStyle w:val="bullet10"/>
        <w:spacing w:before="30" w:after="30"/>
      </w:pPr>
      <w:r w:rsidRPr="00CD6880">
        <w:t>there is a public interest in some government involvement in regulatory arrangements and the issue is unlikely to be addressed by self-</w:t>
      </w:r>
      <w:proofErr w:type="gramStart"/>
      <w:r w:rsidRPr="00CD6880">
        <w:t>regulation</w:t>
      </w:r>
      <w:r>
        <w:t>;</w:t>
      </w:r>
      <w:proofErr w:type="gramEnd"/>
      <w:r>
        <w:t xml:space="preserve"> </w:t>
      </w:r>
    </w:p>
    <w:p w14:paraId="07F2E5DC" w14:textId="77777777" w:rsidR="00BC1598" w:rsidRDefault="00BC1598" w:rsidP="00BC1598">
      <w:pPr>
        <w:pStyle w:val="bullet10"/>
        <w:spacing w:before="30" w:after="30"/>
      </w:pPr>
      <w:r w:rsidRPr="00CD6880">
        <w:t xml:space="preserve">there is a need for an urgent, interim response to a problem in the short term, while a long-term regulatory solution is being </w:t>
      </w:r>
      <w:proofErr w:type="gramStart"/>
      <w:r w:rsidRPr="00CD6880">
        <w:t>developed</w:t>
      </w:r>
      <w:r>
        <w:t>;</w:t>
      </w:r>
      <w:proofErr w:type="gramEnd"/>
    </w:p>
    <w:p w14:paraId="0C68DF9F" w14:textId="77777777" w:rsidR="00BC1598" w:rsidRDefault="00BC1598" w:rsidP="00BC1598">
      <w:pPr>
        <w:pStyle w:val="bullet10"/>
        <w:spacing w:before="30" w:after="30"/>
      </w:pPr>
      <w:r w:rsidRPr="00CD6880">
        <w:t xml:space="preserve">government is not convinced of the need to develop or mandate a code for the whole </w:t>
      </w:r>
      <w:proofErr w:type="gramStart"/>
      <w:r w:rsidRPr="00CD6880">
        <w:t>industry</w:t>
      </w:r>
      <w:r>
        <w:t>;</w:t>
      </w:r>
      <w:proofErr w:type="gramEnd"/>
    </w:p>
    <w:p w14:paraId="2E57A12B" w14:textId="77777777" w:rsidR="00BC1598" w:rsidRDefault="00BC1598" w:rsidP="00BC1598">
      <w:pPr>
        <w:pStyle w:val="bullet10"/>
        <w:spacing w:before="30" w:after="30"/>
      </w:pPr>
      <w:r w:rsidRPr="00282C1A">
        <w:t xml:space="preserve">there are cost advantages from flexible, </w:t>
      </w:r>
      <w:proofErr w:type="gramStart"/>
      <w:r w:rsidRPr="00282C1A">
        <w:t>tailor made</w:t>
      </w:r>
      <w:proofErr w:type="gramEnd"/>
      <w:r w:rsidRPr="00282C1A">
        <w:t xml:space="preserve"> solutions and less formal mechanisms such as access to a speedy, low cost complaints handling and redress mechanisms</w:t>
      </w:r>
      <w:r>
        <w:t>; and</w:t>
      </w:r>
    </w:p>
    <w:p w14:paraId="6A03C657" w14:textId="50F13186" w:rsidR="00BC1598" w:rsidRPr="00BC1598" w:rsidRDefault="00BC1598" w:rsidP="00BC1598">
      <w:pPr>
        <w:pStyle w:val="bullet10"/>
        <w:spacing w:before="30" w:after="30"/>
      </w:pPr>
      <w:r w:rsidRPr="00282C1A">
        <w:t>there are advantages in the government engaging in a collaborative approach with industry, with industry having substantial ownership of the scheme</w:t>
      </w:r>
      <w:r>
        <w:t>.</w:t>
      </w:r>
    </w:p>
    <w:p w14:paraId="498FAB88" w14:textId="7AAF3C95" w:rsidR="00270076" w:rsidRPr="00A97915" w:rsidRDefault="00A97915" w:rsidP="009266DD">
      <w:pPr>
        <w:spacing w:beforeLines="60" w:before="144" w:afterLines="60" w:after="144"/>
        <w:rPr>
          <w:b/>
          <w:bCs/>
          <w:sz w:val="24"/>
          <w:szCs w:val="24"/>
          <w:lang w:eastAsia="en-AU"/>
        </w:rPr>
      </w:pPr>
      <w:r w:rsidRPr="00A97915">
        <w:rPr>
          <w:b/>
          <w:bCs/>
          <w:sz w:val="24"/>
          <w:szCs w:val="24"/>
          <w:lang w:eastAsia="en-AU"/>
        </w:rPr>
        <w:t>Co-regulation</w:t>
      </w:r>
    </w:p>
    <w:p w14:paraId="2C26B02E" w14:textId="10E3B209" w:rsidR="00A97915" w:rsidRDefault="00A97915" w:rsidP="009266DD">
      <w:pPr>
        <w:spacing w:beforeLines="60" w:before="144" w:afterLines="60" w:after="144"/>
        <w:rPr>
          <w:szCs w:val="22"/>
          <w:lang w:eastAsia="en-AU"/>
        </w:rPr>
      </w:pPr>
      <w:r w:rsidRPr="00A97915">
        <w:rPr>
          <w:szCs w:val="22"/>
          <w:lang w:eastAsia="en-AU"/>
        </w:rPr>
        <w:t>Co-regulation is where industry develops and administers its own arrangements, but government provides the legislative backing to enable the arrangements to be enforced. It may be the case that legislation sets the government standard but contains provisions that allows the standard to be overridden by an industry code. The following are examples of co-regulation and variations to such regulation</w:t>
      </w:r>
      <w:r w:rsidR="00F437E4">
        <w:rPr>
          <w:szCs w:val="22"/>
          <w:lang w:eastAsia="en-AU"/>
        </w:rPr>
        <w:t>.</w:t>
      </w:r>
    </w:p>
    <w:p w14:paraId="1F0230C7" w14:textId="0A31CC2E" w:rsidR="00A97915" w:rsidRDefault="00A97915" w:rsidP="00A97915">
      <w:pPr>
        <w:pStyle w:val="bullet10"/>
        <w:spacing w:before="30" w:after="30"/>
      </w:pPr>
      <w:r w:rsidRPr="00A97915">
        <w:rPr>
          <w:b/>
          <w:bCs/>
        </w:rPr>
        <w:t>Performance based regulation</w:t>
      </w:r>
      <w:r>
        <w:t xml:space="preserve"> – </w:t>
      </w:r>
      <w:r w:rsidRPr="00A97915">
        <w:t xml:space="preserve">The general principle is that regulations should be expressed in terms of the outcomes they are intended to achieve. The </w:t>
      </w:r>
      <w:r w:rsidR="00F437E4">
        <w:t>G</w:t>
      </w:r>
      <w:r w:rsidRPr="00A97915">
        <w:t>overnment may specify the desired outcome and allow private sector innovators to continually develop more effective means of achieving that outcome. Hence the regulation becomes focused on creative problem solving rather than on inputs and policy instruments</w:t>
      </w:r>
      <w:r>
        <w:t>.</w:t>
      </w:r>
    </w:p>
    <w:p w14:paraId="2884880D" w14:textId="77777777" w:rsidR="00845B02" w:rsidRDefault="00A97915" w:rsidP="00845B02">
      <w:pPr>
        <w:pStyle w:val="bullet10"/>
      </w:pPr>
      <w:r w:rsidRPr="00845B02">
        <w:rPr>
          <w:b/>
          <w:bCs/>
        </w:rPr>
        <w:t>Safe harbours</w:t>
      </w:r>
      <w:r>
        <w:t xml:space="preserve"> </w:t>
      </w:r>
      <w:r w:rsidR="00845B02">
        <w:t>–</w:t>
      </w:r>
      <w:r>
        <w:t xml:space="preserve"> </w:t>
      </w:r>
      <w:r w:rsidR="00845B02">
        <w:t>A ‘safe harbour’ provision in regulations allows a firm to comply with performance standards by giving the firm the flexibility to, for example, demonstrate either:</w:t>
      </w:r>
    </w:p>
    <w:p w14:paraId="4DF3A1C5" w14:textId="77777777" w:rsidR="00845B02" w:rsidRDefault="00845B02" w:rsidP="00845B02">
      <w:pPr>
        <w:pStyle w:val="bullet20"/>
        <w:spacing w:before="30" w:after="30"/>
      </w:pPr>
      <w:r>
        <w:t>that their building has an acceptable level of performance; or</w:t>
      </w:r>
    </w:p>
    <w:p w14:paraId="40869DE7" w14:textId="1AF5420D" w:rsidR="00845B02" w:rsidRDefault="00845B02" w:rsidP="00845B02">
      <w:pPr>
        <w:pStyle w:val="bullet20"/>
        <w:spacing w:before="30" w:after="30"/>
      </w:pPr>
      <w:r>
        <w:t>that it uses specified energy-saving designs (fluorescent lights, insulated walls) that would achieve an equivalent performance.</w:t>
      </w:r>
    </w:p>
    <w:p w14:paraId="02D966B5" w14:textId="07646EC7" w:rsidR="00A97915" w:rsidRPr="00976284" w:rsidRDefault="00845B02" w:rsidP="00845B02">
      <w:pPr>
        <w:pStyle w:val="bullet10"/>
        <w:numPr>
          <w:ilvl w:val="0"/>
          <w:numId w:val="0"/>
        </w:numPr>
        <w:ind w:left="357"/>
      </w:pPr>
      <w:r>
        <w:t>This allows some firms to use innovative designs to meet performance standards but also allows smaller, less adventurous firms to ensure compliance using the standard measures.</w:t>
      </w:r>
    </w:p>
    <w:p w14:paraId="3216134B" w14:textId="5CF5B7E4" w:rsidR="009D3C0A" w:rsidRDefault="00845B02" w:rsidP="00A97915">
      <w:pPr>
        <w:pStyle w:val="bullet10"/>
        <w:spacing w:before="30" w:after="30"/>
      </w:pPr>
      <w:r w:rsidRPr="00845B02">
        <w:rPr>
          <w:b/>
          <w:bCs/>
        </w:rPr>
        <w:t>Waiver or variance provisions</w:t>
      </w:r>
      <w:r>
        <w:t xml:space="preserve"> – </w:t>
      </w:r>
      <w:r w:rsidRPr="00845B02">
        <w:t xml:space="preserve">Waivers or variance provisions are very similar to safe harbours and can be applied to a design standard to allow, on a case-by-case basis, a waiver or variance to a firm that can demonstrate equivalent performance. For example, if an innovative design adheres to the same standards to which the conventional design complies, the design </w:t>
      </w:r>
      <w:proofErr w:type="gramStart"/>
      <w:r w:rsidRPr="00845B02">
        <w:t>would</w:t>
      </w:r>
      <w:proofErr w:type="gramEnd"/>
      <w:r w:rsidRPr="00845B02">
        <w:t xml:space="preserve"> receive a waiver.</w:t>
      </w:r>
    </w:p>
    <w:p w14:paraId="005E6B4A" w14:textId="762B63B0" w:rsidR="004E4DE9" w:rsidRPr="00EA7F7A" w:rsidRDefault="00EA7F7A" w:rsidP="00EA7F7A">
      <w:pPr>
        <w:spacing w:beforeLines="60" w:before="144" w:afterLines="60" w:after="144"/>
        <w:rPr>
          <w:b/>
          <w:bCs/>
          <w:sz w:val="24"/>
          <w:szCs w:val="24"/>
          <w:lang w:eastAsia="en-AU"/>
        </w:rPr>
      </w:pPr>
      <w:r w:rsidRPr="00EA7F7A">
        <w:rPr>
          <w:b/>
          <w:bCs/>
          <w:sz w:val="24"/>
          <w:szCs w:val="24"/>
          <w:lang w:eastAsia="en-AU"/>
        </w:rPr>
        <w:t>Compliance innovation</w:t>
      </w:r>
    </w:p>
    <w:p w14:paraId="1EB2F2F4" w14:textId="77777777" w:rsidR="00EA7F7A" w:rsidRDefault="00EA7F7A" w:rsidP="00EA7F7A">
      <w:pPr>
        <w:pStyle w:val="bullet10"/>
        <w:numPr>
          <w:ilvl w:val="0"/>
          <w:numId w:val="0"/>
        </w:numPr>
        <w:rPr>
          <w:lang w:eastAsia="en-AU"/>
        </w:rPr>
      </w:pPr>
      <w:r w:rsidRPr="009D3C0A">
        <w:rPr>
          <w:lang w:eastAsia="en-AU"/>
        </w:rPr>
        <w:t>As monitoring and enforcement is very expensive and difficult to apply, the option of self-enforcement of regulations should be considered first. Combining a compliance program with an information strategy can generate the incentive for self-enforcement. For example, publishing the results of health inspections in city restaurants strengthens the incentives for owners to comply with health standards.</w:t>
      </w:r>
    </w:p>
    <w:p w14:paraId="599C8FDA" w14:textId="77777777" w:rsidR="009D3C0A" w:rsidRDefault="009D3C0A">
      <w:pPr>
        <w:spacing w:before="0" w:after="160" w:line="259" w:lineRule="auto"/>
      </w:pPr>
      <w:r>
        <w:br w:type="page"/>
      </w:r>
    </w:p>
    <w:p w14:paraId="7BC20A70" w14:textId="75252901" w:rsidR="002E6F74" w:rsidRPr="0064018E" w:rsidRDefault="0010075F" w:rsidP="009266DD">
      <w:pPr>
        <w:spacing w:beforeLines="60" w:before="144" w:afterLines="60" w:after="144"/>
        <w:rPr>
          <w:rFonts w:ascii="Arial Bold" w:hAnsi="Arial Bold"/>
          <w:bCs/>
          <w:color w:val="808080" w:themeColor="background1" w:themeShade="80"/>
          <w:sz w:val="24"/>
          <w:szCs w:val="26"/>
        </w:rPr>
      </w:pPr>
      <w:r>
        <w:rPr>
          <w:rFonts w:ascii="Arial Bold" w:hAnsi="Arial Bold"/>
          <w:bCs/>
          <w:color w:val="808080" w:themeColor="background1" w:themeShade="80"/>
          <w:sz w:val="24"/>
          <w:szCs w:val="26"/>
        </w:rPr>
        <w:lastRenderedPageBreak/>
        <w:t>Other</w:t>
      </w:r>
      <w:r w:rsidR="000C759F">
        <w:rPr>
          <w:rFonts w:ascii="Arial Bold" w:hAnsi="Arial Bold"/>
          <w:bCs/>
          <w:color w:val="808080" w:themeColor="background1" w:themeShade="80"/>
          <w:sz w:val="24"/>
          <w:szCs w:val="26"/>
        </w:rPr>
        <w:t xml:space="preserve"> consideration</w:t>
      </w:r>
      <w:r w:rsidR="004B79B3">
        <w:rPr>
          <w:rFonts w:ascii="Arial Bold" w:hAnsi="Arial Bold"/>
          <w:bCs/>
          <w:color w:val="808080" w:themeColor="background1" w:themeShade="80"/>
          <w:sz w:val="24"/>
          <w:szCs w:val="26"/>
        </w:rPr>
        <w:t>s</w:t>
      </w:r>
    </w:p>
    <w:p w14:paraId="28F581B7" w14:textId="36E86260" w:rsidR="00C03B4A" w:rsidRPr="0064018E" w:rsidRDefault="00C03B4A" w:rsidP="009266DD">
      <w:pPr>
        <w:spacing w:beforeLines="60" w:before="144" w:afterLines="60" w:after="144"/>
        <w:rPr>
          <w:b/>
          <w:bCs/>
          <w:sz w:val="24"/>
          <w:szCs w:val="24"/>
          <w:lang w:eastAsia="en-AU"/>
        </w:rPr>
      </w:pPr>
      <w:r w:rsidRPr="0064018E">
        <w:rPr>
          <w:b/>
          <w:bCs/>
          <w:sz w:val="24"/>
          <w:szCs w:val="24"/>
          <w:lang w:eastAsia="en-AU"/>
        </w:rPr>
        <w:t xml:space="preserve">Automatic updating </w:t>
      </w:r>
    </w:p>
    <w:p w14:paraId="461AE650" w14:textId="1471B8E5" w:rsidR="00C03B4A" w:rsidRDefault="00C03B4A" w:rsidP="009266DD">
      <w:pPr>
        <w:spacing w:beforeLines="60" w:before="144" w:afterLines="60" w:after="144"/>
        <w:rPr>
          <w:szCs w:val="22"/>
          <w:lang w:eastAsia="en-AU"/>
        </w:rPr>
      </w:pPr>
      <w:r w:rsidRPr="00C03B4A">
        <w:rPr>
          <w:szCs w:val="22"/>
          <w:lang w:eastAsia="en-AU"/>
        </w:rPr>
        <w:t>Regulators should form rules that are robust and that reflect future needs and changes in the environment. For example, changes in the inflation rate and other economic parameters need to be accounted for when indexing tax formulas, calculating benefits formulas, minimum wage, price controls and other monetary controls.</w:t>
      </w:r>
    </w:p>
    <w:p w14:paraId="435B569B" w14:textId="2AE5A05F" w:rsidR="00C03B4A" w:rsidRPr="0064018E" w:rsidRDefault="00C03B4A" w:rsidP="009266DD">
      <w:pPr>
        <w:spacing w:beforeLines="60" w:before="144" w:afterLines="60" w:after="144"/>
        <w:rPr>
          <w:b/>
          <w:bCs/>
          <w:sz w:val="24"/>
          <w:szCs w:val="24"/>
          <w:lang w:eastAsia="en-AU"/>
        </w:rPr>
      </w:pPr>
      <w:r w:rsidRPr="0064018E">
        <w:rPr>
          <w:b/>
          <w:bCs/>
          <w:sz w:val="24"/>
          <w:szCs w:val="24"/>
          <w:lang w:eastAsia="en-AU"/>
        </w:rPr>
        <w:t xml:space="preserve">Avoiding ‘new source </w:t>
      </w:r>
      <w:proofErr w:type="spellStart"/>
      <w:r w:rsidRPr="0064018E">
        <w:rPr>
          <w:b/>
          <w:bCs/>
          <w:sz w:val="24"/>
          <w:szCs w:val="24"/>
          <w:lang w:eastAsia="en-AU"/>
        </w:rPr>
        <w:t>bias’</w:t>
      </w:r>
      <w:proofErr w:type="spellEnd"/>
    </w:p>
    <w:p w14:paraId="0EA88BFC" w14:textId="6125CF12" w:rsidR="00C03B4A" w:rsidRDefault="00C03B4A" w:rsidP="009266DD">
      <w:pPr>
        <w:spacing w:beforeLines="60" w:before="144" w:afterLines="60" w:after="144"/>
        <w:rPr>
          <w:szCs w:val="22"/>
          <w:lang w:eastAsia="en-AU"/>
        </w:rPr>
      </w:pPr>
      <w:r w:rsidRPr="00C03B4A">
        <w:rPr>
          <w:szCs w:val="22"/>
          <w:lang w:eastAsia="en-AU"/>
        </w:rPr>
        <w:t xml:space="preserve">There is a tendency for regulators to scrutinise any new entrants in an industry to ensure that certain standards are adhered to more strictly than is tolerated by existing products or firms. New source bias is counterproductive. The reasoning behind this ‘new source </w:t>
      </w:r>
      <w:proofErr w:type="spellStart"/>
      <w:r w:rsidRPr="00C03B4A">
        <w:rPr>
          <w:szCs w:val="22"/>
          <w:lang w:eastAsia="en-AU"/>
        </w:rPr>
        <w:t>bias’</w:t>
      </w:r>
      <w:proofErr w:type="spellEnd"/>
      <w:r w:rsidRPr="00C03B4A">
        <w:rPr>
          <w:szCs w:val="22"/>
          <w:lang w:eastAsia="en-AU"/>
        </w:rPr>
        <w:t xml:space="preserve"> is that it is better to catch unexpected hazards associated with new technologies earlier rather than later. The result is a general presumption in favour of the status quo of conserving the existing technologies, factories and products.</w:t>
      </w:r>
    </w:p>
    <w:p w14:paraId="647B2AD3" w14:textId="52C69171" w:rsidR="00C03B4A" w:rsidRDefault="00C03B4A" w:rsidP="009266DD">
      <w:pPr>
        <w:spacing w:beforeLines="60" w:before="144" w:afterLines="60" w:after="144"/>
        <w:rPr>
          <w:szCs w:val="22"/>
          <w:lang w:eastAsia="en-AU"/>
        </w:rPr>
      </w:pPr>
      <w:r w:rsidRPr="00C03B4A">
        <w:rPr>
          <w:szCs w:val="22"/>
          <w:lang w:eastAsia="en-AU"/>
        </w:rPr>
        <w:t>Technological innovation tends to be safer, greener and more energy efficient. Similarly, new factories tend to be cleaner than old ones. Regulators can avoid new source bias by focusing regulatory attention on the greatest risks, not on the easiest or newest targets.</w:t>
      </w:r>
    </w:p>
    <w:p w14:paraId="251BAF38" w14:textId="0230D7E0" w:rsidR="00C03B4A" w:rsidRPr="0064018E" w:rsidRDefault="00C03B4A" w:rsidP="009266DD">
      <w:pPr>
        <w:spacing w:beforeLines="60" w:before="144" w:afterLines="60" w:after="144"/>
        <w:rPr>
          <w:b/>
          <w:bCs/>
          <w:sz w:val="24"/>
          <w:szCs w:val="24"/>
          <w:lang w:eastAsia="en-AU"/>
        </w:rPr>
      </w:pPr>
      <w:r w:rsidRPr="0064018E">
        <w:rPr>
          <w:b/>
          <w:bCs/>
          <w:sz w:val="24"/>
          <w:szCs w:val="24"/>
          <w:lang w:eastAsia="en-AU"/>
        </w:rPr>
        <w:t>Rewarding good behaviour</w:t>
      </w:r>
    </w:p>
    <w:p w14:paraId="0B80C4D8" w14:textId="7A6712B5" w:rsidR="00C03B4A" w:rsidRDefault="00C03B4A" w:rsidP="009266DD">
      <w:pPr>
        <w:spacing w:beforeLines="60" w:before="144" w:afterLines="60" w:after="144"/>
        <w:rPr>
          <w:szCs w:val="22"/>
          <w:lang w:eastAsia="en-AU"/>
        </w:rPr>
      </w:pPr>
      <w:r w:rsidRPr="00C03B4A">
        <w:rPr>
          <w:szCs w:val="22"/>
          <w:lang w:eastAsia="en-AU"/>
        </w:rPr>
        <w:t>Numerous occasions have arisen when regulatory authorities have unintentionally rewarded ‘bad’ behaviour. Often firms, unable to comply with rules, petition for an exception. Regulators need to keep in mind the negative signal sent to firms that consistently comply with the rules, often at great expense, when competitors are granted relief.</w:t>
      </w:r>
    </w:p>
    <w:p w14:paraId="0CEF60B1" w14:textId="4B1F3F4A" w:rsidR="00C03B4A" w:rsidRDefault="00C03B4A" w:rsidP="009266DD">
      <w:pPr>
        <w:spacing w:beforeLines="60" w:before="144" w:afterLines="60" w:after="144"/>
        <w:rPr>
          <w:szCs w:val="22"/>
          <w:lang w:eastAsia="en-AU"/>
        </w:rPr>
      </w:pPr>
      <w:r w:rsidRPr="00C03B4A">
        <w:rPr>
          <w:szCs w:val="22"/>
          <w:lang w:eastAsia="en-AU"/>
        </w:rPr>
        <w:t>Ideally, regulatory programs should operate so that regulated firms can expect that good behaviour will be rewarded. For example, self-reporting of violations should generally result in a reduction of fines.</w:t>
      </w:r>
    </w:p>
    <w:p w14:paraId="0FF62154" w14:textId="01F3CAF0" w:rsidR="00C03B4A" w:rsidRPr="0064018E" w:rsidRDefault="00C03B4A" w:rsidP="009266DD">
      <w:pPr>
        <w:spacing w:beforeLines="60" w:before="144" w:afterLines="60" w:after="144"/>
        <w:rPr>
          <w:b/>
          <w:bCs/>
          <w:sz w:val="24"/>
          <w:szCs w:val="24"/>
          <w:lang w:eastAsia="en-AU"/>
        </w:rPr>
      </w:pPr>
      <w:r w:rsidRPr="0064018E">
        <w:rPr>
          <w:b/>
          <w:bCs/>
          <w:sz w:val="24"/>
          <w:szCs w:val="24"/>
          <w:lang w:eastAsia="en-AU"/>
        </w:rPr>
        <w:t>Market forces and deregulation</w:t>
      </w:r>
    </w:p>
    <w:p w14:paraId="0C909E2B" w14:textId="77777777" w:rsidR="0010075F" w:rsidRDefault="00C03B4A" w:rsidP="009266DD">
      <w:pPr>
        <w:spacing w:beforeLines="60" w:before="144" w:afterLines="60" w:after="144"/>
        <w:rPr>
          <w:szCs w:val="22"/>
          <w:lang w:eastAsia="en-AU"/>
        </w:rPr>
        <w:sectPr w:rsidR="0010075F" w:rsidSect="00B643E0">
          <w:pgSz w:w="11907" w:h="16840" w:code="9"/>
          <w:pgMar w:top="1134" w:right="1134" w:bottom="1702" w:left="1134" w:header="567" w:footer="254" w:gutter="0"/>
          <w:cols w:space="720"/>
          <w:docGrid w:linePitch="299"/>
        </w:sectPr>
      </w:pPr>
      <w:r w:rsidRPr="00C03B4A">
        <w:rPr>
          <w:szCs w:val="22"/>
          <w:lang w:eastAsia="en-AU"/>
        </w:rPr>
        <w:t>Having concluded that market failure is present, it is important to reconsider whether the proposed regulatory solution is likely to be superior to what the market would do. Ultimately it must be determined whether the absence of government regulation is the cause of the problem or whether existing government regulations are to blame.</w:t>
      </w:r>
    </w:p>
    <w:p w14:paraId="0CD1566C" w14:textId="38D85D47" w:rsidR="00ED6F60" w:rsidRPr="002A190D" w:rsidRDefault="00ED6F60" w:rsidP="00ED6F60">
      <w:pPr>
        <w:pStyle w:val="Heading2"/>
      </w:pPr>
      <w:bookmarkStart w:id="27" w:name="_Toc175576413"/>
      <w:r w:rsidRPr="00EC5579">
        <w:lastRenderedPageBreak/>
        <w:t xml:space="preserve">Appendix </w:t>
      </w:r>
      <w:r w:rsidR="009F5A9F" w:rsidRPr="00EC5579">
        <w:t>C</w:t>
      </w:r>
      <w:r w:rsidRPr="00EC5579">
        <w:t xml:space="preserve"> – </w:t>
      </w:r>
      <w:r w:rsidR="009F5A9F" w:rsidRPr="00EC5579">
        <w:t>Cost</w:t>
      </w:r>
      <w:r w:rsidR="001C23FF" w:rsidRPr="00EC5579">
        <w:t xml:space="preserve"> </w:t>
      </w:r>
      <w:r w:rsidR="009F5A9F" w:rsidRPr="00EC5579">
        <w:t>benefit analysis</w:t>
      </w:r>
      <w:bookmarkEnd w:id="27"/>
    </w:p>
    <w:p w14:paraId="79CAB2FB" w14:textId="77777777" w:rsidR="00325F86" w:rsidRPr="002A190D" w:rsidRDefault="00325F86" w:rsidP="00325F86">
      <w:pPr>
        <w:spacing w:beforeLines="60" w:before="144" w:afterLines="60" w:after="144"/>
        <w:rPr>
          <w:rFonts w:ascii="Arial Bold" w:hAnsi="Arial Bold"/>
          <w:bCs/>
          <w:color w:val="808080" w:themeColor="background1" w:themeShade="80"/>
          <w:sz w:val="24"/>
          <w:szCs w:val="26"/>
        </w:rPr>
      </w:pPr>
      <w:r>
        <w:rPr>
          <w:rFonts w:ascii="Arial Bold" w:hAnsi="Arial Bold"/>
          <w:bCs/>
          <w:color w:val="808080" w:themeColor="background1" w:themeShade="80"/>
          <w:sz w:val="24"/>
          <w:szCs w:val="26"/>
        </w:rPr>
        <w:t>What is a cost benefit analysis?</w:t>
      </w:r>
      <w:r w:rsidRPr="002A190D">
        <w:rPr>
          <w:rFonts w:ascii="Arial Bold" w:hAnsi="Arial Bold"/>
          <w:bCs/>
          <w:color w:val="808080" w:themeColor="background1" w:themeShade="80"/>
          <w:sz w:val="24"/>
          <w:szCs w:val="26"/>
        </w:rPr>
        <w:t xml:space="preserve"> </w:t>
      </w:r>
    </w:p>
    <w:p w14:paraId="70415000" w14:textId="77777777" w:rsidR="00325F86" w:rsidRDefault="00325F86" w:rsidP="00325F86">
      <w:pPr>
        <w:spacing w:beforeLines="60" w:before="144" w:afterLines="60" w:after="144"/>
        <w:rPr>
          <w:szCs w:val="22"/>
          <w:lang w:eastAsia="en-AU"/>
        </w:rPr>
      </w:pPr>
      <w:r w:rsidRPr="00B0088C">
        <w:rPr>
          <w:szCs w:val="22"/>
          <w:lang w:eastAsia="en-AU"/>
        </w:rPr>
        <w:t>Cost benefit analysis (CBA) is an evaluation method in impact analysis that estimates the economic, social and environmental effect</w:t>
      </w:r>
      <w:r>
        <w:rPr>
          <w:szCs w:val="22"/>
          <w:lang w:eastAsia="en-AU"/>
        </w:rPr>
        <w:t>s</w:t>
      </w:r>
      <w:r w:rsidRPr="00B0088C">
        <w:rPr>
          <w:szCs w:val="22"/>
          <w:lang w:eastAsia="en-AU"/>
        </w:rPr>
        <w:t xml:space="preserve"> of a policy proposal.</w:t>
      </w:r>
      <w:r>
        <w:rPr>
          <w:szCs w:val="22"/>
          <w:lang w:eastAsia="en-AU"/>
        </w:rPr>
        <w:t xml:space="preserve"> It allows a systematic evaluation and comparison of the costs and benefits across all affected entities over the life of all feasible options within the proposal relative to a base case to evaluate the net impact of the options. The option with the highest net benefits is usually the recommended option. </w:t>
      </w:r>
    </w:p>
    <w:p w14:paraId="14A703EB" w14:textId="77777777" w:rsidR="00325F86" w:rsidRPr="0035478C" w:rsidRDefault="00325F86" w:rsidP="00325F86">
      <w:pPr>
        <w:spacing w:beforeLines="60" w:before="144" w:afterLines="60" w:after="144"/>
        <w:rPr>
          <w:rFonts w:ascii="Arial Bold" w:hAnsi="Arial Bold"/>
          <w:bCs/>
          <w:color w:val="808080" w:themeColor="background1" w:themeShade="80"/>
          <w:sz w:val="24"/>
          <w:szCs w:val="26"/>
        </w:rPr>
      </w:pPr>
      <w:r w:rsidRPr="0035478C">
        <w:rPr>
          <w:rFonts w:ascii="Arial Bold" w:hAnsi="Arial Bold"/>
          <w:bCs/>
          <w:color w:val="808080" w:themeColor="background1" w:themeShade="80"/>
          <w:sz w:val="24"/>
          <w:szCs w:val="26"/>
        </w:rPr>
        <w:t>How to conduct a cost benefit analysis?</w:t>
      </w:r>
    </w:p>
    <w:p w14:paraId="664E01D8" w14:textId="60E61574" w:rsidR="00325F86" w:rsidRDefault="00F92FC5" w:rsidP="00325F86">
      <w:pPr>
        <w:spacing w:beforeLines="60" w:before="144" w:afterLines="60" w:after="144"/>
        <w:rPr>
          <w:szCs w:val="22"/>
          <w:lang w:eastAsia="en-AU"/>
        </w:rPr>
      </w:pPr>
      <w:r>
        <w:rPr>
          <w:szCs w:val="22"/>
          <w:lang w:eastAsia="en-AU"/>
        </w:rPr>
        <w:t xml:space="preserve">Agencies are </w:t>
      </w:r>
      <w:r w:rsidR="00325F86">
        <w:rPr>
          <w:szCs w:val="22"/>
          <w:lang w:eastAsia="en-AU"/>
        </w:rPr>
        <w:t>encouraged t</w:t>
      </w:r>
      <w:r>
        <w:rPr>
          <w:szCs w:val="22"/>
          <w:lang w:eastAsia="en-AU"/>
        </w:rPr>
        <w:t xml:space="preserve">o </w:t>
      </w:r>
      <w:r w:rsidR="00325F86">
        <w:rPr>
          <w:szCs w:val="22"/>
          <w:lang w:eastAsia="en-AU"/>
        </w:rPr>
        <w:t xml:space="preserve">follow the </w:t>
      </w:r>
      <w:r w:rsidR="00454188">
        <w:rPr>
          <w:szCs w:val="22"/>
          <w:lang w:eastAsia="en-AU"/>
        </w:rPr>
        <w:t>nine</w:t>
      </w:r>
      <w:r w:rsidR="00325F86">
        <w:rPr>
          <w:szCs w:val="22"/>
          <w:lang w:eastAsia="en-AU"/>
        </w:rPr>
        <w:t xml:space="preserve"> </w:t>
      </w:r>
      <w:r w:rsidR="00884A58">
        <w:rPr>
          <w:szCs w:val="22"/>
          <w:lang w:eastAsia="en-AU"/>
        </w:rPr>
        <w:t xml:space="preserve">substantive </w:t>
      </w:r>
      <w:r w:rsidR="00325F86">
        <w:rPr>
          <w:szCs w:val="22"/>
          <w:lang w:eastAsia="en-AU"/>
        </w:rPr>
        <w:t>steps below to undertake a CBA:</w:t>
      </w:r>
    </w:p>
    <w:tbl>
      <w:tblPr>
        <w:tblStyle w:val="ARTableFigures"/>
        <w:tblW w:w="9466" w:type="dxa"/>
        <w:tblLook w:val="04A0" w:firstRow="1" w:lastRow="0" w:firstColumn="1" w:lastColumn="0" w:noHBand="0" w:noVBand="1"/>
      </w:tblPr>
      <w:tblGrid>
        <w:gridCol w:w="851"/>
        <w:gridCol w:w="8615"/>
      </w:tblGrid>
      <w:tr w:rsidR="00325F86" w14:paraId="78FFCC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9A9B381" w14:textId="77777777" w:rsidR="00325F86" w:rsidRDefault="00325F86">
            <w:pPr>
              <w:pStyle w:val="TableheadingNormal"/>
            </w:pPr>
            <w:r>
              <w:t>Step</w:t>
            </w:r>
          </w:p>
        </w:tc>
        <w:tc>
          <w:tcPr>
            <w:tcW w:w="8615" w:type="dxa"/>
          </w:tcPr>
          <w:p w14:paraId="5E583540" w14:textId="77777777" w:rsidR="00325F86" w:rsidRDefault="00325F86" w:rsidP="007212A0">
            <w:pPr>
              <w:pStyle w:val="TableheadingNormal"/>
              <w:cnfStyle w:val="100000000000" w:firstRow="1" w:lastRow="0" w:firstColumn="0" w:lastColumn="0" w:oddVBand="0" w:evenVBand="0" w:oddHBand="0" w:evenHBand="0" w:firstRowFirstColumn="0" w:firstRowLastColumn="0" w:lastRowFirstColumn="0" w:lastRowLastColumn="0"/>
            </w:pPr>
            <w:r>
              <w:t>Action</w:t>
            </w:r>
          </w:p>
        </w:tc>
      </w:tr>
      <w:tr w:rsidR="00325F86" w14:paraId="6CB166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8621FDD" w14:textId="77777777" w:rsidR="00325F86" w:rsidRDefault="00325F86" w:rsidP="007212A0">
            <w:pPr>
              <w:pStyle w:val="Tabletext"/>
            </w:pPr>
            <w:r>
              <w:t>1</w:t>
            </w:r>
          </w:p>
        </w:tc>
        <w:tc>
          <w:tcPr>
            <w:tcW w:w="8615" w:type="dxa"/>
          </w:tcPr>
          <w:p w14:paraId="376D06FA" w14:textId="77777777" w:rsidR="00325F86" w:rsidRDefault="00325F86" w:rsidP="007212A0">
            <w:pPr>
              <w:pStyle w:val="Tabletext"/>
              <w:cnfStyle w:val="000000100000" w:firstRow="0" w:lastRow="0" w:firstColumn="0" w:lastColumn="0" w:oddVBand="0" w:evenVBand="0" w:oddHBand="1" w:evenHBand="0" w:firstRowFirstColumn="0" w:firstRowLastColumn="0" w:lastRowFirstColumn="0" w:lastRowLastColumn="0"/>
            </w:pPr>
            <w:r>
              <w:t xml:space="preserve">Specify the base case and feasible options </w:t>
            </w:r>
          </w:p>
        </w:tc>
      </w:tr>
      <w:tr w:rsidR="00325F86" w14:paraId="4204CAF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CAEB518" w14:textId="77777777" w:rsidR="00325F86" w:rsidRDefault="00325F86" w:rsidP="007212A0">
            <w:pPr>
              <w:pStyle w:val="Tabletext"/>
            </w:pPr>
            <w:r>
              <w:t>2</w:t>
            </w:r>
          </w:p>
        </w:tc>
        <w:tc>
          <w:tcPr>
            <w:tcW w:w="8615" w:type="dxa"/>
          </w:tcPr>
          <w:p w14:paraId="0566562E" w14:textId="77777777" w:rsidR="00325F86" w:rsidRDefault="00325F86" w:rsidP="007212A0">
            <w:pPr>
              <w:pStyle w:val="Tabletext"/>
              <w:cnfStyle w:val="000000010000" w:firstRow="0" w:lastRow="0" w:firstColumn="0" w:lastColumn="0" w:oddVBand="0" w:evenVBand="0" w:oddHBand="0" w:evenHBand="1" w:firstRowFirstColumn="0" w:firstRowLastColumn="0" w:lastRowFirstColumn="0" w:lastRowLastColumn="0"/>
            </w:pPr>
            <w:r>
              <w:t>Identify the affected entities</w:t>
            </w:r>
          </w:p>
        </w:tc>
      </w:tr>
      <w:tr w:rsidR="00325F86" w14:paraId="4273EC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CEA9482" w14:textId="77777777" w:rsidR="00325F86" w:rsidRDefault="00325F86" w:rsidP="007212A0">
            <w:pPr>
              <w:pStyle w:val="Tabletext"/>
            </w:pPr>
            <w:r>
              <w:t>3</w:t>
            </w:r>
          </w:p>
        </w:tc>
        <w:tc>
          <w:tcPr>
            <w:tcW w:w="8615" w:type="dxa"/>
          </w:tcPr>
          <w:p w14:paraId="5E501CF6" w14:textId="77777777" w:rsidR="00325F86" w:rsidRDefault="00325F86" w:rsidP="007212A0">
            <w:pPr>
              <w:pStyle w:val="Tabletext"/>
              <w:cnfStyle w:val="000000100000" w:firstRow="0" w:lastRow="0" w:firstColumn="0" w:lastColumn="0" w:oddVBand="0" w:evenVBand="0" w:oddHBand="1" w:evenHBand="0" w:firstRowFirstColumn="0" w:firstRowLastColumn="0" w:lastRowFirstColumn="0" w:lastRowLastColumn="0"/>
            </w:pPr>
            <w:r>
              <w:t>Identify the impacts and select measurement indicators</w:t>
            </w:r>
          </w:p>
        </w:tc>
      </w:tr>
      <w:tr w:rsidR="00325F86" w:rsidRPr="00B83F53" w14:paraId="751A5BC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4364A88" w14:textId="77777777" w:rsidR="00325F86" w:rsidRPr="00B83F53" w:rsidRDefault="00325F86" w:rsidP="007212A0">
            <w:pPr>
              <w:pStyle w:val="Tabletext"/>
            </w:pPr>
            <w:r>
              <w:t>4</w:t>
            </w:r>
          </w:p>
        </w:tc>
        <w:tc>
          <w:tcPr>
            <w:tcW w:w="8615" w:type="dxa"/>
          </w:tcPr>
          <w:p w14:paraId="61D64B79" w14:textId="77777777" w:rsidR="00325F86" w:rsidRPr="00B83F53" w:rsidRDefault="00325F86" w:rsidP="007212A0">
            <w:pPr>
              <w:pStyle w:val="Tabletext"/>
              <w:cnfStyle w:val="000000010000" w:firstRow="0" w:lastRow="0" w:firstColumn="0" w:lastColumn="0" w:oddVBand="0" w:evenVBand="0" w:oddHBand="0" w:evenHBand="1" w:firstRowFirstColumn="0" w:firstRowLastColumn="0" w:lastRowFirstColumn="0" w:lastRowLastColumn="0"/>
            </w:pPr>
            <w:r>
              <w:t>Predict the impacts over the life of the proposal</w:t>
            </w:r>
          </w:p>
        </w:tc>
      </w:tr>
      <w:tr w:rsidR="00325F86" w:rsidRPr="00B83F53" w14:paraId="4EF35A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F3F3CE2" w14:textId="77777777" w:rsidR="00325F86" w:rsidRPr="00B83F53" w:rsidRDefault="00325F86" w:rsidP="007212A0">
            <w:pPr>
              <w:pStyle w:val="Tabletext"/>
            </w:pPr>
            <w:r>
              <w:t>5</w:t>
            </w:r>
          </w:p>
        </w:tc>
        <w:tc>
          <w:tcPr>
            <w:tcW w:w="8615" w:type="dxa"/>
          </w:tcPr>
          <w:p w14:paraId="080F5317" w14:textId="77777777" w:rsidR="00325F86" w:rsidRPr="00B83F53" w:rsidRDefault="00325F86" w:rsidP="007212A0">
            <w:pPr>
              <w:pStyle w:val="Tabletext"/>
              <w:cnfStyle w:val="000000100000" w:firstRow="0" w:lastRow="0" w:firstColumn="0" w:lastColumn="0" w:oddVBand="0" w:evenVBand="0" w:oddHBand="1" w:evenHBand="0" w:firstRowFirstColumn="0" w:firstRowLastColumn="0" w:lastRowFirstColumn="0" w:lastRowLastColumn="0"/>
            </w:pPr>
            <w:r>
              <w:t>Quantify costs and benefits</w:t>
            </w:r>
          </w:p>
        </w:tc>
      </w:tr>
      <w:tr w:rsidR="00325F86" w:rsidRPr="00B83F53" w14:paraId="201078D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8E56162" w14:textId="77777777" w:rsidR="00325F86" w:rsidRPr="00B83F53" w:rsidRDefault="00325F86" w:rsidP="007212A0">
            <w:pPr>
              <w:pStyle w:val="Tabletext"/>
            </w:pPr>
            <w:r>
              <w:t>6</w:t>
            </w:r>
          </w:p>
        </w:tc>
        <w:tc>
          <w:tcPr>
            <w:tcW w:w="8615" w:type="dxa"/>
          </w:tcPr>
          <w:p w14:paraId="42D5D31B" w14:textId="77777777" w:rsidR="00325F86" w:rsidRPr="00B83F53" w:rsidRDefault="00325F86" w:rsidP="007212A0">
            <w:pPr>
              <w:pStyle w:val="Tabletext"/>
              <w:cnfStyle w:val="000000010000" w:firstRow="0" w:lastRow="0" w:firstColumn="0" w:lastColumn="0" w:oddVBand="0" w:evenVBand="0" w:oddHBand="0" w:evenHBand="1" w:firstRowFirstColumn="0" w:firstRowLastColumn="0" w:lastRowFirstColumn="0" w:lastRowLastColumn="0"/>
            </w:pPr>
            <w:r>
              <w:t>Obtain present values</w:t>
            </w:r>
          </w:p>
        </w:tc>
      </w:tr>
      <w:tr w:rsidR="00325F86" w:rsidRPr="00B83F53" w14:paraId="3280F5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2F9B01F" w14:textId="77777777" w:rsidR="00325F86" w:rsidRDefault="00325F86" w:rsidP="007212A0">
            <w:pPr>
              <w:pStyle w:val="Tabletext"/>
            </w:pPr>
            <w:r>
              <w:t>7</w:t>
            </w:r>
          </w:p>
        </w:tc>
        <w:tc>
          <w:tcPr>
            <w:tcW w:w="8615" w:type="dxa"/>
          </w:tcPr>
          <w:p w14:paraId="2FE65613" w14:textId="77777777" w:rsidR="00325F86" w:rsidRPr="00B83F53" w:rsidRDefault="00325F86" w:rsidP="007212A0">
            <w:pPr>
              <w:pStyle w:val="Tabletext"/>
              <w:cnfStyle w:val="000000100000" w:firstRow="0" w:lastRow="0" w:firstColumn="0" w:lastColumn="0" w:oddVBand="0" w:evenVBand="0" w:oddHBand="1" w:evenHBand="0" w:firstRowFirstColumn="0" w:firstRowLastColumn="0" w:lastRowFirstColumn="0" w:lastRowLastColumn="0"/>
            </w:pPr>
            <w:r>
              <w:t>Assess net benefits</w:t>
            </w:r>
          </w:p>
        </w:tc>
      </w:tr>
      <w:tr w:rsidR="00325F86" w:rsidRPr="00B83F53" w14:paraId="2C8F7BA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84FD2CF" w14:textId="77777777" w:rsidR="00325F86" w:rsidRDefault="00325F86" w:rsidP="007212A0">
            <w:pPr>
              <w:pStyle w:val="Tabletext"/>
            </w:pPr>
            <w:r>
              <w:t>8</w:t>
            </w:r>
          </w:p>
        </w:tc>
        <w:tc>
          <w:tcPr>
            <w:tcW w:w="8615" w:type="dxa"/>
          </w:tcPr>
          <w:p w14:paraId="49571362" w14:textId="77777777" w:rsidR="00325F86" w:rsidRPr="00B83F53" w:rsidRDefault="00325F86" w:rsidP="007212A0">
            <w:pPr>
              <w:pStyle w:val="Tabletext"/>
              <w:cnfStyle w:val="000000010000" w:firstRow="0" w:lastRow="0" w:firstColumn="0" w:lastColumn="0" w:oddVBand="0" w:evenVBand="0" w:oddHBand="0" w:evenHBand="1" w:firstRowFirstColumn="0" w:firstRowLastColumn="0" w:lastRowFirstColumn="0" w:lastRowLastColumn="0"/>
            </w:pPr>
            <w:r>
              <w:t>Perform sensitivity analysis</w:t>
            </w:r>
          </w:p>
        </w:tc>
      </w:tr>
      <w:tr w:rsidR="00325F86" w:rsidRPr="00B83F53" w14:paraId="2CACB4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17889D54" w14:textId="77777777" w:rsidR="00325F86" w:rsidRDefault="00325F86" w:rsidP="007212A0">
            <w:pPr>
              <w:pStyle w:val="Tabletext"/>
            </w:pPr>
            <w:r>
              <w:t>9</w:t>
            </w:r>
          </w:p>
        </w:tc>
        <w:tc>
          <w:tcPr>
            <w:tcW w:w="8615" w:type="dxa"/>
          </w:tcPr>
          <w:p w14:paraId="6F084E32" w14:textId="77777777" w:rsidR="00325F86" w:rsidRDefault="00325F86" w:rsidP="007212A0">
            <w:pPr>
              <w:pStyle w:val="Tabletext"/>
              <w:cnfStyle w:val="000000100000" w:firstRow="0" w:lastRow="0" w:firstColumn="0" w:lastColumn="0" w:oddVBand="0" w:evenVBand="0" w:oddHBand="1" w:evenHBand="0" w:firstRowFirstColumn="0" w:firstRowLastColumn="0" w:lastRowFirstColumn="0" w:lastRowLastColumn="0"/>
            </w:pPr>
            <w:r>
              <w:t>Assess distributional effects</w:t>
            </w:r>
          </w:p>
        </w:tc>
      </w:tr>
      <w:tr w:rsidR="00325F86" w:rsidRPr="00B83F53" w14:paraId="029B3E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88AC373" w14:textId="77777777" w:rsidR="00325F86" w:rsidRDefault="00325F86" w:rsidP="007212A0">
            <w:pPr>
              <w:pStyle w:val="Tabletext"/>
            </w:pPr>
            <w:r>
              <w:t>10</w:t>
            </w:r>
          </w:p>
        </w:tc>
        <w:tc>
          <w:tcPr>
            <w:tcW w:w="8615" w:type="dxa"/>
          </w:tcPr>
          <w:p w14:paraId="7E78FD52" w14:textId="77777777" w:rsidR="00325F86" w:rsidRPr="00B83F53" w:rsidRDefault="00325F86" w:rsidP="007212A0">
            <w:pPr>
              <w:pStyle w:val="Tabletext"/>
              <w:cnfStyle w:val="000000010000" w:firstRow="0" w:lastRow="0" w:firstColumn="0" w:lastColumn="0" w:oddVBand="0" w:evenVBand="0" w:oddHBand="0" w:evenHBand="1" w:firstRowFirstColumn="0" w:firstRowLastColumn="0" w:lastRowFirstColumn="0" w:lastRowLastColumn="0"/>
            </w:pPr>
            <w:r>
              <w:t>Reach a conclusion</w:t>
            </w:r>
          </w:p>
        </w:tc>
      </w:tr>
    </w:tbl>
    <w:p w14:paraId="18B4F85E" w14:textId="77777777" w:rsidR="00325F86" w:rsidRPr="00C01735" w:rsidRDefault="00325F86" w:rsidP="00325F86">
      <w:pPr>
        <w:spacing w:beforeLines="100" w:before="240" w:afterLines="60" w:after="144"/>
        <w:rPr>
          <w:rFonts w:asciiTheme="minorHAnsi" w:hAnsiTheme="minorHAnsi" w:cstheme="minorHAnsi"/>
          <w:b/>
          <w:sz w:val="24"/>
          <w:szCs w:val="26"/>
        </w:rPr>
      </w:pPr>
      <w:r w:rsidRPr="00C01735">
        <w:rPr>
          <w:rFonts w:asciiTheme="minorHAnsi" w:hAnsiTheme="minorHAnsi" w:cstheme="minorHAnsi"/>
          <w:b/>
          <w:sz w:val="24"/>
          <w:szCs w:val="26"/>
        </w:rPr>
        <w:t>Step 1 – Specify the base case and feasible options</w:t>
      </w:r>
    </w:p>
    <w:p w14:paraId="71A8DB8E" w14:textId="5AD208E1" w:rsidR="00325F86" w:rsidRDefault="00325F86" w:rsidP="00325F86">
      <w:pPr>
        <w:spacing w:beforeLines="60" w:before="144" w:afterLines="60" w:after="144"/>
        <w:rPr>
          <w:szCs w:val="22"/>
          <w:lang w:eastAsia="en-AU"/>
        </w:rPr>
      </w:pPr>
      <w:r>
        <w:rPr>
          <w:szCs w:val="22"/>
          <w:lang w:eastAsia="en-AU"/>
        </w:rPr>
        <w:t>T</w:t>
      </w:r>
      <w:r w:rsidRPr="00C01735">
        <w:rPr>
          <w:szCs w:val="22"/>
          <w:lang w:eastAsia="en-AU"/>
        </w:rPr>
        <w:t xml:space="preserve">he RIA should explore and present at least </w:t>
      </w:r>
      <w:r w:rsidR="00454188">
        <w:rPr>
          <w:szCs w:val="22"/>
          <w:lang w:eastAsia="en-AU"/>
        </w:rPr>
        <w:t>three</w:t>
      </w:r>
      <w:r w:rsidRPr="00C01735">
        <w:rPr>
          <w:szCs w:val="22"/>
          <w:lang w:eastAsia="en-AU"/>
        </w:rPr>
        <w:t xml:space="preserve"> options, with one being a non-regulatory option.</w:t>
      </w:r>
      <w:r>
        <w:rPr>
          <w:szCs w:val="22"/>
          <w:lang w:eastAsia="en-AU"/>
        </w:rPr>
        <w:t xml:space="preserve"> </w:t>
      </w:r>
      <w:r w:rsidRPr="00C01735">
        <w:rPr>
          <w:szCs w:val="22"/>
          <w:lang w:eastAsia="en-AU"/>
        </w:rPr>
        <w:t xml:space="preserve">Information should be gathered to establish a </w:t>
      </w:r>
      <w:r>
        <w:rPr>
          <w:szCs w:val="22"/>
          <w:lang w:eastAsia="en-AU"/>
        </w:rPr>
        <w:t>‘</w:t>
      </w:r>
      <w:r w:rsidRPr="00C01735">
        <w:rPr>
          <w:szCs w:val="22"/>
          <w:lang w:eastAsia="en-AU"/>
        </w:rPr>
        <w:t>base case</w:t>
      </w:r>
      <w:r>
        <w:rPr>
          <w:szCs w:val="22"/>
          <w:lang w:eastAsia="en-AU"/>
        </w:rPr>
        <w:t>’</w:t>
      </w:r>
      <w:r w:rsidRPr="00C01735">
        <w:rPr>
          <w:szCs w:val="22"/>
          <w:lang w:eastAsia="en-AU"/>
        </w:rPr>
        <w:t xml:space="preserve">, which is what it would look like if no additional government intervention, other than existing government policy measures as well as measures that can be reasonably expected under the current government policy direction, is introduced. </w:t>
      </w:r>
      <w:r>
        <w:rPr>
          <w:szCs w:val="22"/>
          <w:lang w:eastAsia="en-AU"/>
        </w:rPr>
        <w:t xml:space="preserve">The base case should be </w:t>
      </w:r>
      <w:r w:rsidRPr="00C01735">
        <w:rPr>
          <w:szCs w:val="22"/>
          <w:lang w:eastAsia="en-AU"/>
        </w:rPr>
        <w:t xml:space="preserve">well-defined, </w:t>
      </w:r>
      <w:proofErr w:type="gramStart"/>
      <w:r w:rsidRPr="00C01735">
        <w:rPr>
          <w:szCs w:val="22"/>
          <w:lang w:eastAsia="en-AU"/>
        </w:rPr>
        <w:t>taking into account</w:t>
      </w:r>
      <w:proofErr w:type="gramEnd"/>
      <w:r w:rsidRPr="00C01735">
        <w:rPr>
          <w:szCs w:val="22"/>
          <w:lang w:eastAsia="en-AU"/>
        </w:rPr>
        <w:t xml:space="preserve"> factors such as pre-existing trends and changes or measures that are likely to occur without an intervention.</w:t>
      </w:r>
      <w:r>
        <w:rPr>
          <w:szCs w:val="22"/>
          <w:lang w:eastAsia="en-AU"/>
        </w:rPr>
        <w:t xml:space="preserve"> </w:t>
      </w:r>
      <w:r w:rsidRPr="00C01735">
        <w:rPr>
          <w:szCs w:val="22"/>
          <w:lang w:eastAsia="en-AU"/>
        </w:rPr>
        <w:t>This allows the other</w:t>
      </w:r>
      <w:r>
        <w:rPr>
          <w:szCs w:val="22"/>
          <w:lang w:eastAsia="en-AU"/>
        </w:rPr>
        <w:t xml:space="preserve"> feasible</w:t>
      </w:r>
      <w:r w:rsidRPr="00C01735">
        <w:rPr>
          <w:szCs w:val="22"/>
          <w:lang w:eastAsia="en-AU"/>
        </w:rPr>
        <w:t xml:space="preserve"> options to be compared to the market operating as per normal</w:t>
      </w:r>
      <w:r>
        <w:rPr>
          <w:szCs w:val="22"/>
          <w:lang w:eastAsia="en-AU"/>
        </w:rPr>
        <w:t xml:space="preserve">, such that benefits of those options are not overestimated. </w:t>
      </w:r>
    </w:p>
    <w:p w14:paraId="75FBCA46" w14:textId="77777777" w:rsidR="00325F86" w:rsidRDefault="00325F86" w:rsidP="00325F86">
      <w:pPr>
        <w:spacing w:beforeLines="60" w:before="144" w:afterLines="60" w:after="144"/>
        <w:rPr>
          <w:szCs w:val="22"/>
          <w:lang w:eastAsia="en-AU"/>
        </w:rPr>
      </w:pPr>
      <w:r w:rsidRPr="003B0FF3">
        <w:rPr>
          <w:szCs w:val="22"/>
          <w:lang w:eastAsia="en-AU"/>
        </w:rPr>
        <w:t>As an example, the base</w:t>
      </w:r>
      <w:r>
        <w:rPr>
          <w:szCs w:val="22"/>
          <w:lang w:eastAsia="en-AU"/>
        </w:rPr>
        <w:t xml:space="preserve"> case</w:t>
      </w:r>
      <w:r w:rsidRPr="003B0FF3">
        <w:rPr>
          <w:szCs w:val="22"/>
          <w:lang w:eastAsia="en-AU"/>
        </w:rPr>
        <w:t xml:space="preserve"> for a proposal to prevent new gas connections in the ACT by regulation could capture what level of greenhouse gas emissions could be expected, together with their associated impacts, as shaped by existing market forces and Government educative and incentive schemes. This can then be contrasted to expected outcomes of the regulatory options.</w:t>
      </w:r>
    </w:p>
    <w:p w14:paraId="578BCAA7" w14:textId="6D70E6AE" w:rsidR="00325F86" w:rsidRPr="0005346A" w:rsidRDefault="00325F86" w:rsidP="00325F86">
      <w:pPr>
        <w:spacing w:beforeLines="60" w:before="144" w:afterLines="60" w:after="144"/>
        <w:rPr>
          <w:b/>
          <w:bCs/>
          <w:sz w:val="24"/>
          <w:szCs w:val="24"/>
          <w:lang w:eastAsia="en-AU"/>
        </w:rPr>
      </w:pPr>
      <w:r w:rsidRPr="0005346A">
        <w:rPr>
          <w:b/>
          <w:bCs/>
          <w:sz w:val="24"/>
          <w:szCs w:val="24"/>
          <w:lang w:eastAsia="en-AU"/>
        </w:rPr>
        <w:t xml:space="preserve">Step 2 </w:t>
      </w:r>
      <w:r>
        <w:rPr>
          <w:b/>
          <w:bCs/>
          <w:sz w:val="24"/>
          <w:szCs w:val="24"/>
          <w:lang w:eastAsia="en-AU"/>
        </w:rPr>
        <w:t>–</w:t>
      </w:r>
      <w:r w:rsidRPr="0005346A">
        <w:rPr>
          <w:b/>
          <w:bCs/>
          <w:sz w:val="24"/>
          <w:szCs w:val="24"/>
          <w:lang w:eastAsia="en-AU"/>
        </w:rPr>
        <w:t xml:space="preserve"> Identify the affected entities</w:t>
      </w:r>
    </w:p>
    <w:p w14:paraId="28EA3FD0" w14:textId="77777777" w:rsidR="00325F86" w:rsidRDefault="00325F86" w:rsidP="00325F86">
      <w:pPr>
        <w:spacing w:beforeLines="60" w:before="144" w:afterLines="60" w:after="144"/>
        <w:rPr>
          <w:szCs w:val="22"/>
          <w:lang w:eastAsia="en-AU"/>
        </w:rPr>
      </w:pPr>
      <w:r w:rsidRPr="0005346A">
        <w:rPr>
          <w:szCs w:val="22"/>
          <w:lang w:eastAsia="en-AU"/>
        </w:rPr>
        <w:lastRenderedPageBreak/>
        <w:t xml:space="preserve">It is important to identify who in the ACT is going to be affected by the proposed policy, be it households, businesses, or the broader community. Practically, </w:t>
      </w:r>
      <w:r>
        <w:rPr>
          <w:szCs w:val="22"/>
          <w:lang w:eastAsia="en-AU"/>
        </w:rPr>
        <w:t xml:space="preserve">one </w:t>
      </w:r>
      <w:r w:rsidRPr="0005346A">
        <w:rPr>
          <w:szCs w:val="22"/>
          <w:lang w:eastAsia="en-AU"/>
        </w:rPr>
        <w:t>can look to understand this by asking – who is going to be better or worse off from this regulation.</w:t>
      </w:r>
    </w:p>
    <w:p w14:paraId="3D9ECB8E" w14:textId="77777777" w:rsidR="00325F86" w:rsidRPr="0005346A" w:rsidRDefault="00325F86" w:rsidP="00325F86">
      <w:pPr>
        <w:spacing w:beforeLines="60" w:before="144" w:afterLines="60" w:after="144"/>
        <w:rPr>
          <w:b/>
          <w:bCs/>
          <w:sz w:val="24"/>
          <w:szCs w:val="24"/>
          <w:lang w:eastAsia="en-AU"/>
        </w:rPr>
      </w:pPr>
      <w:r w:rsidRPr="0005346A">
        <w:rPr>
          <w:b/>
          <w:bCs/>
          <w:sz w:val="24"/>
          <w:szCs w:val="24"/>
          <w:lang w:eastAsia="en-AU"/>
        </w:rPr>
        <w:t xml:space="preserve">Step 3 </w:t>
      </w:r>
      <w:r>
        <w:rPr>
          <w:b/>
          <w:bCs/>
          <w:sz w:val="24"/>
          <w:szCs w:val="24"/>
          <w:lang w:eastAsia="en-AU"/>
        </w:rPr>
        <w:t xml:space="preserve">– </w:t>
      </w:r>
      <w:r w:rsidRPr="0005346A">
        <w:rPr>
          <w:b/>
          <w:bCs/>
          <w:sz w:val="24"/>
          <w:szCs w:val="24"/>
          <w:lang w:eastAsia="en-AU"/>
        </w:rPr>
        <w:t>Identify the impacts and select measurement indicators</w:t>
      </w:r>
    </w:p>
    <w:p w14:paraId="0FF3DAE2" w14:textId="77777777" w:rsidR="00325F86" w:rsidRDefault="00325F86" w:rsidP="00325F86">
      <w:pPr>
        <w:spacing w:beforeLines="60" w:before="144" w:afterLines="60" w:after="144"/>
        <w:rPr>
          <w:szCs w:val="22"/>
          <w:lang w:eastAsia="en-AU"/>
        </w:rPr>
      </w:pPr>
      <w:r>
        <w:rPr>
          <w:szCs w:val="22"/>
          <w:lang w:eastAsia="en-AU"/>
        </w:rPr>
        <w:t xml:space="preserve">The full range of impacts, including primary and secondary impacts, of each option should be identified. Only additional costs and benefits arising from implementing those options, relative to the base case, should be included in the analysis. </w:t>
      </w:r>
    </w:p>
    <w:p w14:paraId="1920D0D8" w14:textId="77777777" w:rsidR="00325F86" w:rsidRDefault="00325F86" w:rsidP="00325F86">
      <w:pPr>
        <w:spacing w:beforeLines="60" w:before="144" w:afterLines="60" w:after="144"/>
        <w:rPr>
          <w:szCs w:val="22"/>
          <w:lang w:eastAsia="en-AU"/>
        </w:rPr>
      </w:pPr>
      <w:r w:rsidRPr="00A32CC5">
        <w:rPr>
          <w:szCs w:val="22"/>
          <w:lang w:eastAsia="en-AU"/>
        </w:rPr>
        <w:t>A benefit is described as the positive</w:t>
      </w:r>
      <w:r>
        <w:rPr>
          <w:szCs w:val="22"/>
          <w:lang w:eastAsia="en-AU"/>
        </w:rPr>
        <w:t>/desirable</w:t>
      </w:r>
      <w:r w:rsidRPr="00A32CC5">
        <w:rPr>
          <w:szCs w:val="22"/>
          <w:lang w:eastAsia="en-AU"/>
        </w:rPr>
        <w:t xml:space="preserve"> effect or the advantages of a proposal, having regards to economic, social</w:t>
      </w:r>
      <w:r>
        <w:rPr>
          <w:szCs w:val="22"/>
          <w:lang w:eastAsia="en-AU"/>
        </w:rPr>
        <w:t xml:space="preserve"> and</w:t>
      </w:r>
      <w:r w:rsidRPr="00A32CC5">
        <w:rPr>
          <w:szCs w:val="22"/>
          <w:lang w:eastAsia="en-AU"/>
        </w:rPr>
        <w:t xml:space="preserve"> environmental outcomes, regardless of whether it can be quantified. All benefits attributable to a proposal should be captured in a CBA, including non-market benefits such as travel time savings, reduced emissions, and improved environmental conditions.</w:t>
      </w:r>
    </w:p>
    <w:p w14:paraId="1AF89F8D" w14:textId="77777777" w:rsidR="00325F86" w:rsidRDefault="00325F86" w:rsidP="00325F86">
      <w:pPr>
        <w:spacing w:beforeLines="60" w:before="144" w:afterLines="60" w:after="144"/>
        <w:rPr>
          <w:szCs w:val="22"/>
          <w:lang w:eastAsia="en-AU"/>
        </w:rPr>
      </w:pPr>
      <w:r>
        <w:rPr>
          <w:szCs w:val="22"/>
          <w:lang w:eastAsia="en-AU"/>
        </w:rPr>
        <w:t xml:space="preserve">A cost is the negative/undesirable effect or the disadvantages of a proposal, regardless of whether it can be quantified. </w:t>
      </w:r>
    </w:p>
    <w:p w14:paraId="4F0D96B9" w14:textId="77777777" w:rsidR="00325F86" w:rsidRDefault="00325F86" w:rsidP="00325F86">
      <w:pPr>
        <w:spacing w:beforeLines="60" w:before="144" w:afterLines="60" w:after="144"/>
        <w:rPr>
          <w:szCs w:val="22"/>
          <w:lang w:eastAsia="en-AU"/>
        </w:rPr>
      </w:pPr>
      <w:r>
        <w:rPr>
          <w:szCs w:val="22"/>
          <w:lang w:eastAsia="en-AU"/>
        </w:rPr>
        <w:t>The table below sets out typical impacts that may arise from a regulatory proposal, including direct financial impact, compliance impact, market and economic impact, and other impacts.</w:t>
      </w:r>
    </w:p>
    <w:tbl>
      <w:tblPr>
        <w:tblStyle w:val="ARTableFigures"/>
        <w:tblW w:w="9214" w:type="dxa"/>
        <w:tblLook w:val="04A0" w:firstRow="1" w:lastRow="0" w:firstColumn="1" w:lastColumn="0" w:noHBand="0" w:noVBand="1"/>
      </w:tblPr>
      <w:tblGrid>
        <w:gridCol w:w="1985"/>
        <w:gridCol w:w="3614"/>
        <w:gridCol w:w="3615"/>
      </w:tblGrid>
      <w:tr w:rsidR="00664BA3" w:rsidRPr="00B83F53" w14:paraId="2A71A10B" w14:textId="77777777" w:rsidTr="00EB3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1B386AFD" w14:textId="77777777" w:rsidR="00664BA3" w:rsidRPr="000D262B" w:rsidRDefault="00664BA3" w:rsidP="00EB3B5B">
            <w:pPr>
              <w:pStyle w:val="TableheadingNormal"/>
            </w:pPr>
            <w:r w:rsidRPr="000D262B">
              <w:t>Typical impacts</w:t>
            </w:r>
          </w:p>
        </w:tc>
        <w:tc>
          <w:tcPr>
            <w:tcW w:w="3614" w:type="dxa"/>
            <w:vAlign w:val="top"/>
          </w:tcPr>
          <w:p w14:paraId="5E6D1F16" w14:textId="77777777" w:rsidR="00664BA3" w:rsidRPr="000D262B" w:rsidRDefault="00664BA3" w:rsidP="00EB3B5B">
            <w:pPr>
              <w:pStyle w:val="TableheadingNormal"/>
              <w:cnfStyle w:val="100000000000" w:firstRow="1" w:lastRow="0" w:firstColumn="0" w:lastColumn="0" w:oddVBand="0" w:evenVBand="0" w:oddHBand="0" w:evenHBand="0" w:firstRowFirstColumn="0" w:firstRowLastColumn="0" w:lastRowFirstColumn="0" w:lastRowLastColumn="0"/>
            </w:pPr>
            <w:r w:rsidRPr="000D262B">
              <w:t>Costs</w:t>
            </w:r>
          </w:p>
        </w:tc>
        <w:tc>
          <w:tcPr>
            <w:tcW w:w="3615" w:type="dxa"/>
            <w:vAlign w:val="top"/>
          </w:tcPr>
          <w:p w14:paraId="1B4E6B28" w14:textId="77777777" w:rsidR="00664BA3" w:rsidRPr="000D262B" w:rsidRDefault="00664BA3" w:rsidP="00EB3B5B">
            <w:pPr>
              <w:pStyle w:val="TableheadingNormal"/>
              <w:cnfStyle w:val="100000000000" w:firstRow="1" w:lastRow="0" w:firstColumn="0" w:lastColumn="0" w:oddVBand="0" w:evenVBand="0" w:oddHBand="0" w:evenHBand="0" w:firstRowFirstColumn="0" w:firstRowLastColumn="0" w:lastRowFirstColumn="0" w:lastRowLastColumn="0"/>
            </w:pPr>
            <w:r w:rsidRPr="000D262B">
              <w:t>Benefits</w:t>
            </w:r>
          </w:p>
        </w:tc>
      </w:tr>
      <w:tr w:rsidR="00664BA3" w:rsidRPr="00B83F53" w14:paraId="25D499D6" w14:textId="77777777" w:rsidTr="00EB3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643BEFB9" w14:textId="77777777" w:rsidR="00664BA3" w:rsidRPr="00325F86" w:rsidRDefault="00664BA3" w:rsidP="00EB3B5B">
            <w:pPr>
              <w:pStyle w:val="Tabletext"/>
            </w:pPr>
            <w:r w:rsidRPr="00325F86">
              <w:t>Direct financial impact</w:t>
            </w:r>
          </w:p>
        </w:tc>
        <w:tc>
          <w:tcPr>
            <w:tcW w:w="3614" w:type="dxa"/>
            <w:vAlign w:val="top"/>
          </w:tcPr>
          <w:p w14:paraId="6A68660B"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Regulatory fees, charges, or levies, such as licence fees</w:t>
            </w:r>
          </w:p>
        </w:tc>
        <w:tc>
          <w:tcPr>
            <w:tcW w:w="3615" w:type="dxa"/>
            <w:vAlign w:val="top"/>
          </w:tcPr>
          <w:p w14:paraId="421FAC08"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 xml:space="preserve">Savings for consumers </w:t>
            </w:r>
          </w:p>
          <w:p w14:paraId="5417884B"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Costs savings for businesses</w:t>
            </w:r>
          </w:p>
        </w:tc>
      </w:tr>
      <w:tr w:rsidR="00664BA3" w:rsidRPr="00B83F53" w14:paraId="5DB502F5" w14:textId="77777777" w:rsidTr="00EB3B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681E727E" w14:textId="77777777" w:rsidR="00664BA3" w:rsidRPr="00325F86" w:rsidRDefault="00664BA3" w:rsidP="00EB3B5B">
            <w:pPr>
              <w:pStyle w:val="Tabletext"/>
            </w:pPr>
            <w:r w:rsidRPr="00325F86">
              <w:t>Compliance impact</w:t>
            </w:r>
          </w:p>
        </w:tc>
        <w:tc>
          <w:tcPr>
            <w:tcW w:w="3614" w:type="dxa"/>
            <w:vAlign w:val="top"/>
          </w:tcPr>
          <w:p w14:paraId="731B3E1C"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Administration cost such as record keeping and obtaining advice on new regulation from professionals</w:t>
            </w:r>
          </w:p>
          <w:p w14:paraId="772ABF6A"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 xml:space="preserve">Equipment purchase and maintenance costs </w:t>
            </w:r>
          </w:p>
          <w:p w14:paraId="3DFE4077"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Training costs</w:t>
            </w:r>
          </w:p>
          <w:p w14:paraId="5DFBF1EA"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Compliance such as health and safety</w:t>
            </w:r>
          </w:p>
          <w:p w14:paraId="257C924C"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Higher burden on local industry</w:t>
            </w:r>
          </w:p>
        </w:tc>
        <w:tc>
          <w:tcPr>
            <w:tcW w:w="3615" w:type="dxa"/>
            <w:vAlign w:val="top"/>
          </w:tcPr>
          <w:p w14:paraId="370543DA"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 xml:space="preserve">Better standards in product and service level </w:t>
            </w:r>
          </w:p>
          <w:p w14:paraId="6008DEA8"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Better information disclosure</w:t>
            </w:r>
          </w:p>
          <w:p w14:paraId="4F52B26A"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Clarity in operating conditions</w:t>
            </w:r>
          </w:p>
          <w:p w14:paraId="32936F1D"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Protection for ethical operators</w:t>
            </w:r>
          </w:p>
          <w:p w14:paraId="5D1A86DF"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 xml:space="preserve">Less unsafe or unethical behaviour </w:t>
            </w:r>
          </w:p>
        </w:tc>
      </w:tr>
      <w:tr w:rsidR="00664BA3" w:rsidRPr="00B83F53" w14:paraId="70DB42FF" w14:textId="77777777" w:rsidTr="00EB3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043F6B11" w14:textId="77777777" w:rsidR="00664BA3" w:rsidRPr="00325F86" w:rsidRDefault="00664BA3" w:rsidP="004C3545">
            <w:pPr>
              <w:pStyle w:val="Tabletext"/>
              <w:jc w:val="left"/>
            </w:pPr>
            <w:r w:rsidRPr="00325F86">
              <w:t>Market and economic impact</w:t>
            </w:r>
          </w:p>
        </w:tc>
        <w:tc>
          <w:tcPr>
            <w:tcW w:w="3614" w:type="dxa"/>
            <w:vAlign w:val="top"/>
          </w:tcPr>
          <w:p w14:paraId="0FFB1A89"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 xml:space="preserve">Competition constraints </w:t>
            </w:r>
          </w:p>
          <w:p w14:paraId="2F35A574"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 xml:space="preserve">restricted purchasing opportunities and/or reduced choice </w:t>
            </w:r>
          </w:p>
          <w:p w14:paraId="38192902"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Higher prices for goods and services</w:t>
            </w:r>
          </w:p>
          <w:p w14:paraId="384711B6"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Stifling of innovation</w:t>
            </w:r>
          </w:p>
          <w:p w14:paraId="197F40BF"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Adverse impact on the ability to export</w:t>
            </w:r>
          </w:p>
          <w:p w14:paraId="41E399C2"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Hand break on the economy</w:t>
            </w:r>
          </w:p>
        </w:tc>
        <w:tc>
          <w:tcPr>
            <w:tcW w:w="3615" w:type="dxa"/>
            <w:vAlign w:val="top"/>
          </w:tcPr>
          <w:p w14:paraId="538E6E0F"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Increased competition</w:t>
            </w:r>
          </w:p>
          <w:p w14:paraId="1A211356"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Higher productivity</w:t>
            </w:r>
          </w:p>
          <w:p w14:paraId="01EF9493"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Higher mobility of labour</w:t>
            </w:r>
          </w:p>
          <w:p w14:paraId="5F238612" w14:textId="77777777" w:rsidR="00664BA3" w:rsidRPr="00325F86" w:rsidRDefault="00664BA3" w:rsidP="00EB3B5B">
            <w:pPr>
              <w:pStyle w:val="Tabletext"/>
              <w:numPr>
                <w:ilvl w:val="0"/>
                <w:numId w:val="19"/>
              </w:numPr>
              <w:jc w:val="left"/>
              <w:cnfStyle w:val="000000100000" w:firstRow="0" w:lastRow="0" w:firstColumn="0" w:lastColumn="0" w:oddVBand="0" w:evenVBand="0" w:oddHBand="1" w:evenHBand="0" w:firstRowFirstColumn="0" w:firstRowLastColumn="0" w:lastRowFirstColumn="0" w:lastRowLastColumn="0"/>
            </w:pPr>
            <w:r w:rsidRPr="00325F86">
              <w:t>Faster growth in the economy</w:t>
            </w:r>
          </w:p>
        </w:tc>
      </w:tr>
      <w:tr w:rsidR="00664BA3" w:rsidRPr="00B83F53" w14:paraId="2AE2DCA5" w14:textId="77777777" w:rsidTr="00EB3B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top"/>
          </w:tcPr>
          <w:p w14:paraId="26A6150B" w14:textId="77777777" w:rsidR="00664BA3" w:rsidRDefault="00664BA3" w:rsidP="004C3545">
            <w:pPr>
              <w:pStyle w:val="Tabletext"/>
              <w:jc w:val="left"/>
            </w:pPr>
            <w:r w:rsidRPr="00325F86">
              <w:t xml:space="preserve">Other impacts </w:t>
            </w:r>
          </w:p>
          <w:p w14:paraId="4C8209C2" w14:textId="77777777" w:rsidR="00664BA3" w:rsidRPr="00325F86" w:rsidRDefault="00664BA3" w:rsidP="004C3545">
            <w:pPr>
              <w:pStyle w:val="Tabletext"/>
              <w:jc w:val="left"/>
            </w:pPr>
            <w:r>
              <w:t>(e.g. health, safety and environmental impacts)</w:t>
            </w:r>
          </w:p>
        </w:tc>
        <w:tc>
          <w:tcPr>
            <w:tcW w:w="3614" w:type="dxa"/>
            <w:vAlign w:val="top"/>
          </w:tcPr>
          <w:p w14:paraId="33BD2B3F"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Environmental damage</w:t>
            </w:r>
          </w:p>
          <w:p w14:paraId="7B30EC92"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Costs and pressure on the public health system</w:t>
            </w:r>
          </w:p>
        </w:tc>
        <w:tc>
          <w:tcPr>
            <w:tcW w:w="3615" w:type="dxa"/>
            <w:vAlign w:val="top"/>
          </w:tcPr>
          <w:p w14:paraId="1EF09155"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 xml:space="preserve">Reduced emissions, slower global warming, and other avoided damage to climate </w:t>
            </w:r>
          </w:p>
          <w:p w14:paraId="0E0419C3"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 xml:space="preserve">Better health outcomes </w:t>
            </w:r>
          </w:p>
          <w:p w14:paraId="4E5D03F0"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Fewer accidents</w:t>
            </w:r>
          </w:p>
          <w:p w14:paraId="616CED92" w14:textId="77777777" w:rsidR="00664BA3" w:rsidRPr="00325F86" w:rsidRDefault="00664BA3" w:rsidP="00EB3B5B">
            <w:pPr>
              <w:pStyle w:val="Tabletext"/>
              <w:numPr>
                <w:ilvl w:val="0"/>
                <w:numId w:val="19"/>
              </w:numPr>
              <w:jc w:val="left"/>
              <w:cnfStyle w:val="000000010000" w:firstRow="0" w:lastRow="0" w:firstColumn="0" w:lastColumn="0" w:oddVBand="0" w:evenVBand="0" w:oddHBand="0" w:evenHBand="1" w:firstRowFirstColumn="0" w:firstRowLastColumn="0" w:lastRowFirstColumn="0" w:lastRowLastColumn="0"/>
            </w:pPr>
            <w:r w:rsidRPr="00325F86">
              <w:t>Protection of other public interest issues</w:t>
            </w:r>
          </w:p>
        </w:tc>
      </w:tr>
    </w:tbl>
    <w:p w14:paraId="640B60DB" w14:textId="021AFA53" w:rsidR="00B63688" w:rsidRPr="00D77589" w:rsidRDefault="00B63688" w:rsidP="00325F86">
      <w:pPr>
        <w:spacing w:beforeLines="60" w:before="144" w:afterLines="60" w:after="144"/>
        <w:rPr>
          <w:szCs w:val="22"/>
          <w:lang w:eastAsia="en-AU"/>
        </w:rPr>
      </w:pPr>
      <w:r w:rsidRPr="00D77589">
        <w:rPr>
          <w:szCs w:val="22"/>
          <w:lang w:eastAsia="en-AU"/>
        </w:rPr>
        <w:lastRenderedPageBreak/>
        <w:t xml:space="preserve">The Government is developing an internal value of carbon to assist with the assessment of emissions impact of Government policy proposals. The value of carbon is expected to be applicable </w:t>
      </w:r>
      <w:r w:rsidR="007C6F3E" w:rsidRPr="00D77589">
        <w:rPr>
          <w:szCs w:val="22"/>
          <w:lang w:eastAsia="en-AU"/>
        </w:rPr>
        <w:t xml:space="preserve">consistently </w:t>
      </w:r>
      <w:r w:rsidRPr="00D77589">
        <w:rPr>
          <w:szCs w:val="22"/>
          <w:lang w:eastAsia="en-AU"/>
        </w:rPr>
        <w:t xml:space="preserve">across </w:t>
      </w:r>
      <w:r w:rsidR="007C6F3E" w:rsidRPr="00D77589">
        <w:rPr>
          <w:szCs w:val="22"/>
          <w:lang w:eastAsia="en-AU"/>
        </w:rPr>
        <w:t xml:space="preserve">all existing decision-making framework within the Government, including the RIA. </w:t>
      </w:r>
      <w:r w:rsidRPr="00D77589">
        <w:rPr>
          <w:szCs w:val="22"/>
          <w:lang w:eastAsia="en-AU"/>
        </w:rPr>
        <w:t xml:space="preserve">This work is expected to be completed in 2024. </w:t>
      </w:r>
      <w:r w:rsidR="007C6F3E" w:rsidRPr="00D77589">
        <w:rPr>
          <w:szCs w:val="22"/>
          <w:lang w:eastAsia="en-AU"/>
        </w:rPr>
        <w:t xml:space="preserve">In the interim, please contact </w:t>
      </w:r>
      <w:r w:rsidR="007C6F3E" w:rsidRPr="00D77589">
        <w:t xml:space="preserve">the Economic and Regulatory Policy Unit at </w:t>
      </w:r>
      <w:hyperlink r:id="rId23" w:history="1">
        <w:r w:rsidR="007C6F3E" w:rsidRPr="00D77589">
          <w:rPr>
            <w:rStyle w:val="Hyperlink"/>
          </w:rPr>
          <w:t>EconomicandRegulatoryPolicy@act.gov.au</w:t>
        </w:r>
      </w:hyperlink>
      <w:r w:rsidR="007C6F3E" w:rsidRPr="00D77589">
        <w:t xml:space="preserve"> for the latest advice on the value of carbon and the associated quantification method.</w:t>
      </w:r>
    </w:p>
    <w:p w14:paraId="1E6C260C" w14:textId="2DD51ECD" w:rsidR="00B63688" w:rsidRDefault="00325F86" w:rsidP="00325F86">
      <w:pPr>
        <w:spacing w:beforeLines="60" w:before="144" w:afterLines="60" w:after="144"/>
        <w:rPr>
          <w:szCs w:val="22"/>
          <w:lang w:eastAsia="en-AU"/>
        </w:rPr>
      </w:pPr>
      <w:r w:rsidRPr="00B1382A">
        <w:rPr>
          <w:szCs w:val="22"/>
          <w:lang w:eastAsia="en-AU"/>
        </w:rPr>
        <w:t>The selected indicators for measuring the impacts should be linked closely to the impact and well supported by data from reliable sources. Ease of quantification is also an important consideration when choosing indicators. As an example, for a proposal that reduces the risks of a hazard, its positive impact could be measured in terms of a reduced number of accidents, and the benefit from accidents avoided could be quantified</w:t>
      </w:r>
      <w:r>
        <w:rPr>
          <w:szCs w:val="22"/>
          <w:lang w:eastAsia="en-AU"/>
        </w:rPr>
        <w:t>.</w:t>
      </w:r>
    </w:p>
    <w:p w14:paraId="7AF93B8A" w14:textId="77777777" w:rsidR="00325F86" w:rsidRPr="00E156B1" w:rsidRDefault="00325F86" w:rsidP="00325F86">
      <w:pPr>
        <w:spacing w:beforeLines="60" w:before="144" w:afterLines="60" w:after="144"/>
        <w:rPr>
          <w:b/>
          <w:bCs/>
          <w:sz w:val="24"/>
          <w:szCs w:val="24"/>
          <w:lang w:eastAsia="en-AU"/>
        </w:rPr>
      </w:pPr>
      <w:r w:rsidRPr="00E156B1">
        <w:rPr>
          <w:b/>
          <w:bCs/>
          <w:sz w:val="24"/>
          <w:szCs w:val="24"/>
          <w:lang w:eastAsia="en-AU"/>
        </w:rPr>
        <w:t xml:space="preserve">Step 4 – Predict the impacts over the life of the </w:t>
      </w:r>
      <w:r>
        <w:rPr>
          <w:b/>
          <w:bCs/>
          <w:sz w:val="24"/>
          <w:szCs w:val="24"/>
          <w:lang w:eastAsia="en-AU"/>
        </w:rPr>
        <w:t>proposal</w:t>
      </w:r>
    </w:p>
    <w:p w14:paraId="466E0702" w14:textId="77777777" w:rsidR="00325F86" w:rsidRDefault="00325F86" w:rsidP="00325F86">
      <w:pPr>
        <w:spacing w:beforeLines="60" w:before="144" w:afterLines="60" w:after="144"/>
        <w:rPr>
          <w:szCs w:val="22"/>
          <w:lang w:eastAsia="en-AU"/>
        </w:rPr>
      </w:pPr>
      <w:r>
        <w:rPr>
          <w:szCs w:val="22"/>
          <w:lang w:eastAsia="en-AU"/>
        </w:rPr>
        <w:t xml:space="preserve">If a proposal has an effective life, impacts should be measured and quantified over the life of the proposal. If the effective life of the proposal is not explicitly specified, the period over which impacts should be measured and quantified needs to be reasonably long to capture all the potential costs and benefits. </w:t>
      </w:r>
    </w:p>
    <w:p w14:paraId="060FA488" w14:textId="4C9E18E3" w:rsidR="00325F86" w:rsidRDefault="00325F86" w:rsidP="00325F86">
      <w:pPr>
        <w:spacing w:beforeLines="60" w:before="144" w:afterLines="60" w:after="144"/>
        <w:rPr>
          <w:szCs w:val="22"/>
          <w:lang w:eastAsia="en-AU"/>
        </w:rPr>
      </w:pPr>
      <w:r>
        <w:rPr>
          <w:szCs w:val="22"/>
          <w:lang w:eastAsia="en-AU"/>
        </w:rPr>
        <w:t xml:space="preserve">Prediction of impacts should have regard to general economic conditions and other influences. In general, the CBA should not assume that the net benefits are the same for every year of the life of the proposal. For example, the energy bill savings from switching from a gas appliance to an electric appliance can vary every year over the life of the appliance if electricity prices are expected to fall and gas prices are expected to rise over this period. </w:t>
      </w:r>
      <w:r w:rsidR="00D81CF4">
        <w:rPr>
          <w:szCs w:val="22"/>
          <w:lang w:eastAsia="en-AU"/>
        </w:rPr>
        <w:t xml:space="preserve">Further, how will the market react in practice to the proposed change? </w:t>
      </w:r>
    </w:p>
    <w:p w14:paraId="03FAB5DF" w14:textId="5C216D4C" w:rsidR="00D81CF4" w:rsidRPr="00D81CF4" w:rsidRDefault="00D81CF4" w:rsidP="004A13FC">
      <w:pPr>
        <w:pStyle w:val="ListParagraph"/>
        <w:numPr>
          <w:ilvl w:val="0"/>
          <w:numId w:val="19"/>
        </w:numPr>
        <w:spacing w:beforeLines="60" w:before="144" w:afterLines="60" w:after="144"/>
        <w:rPr>
          <w:szCs w:val="22"/>
          <w:lang w:eastAsia="en-AU"/>
        </w:rPr>
      </w:pPr>
      <w:r w:rsidRPr="00D81CF4">
        <w:rPr>
          <w:szCs w:val="22"/>
          <w:lang w:eastAsia="en-AU"/>
        </w:rPr>
        <w:t xml:space="preserve">The degree to which </w:t>
      </w:r>
      <w:r>
        <w:rPr>
          <w:szCs w:val="22"/>
          <w:lang w:eastAsia="en-AU"/>
        </w:rPr>
        <w:t>potential savings are retained is a live issue in many regulatory options. It may be necessary to have regard to the “</w:t>
      </w:r>
      <w:hyperlink r:id="rId24" w:history="1">
        <w:r w:rsidRPr="005B3A5D">
          <w:rPr>
            <w:rStyle w:val="Hyperlink"/>
            <w:szCs w:val="22"/>
            <w:lang w:eastAsia="en-AU"/>
          </w:rPr>
          <w:t>rebound effect</w:t>
        </w:r>
      </w:hyperlink>
      <w:r>
        <w:rPr>
          <w:szCs w:val="22"/>
          <w:lang w:eastAsia="en-AU"/>
        </w:rPr>
        <w:t xml:space="preserve">” in understanding whether potential energy savings, and emissions reductions will be fully realised if </w:t>
      </w:r>
      <w:r w:rsidRPr="00D81CF4">
        <w:rPr>
          <w:szCs w:val="22"/>
          <w:lang w:eastAsia="en-AU"/>
        </w:rPr>
        <w:t>energy us</w:t>
      </w:r>
      <w:r>
        <w:rPr>
          <w:szCs w:val="22"/>
          <w:lang w:eastAsia="en-AU"/>
        </w:rPr>
        <w:t>age is increased following an improvement to</w:t>
      </w:r>
      <w:r w:rsidR="005B3A5D">
        <w:rPr>
          <w:szCs w:val="22"/>
          <w:lang w:eastAsia="en-AU"/>
        </w:rPr>
        <w:t xml:space="preserve"> energy efficiency in the form of</w:t>
      </w:r>
      <w:r>
        <w:rPr>
          <w:szCs w:val="22"/>
          <w:lang w:eastAsia="en-AU"/>
        </w:rPr>
        <w:t xml:space="preserve"> fuel efficiency standards, insulation etc.</w:t>
      </w:r>
      <w:r w:rsidRPr="00D81CF4">
        <w:rPr>
          <w:szCs w:val="22"/>
          <w:lang w:eastAsia="en-AU"/>
        </w:rPr>
        <w:t xml:space="preserve"> </w:t>
      </w:r>
    </w:p>
    <w:p w14:paraId="2127AFDA" w14:textId="77777777" w:rsidR="00325F86" w:rsidRDefault="00325F86" w:rsidP="00325F86">
      <w:pPr>
        <w:spacing w:beforeLines="60" w:before="144" w:afterLines="60" w:after="144"/>
        <w:rPr>
          <w:szCs w:val="22"/>
          <w:lang w:eastAsia="en-AU"/>
        </w:rPr>
      </w:pPr>
      <w:r>
        <w:rPr>
          <w:szCs w:val="22"/>
          <w:lang w:eastAsia="en-AU"/>
        </w:rPr>
        <w:t xml:space="preserve">Estimating costs and benefits beyond a certain </w:t>
      </w:r>
      <w:proofErr w:type="gramStart"/>
      <w:r>
        <w:rPr>
          <w:szCs w:val="22"/>
          <w:lang w:eastAsia="en-AU"/>
        </w:rPr>
        <w:t>time period</w:t>
      </w:r>
      <w:proofErr w:type="gramEnd"/>
      <w:r>
        <w:rPr>
          <w:szCs w:val="22"/>
          <w:lang w:eastAsia="en-AU"/>
        </w:rPr>
        <w:t xml:space="preserve"> can pose great uncertainties. In this case, it is important to undertake an assessment of the uncertainties associated with the predictions, including the expected values and variability of the predicted cost and benefit flows, taking into consideration the upside and downside risks. </w:t>
      </w:r>
    </w:p>
    <w:p w14:paraId="0A920BC0" w14:textId="77777777" w:rsidR="00325F86" w:rsidRDefault="00325F86" w:rsidP="00325F86">
      <w:pPr>
        <w:spacing w:beforeLines="60" w:before="144" w:afterLines="60" w:after="144"/>
        <w:rPr>
          <w:szCs w:val="22"/>
          <w:lang w:eastAsia="en-AU"/>
        </w:rPr>
      </w:pPr>
      <w:r>
        <w:rPr>
          <w:szCs w:val="22"/>
          <w:lang w:eastAsia="en-AU"/>
        </w:rPr>
        <w:t>As part of the assessment, reasonable assumptions should be made and reflected in the CBA, accompanied by clear explanations and justifications of the assumptions underlying the predictions.</w:t>
      </w:r>
    </w:p>
    <w:p w14:paraId="1FD97827" w14:textId="77777777" w:rsidR="00325F86" w:rsidRPr="00E156B1" w:rsidRDefault="00325F86" w:rsidP="00325F86">
      <w:pPr>
        <w:spacing w:beforeLines="60" w:before="144" w:afterLines="60" w:after="144"/>
        <w:rPr>
          <w:b/>
          <w:bCs/>
          <w:sz w:val="24"/>
          <w:szCs w:val="24"/>
          <w:lang w:eastAsia="en-AU"/>
        </w:rPr>
      </w:pPr>
      <w:r w:rsidRPr="00E156B1">
        <w:rPr>
          <w:b/>
          <w:bCs/>
          <w:sz w:val="24"/>
          <w:szCs w:val="24"/>
          <w:lang w:eastAsia="en-AU"/>
        </w:rPr>
        <w:t xml:space="preserve">Step </w:t>
      </w:r>
      <w:r>
        <w:rPr>
          <w:b/>
          <w:bCs/>
          <w:sz w:val="24"/>
          <w:szCs w:val="24"/>
          <w:lang w:eastAsia="en-AU"/>
        </w:rPr>
        <w:t xml:space="preserve">5 </w:t>
      </w:r>
      <w:r w:rsidRPr="00E156B1">
        <w:rPr>
          <w:b/>
          <w:bCs/>
          <w:sz w:val="24"/>
          <w:szCs w:val="24"/>
          <w:lang w:eastAsia="en-AU"/>
        </w:rPr>
        <w:t xml:space="preserve">– </w:t>
      </w:r>
      <w:r>
        <w:rPr>
          <w:b/>
          <w:bCs/>
          <w:sz w:val="24"/>
          <w:szCs w:val="24"/>
          <w:lang w:eastAsia="en-AU"/>
        </w:rPr>
        <w:t>Quantify costs and benefits</w:t>
      </w:r>
    </w:p>
    <w:p w14:paraId="74E33ADE" w14:textId="77777777" w:rsidR="00325F86" w:rsidRDefault="00325F86" w:rsidP="00325F86">
      <w:pPr>
        <w:spacing w:beforeLines="60" w:before="144" w:afterLines="60" w:after="144"/>
        <w:rPr>
          <w:szCs w:val="22"/>
          <w:lang w:eastAsia="en-AU"/>
        </w:rPr>
      </w:pPr>
      <w:r w:rsidRPr="008E7F57">
        <w:rPr>
          <w:szCs w:val="22"/>
          <w:lang w:eastAsia="en-AU"/>
        </w:rPr>
        <w:t>Quantifying costs and benefits should be in a standard unit of measurement and are usually measured in dollar terms.</w:t>
      </w:r>
      <w:r>
        <w:rPr>
          <w:szCs w:val="22"/>
          <w:lang w:eastAsia="en-AU"/>
        </w:rPr>
        <w:t xml:space="preserve"> </w:t>
      </w:r>
      <w:r w:rsidRPr="008E7F57">
        <w:rPr>
          <w:szCs w:val="22"/>
          <w:lang w:eastAsia="en-AU"/>
        </w:rPr>
        <w:t>This step is to assign a dollar value to gains and losses of the proposal for all affected entities, which is known as monetis</w:t>
      </w:r>
      <w:r>
        <w:rPr>
          <w:szCs w:val="22"/>
          <w:lang w:eastAsia="en-AU"/>
        </w:rPr>
        <w:t>ation</w:t>
      </w:r>
      <w:r w:rsidRPr="008E7F57">
        <w:rPr>
          <w:szCs w:val="22"/>
          <w:lang w:eastAsia="en-AU"/>
        </w:rPr>
        <w:t>.</w:t>
      </w:r>
      <w:r>
        <w:rPr>
          <w:szCs w:val="22"/>
          <w:lang w:eastAsia="en-AU"/>
        </w:rPr>
        <w:t xml:space="preserve"> </w:t>
      </w:r>
    </w:p>
    <w:p w14:paraId="4C565A86" w14:textId="77777777" w:rsidR="00325F86" w:rsidRDefault="00325F86" w:rsidP="00325F86">
      <w:pPr>
        <w:spacing w:beforeLines="60" w:before="144" w:afterLines="60" w:after="144"/>
        <w:rPr>
          <w:szCs w:val="22"/>
          <w:lang w:eastAsia="en-AU"/>
        </w:rPr>
      </w:pPr>
      <w:r>
        <w:rPr>
          <w:szCs w:val="22"/>
          <w:lang w:eastAsia="en-AU"/>
        </w:rPr>
        <w:t>Willingness to pay is one commonly used method to monetise costs and benefits. It estimates how much, in dollar terms, the affected entities (e.g. individuals and businesses) are willing to pay to obtain or avoid a change to them. The value could be positive or negative depending on whether the change make them better or worse off.</w:t>
      </w:r>
    </w:p>
    <w:p w14:paraId="27DB9488" w14:textId="77777777" w:rsidR="00325F86" w:rsidRDefault="00325F86" w:rsidP="00325F86">
      <w:pPr>
        <w:spacing w:beforeLines="60" w:before="144" w:afterLines="60" w:after="144"/>
        <w:rPr>
          <w:szCs w:val="22"/>
          <w:lang w:eastAsia="en-AU"/>
        </w:rPr>
      </w:pPr>
      <w:r>
        <w:rPr>
          <w:szCs w:val="22"/>
          <w:lang w:eastAsia="en-AU"/>
        </w:rPr>
        <w:t xml:space="preserve">Market prices of goods and services are good indicators for willingness to pay. However, if a market does not exist for that good or service, values can be derived from substitute products in other markets. If this is </w:t>
      </w:r>
      <w:r>
        <w:rPr>
          <w:szCs w:val="22"/>
          <w:lang w:eastAsia="en-AU"/>
        </w:rPr>
        <w:lastRenderedPageBreak/>
        <w:t xml:space="preserve">not possible, a large cross-section of consumers can be surveyed as if they were in a hypothetical market as part of the consultation process. </w:t>
      </w:r>
    </w:p>
    <w:p w14:paraId="2DDDF4AF" w14:textId="77777777" w:rsidR="00325F86" w:rsidRDefault="00325F86" w:rsidP="00325F86">
      <w:pPr>
        <w:spacing w:beforeLines="60" w:before="144" w:afterLines="60" w:after="144"/>
        <w:rPr>
          <w:szCs w:val="22"/>
          <w:lang w:eastAsia="en-AU"/>
        </w:rPr>
      </w:pPr>
      <w:r>
        <w:rPr>
          <w:szCs w:val="22"/>
          <w:lang w:eastAsia="en-AU"/>
        </w:rPr>
        <w:t>However</w:t>
      </w:r>
      <w:r w:rsidRPr="004A4D73">
        <w:rPr>
          <w:szCs w:val="22"/>
          <w:lang w:eastAsia="en-AU"/>
        </w:rPr>
        <w:t>, it can be challenging to monetise or quantify impacts</w:t>
      </w:r>
      <w:r>
        <w:rPr>
          <w:szCs w:val="22"/>
          <w:lang w:eastAsia="en-AU"/>
        </w:rPr>
        <w:t xml:space="preserve"> sometimes</w:t>
      </w:r>
      <w:r w:rsidRPr="004A4D73">
        <w:rPr>
          <w:szCs w:val="22"/>
          <w:lang w:eastAsia="en-AU"/>
        </w:rPr>
        <w:t>. Non-market benefits such as reduced travel time or environmental amenity are typical examples of impacts that are hard to value in dollar terms. In such instances, a detailed qualitative analysis is considered appropriate. This analysis should be well-supported by evidence and data to enhance the transparency of the CBA and assist decision</w:t>
      </w:r>
      <w:r>
        <w:rPr>
          <w:szCs w:val="22"/>
          <w:lang w:eastAsia="en-AU"/>
        </w:rPr>
        <w:t xml:space="preserve"> </w:t>
      </w:r>
      <w:r w:rsidRPr="004A4D73">
        <w:rPr>
          <w:szCs w:val="22"/>
          <w:lang w:eastAsia="en-AU"/>
        </w:rPr>
        <w:t>makers in choosing the best option.</w:t>
      </w:r>
      <w:r>
        <w:rPr>
          <w:szCs w:val="22"/>
          <w:lang w:eastAsia="en-AU"/>
        </w:rPr>
        <w:t xml:space="preserve"> </w:t>
      </w:r>
    </w:p>
    <w:p w14:paraId="370097CB" w14:textId="3FAFE0AA" w:rsidR="00325F86" w:rsidRDefault="00325F86" w:rsidP="00325F86">
      <w:pPr>
        <w:spacing w:beforeLines="60" w:before="144" w:afterLines="60" w:after="144"/>
        <w:rPr>
          <w:szCs w:val="22"/>
          <w:lang w:eastAsia="en-AU"/>
        </w:rPr>
      </w:pPr>
      <w:r>
        <w:rPr>
          <w:szCs w:val="22"/>
          <w:lang w:eastAsia="en-AU"/>
        </w:rPr>
        <w:t xml:space="preserve">The </w:t>
      </w:r>
      <w:hyperlink r:id="rId25" w:history="1">
        <w:r w:rsidRPr="00D63055">
          <w:rPr>
            <w:rStyle w:val="Hyperlink"/>
            <w:szCs w:val="22"/>
            <w:lang w:eastAsia="en-AU"/>
          </w:rPr>
          <w:t>Cost Benefit Analysis</w:t>
        </w:r>
      </w:hyperlink>
      <w:r>
        <w:rPr>
          <w:szCs w:val="22"/>
          <w:lang w:eastAsia="en-AU"/>
        </w:rPr>
        <w:t xml:space="preserve"> guidelines developed by the</w:t>
      </w:r>
      <w:r w:rsidR="00454188">
        <w:rPr>
          <w:szCs w:val="22"/>
          <w:lang w:eastAsia="en-AU"/>
        </w:rPr>
        <w:t xml:space="preserve"> Australian Government’s</w:t>
      </w:r>
      <w:r>
        <w:rPr>
          <w:szCs w:val="22"/>
          <w:lang w:eastAsia="en-AU"/>
        </w:rPr>
        <w:t xml:space="preserve"> Office of Impact Analysis (OIA)</w:t>
      </w:r>
      <w:r w:rsidR="003611CC">
        <w:rPr>
          <w:rStyle w:val="FootnoteReference"/>
          <w:szCs w:val="22"/>
          <w:lang w:eastAsia="en-AU"/>
        </w:rPr>
        <w:footnoteReference w:id="5"/>
      </w:r>
      <w:r>
        <w:rPr>
          <w:szCs w:val="22"/>
          <w:lang w:eastAsia="en-AU"/>
        </w:rPr>
        <w:t xml:space="preserve"> provides a range of techniques dealing with costs and benefits that are difficult to value. </w:t>
      </w:r>
    </w:p>
    <w:p w14:paraId="2CCC25C2" w14:textId="77777777" w:rsidR="00325F86" w:rsidRPr="00B839A9" w:rsidRDefault="00325F86" w:rsidP="00325F86">
      <w:pPr>
        <w:spacing w:beforeLines="60" w:before="144" w:afterLines="60" w:after="144"/>
        <w:rPr>
          <w:b/>
          <w:bCs/>
          <w:sz w:val="24"/>
          <w:szCs w:val="24"/>
          <w:lang w:eastAsia="en-AU"/>
        </w:rPr>
      </w:pPr>
      <w:r w:rsidRPr="00B839A9">
        <w:rPr>
          <w:b/>
          <w:bCs/>
          <w:sz w:val="24"/>
          <w:szCs w:val="24"/>
          <w:lang w:eastAsia="en-AU"/>
        </w:rPr>
        <w:t>Step 6 – Obtain present value</w:t>
      </w:r>
      <w:r>
        <w:rPr>
          <w:b/>
          <w:bCs/>
          <w:sz w:val="24"/>
          <w:szCs w:val="24"/>
          <w:lang w:eastAsia="en-AU"/>
        </w:rPr>
        <w:t>s</w:t>
      </w:r>
    </w:p>
    <w:p w14:paraId="2ED1433E" w14:textId="77777777" w:rsidR="00325F86" w:rsidRDefault="00325F86" w:rsidP="00325F86">
      <w:pPr>
        <w:spacing w:beforeLines="60" w:before="144" w:afterLines="60" w:after="144"/>
        <w:rPr>
          <w:szCs w:val="22"/>
          <w:lang w:eastAsia="en-AU"/>
        </w:rPr>
      </w:pPr>
      <w:r w:rsidRPr="00D260DF">
        <w:rPr>
          <w:szCs w:val="22"/>
          <w:lang w:eastAsia="en-AU"/>
        </w:rPr>
        <w:t xml:space="preserve">There is a need to discount future cash flows into present value as </w:t>
      </w:r>
      <w:r>
        <w:rPr>
          <w:szCs w:val="22"/>
          <w:lang w:eastAsia="en-AU"/>
        </w:rPr>
        <w:t>impacts</w:t>
      </w:r>
      <w:r w:rsidRPr="00D260DF">
        <w:rPr>
          <w:szCs w:val="22"/>
          <w:lang w:eastAsia="en-AU"/>
        </w:rPr>
        <w:t xml:space="preserve"> of </w:t>
      </w:r>
      <w:r>
        <w:rPr>
          <w:szCs w:val="22"/>
          <w:lang w:eastAsia="en-AU"/>
        </w:rPr>
        <w:t>different options</w:t>
      </w:r>
      <w:r w:rsidRPr="00D260DF">
        <w:rPr>
          <w:szCs w:val="22"/>
          <w:lang w:eastAsia="en-AU"/>
        </w:rPr>
        <w:t xml:space="preserve"> </w:t>
      </w:r>
      <w:r>
        <w:rPr>
          <w:szCs w:val="22"/>
          <w:lang w:eastAsia="en-AU"/>
        </w:rPr>
        <w:t>can</w:t>
      </w:r>
      <w:r w:rsidRPr="00D260DF">
        <w:rPr>
          <w:szCs w:val="22"/>
          <w:lang w:eastAsia="en-AU"/>
        </w:rPr>
        <w:t xml:space="preserve"> occur over different time periods. Applying a discount rate to future effects allows them to be valued in today’s dollars. These amounts are known as the ‘present values’ of future streams of </w:t>
      </w:r>
      <w:r>
        <w:rPr>
          <w:szCs w:val="22"/>
          <w:lang w:eastAsia="en-AU"/>
        </w:rPr>
        <w:t>costs and benefits</w:t>
      </w:r>
      <w:r w:rsidRPr="00D260DF">
        <w:rPr>
          <w:szCs w:val="22"/>
          <w:lang w:eastAsia="en-AU"/>
        </w:rPr>
        <w:t xml:space="preserve">. </w:t>
      </w:r>
    </w:p>
    <w:p w14:paraId="2D0D6B1B" w14:textId="77777777" w:rsidR="00325F86" w:rsidRDefault="00325F86" w:rsidP="00325F86">
      <w:pPr>
        <w:spacing w:beforeLines="60" w:before="144" w:afterLines="60" w:after="144"/>
        <w:rPr>
          <w:szCs w:val="22"/>
          <w:lang w:eastAsia="en-AU"/>
        </w:rPr>
      </w:pPr>
      <w:r w:rsidRPr="00D45F8E">
        <w:rPr>
          <w:szCs w:val="22"/>
          <w:lang w:eastAsia="en-AU"/>
        </w:rPr>
        <w:t xml:space="preserve">Discounting reflects </w:t>
      </w:r>
      <w:r>
        <w:rPr>
          <w:szCs w:val="22"/>
          <w:lang w:eastAsia="en-AU"/>
        </w:rPr>
        <w:t>the view that people prefer co</w:t>
      </w:r>
      <w:r w:rsidRPr="00D45F8E">
        <w:rPr>
          <w:szCs w:val="22"/>
          <w:lang w:eastAsia="en-AU"/>
        </w:rPr>
        <w:t xml:space="preserve">nsumption </w:t>
      </w:r>
      <w:r>
        <w:rPr>
          <w:szCs w:val="22"/>
          <w:lang w:eastAsia="en-AU"/>
        </w:rPr>
        <w:t xml:space="preserve">today </w:t>
      </w:r>
      <w:r w:rsidRPr="00D45F8E">
        <w:rPr>
          <w:szCs w:val="22"/>
          <w:lang w:eastAsia="en-AU"/>
        </w:rPr>
        <w:t>to future consumption</w:t>
      </w:r>
      <w:r>
        <w:rPr>
          <w:szCs w:val="22"/>
          <w:lang w:eastAsia="en-AU"/>
        </w:rPr>
        <w:t xml:space="preserve">, or that a dollar invested today </w:t>
      </w:r>
      <w:proofErr w:type="gramStart"/>
      <w:r>
        <w:rPr>
          <w:szCs w:val="22"/>
          <w:lang w:eastAsia="en-AU"/>
        </w:rPr>
        <w:t>is able to</w:t>
      </w:r>
      <w:proofErr w:type="gramEnd"/>
      <w:r>
        <w:rPr>
          <w:szCs w:val="22"/>
          <w:lang w:eastAsia="en-AU"/>
        </w:rPr>
        <w:t xml:space="preserve"> produce a return and contributes to greater consumption in the future</w:t>
      </w:r>
      <w:r w:rsidRPr="00D45F8E">
        <w:rPr>
          <w:szCs w:val="22"/>
          <w:lang w:eastAsia="en-AU"/>
        </w:rPr>
        <w:t>.</w:t>
      </w:r>
    </w:p>
    <w:p w14:paraId="76D2AC85" w14:textId="39D04BFD" w:rsidR="00325F86" w:rsidRDefault="00325F86" w:rsidP="00325F86">
      <w:pPr>
        <w:spacing w:beforeLines="60" w:before="144" w:afterLines="60" w:after="144"/>
        <w:rPr>
          <w:szCs w:val="22"/>
          <w:lang w:eastAsia="en-AU"/>
        </w:rPr>
      </w:pPr>
      <w:r w:rsidRPr="00D45F8E">
        <w:rPr>
          <w:szCs w:val="22"/>
          <w:lang w:eastAsia="en-AU"/>
        </w:rPr>
        <w:t xml:space="preserve">The rate used to convert future values into present values is known as the discount rate. </w:t>
      </w:r>
      <w:r>
        <w:rPr>
          <w:szCs w:val="22"/>
          <w:lang w:eastAsia="en-AU"/>
        </w:rPr>
        <w:t>The OIA</w:t>
      </w:r>
      <w:r w:rsidRPr="00D45F8E">
        <w:rPr>
          <w:szCs w:val="22"/>
          <w:lang w:eastAsia="en-AU"/>
        </w:rPr>
        <w:t xml:space="preserve"> suggests a central discount rate of 7 per cent </w:t>
      </w:r>
      <w:r>
        <w:rPr>
          <w:szCs w:val="22"/>
          <w:lang w:eastAsia="en-AU"/>
        </w:rPr>
        <w:t>be</w:t>
      </w:r>
      <w:r w:rsidRPr="00D45F8E">
        <w:rPr>
          <w:szCs w:val="22"/>
          <w:lang w:eastAsia="en-AU"/>
        </w:rPr>
        <w:t xml:space="preserve"> used to calculate present values of costs and benefits</w:t>
      </w:r>
      <w:r>
        <w:rPr>
          <w:szCs w:val="22"/>
          <w:lang w:eastAsia="en-AU"/>
        </w:rPr>
        <w:t xml:space="preserve"> for a central case, and 3 per cent and 10 per cent for sensitivity testing</w:t>
      </w:r>
      <w:r w:rsidRPr="00D45F8E">
        <w:rPr>
          <w:szCs w:val="22"/>
          <w:lang w:eastAsia="en-AU"/>
        </w:rPr>
        <w:t>.</w:t>
      </w:r>
      <w:r w:rsidR="009031FA">
        <w:rPr>
          <w:szCs w:val="22"/>
          <w:lang w:eastAsia="en-AU"/>
        </w:rPr>
        <w:t xml:space="preserve"> A higher discount rate can usually help test the </w:t>
      </w:r>
      <w:r w:rsidR="00E75123">
        <w:rPr>
          <w:szCs w:val="22"/>
          <w:lang w:eastAsia="en-AU"/>
        </w:rPr>
        <w:t xml:space="preserve">robustness of benefits accrued over time, given </w:t>
      </w:r>
      <w:r w:rsidR="009031FA">
        <w:rPr>
          <w:szCs w:val="22"/>
          <w:lang w:eastAsia="en-AU"/>
        </w:rPr>
        <w:t>a higher discount rate reduces the present value of the benefits, while having no effect on the initial costs involved in the proposal.</w:t>
      </w:r>
      <w:r w:rsidR="00E75123">
        <w:rPr>
          <w:szCs w:val="22"/>
          <w:lang w:eastAsia="en-AU"/>
        </w:rPr>
        <w:t xml:space="preserve"> A lower discount rate has a similar effect as it increases the present value of the costs, while having no effect on the initial benefits.  </w:t>
      </w:r>
      <w:r w:rsidR="00427670">
        <w:rPr>
          <w:szCs w:val="22"/>
          <w:lang w:eastAsia="en-AU"/>
        </w:rPr>
        <w:t>D</w:t>
      </w:r>
      <w:r w:rsidR="00E75123">
        <w:rPr>
          <w:szCs w:val="22"/>
          <w:lang w:eastAsia="en-AU"/>
        </w:rPr>
        <w:t>espite the rates suggested by the OIA, different sets of discount rate can be used if considered more appropriate for the proposal.</w:t>
      </w:r>
    </w:p>
    <w:p w14:paraId="0B314F9F" w14:textId="77777777" w:rsidR="00325F86" w:rsidRPr="002A079C" w:rsidRDefault="00325F86" w:rsidP="00325F86">
      <w:pPr>
        <w:spacing w:beforeLines="60" w:before="144" w:afterLines="60" w:after="144"/>
        <w:rPr>
          <w:szCs w:val="22"/>
          <w:lang w:eastAsia="en-AU"/>
        </w:rPr>
      </w:pPr>
      <w:r>
        <w:rPr>
          <w:szCs w:val="22"/>
          <w:lang w:eastAsia="en-AU"/>
        </w:rPr>
        <w:t>The formula for the present value of benefits is:</w:t>
      </w:r>
      <w:r w:rsidRPr="002A079C">
        <w:rPr>
          <w:rFonts w:ascii="Cambria Math" w:hAnsi="Cambria Math"/>
          <w:sz w:val="20"/>
        </w:rPr>
        <w:br/>
      </w:r>
      <m:oMathPara>
        <m:oMath>
          <m:r>
            <m:rPr>
              <m:sty m:val="p"/>
            </m:rPr>
            <w:rPr>
              <w:rFonts w:ascii="Cambria Math" w:hAnsi="Cambria Math" w:cstheme="minorHAnsi"/>
              <w:sz w:val="20"/>
            </w:rPr>
            <m:t>PV(B)=</m:t>
          </m:r>
          <m:nary>
            <m:naryPr>
              <m:chr m:val="∑"/>
              <m:limLoc m:val="undOvr"/>
              <m:ctrlPr>
                <w:rPr>
                  <w:rFonts w:ascii="Cambria Math" w:hAnsi="Cambria Math" w:cstheme="minorHAnsi"/>
                  <w:sz w:val="20"/>
                </w:rPr>
              </m:ctrlPr>
            </m:naryPr>
            <m:sub>
              <m:r>
                <m:rPr>
                  <m:sty m:val="p"/>
                </m:rPr>
                <w:rPr>
                  <w:rFonts w:ascii="Cambria Math" w:hAnsi="Cambria Math" w:cstheme="minorHAnsi"/>
                  <w:sz w:val="20"/>
                </w:rPr>
                <m:t>t=0</m:t>
              </m:r>
            </m:sub>
            <m:sup>
              <m:r>
                <m:rPr>
                  <m:sty m:val="p"/>
                </m:rPr>
                <w:rPr>
                  <w:rFonts w:ascii="Cambria Math" w:hAnsi="Cambria Math" w:cstheme="minorHAnsi"/>
                  <w:sz w:val="20"/>
                </w:rPr>
                <m:t>n</m:t>
              </m:r>
            </m:sup>
            <m:e>
              <m:f>
                <m:fPr>
                  <m:ctrlPr>
                    <w:rPr>
                      <w:rFonts w:ascii="Cambria Math" w:hAnsi="Cambria Math" w:cstheme="minorHAnsi"/>
                      <w:sz w:val="20"/>
                    </w:rPr>
                  </m:ctrlPr>
                </m:fPr>
                <m:num>
                  <m:sSub>
                    <m:sSubPr>
                      <m:ctrlPr>
                        <w:rPr>
                          <w:rFonts w:ascii="Cambria Math" w:hAnsi="Cambria Math" w:cstheme="minorHAnsi"/>
                          <w:iCs/>
                          <w:sz w:val="20"/>
                        </w:rPr>
                      </m:ctrlPr>
                    </m:sSubPr>
                    <m:e>
                      <m:r>
                        <m:rPr>
                          <m:sty m:val="p"/>
                        </m:rPr>
                        <w:rPr>
                          <w:rFonts w:ascii="Cambria Math" w:hAnsi="Cambria Math" w:cstheme="minorHAnsi"/>
                          <w:sz w:val="20"/>
                        </w:rPr>
                        <m:t>B</m:t>
                      </m:r>
                    </m:e>
                    <m:sub>
                      <m:r>
                        <m:rPr>
                          <m:sty m:val="p"/>
                        </m:rPr>
                        <w:rPr>
                          <w:rFonts w:ascii="Cambria Math" w:hAnsi="Cambria Math" w:cstheme="minorHAnsi"/>
                          <w:sz w:val="20"/>
                        </w:rPr>
                        <m:t>t</m:t>
                      </m:r>
                    </m:sub>
                  </m:sSub>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1+r)</m:t>
                      </m:r>
                    </m:e>
                    <m:sup>
                      <m:r>
                        <m:rPr>
                          <m:sty m:val="p"/>
                        </m:rPr>
                        <w:rPr>
                          <w:rFonts w:ascii="Cambria Math" w:hAnsi="Cambria Math" w:cstheme="minorHAnsi"/>
                          <w:sz w:val="20"/>
                        </w:rPr>
                        <m:t>t</m:t>
                      </m:r>
                    </m:sup>
                  </m:sSup>
                </m:den>
              </m:f>
            </m:e>
          </m:nary>
        </m:oMath>
      </m:oMathPara>
    </w:p>
    <w:p w14:paraId="7DC8506A" w14:textId="77777777" w:rsidR="00325F86" w:rsidRDefault="00325F86" w:rsidP="00325F86">
      <w:pPr>
        <w:spacing w:beforeLines="60" w:before="144" w:afterLines="60" w:after="144"/>
        <w:rPr>
          <w:szCs w:val="22"/>
          <w:lang w:eastAsia="en-AU"/>
        </w:rPr>
      </w:pPr>
      <w:r>
        <w:rPr>
          <w:szCs w:val="22"/>
          <w:lang w:eastAsia="en-AU"/>
        </w:rPr>
        <w:t xml:space="preserve">where </w:t>
      </w:r>
      <w:proofErr w:type="spellStart"/>
      <w:r>
        <w:rPr>
          <w:szCs w:val="22"/>
          <w:lang w:eastAsia="en-AU"/>
        </w:rPr>
        <w:t>B</w:t>
      </w:r>
      <w:r>
        <w:rPr>
          <w:szCs w:val="22"/>
          <w:vertAlign w:val="subscript"/>
          <w:lang w:eastAsia="en-AU"/>
        </w:rPr>
        <w:t>t</w:t>
      </w:r>
      <w:proofErr w:type="spellEnd"/>
      <w:r>
        <w:rPr>
          <w:szCs w:val="22"/>
          <w:lang w:eastAsia="en-AU"/>
        </w:rPr>
        <w:t xml:space="preserve"> represents benefits in year t; r represents the discount rate; t represents the year; and n represents the number of years over which the future impacts are expected to occur (with the current year being year 0).</w:t>
      </w:r>
    </w:p>
    <w:p w14:paraId="08C1E18E" w14:textId="77777777" w:rsidR="00325F86" w:rsidRDefault="00325F86" w:rsidP="00325F86">
      <w:pPr>
        <w:spacing w:beforeLines="60" w:before="144" w:afterLines="60" w:after="144"/>
        <w:rPr>
          <w:szCs w:val="22"/>
          <w:lang w:eastAsia="en-AU"/>
        </w:rPr>
      </w:pPr>
      <w:r>
        <w:rPr>
          <w:szCs w:val="22"/>
          <w:lang w:eastAsia="en-AU"/>
        </w:rPr>
        <w:t>The present value for costs is calculated similarly, by replacing benefits with costs in the formula above.</w:t>
      </w:r>
    </w:p>
    <w:p w14:paraId="76D22EB3" w14:textId="17DE3FDC" w:rsidR="002C1CE4" w:rsidRPr="00427670" w:rsidRDefault="00454188" w:rsidP="00325F86">
      <w:pPr>
        <w:spacing w:beforeLines="60" w:before="144" w:afterLines="60" w:after="144"/>
        <w:rPr>
          <w:szCs w:val="22"/>
          <w:lang w:eastAsia="en-AU"/>
        </w:rPr>
      </w:pPr>
      <w:r>
        <w:rPr>
          <w:szCs w:val="22"/>
          <w:lang w:eastAsia="en-AU"/>
        </w:rPr>
        <w:t xml:space="preserve">Below </w:t>
      </w:r>
      <w:r w:rsidR="00427670">
        <w:rPr>
          <w:szCs w:val="22"/>
          <w:lang w:eastAsia="en-AU"/>
        </w:rPr>
        <w:t>is a simple example to illustrate how to use calculate present values</w:t>
      </w:r>
      <w:r>
        <w:rPr>
          <w:szCs w:val="22"/>
          <w:lang w:eastAsia="en-AU"/>
        </w:rPr>
        <w:t>.</w:t>
      </w:r>
    </w:p>
    <w:p w14:paraId="3CF243C3" w14:textId="058113A5" w:rsidR="004D5B38" w:rsidRDefault="00427670" w:rsidP="00325F86">
      <w:pPr>
        <w:spacing w:beforeLines="60" w:before="144" w:afterLines="60" w:after="144"/>
        <w:rPr>
          <w:szCs w:val="22"/>
          <w:lang w:eastAsia="en-AU"/>
        </w:rPr>
      </w:pPr>
      <w:r w:rsidRPr="00427670">
        <w:rPr>
          <w:szCs w:val="22"/>
          <w:lang w:eastAsia="en-AU"/>
        </w:rPr>
        <w:t>Consider an option that will require a business to install new electric appliance of space heating. The cost of the appliance is $</w:t>
      </w:r>
      <w:r>
        <w:rPr>
          <w:szCs w:val="22"/>
          <w:lang w:eastAsia="en-AU"/>
        </w:rPr>
        <w:t>5</w:t>
      </w:r>
      <w:r w:rsidRPr="00427670">
        <w:rPr>
          <w:szCs w:val="22"/>
          <w:lang w:eastAsia="en-AU"/>
        </w:rPr>
        <w:t xml:space="preserve"> million to install and will operate for the </w:t>
      </w:r>
      <w:r w:rsidR="005500A5">
        <w:rPr>
          <w:szCs w:val="22"/>
          <w:lang w:eastAsia="en-AU"/>
        </w:rPr>
        <w:t>3</w:t>
      </w:r>
      <w:r w:rsidRPr="00427670">
        <w:rPr>
          <w:szCs w:val="22"/>
          <w:lang w:eastAsia="en-AU"/>
        </w:rPr>
        <w:t xml:space="preserve"> years. Ongoing operational and maintenance costs to the business are $1 million a year (in constant prices). The </w:t>
      </w:r>
      <w:r w:rsidR="00AA3112">
        <w:rPr>
          <w:szCs w:val="22"/>
          <w:lang w:eastAsia="en-AU"/>
        </w:rPr>
        <w:t>benefits</w:t>
      </w:r>
      <w:r w:rsidRPr="00427670">
        <w:rPr>
          <w:szCs w:val="22"/>
          <w:lang w:eastAsia="en-AU"/>
        </w:rPr>
        <w:t xml:space="preserve"> from </w:t>
      </w:r>
      <w:r w:rsidR="00AA3112">
        <w:rPr>
          <w:szCs w:val="22"/>
          <w:lang w:eastAsia="en-AU"/>
        </w:rPr>
        <w:t xml:space="preserve">reduced </w:t>
      </w:r>
      <w:r w:rsidRPr="00427670">
        <w:rPr>
          <w:szCs w:val="22"/>
          <w:lang w:eastAsia="en-AU"/>
        </w:rPr>
        <w:t xml:space="preserve">energy </w:t>
      </w:r>
      <w:r w:rsidR="00AA3112">
        <w:rPr>
          <w:szCs w:val="22"/>
          <w:lang w:eastAsia="en-AU"/>
        </w:rPr>
        <w:t xml:space="preserve">costs </w:t>
      </w:r>
      <w:r w:rsidRPr="00427670">
        <w:rPr>
          <w:szCs w:val="22"/>
          <w:lang w:eastAsia="en-AU"/>
        </w:rPr>
        <w:t>are estimated at $</w:t>
      </w:r>
      <w:r>
        <w:rPr>
          <w:szCs w:val="22"/>
          <w:lang w:eastAsia="en-AU"/>
        </w:rPr>
        <w:t>3</w:t>
      </w:r>
      <w:r w:rsidRPr="00427670">
        <w:rPr>
          <w:szCs w:val="22"/>
          <w:lang w:eastAsia="en-AU"/>
        </w:rPr>
        <w:t xml:space="preserve"> million a year (in constant prices). The discount rate</w:t>
      </w:r>
      <w:r w:rsidR="00AA3112">
        <w:rPr>
          <w:szCs w:val="22"/>
          <w:lang w:eastAsia="en-AU"/>
        </w:rPr>
        <w:t xml:space="preserve"> is 7 per cent</w:t>
      </w:r>
      <w:r w:rsidRPr="00427670">
        <w:rPr>
          <w:szCs w:val="22"/>
          <w:lang w:eastAsia="en-AU"/>
        </w:rPr>
        <w:t>.</w:t>
      </w:r>
      <w:r w:rsidR="00AA3112">
        <w:rPr>
          <w:szCs w:val="22"/>
          <w:lang w:eastAsia="en-AU"/>
        </w:rPr>
        <w:t xml:space="preserve"> </w:t>
      </w:r>
    </w:p>
    <w:p w14:paraId="43DB461B" w14:textId="77777777" w:rsidR="004D5B38" w:rsidRDefault="004D5B38">
      <w:pPr>
        <w:spacing w:before="0" w:after="160" w:line="259" w:lineRule="auto"/>
        <w:rPr>
          <w:szCs w:val="22"/>
          <w:lang w:eastAsia="en-AU"/>
        </w:rPr>
      </w:pPr>
      <w:r>
        <w:rPr>
          <w:szCs w:val="22"/>
          <w:lang w:eastAsia="en-AU"/>
        </w:rPr>
        <w:br w:type="page"/>
      </w:r>
    </w:p>
    <w:p w14:paraId="3461E4BD" w14:textId="2C7B3A52" w:rsidR="00AA3112" w:rsidRDefault="00AA3112" w:rsidP="00325F86">
      <w:pPr>
        <w:spacing w:beforeLines="60" w:before="144" w:afterLines="60" w:after="144"/>
        <w:rPr>
          <w:szCs w:val="22"/>
          <w:lang w:eastAsia="en-AU"/>
        </w:rPr>
      </w:pPr>
      <w:r>
        <w:rPr>
          <w:szCs w:val="22"/>
          <w:lang w:eastAsia="en-AU"/>
        </w:rPr>
        <w:lastRenderedPageBreak/>
        <w:t>The benefits and costs can be outlined in a table like the following:</w:t>
      </w:r>
    </w:p>
    <w:tbl>
      <w:tblPr>
        <w:tblStyle w:val="ARTableFigures"/>
        <w:tblW w:w="9781" w:type="dxa"/>
        <w:tblLook w:val="04A0" w:firstRow="1" w:lastRow="0" w:firstColumn="1" w:lastColumn="0" w:noHBand="0" w:noVBand="1"/>
      </w:tblPr>
      <w:tblGrid>
        <w:gridCol w:w="1956"/>
        <w:gridCol w:w="1956"/>
        <w:gridCol w:w="1956"/>
        <w:gridCol w:w="1956"/>
        <w:gridCol w:w="1957"/>
      </w:tblGrid>
      <w:tr w:rsidR="00AA3112" w:rsidRPr="000D262B" w14:paraId="291C0810" w14:textId="77777777" w:rsidTr="00AA3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Align w:val="top"/>
          </w:tcPr>
          <w:p w14:paraId="23258891" w14:textId="77777777" w:rsidR="00AA3112" w:rsidRPr="000D262B" w:rsidRDefault="00AA3112" w:rsidP="00EB3B5B">
            <w:pPr>
              <w:pStyle w:val="TableheadingNormal"/>
            </w:pPr>
          </w:p>
        </w:tc>
        <w:tc>
          <w:tcPr>
            <w:tcW w:w="1956" w:type="dxa"/>
            <w:vAlign w:val="top"/>
          </w:tcPr>
          <w:p w14:paraId="71F4DEFE" w14:textId="77777777" w:rsidR="00AA3112" w:rsidRPr="000D262B" w:rsidRDefault="00AA3112" w:rsidP="003E0D6E">
            <w:pPr>
              <w:pStyle w:val="TableheadingNormal"/>
              <w:cnfStyle w:val="100000000000" w:firstRow="1" w:lastRow="0" w:firstColumn="0" w:lastColumn="0" w:oddVBand="0" w:evenVBand="0" w:oddHBand="0" w:evenHBand="0" w:firstRowFirstColumn="0" w:firstRowLastColumn="0" w:lastRowFirstColumn="0" w:lastRowLastColumn="0"/>
            </w:pPr>
            <w:r>
              <w:t>Year 0</w:t>
            </w:r>
          </w:p>
        </w:tc>
        <w:tc>
          <w:tcPr>
            <w:tcW w:w="1956" w:type="dxa"/>
            <w:vAlign w:val="top"/>
          </w:tcPr>
          <w:p w14:paraId="5A1B9894" w14:textId="77777777" w:rsidR="00AA3112" w:rsidRPr="000D262B" w:rsidRDefault="00AA3112" w:rsidP="003E0D6E">
            <w:pPr>
              <w:pStyle w:val="TableheadingNormal"/>
              <w:cnfStyle w:val="100000000000" w:firstRow="1" w:lastRow="0" w:firstColumn="0" w:lastColumn="0" w:oddVBand="0" w:evenVBand="0" w:oddHBand="0" w:evenHBand="0" w:firstRowFirstColumn="0" w:firstRowLastColumn="0" w:lastRowFirstColumn="0" w:lastRowLastColumn="0"/>
            </w:pPr>
            <w:r>
              <w:t>Year 1</w:t>
            </w:r>
          </w:p>
        </w:tc>
        <w:tc>
          <w:tcPr>
            <w:tcW w:w="1956" w:type="dxa"/>
          </w:tcPr>
          <w:p w14:paraId="6FB94B97" w14:textId="77777777" w:rsidR="00AA3112" w:rsidRPr="000D262B" w:rsidRDefault="00AA3112" w:rsidP="003E0D6E">
            <w:pPr>
              <w:pStyle w:val="TableheadingNormal"/>
              <w:cnfStyle w:val="100000000000" w:firstRow="1" w:lastRow="0" w:firstColumn="0" w:lastColumn="0" w:oddVBand="0" w:evenVBand="0" w:oddHBand="0" w:evenHBand="0" w:firstRowFirstColumn="0" w:firstRowLastColumn="0" w:lastRowFirstColumn="0" w:lastRowLastColumn="0"/>
            </w:pPr>
            <w:r>
              <w:t>Year 2</w:t>
            </w:r>
          </w:p>
        </w:tc>
        <w:tc>
          <w:tcPr>
            <w:tcW w:w="1957" w:type="dxa"/>
          </w:tcPr>
          <w:p w14:paraId="3295DA4A" w14:textId="77777777" w:rsidR="00AA3112" w:rsidRPr="000D262B" w:rsidRDefault="00AA3112" w:rsidP="003E0D6E">
            <w:pPr>
              <w:pStyle w:val="TableheadingNormal"/>
              <w:cnfStyle w:val="100000000000" w:firstRow="1" w:lastRow="0" w:firstColumn="0" w:lastColumn="0" w:oddVBand="0" w:evenVBand="0" w:oddHBand="0" w:evenHBand="0" w:firstRowFirstColumn="0" w:firstRowLastColumn="0" w:lastRowFirstColumn="0" w:lastRowLastColumn="0"/>
            </w:pPr>
            <w:r>
              <w:t>Year 3</w:t>
            </w:r>
          </w:p>
        </w:tc>
      </w:tr>
      <w:tr w:rsidR="00AA3112" w:rsidRPr="00325F86" w14:paraId="00040C07" w14:textId="77777777" w:rsidTr="00AA31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Align w:val="top"/>
          </w:tcPr>
          <w:p w14:paraId="336E1D03" w14:textId="1ED907BC" w:rsidR="00AA3112" w:rsidRPr="00427670" w:rsidRDefault="00AA3112" w:rsidP="007212A0">
            <w:pPr>
              <w:pStyle w:val="Tabletext"/>
              <w:rPr>
                <w:b/>
                <w:bCs/>
              </w:rPr>
            </w:pPr>
            <w:r w:rsidRPr="00427670">
              <w:t>Benefits (B</w:t>
            </w:r>
            <w:r w:rsidRPr="00427670">
              <w:rPr>
                <w:vertAlign w:val="subscript"/>
              </w:rPr>
              <w:t>t</w:t>
            </w:r>
            <w:r w:rsidRPr="00427670">
              <w:t>)</w:t>
            </w:r>
            <w:r w:rsidR="005500A5">
              <w:t xml:space="preserve"> ($million)</w:t>
            </w:r>
          </w:p>
        </w:tc>
        <w:tc>
          <w:tcPr>
            <w:tcW w:w="1956" w:type="dxa"/>
          </w:tcPr>
          <w:p w14:paraId="225BD5B5" w14:textId="77777777" w:rsidR="00AA3112" w:rsidRPr="00325F86" w:rsidRDefault="00AA3112" w:rsidP="007212A0">
            <w:pPr>
              <w:pStyle w:val="Tabletext"/>
              <w:cnfStyle w:val="000000100000" w:firstRow="0" w:lastRow="0" w:firstColumn="0" w:lastColumn="0" w:oddVBand="0" w:evenVBand="0" w:oddHBand="1" w:evenHBand="0" w:firstRowFirstColumn="0" w:firstRowLastColumn="0" w:lastRowFirstColumn="0" w:lastRowLastColumn="0"/>
            </w:pPr>
            <w:r>
              <w:t>0</w:t>
            </w:r>
          </w:p>
        </w:tc>
        <w:tc>
          <w:tcPr>
            <w:tcW w:w="1956" w:type="dxa"/>
          </w:tcPr>
          <w:p w14:paraId="38223D86" w14:textId="77777777" w:rsidR="00AA3112" w:rsidRPr="00325F86" w:rsidRDefault="00AA3112" w:rsidP="007212A0">
            <w:pPr>
              <w:pStyle w:val="Tabletext"/>
              <w:cnfStyle w:val="000000100000" w:firstRow="0" w:lastRow="0" w:firstColumn="0" w:lastColumn="0" w:oddVBand="0" w:evenVBand="0" w:oddHBand="1" w:evenHBand="0" w:firstRowFirstColumn="0" w:firstRowLastColumn="0" w:lastRowFirstColumn="0" w:lastRowLastColumn="0"/>
            </w:pPr>
            <w:r>
              <w:t>3</w:t>
            </w:r>
          </w:p>
        </w:tc>
        <w:tc>
          <w:tcPr>
            <w:tcW w:w="1956" w:type="dxa"/>
          </w:tcPr>
          <w:p w14:paraId="149EFD12" w14:textId="77777777" w:rsidR="00AA3112" w:rsidRPr="00325F86" w:rsidRDefault="00AA3112" w:rsidP="007212A0">
            <w:pPr>
              <w:pStyle w:val="Tabletext"/>
              <w:cnfStyle w:val="000000100000" w:firstRow="0" w:lastRow="0" w:firstColumn="0" w:lastColumn="0" w:oddVBand="0" w:evenVBand="0" w:oddHBand="1" w:evenHBand="0" w:firstRowFirstColumn="0" w:firstRowLastColumn="0" w:lastRowFirstColumn="0" w:lastRowLastColumn="0"/>
            </w:pPr>
            <w:r>
              <w:t>3</w:t>
            </w:r>
          </w:p>
        </w:tc>
        <w:tc>
          <w:tcPr>
            <w:tcW w:w="1957" w:type="dxa"/>
          </w:tcPr>
          <w:p w14:paraId="325F68A4" w14:textId="77777777" w:rsidR="00AA3112" w:rsidRPr="00325F86" w:rsidRDefault="00AA3112" w:rsidP="007212A0">
            <w:pPr>
              <w:pStyle w:val="Tabletext"/>
              <w:cnfStyle w:val="000000100000" w:firstRow="0" w:lastRow="0" w:firstColumn="0" w:lastColumn="0" w:oddVBand="0" w:evenVBand="0" w:oddHBand="1" w:evenHBand="0" w:firstRowFirstColumn="0" w:firstRowLastColumn="0" w:lastRowFirstColumn="0" w:lastRowLastColumn="0"/>
            </w:pPr>
            <w:r>
              <w:t>3</w:t>
            </w:r>
          </w:p>
        </w:tc>
      </w:tr>
      <w:tr w:rsidR="00AA3112" w:rsidRPr="00325F86" w14:paraId="4FDCC720" w14:textId="77777777" w:rsidTr="00AA31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6" w:type="dxa"/>
            <w:vAlign w:val="top"/>
          </w:tcPr>
          <w:p w14:paraId="364E2529" w14:textId="10D99AC5" w:rsidR="00AA3112" w:rsidRPr="00325F86" w:rsidRDefault="00AA3112" w:rsidP="007212A0">
            <w:pPr>
              <w:pStyle w:val="Tabletext"/>
            </w:pPr>
            <w:r>
              <w:t>Costs (C</w:t>
            </w:r>
            <w:r>
              <w:rPr>
                <w:vertAlign w:val="subscript"/>
              </w:rPr>
              <w:t>t</w:t>
            </w:r>
            <w:r>
              <w:t>)</w:t>
            </w:r>
            <w:r w:rsidR="005500A5">
              <w:t xml:space="preserve"> ($million)</w:t>
            </w:r>
          </w:p>
        </w:tc>
        <w:tc>
          <w:tcPr>
            <w:tcW w:w="1956" w:type="dxa"/>
          </w:tcPr>
          <w:p w14:paraId="6EF46DB6" w14:textId="439C29EA" w:rsidR="00AA3112" w:rsidRPr="00325F86" w:rsidRDefault="00AA3112" w:rsidP="007212A0">
            <w:pPr>
              <w:pStyle w:val="Tabletext"/>
              <w:cnfStyle w:val="000000010000" w:firstRow="0" w:lastRow="0" w:firstColumn="0" w:lastColumn="0" w:oddVBand="0" w:evenVBand="0" w:oddHBand="0" w:evenHBand="1" w:firstRowFirstColumn="0" w:firstRowLastColumn="0" w:lastRowFirstColumn="0" w:lastRowLastColumn="0"/>
            </w:pPr>
            <w:r>
              <w:t>5</w:t>
            </w:r>
          </w:p>
        </w:tc>
        <w:tc>
          <w:tcPr>
            <w:tcW w:w="1956" w:type="dxa"/>
          </w:tcPr>
          <w:p w14:paraId="3221C253" w14:textId="5900BF96" w:rsidR="00AA3112" w:rsidRPr="00325F86" w:rsidRDefault="00AA3112" w:rsidP="007212A0">
            <w:pPr>
              <w:pStyle w:val="Tabletext"/>
              <w:cnfStyle w:val="000000010000" w:firstRow="0" w:lastRow="0" w:firstColumn="0" w:lastColumn="0" w:oddVBand="0" w:evenVBand="0" w:oddHBand="0" w:evenHBand="1" w:firstRowFirstColumn="0" w:firstRowLastColumn="0" w:lastRowFirstColumn="0" w:lastRowLastColumn="0"/>
            </w:pPr>
            <w:r>
              <w:t>1</w:t>
            </w:r>
          </w:p>
        </w:tc>
        <w:tc>
          <w:tcPr>
            <w:tcW w:w="1956" w:type="dxa"/>
          </w:tcPr>
          <w:p w14:paraId="5428B082" w14:textId="0CC2C592" w:rsidR="00AA3112" w:rsidRPr="00325F86" w:rsidRDefault="00AA3112" w:rsidP="007212A0">
            <w:pPr>
              <w:pStyle w:val="Tabletext"/>
              <w:cnfStyle w:val="000000010000" w:firstRow="0" w:lastRow="0" w:firstColumn="0" w:lastColumn="0" w:oddVBand="0" w:evenVBand="0" w:oddHBand="0" w:evenHBand="1" w:firstRowFirstColumn="0" w:firstRowLastColumn="0" w:lastRowFirstColumn="0" w:lastRowLastColumn="0"/>
            </w:pPr>
            <w:r>
              <w:t>1</w:t>
            </w:r>
          </w:p>
        </w:tc>
        <w:tc>
          <w:tcPr>
            <w:tcW w:w="1957" w:type="dxa"/>
          </w:tcPr>
          <w:p w14:paraId="38085A92" w14:textId="272230FB" w:rsidR="00AA3112" w:rsidRPr="00325F86" w:rsidRDefault="00AA3112" w:rsidP="007212A0">
            <w:pPr>
              <w:pStyle w:val="Tabletext"/>
              <w:cnfStyle w:val="000000010000" w:firstRow="0" w:lastRow="0" w:firstColumn="0" w:lastColumn="0" w:oddVBand="0" w:evenVBand="0" w:oddHBand="0" w:evenHBand="1" w:firstRowFirstColumn="0" w:firstRowLastColumn="0" w:lastRowFirstColumn="0" w:lastRowLastColumn="0"/>
            </w:pPr>
            <w:r>
              <w:t>1</w:t>
            </w:r>
          </w:p>
        </w:tc>
      </w:tr>
    </w:tbl>
    <w:p w14:paraId="256E96E8" w14:textId="3F4F6DDD" w:rsidR="00AA3112" w:rsidRDefault="00AA3112" w:rsidP="00325F86">
      <w:pPr>
        <w:spacing w:beforeLines="60" w:before="144" w:afterLines="60" w:after="144"/>
        <w:rPr>
          <w:szCs w:val="22"/>
          <w:lang w:eastAsia="en-AU"/>
        </w:rPr>
      </w:pPr>
      <w:r>
        <w:rPr>
          <w:szCs w:val="22"/>
          <w:lang w:eastAsia="en-AU"/>
        </w:rPr>
        <w:t>The present value</w:t>
      </w:r>
      <w:r w:rsidR="005500A5">
        <w:rPr>
          <w:szCs w:val="22"/>
          <w:lang w:eastAsia="en-AU"/>
        </w:rPr>
        <w:t>s</w:t>
      </w:r>
      <w:r>
        <w:rPr>
          <w:szCs w:val="22"/>
          <w:lang w:eastAsia="en-AU"/>
        </w:rPr>
        <w:t xml:space="preserve"> </w:t>
      </w:r>
      <w:r w:rsidR="005500A5">
        <w:rPr>
          <w:szCs w:val="22"/>
          <w:lang w:eastAsia="en-AU"/>
        </w:rPr>
        <w:t>(in million</w:t>
      </w:r>
      <w:r w:rsidR="00454188">
        <w:rPr>
          <w:szCs w:val="22"/>
          <w:lang w:eastAsia="en-AU"/>
        </w:rPr>
        <w:t>s of</w:t>
      </w:r>
      <w:r w:rsidR="005500A5">
        <w:rPr>
          <w:szCs w:val="22"/>
          <w:lang w:eastAsia="en-AU"/>
        </w:rPr>
        <w:t xml:space="preserve"> dollars) for</w:t>
      </w:r>
      <w:r>
        <w:rPr>
          <w:szCs w:val="22"/>
          <w:lang w:eastAsia="en-AU"/>
        </w:rPr>
        <w:t xml:space="preserve"> benefits and costs are:</w:t>
      </w:r>
    </w:p>
    <w:p w14:paraId="66923A6B" w14:textId="3CF7EFB8" w:rsidR="00AA3112" w:rsidRDefault="00AA3112" w:rsidP="00325F86">
      <w:pPr>
        <w:spacing w:beforeLines="60" w:before="144" w:afterLines="60" w:after="144"/>
        <w:rPr>
          <w:szCs w:val="22"/>
          <w:lang w:eastAsia="en-AU"/>
        </w:rPr>
      </w:pPr>
      <m:oMathPara>
        <m:oMath>
          <m:r>
            <m:rPr>
              <m:sty m:val="p"/>
            </m:rPr>
            <w:rPr>
              <w:rFonts w:ascii="Cambria Math" w:hAnsi="Cambria Math" w:cstheme="minorHAnsi"/>
              <w:sz w:val="20"/>
            </w:rPr>
            <m:t>PV</m:t>
          </m:r>
          <m:d>
            <m:dPr>
              <m:ctrlPr>
                <w:rPr>
                  <w:rFonts w:ascii="Cambria Math" w:hAnsi="Cambria Math" w:cstheme="minorHAnsi"/>
                  <w:sz w:val="20"/>
                </w:rPr>
              </m:ctrlPr>
            </m:dPr>
            <m:e>
              <m:r>
                <m:rPr>
                  <m:sty m:val="p"/>
                </m:rPr>
                <w:rPr>
                  <w:rFonts w:ascii="Cambria Math" w:hAnsi="Cambria Math" w:cstheme="minorHAnsi"/>
                  <w:sz w:val="20"/>
                </w:rPr>
                <m:t>B</m:t>
              </m:r>
            </m:e>
          </m:d>
          <m:r>
            <m:rPr>
              <m:sty m:val="p"/>
            </m:rPr>
            <w:rPr>
              <w:rFonts w:ascii="Cambria Math" w:hAnsi="Cambria Math" w:cstheme="minorHAnsi"/>
              <w:sz w:val="20"/>
            </w:rPr>
            <m:t>=</m:t>
          </m:r>
          <m:nary>
            <m:naryPr>
              <m:chr m:val="∑"/>
              <m:limLoc m:val="undOvr"/>
              <m:ctrlPr>
                <w:rPr>
                  <w:rFonts w:ascii="Cambria Math" w:hAnsi="Cambria Math" w:cstheme="minorHAnsi"/>
                  <w:sz w:val="20"/>
                </w:rPr>
              </m:ctrlPr>
            </m:naryPr>
            <m:sub>
              <m:r>
                <m:rPr>
                  <m:sty m:val="p"/>
                </m:rPr>
                <w:rPr>
                  <w:rFonts w:ascii="Cambria Math" w:hAnsi="Cambria Math" w:cstheme="minorHAnsi"/>
                  <w:sz w:val="20"/>
                </w:rPr>
                <m:t>t=0</m:t>
              </m:r>
            </m:sub>
            <m:sup>
              <m:r>
                <m:rPr>
                  <m:sty m:val="p"/>
                </m:rPr>
                <w:rPr>
                  <w:rFonts w:ascii="Cambria Math" w:hAnsi="Cambria Math" w:cstheme="minorHAnsi"/>
                  <w:sz w:val="20"/>
                </w:rPr>
                <m:t>n</m:t>
              </m:r>
            </m:sup>
            <m:e>
              <m:f>
                <m:fPr>
                  <m:ctrlPr>
                    <w:rPr>
                      <w:rFonts w:ascii="Cambria Math" w:hAnsi="Cambria Math" w:cstheme="minorHAnsi"/>
                      <w:sz w:val="20"/>
                    </w:rPr>
                  </m:ctrlPr>
                </m:fPr>
                <m:num>
                  <m:sSub>
                    <m:sSubPr>
                      <m:ctrlPr>
                        <w:rPr>
                          <w:rFonts w:ascii="Cambria Math" w:hAnsi="Cambria Math" w:cstheme="minorHAnsi"/>
                          <w:iCs/>
                          <w:sz w:val="20"/>
                        </w:rPr>
                      </m:ctrlPr>
                    </m:sSubPr>
                    <m:e>
                      <m:r>
                        <m:rPr>
                          <m:sty m:val="p"/>
                        </m:rPr>
                        <w:rPr>
                          <w:rFonts w:ascii="Cambria Math" w:hAnsi="Cambria Math" w:cstheme="minorHAnsi"/>
                          <w:sz w:val="20"/>
                        </w:rPr>
                        <m:t>B</m:t>
                      </m:r>
                    </m:e>
                    <m:sub>
                      <m:r>
                        <m:rPr>
                          <m:sty m:val="p"/>
                        </m:rPr>
                        <w:rPr>
                          <w:rFonts w:ascii="Cambria Math" w:hAnsi="Cambria Math" w:cstheme="minorHAnsi"/>
                          <w:sz w:val="20"/>
                        </w:rPr>
                        <m:t>t</m:t>
                      </m:r>
                    </m:sub>
                  </m:sSub>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1+r)</m:t>
                      </m:r>
                    </m:e>
                    <m:sup>
                      <m:r>
                        <m:rPr>
                          <m:sty m:val="p"/>
                        </m:rPr>
                        <w:rPr>
                          <w:rFonts w:ascii="Cambria Math" w:hAnsi="Cambria Math" w:cstheme="minorHAnsi"/>
                          <w:sz w:val="20"/>
                        </w:rPr>
                        <m:t>t</m:t>
                      </m:r>
                    </m:sup>
                  </m:sSup>
                </m:den>
              </m:f>
            </m:e>
          </m:nary>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0</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0</m:t>
                  </m:r>
                </m:sup>
              </m:sSup>
            </m:den>
          </m:f>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3</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1</m:t>
                  </m:r>
                </m:sup>
              </m:sSup>
            </m:den>
          </m:f>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3</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2</m:t>
                  </m:r>
                </m:sup>
              </m:sSup>
            </m:den>
          </m:f>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3</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3</m:t>
                  </m:r>
                </m:sup>
              </m:sSup>
            </m:den>
          </m:f>
          <m:r>
            <w:rPr>
              <w:rFonts w:ascii="Cambria Math" w:hAnsi="Cambria Math" w:cstheme="minorHAnsi"/>
              <w:sz w:val="20"/>
            </w:rPr>
            <m:t>=0+2.80+2.62+2.45=7.87</m:t>
          </m:r>
        </m:oMath>
      </m:oMathPara>
    </w:p>
    <w:p w14:paraId="448D1A7A" w14:textId="1BF697CA" w:rsidR="00F5331B" w:rsidRDefault="00F5331B" w:rsidP="00F5331B">
      <w:pPr>
        <w:spacing w:beforeLines="60" w:before="144" w:afterLines="60" w:after="144"/>
        <w:rPr>
          <w:szCs w:val="22"/>
          <w:lang w:eastAsia="en-AU"/>
        </w:rPr>
      </w:pPr>
      <m:oMathPara>
        <m:oMath>
          <m:r>
            <m:rPr>
              <m:sty m:val="p"/>
            </m:rPr>
            <w:rPr>
              <w:rFonts w:ascii="Cambria Math" w:hAnsi="Cambria Math" w:cstheme="minorHAnsi"/>
              <w:sz w:val="20"/>
            </w:rPr>
            <m:t>PV</m:t>
          </m:r>
          <m:d>
            <m:dPr>
              <m:ctrlPr>
                <w:rPr>
                  <w:rFonts w:ascii="Cambria Math" w:hAnsi="Cambria Math" w:cstheme="minorHAnsi"/>
                  <w:sz w:val="20"/>
                </w:rPr>
              </m:ctrlPr>
            </m:dPr>
            <m:e>
              <m:r>
                <m:rPr>
                  <m:sty m:val="p"/>
                </m:rPr>
                <w:rPr>
                  <w:rFonts w:ascii="Cambria Math" w:hAnsi="Cambria Math" w:cstheme="minorHAnsi"/>
                  <w:sz w:val="20"/>
                </w:rPr>
                <m:t>C</m:t>
              </m:r>
            </m:e>
          </m:d>
          <m:r>
            <m:rPr>
              <m:sty m:val="p"/>
            </m:rPr>
            <w:rPr>
              <w:rFonts w:ascii="Cambria Math" w:hAnsi="Cambria Math" w:cstheme="minorHAnsi"/>
              <w:sz w:val="20"/>
            </w:rPr>
            <m:t>=</m:t>
          </m:r>
          <m:nary>
            <m:naryPr>
              <m:chr m:val="∑"/>
              <m:limLoc m:val="undOvr"/>
              <m:ctrlPr>
                <w:rPr>
                  <w:rFonts w:ascii="Cambria Math" w:hAnsi="Cambria Math" w:cstheme="minorHAnsi"/>
                  <w:sz w:val="20"/>
                </w:rPr>
              </m:ctrlPr>
            </m:naryPr>
            <m:sub>
              <m:r>
                <m:rPr>
                  <m:sty m:val="p"/>
                </m:rPr>
                <w:rPr>
                  <w:rFonts w:ascii="Cambria Math" w:hAnsi="Cambria Math" w:cstheme="minorHAnsi"/>
                  <w:sz w:val="20"/>
                </w:rPr>
                <m:t>t=0</m:t>
              </m:r>
            </m:sub>
            <m:sup>
              <m:r>
                <m:rPr>
                  <m:sty m:val="p"/>
                </m:rPr>
                <w:rPr>
                  <w:rFonts w:ascii="Cambria Math" w:hAnsi="Cambria Math" w:cstheme="minorHAnsi"/>
                  <w:sz w:val="20"/>
                </w:rPr>
                <m:t>n</m:t>
              </m:r>
            </m:sup>
            <m:e>
              <m:f>
                <m:fPr>
                  <m:ctrlPr>
                    <w:rPr>
                      <w:rFonts w:ascii="Cambria Math" w:hAnsi="Cambria Math" w:cstheme="minorHAnsi"/>
                      <w:sz w:val="20"/>
                    </w:rPr>
                  </m:ctrlPr>
                </m:fPr>
                <m:num>
                  <m:sSub>
                    <m:sSubPr>
                      <m:ctrlPr>
                        <w:rPr>
                          <w:rFonts w:ascii="Cambria Math" w:hAnsi="Cambria Math" w:cstheme="minorHAnsi"/>
                          <w:iCs/>
                          <w:sz w:val="20"/>
                        </w:rPr>
                      </m:ctrlPr>
                    </m:sSubPr>
                    <m:e>
                      <m:r>
                        <m:rPr>
                          <m:sty m:val="p"/>
                        </m:rPr>
                        <w:rPr>
                          <w:rFonts w:ascii="Cambria Math" w:hAnsi="Cambria Math" w:cstheme="minorHAnsi"/>
                          <w:sz w:val="20"/>
                        </w:rPr>
                        <m:t>C</m:t>
                      </m:r>
                    </m:e>
                    <m:sub>
                      <m:r>
                        <m:rPr>
                          <m:sty m:val="p"/>
                        </m:rPr>
                        <w:rPr>
                          <w:rFonts w:ascii="Cambria Math" w:hAnsi="Cambria Math" w:cstheme="minorHAnsi"/>
                          <w:sz w:val="20"/>
                        </w:rPr>
                        <m:t>t</m:t>
                      </m:r>
                    </m:sub>
                  </m:sSub>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1+r)</m:t>
                      </m:r>
                    </m:e>
                    <m:sup>
                      <m:r>
                        <m:rPr>
                          <m:sty m:val="p"/>
                        </m:rPr>
                        <w:rPr>
                          <w:rFonts w:ascii="Cambria Math" w:hAnsi="Cambria Math" w:cstheme="minorHAnsi"/>
                          <w:sz w:val="20"/>
                        </w:rPr>
                        <m:t>t</m:t>
                      </m:r>
                    </m:sup>
                  </m:sSup>
                </m:den>
              </m:f>
            </m:e>
          </m:nary>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5</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0</m:t>
                  </m:r>
                </m:sup>
              </m:sSup>
            </m:den>
          </m:f>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1</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1</m:t>
                  </m:r>
                </m:sup>
              </m:sSup>
            </m:den>
          </m:f>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1</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2</m:t>
                  </m:r>
                </m:sup>
              </m:sSup>
            </m:den>
          </m:f>
          <m:r>
            <w:rPr>
              <w:rFonts w:ascii="Cambria Math" w:hAnsi="Cambria Math" w:cstheme="minorHAnsi"/>
              <w:sz w:val="20"/>
            </w:rPr>
            <m:t>+</m:t>
          </m:r>
          <m:f>
            <m:fPr>
              <m:ctrlPr>
                <w:rPr>
                  <w:rFonts w:ascii="Cambria Math" w:hAnsi="Cambria Math" w:cstheme="minorHAnsi"/>
                  <w:i/>
                  <w:sz w:val="20"/>
                </w:rPr>
              </m:ctrlPr>
            </m:fPr>
            <m:num>
              <m:r>
                <w:rPr>
                  <w:rFonts w:ascii="Cambria Math" w:hAnsi="Cambria Math" w:cstheme="minorHAnsi"/>
                  <w:sz w:val="20"/>
                </w:rPr>
                <m:t>1</m:t>
              </m:r>
            </m:num>
            <m:den>
              <m:r>
                <m:rPr>
                  <m:sty m:val="p"/>
                </m:rPr>
                <w:rPr>
                  <w:rFonts w:ascii="Cambria Math" w:hAnsi="Cambria Math" w:cstheme="minorHAnsi"/>
                  <w:sz w:val="20"/>
                </w:rPr>
                <m:t>(</m:t>
              </m:r>
              <m:sSup>
                <m:sSupPr>
                  <m:ctrlPr>
                    <w:rPr>
                      <w:rFonts w:ascii="Cambria Math" w:hAnsi="Cambria Math" w:cstheme="minorHAnsi"/>
                      <w:sz w:val="20"/>
                    </w:rPr>
                  </m:ctrlPr>
                </m:sSupPr>
                <m:e>
                  <m:r>
                    <m:rPr>
                      <m:sty m:val="p"/>
                    </m:rPr>
                    <w:rPr>
                      <w:rFonts w:ascii="Cambria Math" w:hAnsi="Cambria Math" w:cstheme="minorHAnsi"/>
                      <w:sz w:val="20"/>
                    </w:rPr>
                    <m:t>1+7%)</m:t>
                  </m:r>
                </m:e>
                <m:sup>
                  <m:r>
                    <m:rPr>
                      <m:sty m:val="p"/>
                    </m:rPr>
                    <w:rPr>
                      <w:rFonts w:ascii="Cambria Math" w:hAnsi="Cambria Math" w:cstheme="minorHAnsi"/>
                      <w:sz w:val="20"/>
                    </w:rPr>
                    <m:t>3</m:t>
                  </m:r>
                </m:sup>
              </m:sSup>
            </m:den>
          </m:f>
          <m:r>
            <w:rPr>
              <w:rFonts w:ascii="Cambria Math" w:hAnsi="Cambria Math" w:cstheme="minorHAnsi"/>
              <w:sz w:val="20"/>
            </w:rPr>
            <m:t>=5+0.93+0.87+0.82=7.62</m:t>
          </m:r>
        </m:oMath>
      </m:oMathPara>
    </w:p>
    <w:p w14:paraId="17257367" w14:textId="77777777" w:rsidR="00427670" w:rsidRDefault="00427670" w:rsidP="00325F86">
      <w:pPr>
        <w:spacing w:beforeLines="60" w:before="144" w:afterLines="60" w:after="144"/>
        <w:rPr>
          <w:szCs w:val="22"/>
          <w:lang w:eastAsia="en-AU"/>
        </w:rPr>
      </w:pPr>
    </w:p>
    <w:p w14:paraId="10F6BF8F" w14:textId="6EF6D33A" w:rsidR="00325F86" w:rsidRPr="002A079C" w:rsidRDefault="00325F86" w:rsidP="00325F86">
      <w:pPr>
        <w:spacing w:beforeLines="60" w:before="144" w:afterLines="60" w:after="144"/>
        <w:rPr>
          <w:b/>
          <w:bCs/>
          <w:sz w:val="24"/>
          <w:szCs w:val="22"/>
        </w:rPr>
      </w:pPr>
      <w:r w:rsidRPr="002A079C">
        <w:rPr>
          <w:b/>
          <w:bCs/>
          <w:sz w:val="24"/>
          <w:szCs w:val="24"/>
          <w:lang w:eastAsia="en-AU"/>
        </w:rPr>
        <w:t xml:space="preserve">Step 7 – </w:t>
      </w:r>
      <w:r>
        <w:rPr>
          <w:b/>
          <w:bCs/>
          <w:sz w:val="24"/>
          <w:szCs w:val="22"/>
        </w:rPr>
        <w:t>Assess net benefits</w:t>
      </w:r>
    </w:p>
    <w:p w14:paraId="651F828D" w14:textId="77777777" w:rsidR="00325F86" w:rsidRDefault="00325F86" w:rsidP="00325F86">
      <w:pPr>
        <w:spacing w:beforeLines="60" w:before="144" w:afterLines="60" w:after="144"/>
        <w:rPr>
          <w:szCs w:val="22"/>
          <w:lang w:eastAsia="en-AU"/>
        </w:rPr>
      </w:pPr>
      <w:r>
        <w:rPr>
          <w:szCs w:val="22"/>
          <w:lang w:eastAsia="en-AU"/>
        </w:rPr>
        <w:t>The key results of a CBA are the Net Present Value (NPV) and Benefit-Cost Ratio (BCR).</w:t>
      </w:r>
    </w:p>
    <w:p w14:paraId="04E03E82" w14:textId="77777777" w:rsidR="00325F86" w:rsidRDefault="00325F86" w:rsidP="00325F86">
      <w:pPr>
        <w:spacing w:beforeLines="60" w:before="144" w:afterLines="60" w:after="144"/>
        <w:rPr>
          <w:szCs w:val="22"/>
          <w:lang w:eastAsia="en-AU"/>
        </w:rPr>
      </w:pPr>
      <w:r>
        <w:rPr>
          <w:szCs w:val="22"/>
          <w:lang w:eastAsia="en-AU"/>
        </w:rPr>
        <w:t xml:space="preserve">The NPV of an option equals the present value of benefits and the present value of costs: </w:t>
      </w:r>
    </w:p>
    <w:p w14:paraId="29CAA831" w14:textId="77777777" w:rsidR="00325F86" w:rsidRDefault="00325F86" w:rsidP="00325F86">
      <w:pPr>
        <w:spacing w:beforeLines="60" w:before="144" w:afterLines="60" w:after="144"/>
        <w:rPr>
          <w:szCs w:val="22"/>
          <w:lang w:eastAsia="en-AU"/>
        </w:rPr>
      </w:pPr>
      <w:r>
        <w:rPr>
          <w:szCs w:val="22"/>
          <w:lang w:eastAsia="en-AU"/>
        </w:rPr>
        <w:t>NPV = PV(B) – PV(C)</w:t>
      </w:r>
    </w:p>
    <w:p w14:paraId="5EA324A9" w14:textId="77777777" w:rsidR="00325F86" w:rsidRDefault="00325F86" w:rsidP="00325F86">
      <w:pPr>
        <w:spacing w:beforeLines="60" w:before="144" w:afterLines="60" w:after="144"/>
        <w:rPr>
          <w:szCs w:val="22"/>
          <w:lang w:eastAsia="en-AU"/>
        </w:rPr>
      </w:pPr>
      <w:r w:rsidRPr="002A079C">
        <w:rPr>
          <w:szCs w:val="22"/>
          <w:lang w:eastAsia="en-AU"/>
        </w:rPr>
        <w:t>Subject to a consideration of constraints, a cost benefit analysis will support a proposal if the NPV is equal to, or greater than zero.</w:t>
      </w:r>
    </w:p>
    <w:p w14:paraId="33C23E76" w14:textId="77777777" w:rsidR="00325F86" w:rsidRDefault="00325F86" w:rsidP="00325F86">
      <w:pPr>
        <w:spacing w:beforeLines="60" w:before="144" w:afterLines="60" w:after="144"/>
        <w:rPr>
          <w:szCs w:val="22"/>
          <w:lang w:eastAsia="en-AU"/>
        </w:rPr>
      </w:pPr>
      <w:r>
        <w:rPr>
          <w:szCs w:val="22"/>
          <w:lang w:eastAsia="en-AU"/>
        </w:rPr>
        <w:t>The BCR of an option is the ratio of the present value of benefits to the present value of costs:</w:t>
      </w:r>
    </w:p>
    <w:p w14:paraId="3DE31141" w14:textId="77777777" w:rsidR="00325F86" w:rsidRDefault="00325F86" w:rsidP="00325F86">
      <w:pPr>
        <w:spacing w:beforeLines="60" w:before="144" w:afterLines="60" w:after="144"/>
        <w:rPr>
          <w:szCs w:val="22"/>
          <w:lang w:eastAsia="en-AU"/>
        </w:rPr>
      </w:pPr>
      <w:r>
        <w:rPr>
          <w:szCs w:val="22"/>
          <w:lang w:eastAsia="en-AU"/>
        </w:rPr>
        <w:t>BCR = PV(B)/PV(C)</w:t>
      </w:r>
    </w:p>
    <w:p w14:paraId="4B19C307" w14:textId="77777777" w:rsidR="00325F86" w:rsidRDefault="00325F86" w:rsidP="00325F86">
      <w:pPr>
        <w:spacing w:beforeLines="60" w:before="144" w:afterLines="60" w:after="144"/>
        <w:rPr>
          <w:szCs w:val="22"/>
          <w:lang w:eastAsia="en-AU"/>
        </w:rPr>
      </w:pPr>
      <w:r>
        <w:rPr>
          <w:szCs w:val="22"/>
          <w:lang w:eastAsia="en-AU"/>
        </w:rPr>
        <w:t>Similarly, a cost benefit analysis supports a proposal if the BCR is equal to, or greater than 1.</w:t>
      </w:r>
    </w:p>
    <w:p w14:paraId="365BCA45" w14:textId="77777777" w:rsidR="00325F86" w:rsidRPr="004D4C64" w:rsidRDefault="00325F86" w:rsidP="00325F86">
      <w:pPr>
        <w:spacing w:beforeLines="60" w:before="144" w:afterLines="60" w:after="144"/>
        <w:rPr>
          <w:b/>
          <w:bCs/>
          <w:szCs w:val="22"/>
          <w:lang w:eastAsia="en-AU"/>
        </w:rPr>
      </w:pPr>
      <w:r w:rsidRPr="004D4C64">
        <w:rPr>
          <w:b/>
          <w:bCs/>
          <w:szCs w:val="22"/>
          <w:lang w:eastAsia="en-AU"/>
        </w:rPr>
        <w:t>Step 8 – Perform sensitivity analysis</w:t>
      </w:r>
    </w:p>
    <w:p w14:paraId="7A6B9407" w14:textId="376B21B3" w:rsidR="00325F86" w:rsidRDefault="00325F86" w:rsidP="00325F86">
      <w:pPr>
        <w:spacing w:beforeLines="60" w:before="144" w:afterLines="60" w:after="144"/>
        <w:rPr>
          <w:szCs w:val="22"/>
          <w:lang w:eastAsia="en-AU"/>
        </w:rPr>
      </w:pPr>
      <w:r w:rsidRPr="000D519D">
        <w:rPr>
          <w:szCs w:val="22"/>
          <w:lang w:eastAsia="en-AU"/>
        </w:rPr>
        <w:t>As there is often a range of reasonable assumptions that could be used in an impact assessment, a sensitivity analysis can be used to account for uncertainty</w:t>
      </w:r>
      <w:r>
        <w:rPr>
          <w:szCs w:val="22"/>
          <w:lang w:eastAsia="en-AU"/>
        </w:rPr>
        <w:t xml:space="preserve"> in the assumptions</w:t>
      </w:r>
      <w:r w:rsidRPr="000D519D">
        <w:rPr>
          <w:szCs w:val="22"/>
          <w:lang w:eastAsia="en-AU"/>
        </w:rPr>
        <w:t xml:space="preserve">. Sensitivity analysis </w:t>
      </w:r>
      <w:r>
        <w:rPr>
          <w:szCs w:val="22"/>
          <w:lang w:eastAsia="en-AU"/>
        </w:rPr>
        <w:t>assess</w:t>
      </w:r>
      <w:r w:rsidR="00884A58">
        <w:rPr>
          <w:szCs w:val="22"/>
          <w:lang w:eastAsia="en-AU"/>
        </w:rPr>
        <w:t>es</w:t>
      </w:r>
      <w:r>
        <w:rPr>
          <w:szCs w:val="22"/>
          <w:lang w:eastAsia="en-AU"/>
        </w:rPr>
        <w:t xml:space="preserve"> the robustness of the overall costs and benefits of the proposal to plausible changes in different variables. It tests whether the uncertainty over the value of certain variables matters and identifies critical assumptions. </w:t>
      </w:r>
    </w:p>
    <w:p w14:paraId="0C1ABE04" w14:textId="6FA48F1F" w:rsidR="00325F86" w:rsidRDefault="00325F86" w:rsidP="00325F86">
      <w:pPr>
        <w:spacing w:beforeLines="60" w:before="144" w:afterLines="60" w:after="144"/>
        <w:rPr>
          <w:szCs w:val="22"/>
          <w:lang w:eastAsia="en-AU"/>
        </w:rPr>
      </w:pPr>
      <w:r>
        <w:rPr>
          <w:szCs w:val="22"/>
          <w:lang w:eastAsia="en-AU"/>
        </w:rPr>
        <w:t>Common approaches to sensitivity analysis include</w:t>
      </w:r>
      <w:r w:rsidR="00884A58">
        <w:rPr>
          <w:szCs w:val="22"/>
          <w:lang w:eastAsia="en-AU"/>
        </w:rPr>
        <w:t xml:space="preserve"> the following.</w:t>
      </w:r>
    </w:p>
    <w:p w14:paraId="78F86176" w14:textId="1E1F0361" w:rsidR="00325F86" w:rsidRDefault="00325F86" w:rsidP="00325F86">
      <w:pPr>
        <w:pStyle w:val="bullet10"/>
        <w:spacing w:before="30" w:after="30"/>
        <w:rPr>
          <w:szCs w:val="22"/>
          <w:lang w:eastAsia="en-AU"/>
        </w:rPr>
      </w:pPr>
      <w:r w:rsidRPr="009F73D4">
        <w:rPr>
          <w:b/>
          <w:bCs/>
          <w:szCs w:val="22"/>
          <w:lang w:eastAsia="en-AU"/>
        </w:rPr>
        <w:t>Worst/best case analysis</w:t>
      </w:r>
      <w:r>
        <w:rPr>
          <w:szCs w:val="22"/>
          <w:lang w:eastAsia="en-AU"/>
        </w:rPr>
        <w:t xml:space="preserve">, which involves altering some critical assumptions to generate possible </w:t>
      </w:r>
      <w:proofErr w:type="gramStart"/>
      <w:r>
        <w:rPr>
          <w:szCs w:val="22"/>
          <w:lang w:eastAsia="en-AU"/>
        </w:rPr>
        <w:t>best and wors</w:t>
      </w:r>
      <w:r w:rsidR="00DA3D06">
        <w:rPr>
          <w:szCs w:val="22"/>
          <w:lang w:eastAsia="en-AU"/>
        </w:rPr>
        <w:t>t</w:t>
      </w:r>
      <w:r>
        <w:rPr>
          <w:szCs w:val="22"/>
          <w:lang w:eastAsia="en-AU"/>
        </w:rPr>
        <w:t xml:space="preserve"> case</w:t>
      </w:r>
      <w:proofErr w:type="gramEnd"/>
      <w:r>
        <w:rPr>
          <w:szCs w:val="22"/>
          <w:lang w:eastAsia="en-AU"/>
        </w:rPr>
        <w:t xml:space="preserve"> scenarios. The </w:t>
      </w:r>
      <w:proofErr w:type="gramStart"/>
      <w:r>
        <w:rPr>
          <w:szCs w:val="22"/>
          <w:lang w:eastAsia="en-AU"/>
        </w:rPr>
        <w:t>worst case</w:t>
      </w:r>
      <w:proofErr w:type="gramEnd"/>
      <w:r>
        <w:rPr>
          <w:szCs w:val="22"/>
          <w:lang w:eastAsia="en-AU"/>
        </w:rPr>
        <w:t xml:space="preserve"> scenario can be established by</w:t>
      </w:r>
      <w:r w:rsidRPr="009F73D4">
        <w:rPr>
          <w:szCs w:val="22"/>
          <w:lang w:eastAsia="en-AU"/>
        </w:rPr>
        <w:t xml:space="preserve"> substitut</w:t>
      </w:r>
      <w:r>
        <w:rPr>
          <w:szCs w:val="22"/>
          <w:lang w:eastAsia="en-AU"/>
        </w:rPr>
        <w:t>ing</w:t>
      </w:r>
      <w:r w:rsidRPr="009F73D4">
        <w:rPr>
          <w:szCs w:val="22"/>
          <w:lang w:eastAsia="en-AU"/>
        </w:rPr>
        <w:t xml:space="preserve"> the most pessimistic estimates for each variable simultaneously and see how much the net present value is affected. </w:t>
      </w:r>
      <w:r>
        <w:rPr>
          <w:szCs w:val="22"/>
          <w:lang w:eastAsia="en-AU"/>
        </w:rPr>
        <w:t xml:space="preserve">Similar analysis should be undertaken to investigate how the net present value is affected by the most optimistic estimates. </w:t>
      </w:r>
    </w:p>
    <w:p w14:paraId="6BBFED0B" w14:textId="3480D367" w:rsidR="00325F86" w:rsidRPr="009F73D4" w:rsidRDefault="00325F86" w:rsidP="00325F86">
      <w:pPr>
        <w:pStyle w:val="bullet10"/>
        <w:spacing w:before="30" w:after="30"/>
        <w:rPr>
          <w:szCs w:val="22"/>
          <w:lang w:eastAsia="en-AU"/>
        </w:rPr>
      </w:pPr>
      <w:r>
        <w:rPr>
          <w:b/>
          <w:bCs/>
          <w:szCs w:val="22"/>
          <w:lang w:eastAsia="en-AU"/>
        </w:rPr>
        <w:t>Partial sensitivity analysis</w:t>
      </w:r>
      <w:r>
        <w:rPr>
          <w:szCs w:val="22"/>
          <w:lang w:eastAsia="en-AU"/>
        </w:rPr>
        <w:t xml:space="preserve">, which assesses how risky the </w:t>
      </w:r>
      <w:r w:rsidRPr="00905D08">
        <w:rPr>
          <w:szCs w:val="22"/>
          <w:lang w:eastAsia="en-AU"/>
        </w:rPr>
        <w:t>proposal is</w:t>
      </w:r>
      <w:r w:rsidR="00884A58">
        <w:rPr>
          <w:szCs w:val="22"/>
          <w:lang w:eastAsia="en-AU"/>
        </w:rPr>
        <w:t>:</w:t>
      </w:r>
      <w:r w:rsidRPr="00905D08">
        <w:rPr>
          <w:szCs w:val="22"/>
          <w:lang w:eastAsia="en-AU"/>
        </w:rPr>
        <w:t xml:space="preserve"> that is, which variables have the most influence on the </w:t>
      </w:r>
      <w:r w:rsidR="00884A58">
        <w:rPr>
          <w:szCs w:val="22"/>
          <w:lang w:eastAsia="en-AU"/>
        </w:rPr>
        <w:t>NPV</w:t>
      </w:r>
      <w:r w:rsidRPr="00905D08">
        <w:rPr>
          <w:szCs w:val="22"/>
          <w:lang w:eastAsia="en-AU"/>
        </w:rPr>
        <w:t xml:space="preserve">. This can be established by changing each variable independently while </w:t>
      </w:r>
      <w:r w:rsidRPr="00905D08">
        <w:rPr>
          <w:szCs w:val="22"/>
          <w:lang w:eastAsia="en-AU"/>
        </w:rPr>
        <w:lastRenderedPageBreak/>
        <w:t>holding all other variables constant.</w:t>
      </w:r>
      <w:r>
        <w:rPr>
          <w:szCs w:val="22"/>
          <w:lang w:eastAsia="en-AU"/>
        </w:rPr>
        <w:t xml:space="preserve"> </w:t>
      </w:r>
      <w:r w:rsidR="009031FA" w:rsidRPr="009031FA">
        <w:rPr>
          <w:szCs w:val="22"/>
          <w:lang w:eastAsia="en-AU"/>
        </w:rPr>
        <w:t>It should be used for the most important or uncertain variables, such as estimates of compliance costs, forecasts of benefits and the discount rate.</w:t>
      </w:r>
    </w:p>
    <w:p w14:paraId="3CF59E88" w14:textId="1679CDC2" w:rsidR="00325F86" w:rsidRDefault="00325F86" w:rsidP="00325F86">
      <w:pPr>
        <w:spacing w:beforeLines="60" w:before="144" w:afterLines="60" w:after="144"/>
        <w:rPr>
          <w:szCs w:val="22"/>
          <w:lang w:eastAsia="en-AU"/>
        </w:rPr>
      </w:pPr>
      <w:r w:rsidRPr="009F73D4">
        <w:rPr>
          <w:szCs w:val="22"/>
          <w:lang w:eastAsia="en-AU"/>
        </w:rPr>
        <w:t xml:space="preserve">If the </w:t>
      </w:r>
      <w:r w:rsidR="00884A58">
        <w:rPr>
          <w:szCs w:val="22"/>
          <w:lang w:eastAsia="en-AU"/>
        </w:rPr>
        <w:t>NPV</w:t>
      </w:r>
      <w:r>
        <w:rPr>
          <w:szCs w:val="22"/>
          <w:lang w:eastAsia="en-AU"/>
        </w:rPr>
        <w:t xml:space="preserve"> does not change from a net benefit to a net cost (or vice versa) after considering the range of scenarios, there can be confidence in the robustness of the costs and benefits of the proposal</w:t>
      </w:r>
      <w:r w:rsidRPr="009F73D4">
        <w:rPr>
          <w:szCs w:val="22"/>
          <w:lang w:eastAsia="en-AU"/>
        </w:rPr>
        <w:t>.</w:t>
      </w:r>
    </w:p>
    <w:p w14:paraId="35CF91A9" w14:textId="77777777" w:rsidR="00325F86" w:rsidRPr="00E62FF1" w:rsidRDefault="00325F86" w:rsidP="00325F86">
      <w:pPr>
        <w:spacing w:beforeLines="60" w:before="144" w:afterLines="60" w:after="144"/>
        <w:rPr>
          <w:b/>
          <w:bCs/>
          <w:sz w:val="24"/>
          <w:szCs w:val="24"/>
          <w:lang w:eastAsia="en-AU"/>
        </w:rPr>
      </w:pPr>
      <w:r w:rsidRPr="00E62FF1">
        <w:rPr>
          <w:b/>
          <w:bCs/>
          <w:sz w:val="24"/>
          <w:szCs w:val="24"/>
          <w:lang w:eastAsia="en-AU"/>
        </w:rPr>
        <w:t>Step 9 – Assess distributional effects</w:t>
      </w:r>
    </w:p>
    <w:p w14:paraId="7713DA75" w14:textId="6BC0806E" w:rsidR="00325F86" w:rsidRDefault="00325F86" w:rsidP="00325F86">
      <w:pPr>
        <w:spacing w:beforeLines="60" w:before="144" w:afterLines="60" w:after="144"/>
        <w:rPr>
          <w:szCs w:val="22"/>
          <w:lang w:eastAsia="en-AU"/>
        </w:rPr>
      </w:pPr>
      <w:r w:rsidRPr="00E62FF1">
        <w:rPr>
          <w:szCs w:val="22"/>
          <w:lang w:eastAsia="en-AU"/>
        </w:rPr>
        <w:t xml:space="preserve">The distributional effects of a proposal should also be considered when evaluating a regulatory proposal. Although there may be a net benefit arising from regulation, it may be the case that a small group reaps all the benefits while the costs are borne by a larger </w:t>
      </w:r>
      <w:r w:rsidR="00550378" w:rsidRPr="00E62FF1">
        <w:rPr>
          <w:szCs w:val="22"/>
          <w:lang w:eastAsia="en-AU"/>
        </w:rPr>
        <w:t>group or</w:t>
      </w:r>
      <w:r w:rsidRPr="00E62FF1">
        <w:rPr>
          <w:szCs w:val="22"/>
          <w:lang w:eastAsia="en-AU"/>
        </w:rPr>
        <w:t xml:space="preserve"> borne by those who do not benefit at all. </w:t>
      </w:r>
      <w:r w:rsidRPr="000127B7">
        <w:rPr>
          <w:szCs w:val="22"/>
          <w:lang w:eastAsia="en-AU"/>
        </w:rPr>
        <w:t>Distributional analysis may be qualitative or ideally supported by quantitative findings where data allows.</w:t>
      </w:r>
      <w:r>
        <w:rPr>
          <w:szCs w:val="22"/>
          <w:lang w:eastAsia="en-AU"/>
        </w:rPr>
        <w:t xml:space="preserve"> </w:t>
      </w:r>
      <w:r w:rsidRPr="00E62FF1">
        <w:rPr>
          <w:szCs w:val="22"/>
          <w:lang w:eastAsia="en-AU"/>
        </w:rPr>
        <w:t xml:space="preserve">An analysis of these effects will assist the </w:t>
      </w:r>
      <w:r>
        <w:rPr>
          <w:szCs w:val="22"/>
          <w:lang w:eastAsia="en-AU"/>
        </w:rPr>
        <w:t>G</w:t>
      </w:r>
      <w:r w:rsidRPr="00E62FF1">
        <w:rPr>
          <w:szCs w:val="22"/>
          <w:lang w:eastAsia="en-AU"/>
        </w:rPr>
        <w:t xml:space="preserve">overnment </w:t>
      </w:r>
      <w:r>
        <w:rPr>
          <w:szCs w:val="22"/>
          <w:lang w:eastAsia="en-AU"/>
        </w:rPr>
        <w:t xml:space="preserve">to </w:t>
      </w:r>
      <w:r w:rsidRPr="00E62FF1">
        <w:rPr>
          <w:szCs w:val="22"/>
          <w:lang w:eastAsia="en-AU"/>
        </w:rPr>
        <w:t>choose among the options.</w:t>
      </w:r>
      <w:r>
        <w:rPr>
          <w:szCs w:val="22"/>
          <w:lang w:eastAsia="en-AU"/>
        </w:rPr>
        <w:t xml:space="preserve"> </w:t>
      </w:r>
    </w:p>
    <w:p w14:paraId="4FB0A115" w14:textId="77777777" w:rsidR="00325F86" w:rsidRPr="00E62FF1" w:rsidRDefault="00325F86" w:rsidP="00325F86">
      <w:pPr>
        <w:spacing w:beforeLines="60" w:before="144" w:afterLines="60" w:after="144"/>
        <w:rPr>
          <w:b/>
          <w:bCs/>
          <w:sz w:val="24"/>
          <w:szCs w:val="24"/>
          <w:lang w:eastAsia="en-AU"/>
        </w:rPr>
      </w:pPr>
      <w:r w:rsidRPr="00E62FF1">
        <w:rPr>
          <w:b/>
          <w:bCs/>
          <w:sz w:val="24"/>
          <w:szCs w:val="24"/>
          <w:lang w:eastAsia="en-AU"/>
        </w:rPr>
        <w:t xml:space="preserve">Step 10 – Reach a conclusion </w:t>
      </w:r>
    </w:p>
    <w:p w14:paraId="46206FBB" w14:textId="77777777" w:rsidR="00325F86" w:rsidRPr="00E62FF1" w:rsidRDefault="00325F86" w:rsidP="00325F86">
      <w:pPr>
        <w:spacing w:beforeLines="60" w:before="144" w:afterLines="60" w:after="144"/>
        <w:rPr>
          <w:szCs w:val="22"/>
          <w:lang w:eastAsia="en-AU"/>
        </w:rPr>
      </w:pPr>
      <w:r w:rsidRPr="00E62FF1">
        <w:rPr>
          <w:szCs w:val="22"/>
          <w:lang w:eastAsia="en-AU"/>
        </w:rPr>
        <w:t xml:space="preserve">The last step is to summarise the results of the CBA. The recommended option should be the one with the highest NPV (or net benefit) and BCR. However, in some circumstances, an alternative option may be </w:t>
      </w:r>
      <w:r>
        <w:rPr>
          <w:szCs w:val="22"/>
          <w:lang w:eastAsia="en-AU"/>
        </w:rPr>
        <w:t>recommended, and reasons need to be provided. For example, an option with a lower NPV or BCR may be recommended in the case where</w:t>
      </w:r>
      <w:r w:rsidRPr="00E62FF1">
        <w:rPr>
          <w:szCs w:val="22"/>
          <w:lang w:eastAsia="en-AU"/>
        </w:rPr>
        <w:t>:</w:t>
      </w:r>
    </w:p>
    <w:p w14:paraId="656B2F40" w14:textId="77777777" w:rsidR="00325F86" w:rsidRDefault="00325F86" w:rsidP="00325F86">
      <w:pPr>
        <w:pStyle w:val="bullet10"/>
        <w:spacing w:before="30" w:after="30"/>
        <w:rPr>
          <w:szCs w:val="22"/>
          <w:lang w:eastAsia="en-AU"/>
        </w:rPr>
      </w:pPr>
      <w:r>
        <w:rPr>
          <w:szCs w:val="22"/>
          <w:lang w:eastAsia="en-AU"/>
        </w:rPr>
        <w:t xml:space="preserve">there is high confidence that the qualitative benefits of the option will enable the option to benefit the community more than the option with the highest NPV or </w:t>
      </w:r>
      <w:proofErr w:type="gramStart"/>
      <w:r>
        <w:rPr>
          <w:szCs w:val="22"/>
          <w:lang w:eastAsia="en-AU"/>
        </w:rPr>
        <w:t>BCR;</w:t>
      </w:r>
      <w:proofErr w:type="gramEnd"/>
      <w:r w:rsidRPr="00E62FF1">
        <w:rPr>
          <w:szCs w:val="22"/>
          <w:lang w:eastAsia="en-AU"/>
        </w:rPr>
        <w:t xml:space="preserve"> </w:t>
      </w:r>
    </w:p>
    <w:p w14:paraId="5C008DAE" w14:textId="77777777" w:rsidR="00325F86" w:rsidRDefault="00325F86" w:rsidP="00325F86">
      <w:pPr>
        <w:pStyle w:val="bullet10"/>
        <w:spacing w:before="30" w:after="30"/>
        <w:rPr>
          <w:szCs w:val="22"/>
          <w:lang w:eastAsia="en-AU"/>
        </w:rPr>
      </w:pPr>
      <w:r>
        <w:rPr>
          <w:szCs w:val="22"/>
          <w:lang w:eastAsia="en-AU"/>
        </w:rPr>
        <w:t>the option is</w:t>
      </w:r>
      <w:r w:rsidRPr="00E62FF1">
        <w:rPr>
          <w:szCs w:val="22"/>
          <w:lang w:eastAsia="en-AU"/>
        </w:rPr>
        <w:t xml:space="preserve"> </w:t>
      </w:r>
      <w:r>
        <w:rPr>
          <w:szCs w:val="22"/>
          <w:lang w:eastAsia="en-AU"/>
        </w:rPr>
        <w:t>less sensitive</w:t>
      </w:r>
      <w:r w:rsidRPr="00E62FF1">
        <w:rPr>
          <w:szCs w:val="22"/>
          <w:lang w:eastAsia="en-AU"/>
        </w:rPr>
        <w:t xml:space="preserve"> to plausible variations in the sensitivity analysis</w:t>
      </w:r>
      <w:r>
        <w:rPr>
          <w:szCs w:val="22"/>
          <w:lang w:eastAsia="en-AU"/>
        </w:rPr>
        <w:t xml:space="preserve">, </w:t>
      </w:r>
      <w:proofErr w:type="gramStart"/>
      <w:r>
        <w:rPr>
          <w:szCs w:val="22"/>
          <w:lang w:eastAsia="en-AU"/>
        </w:rPr>
        <w:t>in particular to</w:t>
      </w:r>
      <w:proofErr w:type="gramEnd"/>
      <w:r>
        <w:rPr>
          <w:szCs w:val="22"/>
          <w:lang w:eastAsia="en-AU"/>
        </w:rPr>
        <w:t xml:space="preserve"> the downside risks; or</w:t>
      </w:r>
    </w:p>
    <w:p w14:paraId="1C48277A" w14:textId="77777777" w:rsidR="00325F86" w:rsidRPr="00E62FF1" w:rsidRDefault="00325F86" w:rsidP="00325F86">
      <w:pPr>
        <w:pStyle w:val="bullet10"/>
        <w:spacing w:before="30" w:after="30"/>
        <w:rPr>
          <w:szCs w:val="22"/>
          <w:lang w:eastAsia="en-AU"/>
        </w:rPr>
      </w:pPr>
      <w:r>
        <w:rPr>
          <w:szCs w:val="22"/>
          <w:lang w:eastAsia="en-AU"/>
        </w:rPr>
        <w:t xml:space="preserve">a </w:t>
      </w:r>
      <w:r w:rsidRPr="00E62FF1">
        <w:rPr>
          <w:szCs w:val="22"/>
          <w:lang w:eastAsia="en-AU"/>
        </w:rPr>
        <w:t>staged approach</w:t>
      </w:r>
      <w:r>
        <w:rPr>
          <w:szCs w:val="22"/>
          <w:lang w:eastAsia="en-AU"/>
        </w:rPr>
        <w:t xml:space="preserve"> that o</w:t>
      </w:r>
      <w:r w:rsidRPr="00E62FF1">
        <w:rPr>
          <w:szCs w:val="22"/>
          <w:lang w:eastAsia="en-AU"/>
        </w:rPr>
        <w:t>ption with lower net benefit to the one with higher net benefit.</w:t>
      </w:r>
    </w:p>
    <w:p w14:paraId="6628D35E" w14:textId="77777777" w:rsidR="007D62B2" w:rsidRDefault="007D62B2" w:rsidP="009266DD">
      <w:pPr>
        <w:spacing w:beforeLines="60" w:before="144" w:afterLines="60" w:after="144"/>
        <w:rPr>
          <w:szCs w:val="22"/>
          <w:lang w:eastAsia="en-AU"/>
        </w:rPr>
        <w:sectPr w:rsidR="007D62B2" w:rsidSect="00B643E0">
          <w:pgSz w:w="11907" w:h="16840" w:code="9"/>
          <w:pgMar w:top="1134" w:right="1134" w:bottom="1702" w:left="1134" w:header="567" w:footer="254" w:gutter="0"/>
          <w:cols w:space="720"/>
          <w:docGrid w:linePitch="299"/>
        </w:sectPr>
      </w:pPr>
    </w:p>
    <w:p w14:paraId="5F185A29" w14:textId="77777777" w:rsidR="007D62B2" w:rsidRPr="002A190D" w:rsidRDefault="007D62B2" w:rsidP="007D62B2">
      <w:pPr>
        <w:pStyle w:val="Heading2"/>
      </w:pPr>
      <w:bookmarkStart w:id="28" w:name="_Toc167452097"/>
      <w:bookmarkStart w:id="29" w:name="_Toc175576414"/>
      <w:r w:rsidRPr="00EC5579">
        <w:lastRenderedPageBreak/>
        <w:t xml:space="preserve">Appendix </w:t>
      </w:r>
      <w:r>
        <w:t>D</w:t>
      </w:r>
      <w:r w:rsidRPr="00EC5579">
        <w:t xml:space="preserve"> – </w:t>
      </w:r>
      <w:r>
        <w:t>Useful resources</w:t>
      </w:r>
      <w:bookmarkEnd w:id="28"/>
      <w:bookmarkEnd w:id="29"/>
    </w:p>
    <w:p w14:paraId="4447C3D7" w14:textId="77777777" w:rsidR="007D62B2" w:rsidRDefault="007D62B2" w:rsidP="007D62B2">
      <w:pPr>
        <w:spacing w:beforeLines="60" w:before="144" w:afterLines="60" w:after="144"/>
        <w:rPr>
          <w:rStyle w:val="Hyperlink"/>
          <w:szCs w:val="22"/>
          <w:lang w:eastAsia="en-AU"/>
        </w:rPr>
      </w:pPr>
      <w:r>
        <w:rPr>
          <w:szCs w:val="22"/>
          <w:lang w:eastAsia="en-AU"/>
        </w:rPr>
        <w:t xml:space="preserve">Scrutiny committee principles: </w:t>
      </w:r>
      <w:hyperlink r:id="rId26" w:history="1">
        <w:r w:rsidRPr="002A0344">
          <w:rPr>
            <w:rStyle w:val="Hyperlink"/>
            <w:szCs w:val="22"/>
            <w:lang w:eastAsia="en-AU"/>
          </w:rPr>
          <w:t>ACT Legislative Assembly</w:t>
        </w:r>
      </w:hyperlink>
    </w:p>
    <w:p w14:paraId="1030ECFE" w14:textId="77777777" w:rsidR="007D62B2" w:rsidRDefault="007D62B2" w:rsidP="007D62B2">
      <w:pPr>
        <w:spacing w:beforeLines="60" w:before="144" w:afterLines="60" w:after="144"/>
        <w:rPr>
          <w:szCs w:val="22"/>
          <w:lang w:eastAsia="en-AU"/>
        </w:rPr>
      </w:pPr>
      <w:r>
        <w:rPr>
          <w:szCs w:val="22"/>
          <w:lang w:eastAsia="en-AU"/>
        </w:rPr>
        <w:t xml:space="preserve">Two-page fact sheet for RIA: </w:t>
      </w:r>
      <w:hyperlink r:id="rId27" w:history="1">
        <w:r w:rsidRPr="005D069F">
          <w:rPr>
            <w:rStyle w:val="Hyperlink"/>
            <w:szCs w:val="22"/>
            <w:lang w:eastAsia="en-AU"/>
          </w:rPr>
          <w:t>Fact Sheet - Regulatory Impact Assessment in the ACT</w:t>
        </w:r>
      </w:hyperlink>
    </w:p>
    <w:p w14:paraId="633C0D31" w14:textId="52A5477C" w:rsidR="00E80C13" w:rsidRDefault="00E80C13" w:rsidP="007D62B2">
      <w:pPr>
        <w:spacing w:beforeLines="60" w:before="144" w:afterLines="60" w:after="144"/>
        <w:rPr>
          <w:szCs w:val="22"/>
          <w:lang w:eastAsia="en-AU"/>
        </w:rPr>
      </w:pPr>
      <w:r>
        <w:rPr>
          <w:szCs w:val="22"/>
          <w:lang w:eastAsia="en-AU"/>
        </w:rPr>
        <w:t xml:space="preserve">Legislative framework for a RIS: </w:t>
      </w:r>
      <w:hyperlink r:id="rId28" w:history="1">
        <w:r w:rsidRPr="00E80C13">
          <w:rPr>
            <w:rStyle w:val="Hyperlink"/>
            <w:szCs w:val="22"/>
            <w:lang w:eastAsia="en-AU"/>
          </w:rPr>
          <w:t>Legislation Act 2001</w:t>
        </w:r>
      </w:hyperlink>
    </w:p>
    <w:p w14:paraId="4000969A" w14:textId="3211782C" w:rsidR="007D62B2" w:rsidRDefault="007D62B2" w:rsidP="007D62B2">
      <w:pPr>
        <w:spacing w:beforeLines="60" w:before="144" w:afterLines="60" w:after="144"/>
        <w:rPr>
          <w:szCs w:val="22"/>
          <w:lang w:eastAsia="en-AU"/>
        </w:rPr>
      </w:pPr>
      <w:r>
        <w:rPr>
          <w:szCs w:val="22"/>
          <w:lang w:eastAsia="en-AU"/>
        </w:rPr>
        <w:t xml:space="preserve">Examples for RIA/RIS: </w:t>
      </w:r>
    </w:p>
    <w:p w14:paraId="719E72FA" w14:textId="77777777" w:rsidR="007D62B2" w:rsidRDefault="00263A8F" w:rsidP="007D62B2">
      <w:pPr>
        <w:pStyle w:val="ListParagraph"/>
        <w:numPr>
          <w:ilvl w:val="0"/>
          <w:numId w:val="30"/>
        </w:numPr>
        <w:spacing w:beforeLines="60" w:before="144" w:afterLines="60" w:after="144"/>
        <w:rPr>
          <w:szCs w:val="22"/>
          <w:lang w:eastAsia="en-AU"/>
        </w:rPr>
      </w:pPr>
      <w:hyperlink r:id="rId29" w:history="1">
        <w:r w:rsidR="007D62B2" w:rsidRPr="00DE5350">
          <w:rPr>
            <w:rStyle w:val="Hyperlink"/>
            <w:szCs w:val="22"/>
            <w:lang w:eastAsia="en-AU"/>
          </w:rPr>
          <w:t xml:space="preserve">Plastic Reduction Bill 2020 </w:t>
        </w:r>
        <w:r w:rsidR="007D62B2">
          <w:rPr>
            <w:rStyle w:val="Hyperlink"/>
            <w:szCs w:val="22"/>
            <w:lang w:eastAsia="en-AU"/>
          </w:rPr>
          <w:t xml:space="preserve">– </w:t>
        </w:r>
        <w:r w:rsidR="007D62B2" w:rsidRPr="00DE5350">
          <w:rPr>
            <w:rStyle w:val="Hyperlink"/>
            <w:szCs w:val="22"/>
            <w:lang w:eastAsia="en-AU"/>
          </w:rPr>
          <w:t>Regulatory Impact Statement</w:t>
        </w:r>
      </w:hyperlink>
    </w:p>
    <w:p w14:paraId="66ADC346" w14:textId="77777777" w:rsidR="007D62B2" w:rsidRDefault="00263A8F" w:rsidP="007D62B2">
      <w:pPr>
        <w:pStyle w:val="ListParagraph"/>
        <w:numPr>
          <w:ilvl w:val="0"/>
          <w:numId w:val="30"/>
        </w:numPr>
        <w:spacing w:beforeLines="60" w:before="144" w:afterLines="60" w:after="144"/>
        <w:rPr>
          <w:szCs w:val="22"/>
          <w:lang w:eastAsia="en-AU"/>
        </w:rPr>
      </w:pPr>
      <w:hyperlink r:id="rId30" w:history="1">
        <w:r w:rsidR="007D62B2" w:rsidRPr="00DE5350">
          <w:rPr>
            <w:rStyle w:val="Hyperlink"/>
            <w:szCs w:val="22"/>
            <w:lang w:eastAsia="en-AU"/>
          </w:rPr>
          <w:t>Minimum standards for residential rental properties – Regulatory Impact Statement</w:t>
        </w:r>
      </w:hyperlink>
    </w:p>
    <w:p w14:paraId="33294858" w14:textId="77777777" w:rsidR="007D62B2" w:rsidRPr="00DE5350" w:rsidRDefault="00263A8F" w:rsidP="007D62B2">
      <w:pPr>
        <w:pStyle w:val="ListParagraph"/>
        <w:numPr>
          <w:ilvl w:val="0"/>
          <w:numId w:val="30"/>
        </w:numPr>
        <w:spacing w:beforeLines="60" w:before="144" w:afterLines="60" w:after="144"/>
        <w:rPr>
          <w:szCs w:val="22"/>
          <w:lang w:eastAsia="en-AU"/>
        </w:rPr>
      </w:pPr>
      <w:hyperlink r:id="rId31" w:history="1">
        <w:r w:rsidR="007D62B2" w:rsidRPr="00DE5350">
          <w:rPr>
            <w:rStyle w:val="Hyperlink"/>
            <w:szCs w:val="22"/>
            <w:lang w:eastAsia="en-AU"/>
          </w:rPr>
          <w:t>No New Gas Connections – Regulatory Impact Assessment</w:t>
        </w:r>
      </w:hyperlink>
    </w:p>
    <w:p w14:paraId="721CAA97" w14:textId="214DDED9" w:rsidR="00C03B4A" w:rsidRDefault="00C03B4A" w:rsidP="009266DD">
      <w:pPr>
        <w:spacing w:beforeLines="60" w:before="144" w:afterLines="60" w:after="144"/>
        <w:rPr>
          <w:szCs w:val="22"/>
          <w:lang w:eastAsia="en-AU"/>
        </w:rPr>
      </w:pPr>
    </w:p>
    <w:p w14:paraId="4F3D2DDD" w14:textId="77777777" w:rsidR="0064018E" w:rsidRDefault="0064018E" w:rsidP="009266DD">
      <w:pPr>
        <w:spacing w:beforeLines="60" w:before="144" w:afterLines="60" w:after="144"/>
        <w:rPr>
          <w:szCs w:val="22"/>
          <w:lang w:eastAsia="en-AU"/>
        </w:rPr>
      </w:pPr>
    </w:p>
    <w:p w14:paraId="1AB3FCE7" w14:textId="77777777" w:rsidR="009266DD" w:rsidRDefault="009266DD" w:rsidP="009266DD">
      <w:pPr>
        <w:spacing w:before="0" w:after="160" w:line="259" w:lineRule="auto"/>
        <w:sectPr w:rsidR="009266DD" w:rsidSect="00B643E0">
          <w:pgSz w:w="11907" w:h="16840" w:code="9"/>
          <w:pgMar w:top="1134" w:right="1134" w:bottom="1702" w:left="1134" w:header="567" w:footer="254" w:gutter="0"/>
          <w:cols w:space="720"/>
          <w:docGrid w:linePitch="299"/>
        </w:sectPr>
      </w:pPr>
    </w:p>
    <w:p w14:paraId="7C07B7D4" w14:textId="12A387FB" w:rsidR="009266DD" w:rsidRDefault="009266DD" w:rsidP="009266DD">
      <w:pPr>
        <w:spacing w:before="0" w:after="160" w:line="259" w:lineRule="auto"/>
      </w:pPr>
    </w:p>
    <w:sectPr w:rsidR="009266DD" w:rsidSect="005E69BD">
      <w:type w:val="continuous"/>
      <w:pgSz w:w="11907" w:h="16840" w:code="9"/>
      <w:pgMar w:top="1134" w:right="1134" w:bottom="1701" w:left="1134" w:header="567" w:footer="25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6425" w14:textId="77777777" w:rsidR="00FF37FC" w:rsidRDefault="00FF37FC">
      <w:pPr>
        <w:spacing w:before="0" w:after="0"/>
      </w:pPr>
      <w:r>
        <w:separator/>
      </w:r>
    </w:p>
    <w:p w14:paraId="0A59D5E8" w14:textId="77777777" w:rsidR="00FF37FC" w:rsidRDefault="00FF37FC"/>
  </w:endnote>
  <w:endnote w:type="continuationSeparator" w:id="0">
    <w:p w14:paraId="65DB30A3" w14:textId="77777777" w:rsidR="00FF37FC" w:rsidRDefault="00FF37FC">
      <w:pPr>
        <w:spacing w:before="0" w:after="0"/>
      </w:pPr>
      <w:r>
        <w:continuationSeparator/>
      </w:r>
    </w:p>
    <w:p w14:paraId="24E5C777" w14:textId="77777777" w:rsidR="00FF37FC" w:rsidRDefault="00FF37FC"/>
  </w:endnote>
  <w:endnote w:type="continuationNotice" w:id="1">
    <w:p w14:paraId="160532ED" w14:textId="77777777" w:rsidR="00FF37FC" w:rsidRDefault="00FF37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DCA5" w14:textId="1212CEC0"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D3143">
      <w:rPr>
        <w:rStyle w:val="PageNumber"/>
        <w:noProof/>
      </w:rPr>
      <w:t>2</w:t>
    </w:r>
    <w:r>
      <w:rPr>
        <w:rStyle w:val="PageNumber"/>
      </w:rPr>
      <w:fldChar w:fldCharType="end"/>
    </w:r>
  </w:p>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38035189"/>
      <w:docPartObj>
        <w:docPartGallery w:val="Page Numbers (Bottom of Page)"/>
        <w:docPartUnique/>
      </w:docPartObj>
    </w:sdtPr>
    <w:sdtEndPr>
      <w:rPr>
        <w:rStyle w:val="PageNumber"/>
      </w:rPr>
    </w:sdtEndPr>
    <w:sdtContent>
      <w:p w14:paraId="362FA08C" w14:textId="5E0AD43D" w:rsidR="000459F7" w:rsidRPr="00A50ACF" w:rsidRDefault="000459F7" w:rsidP="004D749A">
        <w:pPr>
          <w:pStyle w:val="Footer"/>
          <w:framePr w:h="586" w:hRule="exact" w:wrap="none" w:vAnchor="text" w:hAnchor="page" w:x="5922" w:y="-193"/>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61C7144D" w14:textId="3C857247" w:rsidR="000459F7" w:rsidRPr="005561B3" w:rsidRDefault="000A1179" w:rsidP="004D749A">
    <w:pPr>
      <w:pStyle w:val="Footer"/>
      <w:rPr>
        <w:b/>
      </w:rPr>
    </w:pPr>
    <w:r>
      <w:rPr>
        <w:noProof/>
      </w:rPr>
      <w:drawing>
        <wp:anchor distT="0" distB="0" distL="114300" distR="114300" simplePos="0" relativeHeight="251657216" behindDoc="1" locked="0" layoutInCell="1" allowOverlap="1" wp14:anchorId="2F866DD3" wp14:editId="2311D128">
          <wp:simplePos x="0" y="0"/>
          <wp:positionH relativeFrom="column">
            <wp:posOffset>-453390</wp:posOffset>
          </wp:positionH>
          <wp:positionV relativeFrom="paragraph">
            <wp:posOffset>-60960</wp:posOffset>
          </wp:positionV>
          <wp:extent cx="6883200" cy="252000"/>
          <wp:effectExtent l="0" t="0" r="0" b="0"/>
          <wp:wrapNone/>
          <wp:docPr id="3" name="Picture 3"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44345D">
      <w:rPr>
        <w:noProof/>
      </w:rPr>
      <w:t>Economic and Regulatory Policy</w:t>
    </w:r>
    <w:r w:rsidR="00723F5C">
      <w:rPr>
        <w:noProof/>
      </w:rPr>
      <w:tab/>
    </w:r>
    <w:r w:rsidR="0062148A">
      <w:rPr>
        <w:noProof/>
      </w:rPr>
      <w:tab/>
    </w:r>
    <w:r w:rsidR="004D749A">
      <w:rPr>
        <w:noProof/>
      </w:rPr>
      <w:tab/>
    </w:r>
    <w:r w:rsidR="004D749A">
      <w:rPr>
        <w:noProof/>
      </w:rPr>
      <w:tab/>
      <w:t xml:space="preserve"> </w:t>
    </w:r>
    <w:r w:rsidR="004D749A">
      <w:rPr>
        <w:noProof/>
      </w:rPr>
      <w:tab/>
    </w:r>
    <w:r w:rsidR="004D749A">
      <w:rPr>
        <w:noProof/>
      </w:rPr>
      <w:tab/>
    </w:r>
    <w:r w:rsidR="004D749A">
      <w:rPr>
        <w:noProof/>
      </w:rPr>
      <w:tab/>
    </w:r>
    <w:r w:rsidR="004D749A">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5D94" w14:textId="77777777" w:rsidR="00FF37FC" w:rsidRDefault="00FF37FC" w:rsidP="001723F7">
      <w:pPr>
        <w:spacing w:before="0" w:after="0"/>
      </w:pPr>
      <w:r>
        <w:separator/>
      </w:r>
    </w:p>
  </w:footnote>
  <w:footnote w:type="continuationSeparator" w:id="0">
    <w:p w14:paraId="3F7E3BB5" w14:textId="77777777" w:rsidR="00FF37FC" w:rsidRDefault="00FF37FC">
      <w:pPr>
        <w:spacing w:before="0" w:after="0"/>
      </w:pPr>
      <w:r>
        <w:continuationSeparator/>
      </w:r>
    </w:p>
    <w:p w14:paraId="68C5593B" w14:textId="77777777" w:rsidR="00FF37FC" w:rsidRDefault="00FF37FC"/>
  </w:footnote>
  <w:footnote w:type="continuationNotice" w:id="1">
    <w:p w14:paraId="0A1118A3" w14:textId="77777777" w:rsidR="00FF37FC" w:rsidRDefault="00FF37FC">
      <w:pPr>
        <w:spacing w:before="0" w:after="0" w:line="240" w:lineRule="auto"/>
      </w:pPr>
    </w:p>
  </w:footnote>
  <w:footnote w:id="2">
    <w:p w14:paraId="316706EB" w14:textId="3D933209" w:rsidR="00534ED1" w:rsidRDefault="00534ED1">
      <w:pPr>
        <w:pStyle w:val="FootnoteText"/>
      </w:pPr>
      <w:r w:rsidRPr="002C7EC7">
        <w:rPr>
          <w:rStyle w:val="FootnoteReference"/>
          <w:sz w:val="18"/>
          <w:szCs w:val="18"/>
        </w:rPr>
        <w:footnoteRef/>
      </w:r>
      <w:r w:rsidRPr="002C7EC7">
        <w:rPr>
          <w:sz w:val="18"/>
          <w:szCs w:val="18"/>
        </w:rPr>
        <w:t xml:space="preserve"> </w:t>
      </w:r>
      <w:r w:rsidR="002C7EC7" w:rsidRPr="002C7EC7">
        <w:rPr>
          <w:sz w:val="18"/>
          <w:szCs w:val="18"/>
        </w:rPr>
        <w:t xml:space="preserve">Australian Law Reform Commission 2008, </w:t>
      </w:r>
      <w:r w:rsidR="002C7EC7" w:rsidRPr="002C7EC7">
        <w:rPr>
          <w:i/>
          <w:iCs/>
          <w:sz w:val="18"/>
          <w:szCs w:val="18"/>
        </w:rPr>
        <w:t>For Your Information: Australian Privacy Law and Practice (ALRC Report 108)</w:t>
      </w:r>
      <w:r w:rsidR="002C7EC7" w:rsidRPr="002C7EC7">
        <w:rPr>
          <w:sz w:val="18"/>
          <w:szCs w:val="18"/>
        </w:rPr>
        <w:t>.</w:t>
      </w:r>
    </w:p>
  </w:footnote>
  <w:footnote w:id="3">
    <w:p w14:paraId="30C45256" w14:textId="77777777" w:rsidR="00FD258F" w:rsidRDefault="00FD258F" w:rsidP="00FD258F">
      <w:pPr>
        <w:pStyle w:val="FootnoteText"/>
      </w:pPr>
      <w:r w:rsidRPr="00D1688C">
        <w:rPr>
          <w:rStyle w:val="FootnoteReference"/>
          <w:sz w:val="18"/>
          <w:szCs w:val="18"/>
        </w:rPr>
        <w:footnoteRef/>
      </w:r>
      <w:r w:rsidRPr="00D1688C">
        <w:rPr>
          <w:sz w:val="18"/>
          <w:szCs w:val="18"/>
        </w:rPr>
        <w:t xml:space="preserve"> Australian Law Reform Commission 2011</w:t>
      </w:r>
      <w:r>
        <w:rPr>
          <w:sz w:val="18"/>
          <w:szCs w:val="18"/>
        </w:rPr>
        <w:t xml:space="preserve">, </w:t>
      </w:r>
      <w:r w:rsidRPr="00463842">
        <w:rPr>
          <w:i/>
          <w:iCs/>
          <w:sz w:val="18"/>
          <w:szCs w:val="18"/>
        </w:rPr>
        <w:t>National Classification Scheme Review (DP 77)</w:t>
      </w:r>
      <w:r w:rsidRPr="00D1688C">
        <w:rPr>
          <w:sz w:val="18"/>
          <w:szCs w:val="18"/>
        </w:rPr>
        <w:t>.</w:t>
      </w:r>
    </w:p>
  </w:footnote>
  <w:footnote w:id="4">
    <w:p w14:paraId="0596440D" w14:textId="2CD4BABA" w:rsidR="00A35338" w:rsidRDefault="00A35338">
      <w:pPr>
        <w:pStyle w:val="FootnoteText"/>
      </w:pPr>
      <w:r w:rsidRPr="004B79B3">
        <w:rPr>
          <w:rStyle w:val="FootnoteReference"/>
          <w:sz w:val="18"/>
          <w:szCs w:val="18"/>
        </w:rPr>
        <w:footnoteRef/>
      </w:r>
      <w:r w:rsidRPr="004B79B3">
        <w:rPr>
          <w:sz w:val="18"/>
          <w:szCs w:val="18"/>
        </w:rPr>
        <w:t xml:space="preserve"> </w:t>
      </w:r>
      <w:r w:rsidR="00CE004F">
        <w:rPr>
          <w:sz w:val="18"/>
          <w:szCs w:val="18"/>
        </w:rPr>
        <w:t xml:space="preserve">The </w:t>
      </w:r>
      <w:r w:rsidRPr="004B79B3">
        <w:rPr>
          <w:sz w:val="18"/>
          <w:szCs w:val="18"/>
        </w:rPr>
        <w:t>NSW Department of Industry</w:t>
      </w:r>
      <w:r w:rsidR="00CE004F">
        <w:rPr>
          <w:sz w:val="18"/>
          <w:szCs w:val="18"/>
        </w:rPr>
        <w:t xml:space="preserve">’s </w:t>
      </w:r>
      <w:r w:rsidRPr="004B79B3">
        <w:rPr>
          <w:sz w:val="18"/>
          <w:szCs w:val="18"/>
        </w:rPr>
        <w:t xml:space="preserve"> </w:t>
      </w:r>
      <w:hyperlink r:id="rId1" w:history="1">
        <w:r w:rsidRPr="00CE004F">
          <w:rPr>
            <w:rStyle w:val="Hyperlink"/>
            <w:i/>
            <w:iCs/>
            <w:sz w:val="18"/>
            <w:szCs w:val="18"/>
          </w:rPr>
          <w:t>Market failure guide – A guide to categorising market failures for government development and evaluation</w:t>
        </w:r>
      </w:hyperlink>
      <w:r w:rsidR="00CE004F">
        <w:rPr>
          <w:i/>
          <w:iCs/>
          <w:sz w:val="18"/>
          <w:szCs w:val="18"/>
        </w:rPr>
        <w:t xml:space="preserve"> </w:t>
      </w:r>
      <w:r w:rsidR="00CE004F">
        <w:rPr>
          <w:sz w:val="18"/>
          <w:szCs w:val="18"/>
        </w:rPr>
        <w:t>provides a very helpful and detailed guide on recognised market failures which may be of assistance in the making of public policy</w:t>
      </w:r>
      <w:r w:rsidR="003611CC">
        <w:rPr>
          <w:i/>
          <w:iCs/>
          <w:sz w:val="18"/>
          <w:szCs w:val="18"/>
        </w:rPr>
        <w:t>.</w:t>
      </w:r>
      <w:r w:rsidRPr="004B79B3">
        <w:rPr>
          <w:sz w:val="18"/>
          <w:szCs w:val="18"/>
        </w:rPr>
        <w:t xml:space="preserve"> </w:t>
      </w:r>
    </w:p>
  </w:footnote>
  <w:footnote w:id="5">
    <w:p w14:paraId="3216E678" w14:textId="2178030F" w:rsidR="003611CC" w:rsidRDefault="003611CC">
      <w:pPr>
        <w:pStyle w:val="FootnoteText"/>
      </w:pPr>
      <w:r w:rsidRPr="004B79B3">
        <w:rPr>
          <w:rStyle w:val="FootnoteReference"/>
          <w:sz w:val="18"/>
          <w:szCs w:val="18"/>
        </w:rPr>
        <w:footnoteRef/>
      </w:r>
      <w:r w:rsidRPr="004B79B3">
        <w:rPr>
          <w:sz w:val="18"/>
          <w:szCs w:val="18"/>
        </w:rPr>
        <w:t xml:space="preserve"> Office of Impact Analysis 2023, </w:t>
      </w:r>
      <w:r w:rsidRPr="004B79B3">
        <w:rPr>
          <w:i/>
          <w:iCs/>
          <w:sz w:val="18"/>
          <w:szCs w:val="18"/>
        </w:rPr>
        <w:t>Cost Benefit Analysis</w:t>
      </w:r>
      <w:r w:rsidRPr="004B79B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5FCD792B" w:rsidR="00E61BB1" w:rsidRDefault="00263A8F">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style="position:absolute;margin-left:0;margin-top:0;width:491.1pt;height:694.55pt;z-index:-251658240;mso-wrap-edited:f;mso-position-horizontal:center;mso-position-horizontal-relative:margin;mso-position-vertical:center;mso-position-vertical-relative:margin" o:allowincell="f">
          <v:imagedata r:id="rId1" o:title="ACT_Gov_Templates_Report_blu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5D2"/>
    <w:multiLevelType w:val="hybridMultilevel"/>
    <w:tmpl w:val="300497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10D459D"/>
    <w:multiLevelType w:val="multilevel"/>
    <w:tmpl w:val="3C70EEC0"/>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CA22C69"/>
    <w:multiLevelType w:val="multilevel"/>
    <w:tmpl w:val="EE20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700ADC"/>
    <w:multiLevelType w:val="hybridMultilevel"/>
    <w:tmpl w:val="1D6E4E0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AB50ACB"/>
    <w:multiLevelType w:val="hybridMultilevel"/>
    <w:tmpl w:val="9F925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CA05A9"/>
    <w:multiLevelType w:val="hybridMultilevel"/>
    <w:tmpl w:val="87E835E8"/>
    <w:lvl w:ilvl="0" w:tplc="6CA0908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3E78F7"/>
    <w:multiLevelType w:val="hybridMultilevel"/>
    <w:tmpl w:val="D4D69712"/>
    <w:lvl w:ilvl="0" w:tplc="B992C3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85401"/>
    <w:multiLevelType w:val="hybridMultilevel"/>
    <w:tmpl w:val="F8547560"/>
    <w:lvl w:ilvl="0" w:tplc="44A28258">
      <w:start w:val="1"/>
      <w:numFmt w:val="bullet"/>
      <w:lvlText w:val="•"/>
      <w:lvlJc w:val="left"/>
      <w:pPr>
        <w:tabs>
          <w:tab w:val="num" w:pos="720"/>
        </w:tabs>
        <w:ind w:left="720" w:hanging="360"/>
      </w:pPr>
      <w:rPr>
        <w:rFonts w:ascii="Arial" w:hAnsi="Arial" w:hint="default"/>
      </w:rPr>
    </w:lvl>
    <w:lvl w:ilvl="1" w:tplc="0770D5FC">
      <w:numFmt w:val="bullet"/>
      <w:lvlText w:val="•"/>
      <w:lvlJc w:val="left"/>
      <w:pPr>
        <w:tabs>
          <w:tab w:val="num" w:pos="1440"/>
        </w:tabs>
        <w:ind w:left="1440" w:hanging="360"/>
      </w:pPr>
      <w:rPr>
        <w:rFonts w:ascii="Arial" w:hAnsi="Arial" w:hint="default"/>
      </w:rPr>
    </w:lvl>
    <w:lvl w:ilvl="2" w:tplc="CE146BF0" w:tentative="1">
      <w:start w:val="1"/>
      <w:numFmt w:val="bullet"/>
      <w:lvlText w:val="•"/>
      <w:lvlJc w:val="left"/>
      <w:pPr>
        <w:tabs>
          <w:tab w:val="num" w:pos="2160"/>
        </w:tabs>
        <w:ind w:left="2160" w:hanging="360"/>
      </w:pPr>
      <w:rPr>
        <w:rFonts w:ascii="Arial" w:hAnsi="Arial" w:hint="default"/>
      </w:rPr>
    </w:lvl>
    <w:lvl w:ilvl="3" w:tplc="4E429E28" w:tentative="1">
      <w:start w:val="1"/>
      <w:numFmt w:val="bullet"/>
      <w:lvlText w:val="•"/>
      <w:lvlJc w:val="left"/>
      <w:pPr>
        <w:tabs>
          <w:tab w:val="num" w:pos="2880"/>
        </w:tabs>
        <w:ind w:left="2880" w:hanging="360"/>
      </w:pPr>
      <w:rPr>
        <w:rFonts w:ascii="Arial" w:hAnsi="Arial" w:hint="default"/>
      </w:rPr>
    </w:lvl>
    <w:lvl w:ilvl="4" w:tplc="05CA754A" w:tentative="1">
      <w:start w:val="1"/>
      <w:numFmt w:val="bullet"/>
      <w:lvlText w:val="•"/>
      <w:lvlJc w:val="left"/>
      <w:pPr>
        <w:tabs>
          <w:tab w:val="num" w:pos="3600"/>
        </w:tabs>
        <w:ind w:left="3600" w:hanging="360"/>
      </w:pPr>
      <w:rPr>
        <w:rFonts w:ascii="Arial" w:hAnsi="Arial" w:hint="default"/>
      </w:rPr>
    </w:lvl>
    <w:lvl w:ilvl="5" w:tplc="0CC070F6" w:tentative="1">
      <w:start w:val="1"/>
      <w:numFmt w:val="bullet"/>
      <w:lvlText w:val="•"/>
      <w:lvlJc w:val="left"/>
      <w:pPr>
        <w:tabs>
          <w:tab w:val="num" w:pos="4320"/>
        </w:tabs>
        <w:ind w:left="4320" w:hanging="360"/>
      </w:pPr>
      <w:rPr>
        <w:rFonts w:ascii="Arial" w:hAnsi="Arial" w:hint="default"/>
      </w:rPr>
    </w:lvl>
    <w:lvl w:ilvl="6" w:tplc="191E00A2" w:tentative="1">
      <w:start w:val="1"/>
      <w:numFmt w:val="bullet"/>
      <w:lvlText w:val="•"/>
      <w:lvlJc w:val="left"/>
      <w:pPr>
        <w:tabs>
          <w:tab w:val="num" w:pos="5040"/>
        </w:tabs>
        <w:ind w:left="5040" w:hanging="360"/>
      </w:pPr>
      <w:rPr>
        <w:rFonts w:ascii="Arial" w:hAnsi="Arial" w:hint="default"/>
      </w:rPr>
    </w:lvl>
    <w:lvl w:ilvl="7" w:tplc="BA1A1EDA" w:tentative="1">
      <w:start w:val="1"/>
      <w:numFmt w:val="bullet"/>
      <w:lvlText w:val="•"/>
      <w:lvlJc w:val="left"/>
      <w:pPr>
        <w:tabs>
          <w:tab w:val="num" w:pos="5760"/>
        </w:tabs>
        <w:ind w:left="5760" w:hanging="360"/>
      </w:pPr>
      <w:rPr>
        <w:rFonts w:ascii="Arial" w:hAnsi="Arial" w:hint="default"/>
      </w:rPr>
    </w:lvl>
    <w:lvl w:ilvl="8" w:tplc="1012F5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46B2609E"/>
    <w:multiLevelType w:val="hybridMultilevel"/>
    <w:tmpl w:val="FC8C379E"/>
    <w:lvl w:ilvl="0" w:tplc="FC2E28B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727013"/>
    <w:multiLevelType w:val="hybridMultilevel"/>
    <w:tmpl w:val="B98E1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57D26A18"/>
    <w:numStyleLink w:val="KCBullets"/>
  </w:abstractNum>
  <w:abstractNum w:abstractNumId="21"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F533861"/>
    <w:multiLevelType w:val="hybridMultilevel"/>
    <w:tmpl w:val="93AEF6A0"/>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CE3A41"/>
    <w:multiLevelType w:val="hybridMultilevel"/>
    <w:tmpl w:val="2618E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861171144">
    <w:abstractNumId w:val="8"/>
  </w:num>
  <w:num w:numId="2" w16cid:durableId="1015109340">
    <w:abstractNumId w:val="15"/>
  </w:num>
  <w:num w:numId="3" w16cid:durableId="1465467451">
    <w:abstractNumId w:val="26"/>
  </w:num>
  <w:num w:numId="4" w16cid:durableId="1998603632">
    <w:abstractNumId w:val="27"/>
  </w:num>
  <w:num w:numId="5" w16cid:durableId="1599096051">
    <w:abstractNumId w:val="2"/>
  </w:num>
  <w:num w:numId="6" w16cid:durableId="923883710">
    <w:abstractNumId w:val="20"/>
  </w:num>
  <w:num w:numId="7" w16cid:durableId="2115199670">
    <w:abstractNumId w:val="18"/>
  </w:num>
  <w:num w:numId="8" w16cid:durableId="1740857809">
    <w:abstractNumId w:val="12"/>
  </w:num>
  <w:num w:numId="9" w16cid:durableId="488986230">
    <w:abstractNumId w:val="14"/>
  </w:num>
  <w:num w:numId="10" w16cid:durableId="1188442450">
    <w:abstractNumId w:val="5"/>
  </w:num>
  <w:num w:numId="11" w16cid:durableId="216820837">
    <w:abstractNumId w:val="23"/>
  </w:num>
  <w:num w:numId="12" w16cid:durableId="1517841958">
    <w:abstractNumId w:val="22"/>
  </w:num>
  <w:num w:numId="13" w16cid:durableId="1691419588">
    <w:abstractNumId w:val="7"/>
  </w:num>
  <w:num w:numId="14" w16cid:durableId="1639989704">
    <w:abstractNumId w:val="19"/>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395348261">
    <w:abstractNumId w:val="1"/>
  </w:num>
  <w:num w:numId="16" w16cid:durableId="1098674909">
    <w:abstractNumId w:val="21"/>
  </w:num>
  <w:num w:numId="17" w16cid:durableId="2072997310">
    <w:abstractNumId w:val="3"/>
  </w:num>
  <w:num w:numId="18" w16cid:durableId="1251351078">
    <w:abstractNumId w:val="0"/>
  </w:num>
  <w:num w:numId="19" w16cid:durableId="11763105">
    <w:abstractNumId w:val="10"/>
  </w:num>
  <w:num w:numId="20" w16cid:durableId="786510712">
    <w:abstractNumId w:val="13"/>
  </w:num>
  <w:num w:numId="21" w16cid:durableId="2119644067">
    <w:abstractNumId w:val="6"/>
  </w:num>
  <w:num w:numId="22" w16cid:durableId="761098628">
    <w:abstractNumId w:val="4"/>
  </w:num>
  <w:num w:numId="23" w16cid:durableId="261108040">
    <w:abstractNumId w:val="26"/>
  </w:num>
  <w:num w:numId="24" w16cid:durableId="1751610699">
    <w:abstractNumId w:val="26"/>
  </w:num>
  <w:num w:numId="25" w16cid:durableId="1650741905">
    <w:abstractNumId w:val="25"/>
  </w:num>
  <w:num w:numId="26" w16cid:durableId="248077114">
    <w:abstractNumId w:val="16"/>
  </w:num>
  <w:num w:numId="27" w16cid:durableId="65687452">
    <w:abstractNumId w:val="24"/>
  </w:num>
  <w:num w:numId="28" w16cid:durableId="1909488526">
    <w:abstractNumId w:val="26"/>
  </w:num>
  <w:num w:numId="29" w16cid:durableId="156383416">
    <w:abstractNumId w:val="26"/>
  </w:num>
  <w:num w:numId="30" w16cid:durableId="839350038">
    <w:abstractNumId w:val="11"/>
  </w:num>
  <w:num w:numId="31" w16cid:durableId="1476987769">
    <w:abstractNumId w:val="17"/>
  </w:num>
  <w:num w:numId="32" w16cid:durableId="92592114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1FBE"/>
    <w:rsid w:val="00002A83"/>
    <w:rsid w:val="00002AF7"/>
    <w:rsid w:val="00002E80"/>
    <w:rsid w:val="0000681A"/>
    <w:rsid w:val="0001033F"/>
    <w:rsid w:val="00010F4F"/>
    <w:rsid w:val="00011180"/>
    <w:rsid w:val="00014615"/>
    <w:rsid w:val="000148A1"/>
    <w:rsid w:val="000166E2"/>
    <w:rsid w:val="00020DCD"/>
    <w:rsid w:val="000219A2"/>
    <w:rsid w:val="00022A83"/>
    <w:rsid w:val="00024DB8"/>
    <w:rsid w:val="000264C0"/>
    <w:rsid w:val="00026D8D"/>
    <w:rsid w:val="00030122"/>
    <w:rsid w:val="00030878"/>
    <w:rsid w:val="00030F0F"/>
    <w:rsid w:val="0003113F"/>
    <w:rsid w:val="00033095"/>
    <w:rsid w:val="00033B8B"/>
    <w:rsid w:val="00034451"/>
    <w:rsid w:val="00036358"/>
    <w:rsid w:val="000405DE"/>
    <w:rsid w:val="000409CC"/>
    <w:rsid w:val="00041229"/>
    <w:rsid w:val="00042315"/>
    <w:rsid w:val="00043194"/>
    <w:rsid w:val="00043405"/>
    <w:rsid w:val="000434D6"/>
    <w:rsid w:val="00043D9A"/>
    <w:rsid w:val="000448C9"/>
    <w:rsid w:val="000459F7"/>
    <w:rsid w:val="000468A5"/>
    <w:rsid w:val="00046C7E"/>
    <w:rsid w:val="00047A2F"/>
    <w:rsid w:val="00047C57"/>
    <w:rsid w:val="000510F5"/>
    <w:rsid w:val="000513E3"/>
    <w:rsid w:val="0005202D"/>
    <w:rsid w:val="00052CE2"/>
    <w:rsid w:val="0005427C"/>
    <w:rsid w:val="00060883"/>
    <w:rsid w:val="00061209"/>
    <w:rsid w:val="00061CB7"/>
    <w:rsid w:val="00062FC3"/>
    <w:rsid w:val="0006374D"/>
    <w:rsid w:val="00063F53"/>
    <w:rsid w:val="00067AB9"/>
    <w:rsid w:val="00067E3F"/>
    <w:rsid w:val="00067F06"/>
    <w:rsid w:val="00070C45"/>
    <w:rsid w:val="000735A1"/>
    <w:rsid w:val="000772E8"/>
    <w:rsid w:val="00080696"/>
    <w:rsid w:val="000807BA"/>
    <w:rsid w:val="00080A08"/>
    <w:rsid w:val="000815FE"/>
    <w:rsid w:val="00081EA3"/>
    <w:rsid w:val="0008724A"/>
    <w:rsid w:val="0009011D"/>
    <w:rsid w:val="0009174D"/>
    <w:rsid w:val="00091AD4"/>
    <w:rsid w:val="00093948"/>
    <w:rsid w:val="000945FC"/>
    <w:rsid w:val="00095302"/>
    <w:rsid w:val="000977F2"/>
    <w:rsid w:val="000A1179"/>
    <w:rsid w:val="000A24E1"/>
    <w:rsid w:val="000A2720"/>
    <w:rsid w:val="000A2753"/>
    <w:rsid w:val="000A31F3"/>
    <w:rsid w:val="000A5858"/>
    <w:rsid w:val="000A6056"/>
    <w:rsid w:val="000A6F7E"/>
    <w:rsid w:val="000B171E"/>
    <w:rsid w:val="000B192F"/>
    <w:rsid w:val="000B2E66"/>
    <w:rsid w:val="000B3474"/>
    <w:rsid w:val="000B357A"/>
    <w:rsid w:val="000B416C"/>
    <w:rsid w:val="000B5A89"/>
    <w:rsid w:val="000B5BD5"/>
    <w:rsid w:val="000C124F"/>
    <w:rsid w:val="000C1789"/>
    <w:rsid w:val="000C5F0A"/>
    <w:rsid w:val="000C759F"/>
    <w:rsid w:val="000D0448"/>
    <w:rsid w:val="000D216F"/>
    <w:rsid w:val="000D3642"/>
    <w:rsid w:val="000D3DE7"/>
    <w:rsid w:val="000D473E"/>
    <w:rsid w:val="000D5635"/>
    <w:rsid w:val="000D6200"/>
    <w:rsid w:val="000D64AA"/>
    <w:rsid w:val="000D7B2A"/>
    <w:rsid w:val="000E01B8"/>
    <w:rsid w:val="000E11E7"/>
    <w:rsid w:val="000E15D9"/>
    <w:rsid w:val="000E1F7B"/>
    <w:rsid w:val="000E35A9"/>
    <w:rsid w:val="000E3D99"/>
    <w:rsid w:val="000E7AB9"/>
    <w:rsid w:val="000F0307"/>
    <w:rsid w:val="000F1369"/>
    <w:rsid w:val="000F489D"/>
    <w:rsid w:val="000F7076"/>
    <w:rsid w:val="0010075F"/>
    <w:rsid w:val="00102AED"/>
    <w:rsid w:val="00103C68"/>
    <w:rsid w:val="00105680"/>
    <w:rsid w:val="0010655A"/>
    <w:rsid w:val="001068AC"/>
    <w:rsid w:val="0011082B"/>
    <w:rsid w:val="001129ED"/>
    <w:rsid w:val="00113337"/>
    <w:rsid w:val="00114877"/>
    <w:rsid w:val="00116A4B"/>
    <w:rsid w:val="001202BC"/>
    <w:rsid w:val="00120DB6"/>
    <w:rsid w:val="00121C1B"/>
    <w:rsid w:val="001220C6"/>
    <w:rsid w:val="00122B4D"/>
    <w:rsid w:val="00123174"/>
    <w:rsid w:val="00123ECA"/>
    <w:rsid w:val="001259B2"/>
    <w:rsid w:val="00125E59"/>
    <w:rsid w:val="00126A84"/>
    <w:rsid w:val="001274ED"/>
    <w:rsid w:val="00132274"/>
    <w:rsid w:val="0013353E"/>
    <w:rsid w:val="0013563F"/>
    <w:rsid w:val="00137F41"/>
    <w:rsid w:val="00140E63"/>
    <w:rsid w:val="001411B2"/>
    <w:rsid w:val="0014450A"/>
    <w:rsid w:val="00144763"/>
    <w:rsid w:val="001447BF"/>
    <w:rsid w:val="00145009"/>
    <w:rsid w:val="001456B1"/>
    <w:rsid w:val="00145715"/>
    <w:rsid w:val="00146150"/>
    <w:rsid w:val="00146D8C"/>
    <w:rsid w:val="00147183"/>
    <w:rsid w:val="00147648"/>
    <w:rsid w:val="00147A4B"/>
    <w:rsid w:val="001509FD"/>
    <w:rsid w:val="001538E2"/>
    <w:rsid w:val="001618B8"/>
    <w:rsid w:val="001622AF"/>
    <w:rsid w:val="001628EB"/>
    <w:rsid w:val="001659C3"/>
    <w:rsid w:val="00165D31"/>
    <w:rsid w:val="00166D71"/>
    <w:rsid w:val="001723F7"/>
    <w:rsid w:val="00172D6C"/>
    <w:rsid w:val="00173538"/>
    <w:rsid w:val="00174920"/>
    <w:rsid w:val="001755DA"/>
    <w:rsid w:val="00181146"/>
    <w:rsid w:val="001811D1"/>
    <w:rsid w:val="00182264"/>
    <w:rsid w:val="00182C92"/>
    <w:rsid w:val="00182F29"/>
    <w:rsid w:val="00183FC6"/>
    <w:rsid w:val="001842B3"/>
    <w:rsid w:val="00184AEB"/>
    <w:rsid w:val="00185CCE"/>
    <w:rsid w:val="00186490"/>
    <w:rsid w:val="001868B5"/>
    <w:rsid w:val="00187133"/>
    <w:rsid w:val="001901D9"/>
    <w:rsid w:val="0019032A"/>
    <w:rsid w:val="00190528"/>
    <w:rsid w:val="00190A3B"/>
    <w:rsid w:val="00190E06"/>
    <w:rsid w:val="001916F5"/>
    <w:rsid w:val="00191931"/>
    <w:rsid w:val="00193328"/>
    <w:rsid w:val="001A08BD"/>
    <w:rsid w:val="001A192A"/>
    <w:rsid w:val="001A49E0"/>
    <w:rsid w:val="001A6487"/>
    <w:rsid w:val="001A6B68"/>
    <w:rsid w:val="001A7172"/>
    <w:rsid w:val="001A7AAA"/>
    <w:rsid w:val="001A7D21"/>
    <w:rsid w:val="001B5152"/>
    <w:rsid w:val="001B5B9D"/>
    <w:rsid w:val="001B6B20"/>
    <w:rsid w:val="001B6D2B"/>
    <w:rsid w:val="001B771B"/>
    <w:rsid w:val="001C18BE"/>
    <w:rsid w:val="001C23FF"/>
    <w:rsid w:val="001C5E9F"/>
    <w:rsid w:val="001C75A9"/>
    <w:rsid w:val="001C790B"/>
    <w:rsid w:val="001D0003"/>
    <w:rsid w:val="001D03E6"/>
    <w:rsid w:val="001D47FB"/>
    <w:rsid w:val="001E00FC"/>
    <w:rsid w:val="001E0980"/>
    <w:rsid w:val="001E0C4D"/>
    <w:rsid w:val="001E0F16"/>
    <w:rsid w:val="001E174B"/>
    <w:rsid w:val="001E1A4A"/>
    <w:rsid w:val="001E22BD"/>
    <w:rsid w:val="001E2685"/>
    <w:rsid w:val="001E6220"/>
    <w:rsid w:val="001E6D0F"/>
    <w:rsid w:val="001F14CD"/>
    <w:rsid w:val="001F4CBE"/>
    <w:rsid w:val="001F5113"/>
    <w:rsid w:val="001F5368"/>
    <w:rsid w:val="001F562D"/>
    <w:rsid w:val="001F5A1E"/>
    <w:rsid w:val="001F5AEC"/>
    <w:rsid w:val="00200493"/>
    <w:rsid w:val="0020407C"/>
    <w:rsid w:val="00205F19"/>
    <w:rsid w:val="00206AF0"/>
    <w:rsid w:val="00207295"/>
    <w:rsid w:val="00207912"/>
    <w:rsid w:val="00210E24"/>
    <w:rsid w:val="00211822"/>
    <w:rsid w:val="0021438C"/>
    <w:rsid w:val="00214621"/>
    <w:rsid w:val="002151D4"/>
    <w:rsid w:val="002161A6"/>
    <w:rsid w:val="00216763"/>
    <w:rsid w:val="002220C0"/>
    <w:rsid w:val="00222C35"/>
    <w:rsid w:val="002246A4"/>
    <w:rsid w:val="00225168"/>
    <w:rsid w:val="00225D81"/>
    <w:rsid w:val="00226D92"/>
    <w:rsid w:val="00227DEA"/>
    <w:rsid w:val="00230CD3"/>
    <w:rsid w:val="00231E71"/>
    <w:rsid w:val="00232D72"/>
    <w:rsid w:val="00232FEE"/>
    <w:rsid w:val="0023339B"/>
    <w:rsid w:val="002365A8"/>
    <w:rsid w:val="002424E6"/>
    <w:rsid w:val="002427B3"/>
    <w:rsid w:val="0024417A"/>
    <w:rsid w:val="002456B4"/>
    <w:rsid w:val="00250FEA"/>
    <w:rsid w:val="002519BD"/>
    <w:rsid w:val="00254EE3"/>
    <w:rsid w:val="00255562"/>
    <w:rsid w:val="0025564E"/>
    <w:rsid w:val="00257E4B"/>
    <w:rsid w:val="0026124B"/>
    <w:rsid w:val="00261A19"/>
    <w:rsid w:val="00262E7E"/>
    <w:rsid w:val="00263A8F"/>
    <w:rsid w:val="00264497"/>
    <w:rsid w:val="00264D32"/>
    <w:rsid w:val="0026633C"/>
    <w:rsid w:val="00267D0B"/>
    <w:rsid w:val="00267E16"/>
    <w:rsid w:val="00270076"/>
    <w:rsid w:val="00272098"/>
    <w:rsid w:val="00272E11"/>
    <w:rsid w:val="00272FF4"/>
    <w:rsid w:val="00273FD1"/>
    <w:rsid w:val="002756D1"/>
    <w:rsid w:val="002778B7"/>
    <w:rsid w:val="00277AF5"/>
    <w:rsid w:val="0028052C"/>
    <w:rsid w:val="00282C1A"/>
    <w:rsid w:val="00283DA5"/>
    <w:rsid w:val="00284B1E"/>
    <w:rsid w:val="00286285"/>
    <w:rsid w:val="00286354"/>
    <w:rsid w:val="00286EAD"/>
    <w:rsid w:val="002873F2"/>
    <w:rsid w:val="0028772E"/>
    <w:rsid w:val="002901DC"/>
    <w:rsid w:val="002903A5"/>
    <w:rsid w:val="00290922"/>
    <w:rsid w:val="00291845"/>
    <w:rsid w:val="00292832"/>
    <w:rsid w:val="002A0344"/>
    <w:rsid w:val="002A0679"/>
    <w:rsid w:val="002A0931"/>
    <w:rsid w:val="002A190D"/>
    <w:rsid w:val="002A2269"/>
    <w:rsid w:val="002A3C2D"/>
    <w:rsid w:val="002A47C5"/>
    <w:rsid w:val="002A47F8"/>
    <w:rsid w:val="002A4A6C"/>
    <w:rsid w:val="002A56F3"/>
    <w:rsid w:val="002B3A89"/>
    <w:rsid w:val="002B4201"/>
    <w:rsid w:val="002B4E0E"/>
    <w:rsid w:val="002B58CD"/>
    <w:rsid w:val="002B6770"/>
    <w:rsid w:val="002C102A"/>
    <w:rsid w:val="002C112F"/>
    <w:rsid w:val="002C1CE4"/>
    <w:rsid w:val="002C494E"/>
    <w:rsid w:val="002C4BD6"/>
    <w:rsid w:val="002C4E6C"/>
    <w:rsid w:val="002C7EC7"/>
    <w:rsid w:val="002D0C44"/>
    <w:rsid w:val="002D1F0C"/>
    <w:rsid w:val="002D3D10"/>
    <w:rsid w:val="002D3DED"/>
    <w:rsid w:val="002D69F8"/>
    <w:rsid w:val="002D741F"/>
    <w:rsid w:val="002D7E91"/>
    <w:rsid w:val="002E09DF"/>
    <w:rsid w:val="002E15CE"/>
    <w:rsid w:val="002E2D14"/>
    <w:rsid w:val="002E5282"/>
    <w:rsid w:val="002E53A0"/>
    <w:rsid w:val="002E54EC"/>
    <w:rsid w:val="002E65A9"/>
    <w:rsid w:val="002E6F74"/>
    <w:rsid w:val="002F0412"/>
    <w:rsid w:val="002F0BA3"/>
    <w:rsid w:val="002F10B5"/>
    <w:rsid w:val="002F14F6"/>
    <w:rsid w:val="002F1DDD"/>
    <w:rsid w:val="002F1EB3"/>
    <w:rsid w:val="002F2416"/>
    <w:rsid w:val="002F4845"/>
    <w:rsid w:val="002F5A2F"/>
    <w:rsid w:val="00300CCC"/>
    <w:rsid w:val="003035F1"/>
    <w:rsid w:val="003048E7"/>
    <w:rsid w:val="00310219"/>
    <w:rsid w:val="0031221A"/>
    <w:rsid w:val="0031298B"/>
    <w:rsid w:val="0031321B"/>
    <w:rsid w:val="0031376F"/>
    <w:rsid w:val="00313AA1"/>
    <w:rsid w:val="00313BAD"/>
    <w:rsid w:val="003144A1"/>
    <w:rsid w:val="00315343"/>
    <w:rsid w:val="00316972"/>
    <w:rsid w:val="003205AF"/>
    <w:rsid w:val="0032283C"/>
    <w:rsid w:val="0032294D"/>
    <w:rsid w:val="0032301C"/>
    <w:rsid w:val="003237EB"/>
    <w:rsid w:val="00324602"/>
    <w:rsid w:val="00324F0C"/>
    <w:rsid w:val="00325808"/>
    <w:rsid w:val="00325F86"/>
    <w:rsid w:val="0032718E"/>
    <w:rsid w:val="00327C98"/>
    <w:rsid w:val="003325AF"/>
    <w:rsid w:val="003326B9"/>
    <w:rsid w:val="00332C27"/>
    <w:rsid w:val="00334042"/>
    <w:rsid w:val="0033488F"/>
    <w:rsid w:val="003355AA"/>
    <w:rsid w:val="00335BE4"/>
    <w:rsid w:val="00336CCB"/>
    <w:rsid w:val="00336DFD"/>
    <w:rsid w:val="00340363"/>
    <w:rsid w:val="003417B6"/>
    <w:rsid w:val="003418BE"/>
    <w:rsid w:val="0034228D"/>
    <w:rsid w:val="003435A9"/>
    <w:rsid w:val="00345BC4"/>
    <w:rsid w:val="0034701A"/>
    <w:rsid w:val="00350A19"/>
    <w:rsid w:val="00350BBA"/>
    <w:rsid w:val="003512DE"/>
    <w:rsid w:val="00354E1B"/>
    <w:rsid w:val="00357E4E"/>
    <w:rsid w:val="00360481"/>
    <w:rsid w:val="003611CC"/>
    <w:rsid w:val="00361CD4"/>
    <w:rsid w:val="003633D4"/>
    <w:rsid w:val="00366ED2"/>
    <w:rsid w:val="003677B1"/>
    <w:rsid w:val="00370197"/>
    <w:rsid w:val="00370AAB"/>
    <w:rsid w:val="00371114"/>
    <w:rsid w:val="00371DB7"/>
    <w:rsid w:val="00372363"/>
    <w:rsid w:val="003732B9"/>
    <w:rsid w:val="00373693"/>
    <w:rsid w:val="00376982"/>
    <w:rsid w:val="0037748D"/>
    <w:rsid w:val="00382423"/>
    <w:rsid w:val="00382CED"/>
    <w:rsid w:val="003840DD"/>
    <w:rsid w:val="00386324"/>
    <w:rsid w:val="0039075C"/>
    <w:rsid w:val="003908E5"/>
    <w:rsid w:val="00391407"/>
    <w:rsid w:val="00391887"/>
    <w:rsid w:val="00392189"/>
    <w:rsid w:val="00393903"/>
    <w:rsid w:val="00393EA1"/>
    <w:rsid w:val="00394D85"/>
    <w:rsid w:val="003951AE"/>
    <w:rsid w:val="00396F98"/>
    <w:rsid w:val="003A0285"/>
    <w:rsid w:val="003A12EE"/>
    <w:rsid w:val="003A148A"/>
    <w:rsid w:val="003A1497"/>
    <w:rsid w:val="003A1FBA"/>
    <w:rsid w:val="003A2050"/>
    <w:rsid w:val="003A2AAA"/>
    <w:rsid w:val="003A4765"/>
    <w:rsid w:val="003A5449"/>
    <w:rsid w:val="003A5E33"/>
    <w:rsid w:val="003A5FF9"/>
    <w:rsid w:val="003A74DD"/>
    <w:rsid w:val="003A7D9D"/>
    <w:rsid w:val="003B19DE"/>
    <w:rsid w:val="003B285A"/>
    <w:rsid w:val="003B4079"/>
    <w:rsid w:val="003B42E5"/>
    <w:rsid w:val="003B5572"/>
    <w:rsid w:val="003B7CE2"/>
    <w:rsid w:val="003C0B38"/>
    <w:rsid w:val="003C1D6E"/>
    <w:rsid w:val="003C2BC2"/>
    <w:rsid w:val="003C3BAF"/>
    <w:rsid w:val="003C3D01"/>
    <w:rsid w:val="003C4D86"/>
    <w:rsid w:val="003C5CA1"/>
    <w:rsid w:val="003C71E0"/>
    <w:rsid w:val="003C7558"/>
    <w:rsid w:val="003C7DEE"/>
    <w:rsid w:val="003D1CEA"/>
    <w:rsid w:val="003D22DE"/>
    <w:rsid w:val="003D4137"/>
    <w:rsid w:val="003D6B00"/>
    <w:rsid w:val="003D6EDF"/>
    <w:rsid w:val="003E0D6E"/>
    <w:rsid w:val="003E232D"/>
    <w:rsid w:val="003E42E0"/>
    <w:rsid w:val="003E45FA"/>
    <w:rsid w:val="003E4738"/>
    <w:rsid w:val="003E54B5"/>
    <w:rsid w:val="003F1532"/>
    <w:rsid w:val="003F433B"/>
    <w:rsid w:val="003F440B"/>
    <w:rsid w:val="003F4871"/>
    <w:rsid w:val="003F4989"/>
    <w:rsid w:val="003F6C33"/>
    <w:rsid w:val="003F7835"/>
    <w:rsid w:val="00401DFD"/>
    <w:rsid w:val="004020B1"/>
    <w:rsid w:val="00402516"/>
    <w:rsid w:val="00402C25"/>
    <w:rsid w:val="00403623"/>
    <w:rsid w:val="00405778"/>
    <w:rsid w:val="00405C80"/>
    <w:rsid w:val="00406ABD"/>
    <w:rsid w:val="00406B4E"/>
    <w:rsid w:val="0041086B"/>
    <w:rsid w:val="00410DB1"/>
    <w:rsid w:val="00414534"/>
    <w:rsid w:val="00414E94"/>
    <w:rsid w:val="004151E4"/>
    <w:rsid w:val="00415BDB"/>
    <w:rsid w:val="00416498"/>
    <w:rsid w:val="00417870"/>
    <w:rsid w:val="00420A2A"/>
    <w:rsid w:val="004212A4"/>
    <w:rsid w:val="0042205B"/>
    <w:rsid w:val="00423CA3"/>
    <w:rsid w:val="00425FF0"/>
    <w:rsid w:val="00427071"/>
    <w:rsid w:val="00427670"/>
    <w:rsid w:val="00430784"/>
    <w:rsid w:val="004356F9"/>
    <w:rsid w:val="00435884"/>
    <w:rsid w:val="00435E6A"/>
    <w:rsid w:val="004362C8"/>
    <w:rsid w:val="00441160"/>
    <w:rsid w:val="00441D11"/>
    <w:rsid w:val="00442B9C"/>
    <w:rsid w:val="00443084"/>
    <w:rsid w:val="0044345D"/>
    <w:rsid w:val="00443784"/>
    <w:rsid w:val="00444579"/>
    <w:rsid w:val="00447479"/>
    <w:rsid w:val="00450859"/>
    <w:rsid w:val="0045134F"/>
    <w:rsid w:val="00453C62"/>
    <w:rsid w:val="00454188"/>
    <w:rsid w:val="00454420"/>
    <w:rsid w:val="0045505A"/>
    <w:rsid w:val="00455DC7"/>
    <w:rsid w:val="00457A95"/>
    <w:rsid w:val="00460520"/>
    <w:rsid w:val="00460872"/>
    <w:rsid w:val="004619BE"/>
    <w:rsid w:val="00462830"/>
    <w:rsid w:val="004631BA"/>
    <w:rsid w:val="004632EE"/>
    <w:rsid w:val="00463842"/>
    <w:rsid w:val="00464E33"/>
    <w:rsid w:val="0046538F"/>
    <w:rsid w:val="004656A1"/>
    <w:rsid w:val="004670B2"/>
    <w:rsid w:val="0046797D"/>
    <w:rsid w:val="00470DB3"/>
    <w:rsid w:val="004727C6"/>
    <w:rsid w:val="00472B8A"/>
    <w:rsid w:val="00473ED1"/>
    <w:rsid w:val="004769C0"/>
    <w:rsid w:val="004779EA"/>
    <w:rsid w:val="0048076A"/>
    <w:rsid w:val="00480801"/>
    <w:rsid w:val="00481025"/>
    <w:rsid w:val="0048131C"/>
    <w:rsid w:val="00481CB2"/>
    <w:rsid w:val="0048305D"/>
    <w:rsid w:val="00483345"/>
    <w:rsid w:val="00483F8D"/>
    <w:rsid w:val="00486316"/>
    <w:rsid w:val="00491127"/>
    <w:rsid w:val="00491EFF"/>
    <w:rsid w:val="0049260E"/>
    <w:rsid w:val="0049306D"/>
    <w:rsid w:val="004934BB"/>
    <w:rsid w:val="00493D80"/>
    <w:rsid w:val="00495309"/>
    <w:rsid w:val="00495C6A"/>
    <w:rsid w:val="004A003A"/>
    <w:rsid w:val="004A13FC"/>
    <w:rsid w:val="004A4DD8"/>
    <w:rsid w:val="004A5A93"/>
    <w:rsid w:val="004A6470"/>
    <w:rsid w:val="004B03AD"/>
    <w:rsid w:val="004B1335"/>
    <w:rsid w:val="004B44FE"/>
    <w:rsid w:val="004B5176"/>
    <w:rsid w:val="004B68AC"/>
    <w:rsid w:val="004B79B3"/>
    <w:rsid w:val="004B7F23"/>
    <w:rsid w:val="004C1B44"/>
    <w:rsid w:val="004C29AC"/>
    <w:rsid w:val="004C3545"/>
    <w:rsid w:val="004C59F7"/>
    <w:rsid w:val="004D00E7"/>
    <w:rsid w:val="004D13C2"/>
    <w:rsid w:val="004D28FF"/>
    <w:rsid w:val="004D5B38"/>
    <w:rsid w:val="004D5BDD"/>
    <w:rsid w:val="004D5FDA"/>
    <w:rsid w:val="004D749A"/>
    <w:rsid w:val="004D771D"/>
    <w:rsid w:val="004E0367"/>
    <w:rsid w:val="004E3BF4"/>
    <w:rsid w:val="004E4A33"/>
    <w:rsid w:val="004E4DE9"/>
    <w:rsid w:val="004E4E46"/>
    <w:rsid w:val="004E501E"/>
    <w:rsid w:val="004E5B32"/>
    <w:rsid w:val="004E706E"/>
    <w:rsid w:val="004F0698"/>
    <w:rsid w:val="004F0D1B"/>
    <w:rsid w:val="004F3F45"/>
    <w:rsid w:val="004F65EA"/>
    <w:rsid w:val="004F68FC"/>
    <w:rsid w:val="00500D44"/>
    <w:rsid w:val="00500F43"/>
    <w:rsid w:val="00502B12"/>
    <w:rsid w:val="00502CB0"/>
    <w:rsid w:val="00503A53"/>
    <w:rsid w:val="005041FF"/>
    <w:rsid w:val="005066DF"/>
    <w:rsid w:val="00510C4E"/>
    <w:rsid w:val="00510DEA"/>
    <w:rsid w:val="005116BE"/>
    <w:rsid w:val="00511720"/>
    <w:rsid w:val="00511BF8"/>
    <w:rsid w:val="00512390"/>
    <w:rsid w:val="00513CD6"/>
    <w:rsid w:val="00514C3A"/>
    <w:rsid w:val="005158C5"/>
    <w:rsid w:val="00515C14"/>
    <w:rsid w:val="005167C1"/>
    <w:rsid w:val="00517864"/>
    <w:rsid w:val="00517EE3"/>
    <w:rsid w:val="005214E4"/>
    <w:rsid w:val="005229F9"/>
    <w:rsid w:val="00523D1B"/>
    <w:rsid w:val="00525465"/>
    <w:rsid w:val="00525C1B"/>
    <w:rsid w:val="005267D0"/>
    <w:rsid w:val="00532BC6"/>
    <w:rsid w:val="005331E2"/>
    <w:rsid w:val="00533CA9"/>
    <w:rsid w:val="00534CCC"/>
    <w:rsid w:val="00534ED1"/>
    <w:rsid w:val="00536956"/>
    <w:rsid w:val="00541AB8"/>
    <w:rsid w:val="00544D0B"/>
    <w:rsid w:val="00546F76"/>
    <w:rsid w:val="00547523"/>
    <w:rsid w:val="005500A5"/>
    <w:rsid w:val="00550378"/>
    <w:rsid w:val="00550867"/>
    <w:rsid w:val="0055278D"/>
    <w:rsid w:val="005545F1"/>
    <w:rsid w:val="00555ED7"/>
    <w:rsid w:val="005561B3"/>
    <w:rsid w:val="00556D13"/>
    <w:rsid w:val="00557502"/>
    <w:rsid w:val="00560E48"/>
    <w:rsid w:val="00561662"/>
    <w:rsid w:val="00561F53"/>
    <w:rsid w:val="00564033"/>
    <w:rsid w:val="00564813"/>
    <w:rsid w:val="00564C40"/>
    <w:rsid w:val="00565FB4"/>
    <w:rsid w:val="00566404"/>
    <w:rsid w:val="00566664"/>
    <w:rsid w:val="005673BF"/>
    <w:rsid w:val="00567695"/>
    <w:rsid w:val="00570C72"/>
    <w:rsid w:val="005718EE"/>
    <w:rsid w:val="00572530"/>
    <w:rsid w:val="00576B84"/>
    <w:rsid w:val="00577972"/>
    <w:rsid w:val="00580023"/>
    <w:rsid w:val="0058078C"/>
    <w:rsid w:val="00581C75"/>
    <w:rsid w:val="005828F4"/>
    <w:rsid w:val="0058350F"/>
    <w:rsid w:val="0058437E"/>
    <w:rsid w:val="0058476B"/>
    <w:rsid w:val="0058496F"/>
    <w:rsid w:val="00586F3A"/>
    <w:rsid w:val="00587143"/>
    <w:rsid w:val="005871A9"/>
    <w:rsid w:val="00587343"/>
    <w:rsid w:val="00587848"/>
    <w:rsid w:val="00587E63"/>
    <w:rsid w:val="005908CE"/>
    <w:rsid w:val="00590F62"/>
    <w:rsid w:val="005923EC"/>
    <w:rsid w:val="005929CA"/>
    <w:rsid w:val="00593F35"/>
    <w:rsid w:val="005951BD"/>
    <w:rsid w:val="005970FF"/>
    <w:rsid w:val="005A4883"/>
    <w:rsid w:val="005A4F2B"/>
    <w:rsid w:val="005A5B3E"/>
    <w:rsid w:val="005A6921"/>
    <w:rsid w:val="005A7079"/>
    <w:rsid w:val="005B03CA"/>
    <w:rsid w:val="005B1093"/>
    <w:rsid w:val="005B1F3C"/>
    <w:rsid w:val="005B3A5D"/>
    <w:rsid w:val="005B578B"/>
    <w:rsid w:val="005B62AD"/>
    <w:rsid w:val="005B6770"/>
    <w:rsid w:val="005B6FCE"/>
    <w:rsid w:val="005C57C2"/>
    <w:rsid w:val="005D0790"/>
    <w:rsid w:val="005D23F2"/>
    <w:rsid w:val="005D241A"/>
    <w:rsid w:val="005D314B"/>
    <w:rsid w:val="005D37BD"/>
    <w:rsid w:val="005D3F6F"/>
    <w:rsid w:val="005D4B93"/>
    <w:rsid w:val="005D5A3F"/>
    <w:rsid w:val="005D5ABB"/>
    <w:rsid w:val="005D796D"/>
    <w:rsid w:val="005E1406"/>
    <w:rsid w:val="005E238A"/>
    <w:rsid w:val="005E35C3"/>
    <w:rsid w:val="005E69BD"/>
    <w:rsid w:val="005F0068"/>
    <w:rsid w:val="005F032C"/>
    <w:rsid w:val="005F142F"/>
    <w:rsid w:val="005F1EC8"/>
    <w:rsid w:val="005F3232"/>
    <w:rsid w:val="005F4304"/>
    <w:rsid w:val="005F64E7"/>
    <w:rsid w:val="005F68DA"/>
    <w:rsid w:val="005F6A9A"/>
    <w:rsid w:val="005F70C4"/>
    <w:rsid w:val="0060051C"/>
    <w:rsid w:val="006017C1"/>
    <w:rsid w:val="00602987"/>
    <w:rsid w:val="0060424E"/>
    <w:rsid w:val="00606296"/>
    <w:rsid w:val="00606D56"/>
    <w:rsid w:val="006073A7"/>
    <w:rsid w:val="00610A43"/>
    <w:rsid w:val="00612A63"/>
    <w:rsid w:val="00613213"/>
    <w:rsid w:val="00613831"/>
    <w:rsid w:val="0061416F"/>
    <w:rsid w:val="0061514F"/>
    <w:rsid w:val="00615621"/>
    <w:rsid w:val="00616AC6"/>
    <w:rsid w:val="0062146F"/>
    <w:rsid w:val="0062148A"/>
    <w:rsid w:val="0062157D"/>
    <w:rsid w:val="00621A92"/>
    <w:rsid w:val="00622C2D"/>
    <w:rsid w:val="00623008"/>
    <w:rsid w:val="0062637E"/>
    <w:rsid w:val="006272E7"/>
    <w:rsid w:val="006325DA"/>
    <w:rsid w:val="006354DC"/>
    <w:rsid w:val="006358B9"/>
    <w:rsid w:val="006361AE"/>
    <w:rsid w:val="00636612"/>
    <w:rsid w:val="00637128"/>
    <w:rsid w:val="0064018E"/>
    <w:rsid w:val="006416F8"/>
    <w:rsid w:val="0064225E"/>
    <w:rsid w:val="00642335"/>
    <w:rsid w:val="00642481"/>
    <w:rsid w:val="006434C4"/>
    <w:rsid w:val="00643611"/>
    <w:rsid w:val="006438A7"/>
    <w:rsid w:val="00645BC8"/>
    <w:rsid w:val="00645F1F"/>
    <w:rsid w:val="00650666"/>
    <w:rsid w:val="00650E29"/>
    <w:rsid w:val="0065359F"/>
    <w:rsid w:val="00654372"/>
    <w:rsid w:val="00654D09"/>
    <w:rsid w:val="00655804"/>
    <w:rsid w:val="00657B12"/>
    <w:rsid w:val="00664BA3"/>
    <w:rsid w:val="00667B0C"/>
    <w:rsid w:val="0067060B"/>
    <w:rsid w:val="00670AB7"/>
    <w:rsid w:val="00670E1A"/>
    <w:rsid w:val="00673081"/>
    <w:rsid w:val="006744F8"/>
    <w:rsid w:val="00675B96"/>
    <w:rsid w:val="00682A1F"/>
    <w:rsid w:val="006840D9"/>
    <w:rsid w:val="00686210"/>
    <w:rsid w:val="00691BCF"/>
    <w:rsid w:val="006922F2"/>
    <w:rsid w:val="0069252D"/>
    <w:rsid w:val="00695160"/>
    <w:rsid w:val="00695934"/>
    <w:rsid w:val="00696A40"/>
    <w:rsid w:val="00697374"/>
    <w:rsid w:val="0069765C"/>
    <w:rsid w:val="006A00BD"/>
    <w:rsid w:val="006A0198"/>
    <w:rsid w:val="006A0434"/>
    <w:rsid w:val="006A14FD"/>
    <w:rsid w:val="006A1CA9"/>
    <w:rsid w:val="006A2713"/>
    <w:rsid w:val="006A3F7F"/>
    <w:rsid w:val="006A6532"/>
    <w:rsid w:val="006A686B"/>
    <w:rsid w:val="006B0E38"/>
    <w:rsid w:val="006B1B7B"/>
    <w:rsid w:val="006B4600"/>
    <w:rsid w:val="006B4D3E"/>
    <w:rsid w:val="006B56AA"/>
    <w:rsid w:val="006C3AC5"/>
    <w:rsid w:val="006C6D9F"/>
    <w:rsid w:val="006C7EDA"/>
    <w:rsid w:val="006D2061"/>
    <w:rsid w:val="006D634A"/>
    <w:rsid w:val="006E167F"/>
    <w:rsid w:val="006E180A"/>
    <w:rsid w:val="006E1E47"/>
    <w:rsid w:val="006E200C"/>
    <w:rsid w:val="006E2503"/>
    <w:rsid w:val="006E28BC"/>
    <w:rsid w:val="006E5B9F"/>
    <w:rsid w:val="006F0DC0"/>
    <w:rsid w:val="006F3A09"/>
    <w:rsid w:val="006F457A"/>
    <w:rsid w:val="006F5C98"/>
    <w:rsid w:val="006F5E65"/>
    <w:rsid w:val="006F660B"/>
    <w:rsid w:val="006F7B65"/>
    <w:rsid w:val="006F7F07"/>
    <w:rsid w:val="00700913"/>
    <w:rsid w:val="00701374"/>
    <w:rsid w:val="00701629"/>
    <w:rsid w:val="00701C0C"/>
    <w:rsid w:val="007033E6"/>
    <w:rsid w:val="00703BCB"/>
    <w:rsid w:val="00705236"/>
    <w:rsid w:val="00710239"/>
    <w:rsid w:val="007127C2"/>
    <w:rsid w:val="007136CE"/>
    <w:rsid w:val="007145ED"/>
    <w:rsid w:val="00714767"/>
    <w:rsid w:val="00716175"/>
    <w:rsid w:val="0071639D"/>
    <w:rsid w:val="00716CFA"/>
    <w:rsid w:val="007212A0"/>
    <w:rsid w:val="007227F0"/>
    <w:rsid w:val="00722F9B"/>
    <w:rsid w:val="007230B4"/>
    <w:rsid w:val="00723E1C"/>
    <w:rsid w:val="00723F5C"/>
    <w:rsid w:val="007245BD"/>
    <w:rsid w:val="0072612E"/>
    <w:rsid w:val="00726A29"/>
    <w:rsid w:val="00727119"/>
    <w:rsid w:val="00730294"/>
    <w:rsid w:val="00731BA1"/>
    <w:rsid w:val="00733974"/>
    <w:rsid w:val="007346D2"/>
    <w:rsid w:val="00736191"/>
    <w:rsid w:val="007363F7"/>
    <w:rsid w:val="00737ABA"/>
    <w:rsid w:val="007402A3"/>
    <w:rsid w:val="00740CBC"/>
    <w:rsid w:val="00740D4F"/>
    <w:rsid w:val="007413E4"/>
    <w:rsid w:val="00741DD7"/>
    <w:rsid w:val="007428F1"/>
    <w:rsid w:val="00742DFA"/>
    <w:rsid w:val="00743B7F"/>
    <w:rsid w:val="007447A6"/>
    <w:rsid w:val="00744D15"/>
    <w:rsid w:val="007462FE"/>
    <w:rsid w:val="00751C91"/>
    <w:rsid w:val="0075320F"/>
    <w:rsid w:val="007557DD"/>
    <w:rsid w:val="00756957"/>
    <w:rsid w:val="00757931"/>
    <w:rsid w:val="0076041C"/>
    <w:rsid w:val="00760F11"/>
    <w:rsid w:val="0076133C"/>
    <w:rsid w:val="007621B2"/>
    <w:rsid w:val="00762A14"/>
    <w:rsid w:val="00765E05"/>
    <w:rsid w:val="007668A8"/>
    <w:rsid w:val="00767F1C"/>
    <w:rsid w:val="00770344"/>
    <w:rsid w:val="007718E2"/>
    <w:rsid w:val="007723F5"/>
    <w:rsid w:val="007728C4"/>
    <w:rsid w:val="00774390"/>
    <w:rsid w:val="007763D8"/>
    <w:rsid w:val="00776DC2"/>
    <w:rsid w:val="007770D2"/>
    <w:rsid w:val="007805E2"/>
    <w:rsid w:val="007811EC"/>
    <w:rsid w:val="00781B1D"/>
    <w:rsid w:val="00781C6C"/>
    <w:rsid w:val="00783737"/>
    <w:rsid w:val="00783E48"/>
    <w:rsid w:val="00783FB8"/>
    <w:rsid w:val="00785D24"/>
    <w:rsid w:val="00786C31"/>
    <w:rsid w:val="00786DD2"/>
    <w:rsid w:val="0079173B"/>
    <w:rsid w:val="00792C68"/>
    <w:rsid w:val="00793117"/>
    <w:rsid w:val="007931DD"/>
    <w:rsid w:val="007933AC"/>
    <w:rsid w:val="00796814"/>
    <w:rsid w:val="00796C1E"/>
    <w:rsid w:val="0079704B"/>
    <w:rsid w:val="007A1203"/>
    <w:rsid w:val="007A2859"/>
    <w:rsid w:val="007A2F11"/>
    <w:rsid w:val="007A346C"/>
    <w:rsid w:val="007A7D97"/>
    <w:rsid w:val="007B0503"/>
    <w:rsid w:val="007B0885"/>
    <w:rsid w:val="007B4265"/>
    <w:rsid w:val="007B5F8F"/>
    <w:rsid w:val="007B7F17"/>
    <w:rsid w:val="007C0F5D"/>
    <w:rsid w:val="007C31FD"/>
    <w:rsid w:val="007C3FE1"/>
    <w:rsid w:val="007C65A3"/>
    <w:rsid w:val="007C6F3E"/>
    <w:rsid w:val="007C6FA4"/>
    <w:rsid w:val="007C762F"/>
    <w:rsid w:val="007D0979"/>
    <w:rsid w:val="007D1067"/>
    <w:rsid w:val="007D1854"/>
    <w:rsid w:val="007D31D0"/>
    <w:rsid w:val="007D37ED"/>
    <w:rsid w:val="007D5B2B"/>
    <w:rsid w:val="007D5CCD"/>
    <w:rsid w:val="007D62B2"/>
    <w:rsid w:val="007D6B26"/>
    <w:rsid w:val="007D7624"/>
    <w:rsid w:val="007E09A7"/>
    <w:rsid w:val="007E0C22"/>
    <w:rsid w:val="007E150A"/>
    <w:rsid w:val="007E1ADF"/>
    <w:rsid w:val="007E4F36"/>
    <w:rsid w:val="007E5050"/>
    <w:rsid w:val="007F6920"/>
    <w:rsid w:val="00802872"/>
    <w:rsid w:val="00802F1C"/>
    <w:rsid w:val="00804089"/>
    <w:rsid w:val="00804B6E"/>
    <w:rsid w:val="00805FD8"/>
    <w:rsid w:val="00806630"/>
    <w:rsid w:val="008069F5"/>
    <w:rsid w:val="00807B4A"/>
    <w:rsid w:val="00810AF1"/>
    <w:rsid w:val="008113FE"/>
    <w:rsid w:val="008138A6"/>
    <w:rsid w:val="00813D10"/>
    <w:rsid w:val="00814AEE"/>
    <w:rsid w:val="00814B98"/>
    <w:rsid w:val="00814D89"/>
    <w:rsid w:val="008150D6"/>
    <w:rsid w:val="00817C2A"/>
    <w:rsid w:val="00821BA5"/>
    <w:rsid w:val="00822BCF"/>
    <w:rsid w:val="00823A16"/>
    <w:rsid w:val="00824EB5"/>
    <w:rsid w:val="00824F4C"/>
    <w:rsid w:val="00825293"/>
    <w:rsid w:val="008256FA"/>
    <w:rsid w:val="00825C83"/>
    <w:rsid w:val="00831C7B"/>
    <w:rsid w:val="0083203F"/>
    <w:rsid w:val="00832706"/>
    <w:rsid w:val="00832E86"/>
    <w:rsid w:val="008336DD"/>
    <w:rsid w:val="00833E65"/>
    <w:rsid w:val="008369AF"/>
    <w:rsid w:val="00840C94"/>
    <w:rsid w:val="00841503"/>
    <w:rsid w:val="00842844"/>
    <w:rsid w:val="00844A05"/>
    <w:rsid w:val="00845B02"/>
    <w:rsid w:val="00846E75"/>
    <w:rsid w:val="00846EFE"/>
    <w:rsid w:val="00850058"/>
    <w:rsid w:val="00850953"/>
    <w:rsid w:val="00851091"/>
    <w:rsid w:val="00851341"/>
    <w:rsid w:val="00852E60"/>
    <w:rsid w:val="00853074"/>
    <w:rsid w:val="00853876"/>
    <w:rsid w:val="00853954"/>
    <w:rsid w:val="00854DDA"/>
    <w:rsid w:val="00855415"/>
    <w:rsid w:val="00857B68"/>
    <w:rsid w:val="008618D2"/>
    <w:rsid w:val="00861A26"/>
    <w:rsid w:val="00861E0D"/>
    <w:rsid w:val="0086235D"/>
    <w:rsid w:val="00864104"/>
    <w:rsid w:val="0086458C"/>
    <w:rsid w:val="00864883"/>
    <w:rsid w:val="00870043"/>
    <w:rsid w:val="00872528"/>
    <w:rsid w:val="0087263D"/>
    <w:rsid w:val="00872E17"/>
    <w:rsid w:val="0087638C"/>
    <w:rsid w:val="0088195F"/>
    <w:rsid w:val="00882BEF"/>
    <w:rsid w:val="00882CFE"/>
    <w:rsid w:val="00883C3D"/>
    <w:rsid w:val="00884A58"/>
    <w:rsid w:val="00885422"/>
    <w:rsid w:val="00887730"/>
    <w:rsid w:val="008878D6"/>
    <w:rsid w:val="00887980"/>
    <w:rsid w:val="00890BE1"/>
    <w:rsid w:val="008958D2"/>
    <w:rsid w:val="00896247"/>
    <w:rsid w:val="008A0404"/>
    <w:rsid w:val="008A14E3"/>
    <w:rsid w:val="008A1CD0"/>
    <w:rsid w:val="008A251E"/>
    <w:rsid w:val="008A3FD0"/>
    <w:rsid w:val="008A3FDC"/>
    <w:rsid w:val="008A46A8"/>
    <w:rsid w:val="008A555D"/>
    <w:rsid w:val="008A6187"/>
    <w:rsid w:val="008A6BC6"/>
    <w:rsid w:val="008A7656"/>
    <w:rsid w:val="008B0451"/>
    <w:rsid w:val="008B1106"/>
    <w:rsid w:val="008B2084"/>
    <w:rsid w:val="008B42F2"/>
    <w:rsid w:val="008C081A"/>
    <w:rsid w:val="008C1A20"/>
    <w:rsid w:val="008C3BB7"/>
    <w:rsid w:val="008C5142"/>
    <w:rsid w:val="008C5418"/>
    <w:rsid w:val="008C7FD2"/>
    <w:rsid w:val="008D0602"/>
    <w:rsid w:val="008D293D"/>
    <w:rsid w:val="008D4D9A"/>
    <w:rsid w:val="008D5EAC"/>
    <w:rsid w:val="008D6631"/>
    <w:rsid w:val="008D6BB7"/>
    <w:rsid w:val="008E07C5"/>
    <w:rsid w:val="008E0B38"/>
    <w:rsid w:val="008E13EE"/>
    <w:rsid w:val="008E223B"/>
    <w:rsid w:val="008E28EE"/>
    <w:rsid w:val="008E3B95"/>
    <w:rsid w:val="008E3D3F"/>
    <w:rsid w:val="008E62A6"/>
    <w:rsid w:val="008E6B3B"/>
    <w:rsid w:val="008E6E71"/>
    <w:rsid w:val="008F068E"/>
    <w:rsid w:val="008F0764"/>
    <w:rsid w:val="008F147C"/>
    <w:rsid w:val="008F4C1C"/>
    <w:rsid w:val="008F4EF2"/>
    <w:rsid w:val="008F6AA6"/>
    <w:rsid w:val="008F703F"/>
    <w:rsid w:val="008F70AD"/>
    <w:rsid w:val="008F71D5"/>
    <w:rsid w:val="00901863"/>
    <w:rsid w:val="009020B6"/>
    <w:rsid w:val="00902E81"/>
    <w:rsid w:val="009031FA"/>
    <w:rsid w:val="009051C5"/>
    <w:rsid w:val="00905992"/>
    <w:rsid w:val="00911A17"/>
    <w:rsid w:val="00914385"/>
    <w:rsid w:val="00916352"/>
    <w:rsid w:val="009169D8"/>
    <w:rsid w:val="00916F99"/>
    <w:rsid w:val="009171D8"/>
    <w:rsid w:val="00917D52"/>
    <w:rsid w:val="00917E9C"/>
    <w:rsid w:val="0092206E"/>
    <w:rsid w:val="00926308"/>
    <w:rsid w:val="009266DD"/>
    <w:rsid w:val="00926B30"/>
    <w:rsid w:val="009273A3"/>
    <w:rsid w:val="0093265F"/>
    <w:rsid w:val="00933F8F"/>
    <w:rsid w:val="00934578"/>
    <w:rsid w:val="00936B0E"/>
    <w:rsid w:val="00937398"/>
    <w:rsid w:val="00940CCE"/>
    <w:rsid w:val="00940E2C"/>
    <w:rsid w:val="00943624"/>
    <w:rsid w:val="0094362D"/>
    <w:rsid w:val="0094368B"/>
    <w:rsid w:val="00944865"/>
    <w:rsid w:val="0094593A"/>
    <w:rsid w:val="00945946"/>
    <w:rsid w:val="00945A13"/>
    <w:rsid w:val="00945B17"/>
    <w:rsid w:val="00945CAD"/>
    <w:rsid w:val="009462F3"/>
    <w:rsid w:val="00951E03"/>
    <w:rsid w:val="0095231E"/>
    <w:rsid w:val="00953B18"/>
    <w:rsid w:val="0095532A"/>
    <w:rsid w:val="00956DCB"/>
    <w:rsid w:val="00961E86"/>
    <w:rsid w:val="00962518"/>
    <w:rsid w:val="00962CDD"/>
    <w:rsid w:val="009637A8"/>
    <w:rsid w:val="00964BB7"/>
    <w:rsid w:val="0096521B"/>
    <w:rsid w:val="009712C4"/>
    <w:rsid w:val="00971890"/>
    <w:rsid w:val="00974B58"/>
    <w:rsid w:val="00975187"/>
    <w:rsid w:val="009757FD"/>
    <w:rsid w:val="00975E18"/>
    <w:rsid w:val="00975EA9"/>
    <w:rsid w:val="00981E36"/>
    <w:rsid w:val="00982D0B"/>
    <w:rsid w:val="00983AAF"/>
    <w:rsid w:val="0098420B"/>
    <w:rsid w:val="0098456F"/>
    <w:rsid w:val="009876C6"/>
    <w:rsid w:val="0099072B"/>
    <w:rsid w:val="0099597A"/>
    <w:rsid w:val="00996406"/>
    <w:rsid w:val="00997275"/>
    <w:rsid w:val="009A06C8"/>
    <w:rsid w:val="009A2C54"/>
    <w:rsid w:val="009A2F21"/>
    <w:rsid w:val="009A376E"/>
    <w:rsid w:val="009A39DC"/>
    <w:rsid w:val="009A5B2A"/>
    <w:rsid w:val="009A6B4E"/>
    <w:rsid w:val="009A6B64"/>
    <w:rsid w:val="009A7D27"/>
    <w:rsid w:val="009A7FE9"/>
    <w:rsid w:val="009B0257"/>
    <w:rsid w:val="009B46AC"/>
    <w:rsid w:val="009C281A"/>
    <w:rsid w:val="009C36BA"/>
    <w:rsid w:val="009C42D2"/>
    <w:rsid w:val="009C4374"/>
    <w:rsid w:val="009C6EF0"/>
    <w:rsid w:val="009D1A54"/>
    <w:rsid w:val="009D1D56"/>
    <w:rsid w:val="009D2444"/>
    <w:rsid w:val="009D3931"/>
    <w:rsid w:val="009D3BC2"/>
    <w:rsid w:val="009D3C0A"/>
    <w:rsid w:val="009D3CBE"/>
    <w:rsid w:val="009D3D0A"/>
    <w:rsid w:val="009D5769"/>
    <w:rsid w:val="009E0A13"/>
    <w:rsid w:val="009E45B1"/>
    <w:rsid w:val="009E5CB1"/>
    <w:rsid w:val="009E6741"/>
    <w:rsid w:val="009E7231"/>
    <w:rsid w:val="009E7EBD"/>
    <w:rsid w:val="009F1345"/>
    <w:rsid w:val="009F1A2F"/>
    <w:rsid w:val="009F4D46"/>
    <w:rsid w:val="009F59D2"/>
    <w:rsid w:val="009F5A9F"/>
    <w:rsid w:val="009F5B42"/>
    <w:rsid w:val="009F63DA"/>
    <w:rsid w:val="009F7B1C"/>
    <w:rsid w:val="00A0120A"/>
    <w:rsid w:val="00A0335D"/>
    <w:rsid w:val="00A05108"/>
    <w:rsid w:val="00A054BA"/>
    <w:rsid w:val="00A06137"/>
    <w:rsid w:val="00A061B8"/>
    <w:rsid w:val="00A070FE"/>
    <w:rsid w:val="00A07610"/>
    <w:rsid w:val="00A07664"/>
    <w:rsid w:val="00A07E1A"/>
    <w:rsid w:val="00A10BAB"/>
    <w:rsid w:val="00A11D3F"/>
    <w:rsid w:val="00A1203B"/>
    <w:rsid w:val="00A1237C"/>
    <w:rsid w:val="00A14766"/>
    <w:rsid w:val="00A16A1A"/>
    <w:rsid w:val="00A16E87"/>
    <w:rsid w:val="00A17412"/>
    <w:rsid w:val="00A1760A"/>
    <w:rsid w:val="00A21555"/>
    <w:rsid w:val="00A225E8"/>
    <w:rsid w:val="00A22749"/>
    <w:rsid w:val="00A23149"/>
    <w:rsid w:val="00A25233"/>
    <w:rsid w:val="00A257F4"/>
    <w:rsid w:val="00A2632E"/>
    <w:rsid w:val="00A27FE8"/>
    <w:rsid w:val="00A31721"/>
    <w:rsid w:val="00A318D3"/>
    <w:rsid w:val="00A31BA5"/>
    <w:rsid w:val="00A32CDB"/>
    <w:rsid w:val="00A34ECA"/>
    <w:rsid w:val="00A35338"/>
    <w:rsid w:val="00A355BA"/>
    <w:rsid w:val="00A424D6"/>
    <w:rsid w:val="00A42E9A"/>
    <w:rsid w:val="00A437A9"/>
    <w:rsid w:val="00A476A9"/>
    <w:rsid w:val="00A47788"/>
    <w:rsid w:val="00A47E3D"/>
    <w:rsid w:val="00A50ACF"/>
    <w:rsid w:val="00A51A6D"/>
    <w:rsid w:val="00A525A5"/>
    <w:rsid w:val="00A52C0F"/>
    <w:rsid w:val="00A53A9E"/>
    <w:rsid w:val="00A53C78"/>
    <w:rsid w:val="00A53D59"/>
    <w:rsid w:val="00A55E64"/>
    <w:rsid w:val="00A5763E"/>
    <w:rsid w:val="00A57F2D"/>
    <w:rsid w:val="00A60D7F"/>
    <w:rsid w:val="00A611F4"/>
    <w:rsid w:val="00A614ED"/>
    <w:rsid w:val="00A6289C"/>
    <w:rsid w:val="00A64EF8"/>
    <w:rsid w:val="00A663F3"/>
    <w:rsid w:val="00A66AC5"/>
    <w:rsid w:val="00A66EA4"/>
    <w:rsid w:val="00A6761B"/>
    <w:rsid w:val="00A72F08"/>
    <w:rsid w:val="00A74F68"/>
    <w:rsid w:val="00A754BB"/>
    <w:rsid w:val="00A75733"/>
    <w:rsid w:val="00A75F42"/>
    <w:rsid w:val="00A767D7"/>
    <w:rsid w:val="00A77EA4"/>
    <w:rsid w:val="00A82BC8"/>
    <w:rsid w:val="00A84A7A"/>
    <w:rsid w:val="00A8523A"/>
    <w:rsid w:val="00A85C9C"/>
    <w:rsid w:val="00A875A2"/>
    <w:rsid w:val="00A92730"/>
    <w:rsid w:val="00A92F8B"/>
    <w:rsid w:val="00A9667C"/>
    <w:rsid w:val="00A97915"/>
    <w:rsid w:val="00AA1859"/>
    <w:rsid w:val="00AA3112"/>
    <w:rsid w:val="00AA51A2"/>
    <w:rsid w:val="00AA571E"/>
    <w:rsid w:val="00AA658C"/>
    <w:rsid w:val="00AA7C1A"/>
    <w:rsid w:val="00AB4664"/>
    <w:rsid w:val="00AB55B3"/>
    <w:rsid w:val="00AB6329"/>
    <w:rsid w:val="00AB661A"/>
    <w:rsid w:val="00AC12C3"/>
    <w:rsid w:val="00AC267D"/>
    <w:rsid w:val="00AC4601"/>
    <w:rsid w:val="00AC5AF0"/>
    <w:rsid w:val="00AC64F8"/>
    <w:rsid w:val="00AC7C6C"/>
    <w:rsid w:val="00AD1933"/>
    <w:rsid w:val="00AD6AB7"/>
    <w:rsid w:val="00AD7A05"/>
    <w:rsid w:val="00AE1275"/>
    <w:rsid w:val="00AE4B73"/>
    <w:rsid w:val="00AE52FA"/>
    <w:rsid w:val="00AE65A5"/>
    <w:rsid w:val="00AE6727"/>
    <w:rsid w:val="00AE7B21"/>
    <w:rsid w:val="00AE7D36"/>
    <w:rsid w:val="00AE7FBD"/>
    <w:rsid w:val="00AF0E03"/>
    <w:rsid w:val="00AF1362"/>
    <w:rsid w:val="00AF43B0"/>
    <w:rsid w:val="00AF4EB0"/>
    <w:rsid w:val="00B003A4"/>
    <w:rsid w:val="00B00C37"/>
    <w:rsid w:val="00B02306"/>
    <w:rsid w:val="00B02572"/>
    <w:rsid w:val="00B028FA"/>
    <w:rsid w:val="00B02B1E"/>
    <w:rsid w:val="00B039A5"/>
    <w:rsid w:val="00B04FCA"/>
    <w:rsid w:val="00B059FD"/>
    <w:rsid w:val="00B07A56"/>
    <w:rsid w:val="00B1096B"/>
    <w:rsid w:val="00B12782"/>
    <w:rsid w:val="00B12EB8"/>
    <w:rsid w:val="00B1430D"/>
    <w:rsid w:val="00B15282"/>
    <w:rsid w:val="00B16CCF"/>
    <w:rsid w:val="00B178AD"/>
    <w:rsid w:val="00B218FE"/>
    <w:rsid w:val="00B23559"/>
    <w:rsid w:val="00B23BF2"/>
    <w:rsid w:val="00B248D7"/>
    <w:rsid w:val="00B257F4"/>
    <w:rsid w:val="00B2580E"/>
    <w:rsid w:val="00B25BDF"/>
    <w:rsid w:val="00B2687D"/>
    <w:rsid w:val="00B303AF"/>
    <w:rsid w:val="00B3184E"/>
    <w:rsid w:val="00B358EC"/>
    <w:rsid w:val="00B40632"/>
    <w:rsid w:val="00B40ECE"/>
    <w:rsid w:val="00B4187C"/>
    <w:rsid w:val="00B4239B"/>
    <w:rsid w:val="00B42B61"/>
    <w:rsid w:val="00B435F8"/>
    <w:rsid w:val="00B4507C"/>
    <w:rsid w:val="00B4582A"/>
    <w:rsid w:val="00B46596"/>
    <w:rsid w:val="00B46B29"/>
    <w:rsid w:val="00B51337"/>
    <w:rsid w:val="00B514E3"/>
    <w:rsid w:val="00B5293F"/>
    <w:rsid w:val="00B54D08"/>
    <w:rsid w:val="00B5537D"/>
    <w:rsid w:val="00B55779"/>
    <w:rsid w:val="00B55F3F"/>
    <w:rsid w:val="00B621B9"/>
    <w:rsid w:val="00B62D1F"/>
    <w:rsid w:val="00B63688"/>
    <w:rsid w:val="00B6389F"/>
    <w:rsid w:val="00B641C5"/>
    <w:rsid w:val="00B643E0"/>
    <w:rsid w:val="00B64F42"/>
    <w:rsid w:val="00B6508C"/>
    <w:rsid w:val="00B6585F"/>
    <w:rsid w:val="00B6647F"/>
    <w:rsid w:val="00B66DDC"/>
    <w:rsid w:val="00B70924"/>
    <w:rsid w:val="00B71982"/>
    <w:rsid w:val="00B73B06"/>
    <w:rsid w:val="00B74C01"/>
    <w:rsid w:val="00B75167"/>
    <w:rsid w:val="00B76680"/>
    <w:rsid w:val="00B77263"/>
    <w:rsid w:val="00B81920"/>
    <w:rsid w:val="00B8345A"/>
    <w:rsid w:val="00B83497"/>
    <w:rsid w:val="00B83969"/>
    <w:rsid w:val="00B83F53"/>
    <w:rsid w:val="00B84CC3"/>
    <w:rsid w:val="00B84DF2"/>
    <w:rsid w:val="00B85096"/>
    <w:rsid w:val="00B85A5D"/>
    <w:rsid w:val="00B85DC0"/>
    <w:rsid w:val="00B86287"/>
    <w:rsid w:val="00B8726E"/>
    <w:rsid w:val="00B87A84"/>
    <w:rsid w:val="00B9175F"/>
    <w:rsid w:val="00B93742"/>
    <w:rsid w:val="00B95CF1"/>
    <w:rsid w:val="00B95D27"/>
    <w:rsid w:val="00B96927"/>
    <w:rsid w:val="00BA5D6A"/>
    <w:rsid w:val="00BA5EC0"/>
    <w:rsid w:val="00BA7CDA"/>
    <w:rsid w:val="00BB01C8"/>
    <w:rsid w:val="00BB2F88"/>
    <w:rsid w:val="00BB5521"/>
    <w:rsid w:val="00BB6051"/>
    <w:rsid w:val="00BB68EC"/>
    <w:rsid w:val="00BC0D5F"/>
    <w:rsid w:val="00BC1598"/>
    <w:rsid w:val="00BC23C9"/>
    <w:rsid w:val="00BC25BD"/>
    <w:rsid w:val="00BC3556"/>
    <w:rsid w:val="00BC4261"/>
    <w:rsid w:val="00BC4693"/>
    <w:rsid w:val="00BC531E"/>
    <w:rsid w:val="00BC5F99"/>
    <w:rsid w:val="00BC673B"/>
    <w:rsid w:val="00BC6CDD"/>
    <w:rsid w:val="00BC712F"/>
    <w:rsid w:val="00BD1786"/>
    <w:rsid w:val="00BD2910"/>
    <w:rsid w:val="00BD2E48"/>
    <w:rsid w:val="00BD3FB8"/>
    <w:rsid w:val="00BD430F"/>
    <w:rsid w:val="00BD43F6"/>
    <w:rsid w:val="00BD6431"/>
    <w:rsid w:val="00BD7ADC"/>
    <w:rsid w:val="00BE14B6"/>
    <w:rsid w:val="00BE310F"/>
    <w:rsid w:val="00BE3CFD"/>
    <w:rsid w:val="00BE47CA"/>
    <w:rsid w:val="00BF0F12"/>
    <w:rsid w:val="00BF182E"/>
    <w:rsid w:val="00BF1C10"/>
    <w:rsid w:val="00BF2830"/>
    <w:rsid w:val="00BF309D"/>
    <w:rsid w:val="00BF41E2"/>
    <w:rsid w:val="00BF513F"/>
    <w:rsid w:val="00BF5B50"/>
    <w:rsid w:val="00BF6B28"/>
    <w:rsid w:val="00BF7E02"/>
    <w:rsid w:val="00C00757"/>
    <w:rsid w:val="00C01073"/>
    <w:rsid w:val="00C02A27"/>
    <w:rsid w:val="00C036A8"/>
    <w:rsid w:val="00C03B4A"/>
    <w:rsid w:val="00C068D6"/>
    <w:rsid w:val="00C06FD9"/>
    <w:rsid w:val="00C07DEA"/>
    <w:rsid w:val="00C10B18"/>
    <w:rsid w:val="00C1197A"/>
    <w:rsid w:val="00C12B90"/>
    <w:rsid w:val="00C12B92"/>
    <w:rsid w:val="00C15A23"/>
    <w:rsid w:val="00C17974"/>
    <w:rsid w:val="00C20C2B"/>
    <w:rsid w:val="00C23991"/>
    <w:rsid w:val="00C23AE3"/>
    <w:rsid w:val="00C24EDA"/>
    <w:rsid w:val="00C25102"/>
    <w:rsid w:val="00C25C93"/>
    <w:rsid w:val="00C278DD"/>
    <w:rsid w:val="00C31B27"/>
    <w:rsid w:val="00C32A8C"/>
    <w:rsid w:val="00C33B04"/>
    <w:rsid w:val="00C34C1C"/>
    <w:rsid w:val="00C353FF"/>
    <w:rsid w:val="00C36102"/>
    <w:rsid w:val="00C3795E"/>
    <w:rsid w:val="00C37F72"/>
    <w:rsid w:val="00C419EF"/>
    <w:rsid w:val="00C43319"/>
    <w:rsid w:val="00C45989"/>
    <w:rsid w:val="00C47C73"/>
    <w:rsid w:val="00C50044"/>
    <w:rsid w:val="00C50117"/>
    <w:rsid w:val="00C51819"/>
    <w:rsid w:val="00C537D5"/>
    <w:rsid w:val="00C53FD9"/>
    <w:rsid w:val="00C54568"/>
    <w:rsid w:val="00C55523"/>
    <w:rsid w:val="00C55542"/>
    <w:rsid w:val="00C5559F"/>
    <w:rsid w:val="00C56123"/>
    <w:rsid w:val="00C57BB2"/>
    <w:rsid w:val="00C6075D"/>
    <w:rsid w:val="00C60D22"/>
    <w:rsid w:val="00C62187"/>
    <w:rsid w:val="00C62D1C"/>
    <w:rsid w:val="00C63DFF"/>
    <w:rsid w:val="00C66711"/>
    <w:rsid w:val="00C667A7"/>
    <w:rsid w:val="00C66B27"/>
    <w:rsid w:val="00C73E0D"/>
    <w:rsid w:val="00C74F5E"/>
    <w:rsid w:val="00C751CC"/>
    <w:rsid w:val="00C75BED"/>
    <w:rsid w:val="00C76790"/>
    <w:rsid w:val="00C7784E"/>
    <w:rsid w:val="00C80B9D"/>
    <w:rsid w:val="00C80CF2"/>
    <w:rsid w:val="00C8140E"/>
    <w:rsid w:val="00C833B5"/>
    <w:rsid w:val="00C837A4"/>
    <w:rsid w:val="00C87BC8"/>
    <w:rsid w:val="00C91661"/>
    <w:rsid w:val="00C92745"/>
    <w:rsid w:val="00C92867"/>
    <w:rsid w:val="00C9321D"/>
    <w:rsid w:val="00C9555F"/>
    <w:rsid w:val="00C95D53"/>
    <w:rsid w:val="00C960D4"/>
    <w:rsid w:val="00CA001A"/>
    <w:rsid w:val="00CA106D"/>
    <w:rsid w:val="00CA277A"/>
    <w:rsid w:val="00CA31DD"/>
    <w:rsid w:val="00CA366D"/>
    <w:rsid w:val="00CA512E"/>
    <w:rsid w:val="00CA670A"/>
    <w:rsid w:val="00CA7B83"/>
    <w:rsid w:val="00CB3342"/>
    <w:rsid w:val="00CB36B0"/>
    <w:rsid w:val="00CB52F7"/>
    <w:rsid w:val="00CB7E29"/>
    <w:rsid w:val="00CC0126"/>
    <w:rsid w:val="00CC21FC"/>
    <w:rsid w:val="00CC2675"/>
    <w:rsid w:val="00CC2B24"/>
    <w:rsid w:val="00CC4116"/>
    <w:rsid w:val="00CC412C"/>
    <w:rsid w:val="00CC68F7"/>
    <w:rsid w:val="00CC6ABC"/>
    <w:rsid w:val="00CC730C"/>
    <w:rsid w:val="00CD0591"/>
    <w:rsid w:val="00CD1534"/>
    <w:rsid w:val="00CD1580"/>
    <w:rsid w:val="00CD42A8"/>
    <w:rsid w:val="00CD5F1D"/>
    <w:rsid w:val="00CD6880"/>
    <w:rsid w:val="00CE004F"/>
    <w:rsid w:val="00CE0EAC"/>
    <w:rsid w:val="00CE176F"/>
    <w:rsid w:val="00CE19C9"/>
    <w:rsid w:val="00CE21B1"/>
    <w:rsid w:val="00CE416B"/>
    <w:rsid w:val="00CE5718"/>
    <w:rsid w:val="00CE64A3"/>
    <w:rsid w:val="00CE7724"/>
    <w:rsid w:val="00CF0C1B"/>
    <w:rsid w:val="00CF21C2"/>
    <w:rsid w:val="00CF24C8"/>
    <w:rsid w:val="00CF4FAB"/>
    <w:rsid w:val="00CF5519"/>
    <w:rsid w:val="00CF6C91"/>
    <w:rsid w:val="00CF71E4"/>
    <w:rsid w:val="00D00F90"/>
    <w:rsid w:val="00D01381"/>
    <w:rsid w:val="00D024CA"/>
    <w:rsid w:val="00D02EA1"/>
    <w:rsid w:val="00D02FF9"/>
    <w:rsid w:val="00D03790"/>
    <w:rsid w:val="00D03F35"/>
    <w:rsid w:val="00D0557F"/>
    <w:rsid w:val="00D05766"/>
    <w:rsid w:val="00D059FB"/>
    <w:rsid w:val="00D060B7"/>
    <w:rsid w:val="00D06645"/>
    <w:rsid w:val="00D06CF5"/>
    <w:rsid w:val="00D13F21"/>
    <w:rsid w:val="00D147F8"/>
    <w:rsid w:val="00D15B45"/>
    <w:rsid w:val="00D15F7B"/>
    <w:rsid w:val="00D16662"/>
    <w:rsid w:val="00D1688C"/>
    <w:rsid w:val="00D173A4"/>
    <w:rsid w:val="00D17F50"/>
    <w:rsid w:val="00D202A0"/>
    <w:rsid w:val="00D20335"/>
    <w:rsid w:val="00D21871"/>
    <w:rsid w:val="00D25D13"/>
    <w:rsid w:val="00D26704"/>
    <w:rsid w:val="00D27A0B"/>
    <w:rsid w:val="00D27F93"/>
    <w:rsid w:val="00D31550"/>
    <w:rsid w:val="00D32D2A"/>
    <w:rsid w:val="00D32F6E"/>
    <w:rsid w:val="00D33CD9"/>
    <w:rsid w:val="00D35A21"/>
    <w:rsid w:val="00D35AF4"/>
    <w:rsid w:val="00D3648B"/>
    <w:rsid w:val="00D37A81"/>
    <w:rsid w:val="00D40B93"/>
    <w:rsid w:val="00D42111"/>
    <w:rsid w:val="00D42822"/>
    <w:rsid w:val="00D43F4C"/>
    <w:rsid w:val="00D440A8"/>
    <w:rsid w:val="00D440B0"/>
    <w:rsid w:val="00D4564A"/>
    <w:rsid w:val="00D46676"/>
    <w:rsid w:val="00D46E2F"/>
    <w:rsid w:val="00D477EE"/>
    <w:rsid w:val="00D47905"/>
    <w:rsid w:val="00D50DE9"/>
    <w:rsid w:val="00D5194A"/>
    <w:rsid w:val="00D52252"/>
    <w:rsid w:val="00D5231F"/>
    <w:rsid w:val="00D5237E"/>
    <w:rsid w:val="00D53344"/>
    <w:rsid w:val="00D5523D"/>
    <w:rsid w:val="00D55EB0"/>
    <w:rsid w:val="00D565AB"/>
    <w:rsid w:val="00D56624"/>
    <w:rsid w:val="00D572A8"/>
    <w:rsid w:val="00D5774E"/>
    <w:rsid w:val="00D602C0"/>
    <w:rsid w:val="00D60A72"/>
    <w:rsid w:val="00D615EB"/>
    <w:rsid w:val="00D6240D"/>
    <w:rsid w:val="00D6292E"/>
    <w:rsid w:val="00D651D2"/>
    <w:rsid w:val="00D65482"/>
    <w:rsid w:val="00D66063"/>
    <w:rsid w:val="00D6784A"/>
    <w:rsid w:val="00D710EC"/>
    <w:rsid w:val="00D720FE"/>
    <w:rsid w:val="00D722A0"/>
    <w:rsid w:val="00D728AB"/>
    <w:rsid w:val="00D73FC9"/>
    <w:rsid w:val="00D76208"/>
    <w:rsid w:val="00D77589"/>
    <w:rsid w:val="00D777CD"/>
    <w:rsid w:val="00D805F2"/>
    <w:rsid w:val="00D80869"/>
    <w:rsid w:val="00D81AA3"/>
    <w:rsid w:val="00D81CF4"/>
    <w:rsid w:val="00D83139"/>
    <w:rsid w:val="00D83B82"/>
    <w:rsid w:val="00D843E0"/>
    <w:rsid w:val="00D905AF"/>
    <w:rsid w:val="00D90C29"/>
    <w:rsid w:val="00D959BA"/>
    <w:rsid w:val="00D972FF"/>
    <w:rsid w:val="00DA0027"/>
    <w:rsid w:val="00DA0CFC"/>
    <w:rsid w:val="00DA302E"/>
    <w:rsid w:val="00DA320A"/>
    <w:rsid w:val="00DA3D06"/>
    <w:rsid w:val="00DA420D"/>
    <w:rsid w:val="00DA56F5"/>
    <w:rsid w:val="00DA5C67"/>
    <w:rsid w:val="00DB1533"/>
    <w:rsid w:val="00DB1A2C"/>
    <w:rsid w:val="00DB1BE6"/>
    <w:rsid w:val="00DB1C44"/>
    <w:rsid w:val="00DB297C"/>
    <w:rsid w:val="00DB2EDF"/>
    <w:rsid w:val="00DB597B"/>
    <w:rsid w:val="00DB74E5"/>
    <w:rsid w:val="00DB7FC3"/>
    <w:rsid w:val="00DC1B6C"/>
    <w:rsid w:val="00DC4DEB"/>
    <w:rsid w:val="00DC4F38"/>
    <w:rsid w:val="00DC5390"/>
    <w:rsid w:val="00DC7EA0"/>
    <w:rsid w:val="00DD0A79"/>
    <w:rsid w:val="00DD226C"/>
    <w:rsid w:val="00DD3058"/>
    <w:rsid w:val="00DD3143"/>
    <w:rsid w:val="00DD6070"/>
    <w:rsid w:val="00DD71A1"/>
    <w:rsid w:val="00DD772D"/>
    <w:rsid w:val="00DE1080"/>
    <w:rsid w:val="00DE1386"/>
    <w:rsid w:val="00DE1C3E"/>
    <w:rsid w:val="00DE3318"/>
    <w:rsid w:val="00DE3BA4"/>
    <w:rsid w:val="00DE3FF0"/>
    <w:rsid w:val="00DE4B31"/>
    <w:rsid w:val="00DE63CA"/>
    <w:rsid w:val="00DE7D28"/>
    <w:rsid w:val="00DE7DDB"/>
    <w:rsid w:val="00DF1560"/>
    <w:rsid w:val="00DF21AB"/>
    <w:rsid w:val="00DF5208"/>
    <w:rsid w:val="00E001C6"/>
    <w:rsid w:val="00E006AA"/>
    <w:rsid w:val="00E0294E"/>
    <w:rsid w:val="00E056B9"/>
    <w:rsid w:val="00E071F5"/>
    <w:rsid w:val="00E10878"/>
    <w:rsid w:val="00E10C37"/>
    <w:rsid w:val="00E12C79"/>
    <w:rsid w:val="00E155D9"/>
    <w:rsid w:val="00E17B35"/>
    <w:rsid w:val="00E21C32"/>
    <w:rsid w:val="00E24C51"/>
    <w:rsid w:val="00E26AEE"/>
    <w:rsid w:val="00E3027B"/>
    <w:rsid w:val="00E307DB"/>
    <w:rsid w:val="00E311A8"/>
    <w:rsid w:val="00E3253C"/>
    <w:rsid w:val="00E35D14"/>
    <w:rsid w:val="00E35D7B"/>
    <w:rsid w:val="00E3615F"/>
    <w:rsid w:val="00E36D53"/>
    <w:rsid w:val="00E3739A"/>
    <w:rsid w:val="00E3756B"/>
    <w:rsid w:val="00E37735"/>
    <w:rsid w:val="00E40127"/>
    <w:rsid w:val="00E41488"/>
    <w:rsid w:val="00E440A6"/>
    <w:rsid w:val="00E47012"/>
    <w:rsid w:val="00E472BC"/>
    <w:rsid w:val="00E51058"/>
    <w:rsid w:val="00E513D9"/>
    <w:rsid w:val="00E5199F"/>
    <w:rsid w:val="00E53156"/>
    <w:rsid w:val="00E5319F"/>
    <w:rsid w:val="00E544A0"/>
    <w:rsid w:val="00E561FF"/>
    <w:rsid w:val="00E60D6D"/>
    <w:rsid w:val="00E61494"/>
    <w:rsid w:val="00E61BB1"/>
    <w:rsid w:val="00E62575"/>
    <w:rsid w:val="00E63215"/>
    <w:rsid w:val="00E6389C"/>
    <w:rsid w:val="00E65238"/>
    <w:rsid w:val="00E654D0"/>
    <w:rsid w:val="00E6789F"/>
    <w:rsid w:val="00E67C9A"/>
    <w:rsid w:val="00E70568"/>
    <w:rsid w:val="00E733FE"/>
    <w:rsid w:val="00E74856"/>
    <w:rsid w:val="00E75123"/>
    <w:rsid w:val="00E80388"/>
    <w:rsid w:val="00E80558"/>
    <w:rsid w:val="00E80C13"/>
    <w:rsid w:val="00E80F78"/>
    <w:rsid w:val="00E81555"/>
    <w:rsid w:val="00E819D6"/>
    <w:rsid w:val="00E83AA0"/>
    <w:rsid w:val="00E83D6F"/>
    <w:rsid w:val="00E842FC"/>
    <w:rsid w:val="00E8455D"/>
    <w:rsid w:val="00E846C2"/>
    <w:rsid w:val="00E90D49"/>
    <w:rsid w:val="00E92516"/>
    <w:rsid w:val="00E92BF8"/>
    <w:rsid w:val="00E94B2C"/>
    <w:rsid w:val="00EA194C"/>
    <w:rsid w:val="00EA3D65"/>
    <w:rsid w:val="00EA6023"/>
    <w:rsid w:val="00EA7681"/>
    <w:rsid w:val="00EA7946"/>
    <w:rsid w:val="00EA7F7A"/>
    <w:rsid w:val="00EB3497"/>
    <w:rsid w:val="00EB3B5B"/>
    <w:rsid w:val="00EB4651"/>
    <w:rsid w:val="00EB55F8"/>
    <w:rsid w:val="00EB6D01"/>
    <w:rsid w:val="00EC09ED"/>
    <w:rsid w:val="00EC28F6"/>
    <w:rsid w:val="00EC2ABB"/>
    <w:rsid w:val="00EC4E6A"/>
    <w:rsid w:val="00EC53A9"/>
    <w:rsid w:val="00EC5579"/>
    <w:rsid w:val="00EC5694"/>
    <w:rsid w:val="00EC58C2"/>
    <w:rsid w:val="00EC6674"/>
    <w:rsid w:val="00ED1301"/>
    <w:rsid w:val="00ED161B"/>
    <w:rsid w:val="00ED1700"/>
    <w:rsid w:val="00ED2123"/>
    <w:rsid w:val="00ED514C"/>
    <w:rsid w:val="00ED6F60"/>
    <w:rsid w:val="00ED72CA"/>
    <w:rsid w:val="00ED7A5E"/>
    <w:rsid w:val="00ED7CB2"/>
    <w:rsid w:val="00EE4D71"/>
    <w:rsid w:val="00EE5520"/>
    <w:rsid w:val="00EE67FE"/>
    <w:rsid w:val="00EF6F02"/>
    <w:rsid w:val="00F00D94"/>
    <w:rsid w:val="00F01833"/>
    <w:rsid w:val="00F049EF"/>
    <w:rsid w:val="00F04ACA"/>
    <w:rsid w:val="00F10151"/>
    <w:rsid w:val="00F10B29"/>
    <w:rsid w:val="00F11538"/>
    <w:rsid w:val="00F1233C"/>
    <w:rsid w:val="00F13C7C"/>
    <w:rsid w:val="00F13C9F"/>
    <w:rsid w:val="00F14847"/>
    <w:rsid w:val="00F15A6C"/>
    <w:rsid w:val="00F16CC0"/>
    <w:rsid w:val="00F20880"/>
    <w:rsid w:val="00F21DA7"/>
    <w:rsid w:val="00F2286D"/>
    <w:rsid w:val="00F235B9"/>
    <w:rsid w:val="00F2424C"/>
    <w:rsid w:val="00F242A6"/>
    <w:rsid w:val="00F24DFF"/>
    <w:rsid w:val="00F271F9"/>
    <w:rsid w:val="00F3122E"/>
    <w:rsid w:val="00F3168D"/>
    <w:rsid w:val="00F33EBD"/>
    <w:rsid w:val="00F3446C"/>
    <w:rsid w:val="00F354C8"/>
    <w:rsid w:val="00F379D4"/>
    <w:rsid w:val="00F431F6"/>
    <w:rsid w:val="00F43449"/>
    <w:rsid w:val="00F437E4"/>
    <w:rsid w:val="00F43B2D"/>
    <w:rsid w:val="00F44ED7"/>
    <w:rsid w:val="00F46791"/>
    <w:rsid w:val="00F508F4"/>
    <w:rsid w:val="00F509E9"/>
    <w:rsid w:val="00F50F96"/>
    <w:rsid w:val="00F51125"/>
    <w:rsid w:val="00F52258"/>
    <w:rsid w:val="00F52F3B"/>
    <w:rsid w:val="00F5331B"/>
    <w:rsid w:val="00F5544A"/>
    <w:rsid w:val="00F5623D"/>
    <w:rsid w:val="00F563D3"/>
    <w:rsid w:val="00F56D30"/>
    <w:rsid w:val="00F5772A"/>
    <w:rsid w:val="00F57A85"/>
    <w:rsid w:val="00F66D3F"/>
    <w:rsid w:val="00F70306"/>
    <w:rsid w:val="00F70ADF"/>
    <w:rsid w:val="00F72CB7"/>
    <w:rsid w:val="00F74021"/>
    <w:rsid w:val="00F74592"/>
    <w:rsid w:val="00F76AAC"/>
    <w:rsid w:val="00F76D7B"/>
    <w:rsid w:val="00F80284"/>
    <w:rsid w:val="00F83726"/>
    <w:rsid w:val="00F83811"/>
    <w:rsid w:val="00F860E0"/>
    <w:rsid w:val="00F91622"/>
    <w:rsid w:val="00F91BA5"/>
    <w:rsid w:val="00F91D55"/>
    <w:rsid w:val="00F92EBC"/>
    <w:rsid w:val="00F92FC5"/>
    <w:rsid w:val="00F939BC"/>
    <w:rsid w:val="00F94FC2"/>
    <w:rsid w:val="00F957C1"/>
    <w:rsid w:val="00F95BCA"/>
    <w:rsid w:val="00F95D8D"/>
    <w:rsid w:val="00F97959"/>
    <w:rsid w:val="00FA0C41"/>
    <w:rsid w:val="00FA6FCF"/>
    <w:rsid w:val="00FA707A"/>
    <w:rsid w:val="00FA7E3B"/>
    <w:rsid w:val="00FB1A89"/>
    <w:rsid w:val="00FB23DB"/>
    <w:rsid w:val="00FB2BE1"/>
    <w:rsid w:val="00FB3D0B"/>
    <w:rsid w:val="00FB592F"/>
    <w:rsid w:val="00FB6B08"/>
    <w:rsid w:val="00FB6D95"/>
    <w:rsid w:val="00FC19E6"/>
    <w:rsid w:val="00FC24E8"/>
    <w:rsid w:val="00FC25F6"/>
    <w:rsid w:val="00FC3202"/>
    <w:rsid w:val="00FC3DE3"/>
    <w:rsid w:val="00FC5AAF"/>
    <w:rsid w:val="00FC62A5"/>
    <w:rsid w:val="00FC78AC"/>
    <w:rsid w:val="00FC7907"/>
    <w:rsid w:val="00FD0DA5"/>
    <w:rsid w:val="00FD231A"/>
    <w:rsid w:val="00FD258F"/>
    <w:rsid w:val="00FD27AE"/>
    <w:rsid w:val="00FD3541"/>
    <w:rsid w:val="00FD37EB"/>
    <w:rsid w:val="00FD68EF"/>
    <w:rsid w:val="00FD7F20"/>
    <w:rsid w:val="00FE012C"/>
    <w:rsid w:val="00FE07E0"/>
    <w:rsid w:val="00FE1572"/>
    <w:rsid w:val="00FE2259"/>
    <w:rsid w:val="00FE4197"/>
    <w:rsid w:val="00FE44F8"/>
    <w:rsid w:val="00FE47DA"/>
    <w:rsid w:val="00FE4EF8"/>
    <w:rsid w:val="00FE4F77"/>
    <w:rsid w:val="00FE53D4"/>
    <w:rsid w:val="00FE6850"/>
    <w:rsid w:val="00FF2AB3"/>
    <w:rsid w:val="00FF37FC"/>
    <w:rsid w:val="00FF3D10"/>
    <w:rsid w:val="00FF3FF3"/>
    <w:rsid w:val="00FF4175"/>
    <w:rsid w:val="00FF43FF"/>
    <w:rsid w:val="00FF7C84"/>
    <w:rsid w:val="7645459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0550C4D2-F6D6-4FC0-94E3-489A9A91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F1"/>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267E16"/>
    <w:pPr>
      <w:keepNext/>
      <w:spacing w:after="480"/>
      <w:outlineLvl w:val="0"/>
    </w:pPr>
    <w:rPr>
      <w:rFonts w:ascii="Arial" w:hAnsi="Arial"/>
      <w:b/>
      <w:color w:val="7030A0"/>
      <w:kern w:val="28"/>
      <w:sz w:val="44"/>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92206E"/>
    <w:pPr>
      <w:keepNext/>
      <w:keepLines/>
      <w:spacing w:before="240" w:after="144"/>
      <w:outlineLvl w:val="2"/>
    </w:pPr>
    <w:rPr>
      <w:rFonts w:asciiTheme="minorHAnsi" w:hAnsiTheme="minorHAnsi" w:cstheme="minorHAnsi"/>
      <w:bCs/>
      <w:i/>
      <w:iCs/>
      <w:color w:val="808080" w:themeColor="background1" w:themeShade="80"/>
      <w:szCs w:val="24"/>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qFormat/>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E16"/>
    <w:rPr>
      <w:rFonts w:ascii="Arial" w:eastAsia="Times New Roman" w:hAnsi="Arial" w:cs="Times New Roman"/>
      <w:b/>
      <w:color w:val="7030A0"/>
      <w:kern w:val="28"/>
      <w:sz w:val="44"/>
      <w:szCs w:val="20"/>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92206E"/>
    <w:rPr>
      <w:rFonts w:eastAsia="Times New Roman" w:cstheme="minorHAnsi"/>
      <w:bCs/>
      <w:i/>
      <w:iCs/>
      <w:color w:val="808080" w:themeColor="background1" w:themeShade="80"/>
      <w:szCs w:val="24"/>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7212A0"/>
    <w:pPr>
      <w:spacing w:before="60" w:after="60"/>
      <w:jc w:val="both"/>
    </w:pPr>
    <w:rPr>
      <w:noProof/>
      <w:sz w:val="18"/>
      <w:szCs w:val="18"/>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7212A0"/>
    <w:rPr>
      <w:rFonts w:ascii="Calibri" w:eastAsia="Times New Roman" w:hAnsi="Calibri" w:cs="Times New Roman"/>
      <w:noProof/>
      <w:sz w:val="18"/>
      <w:szCs w:val="18"/>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styleId="CommentReference">
    <w:name w:val="annotation reference"/>
    <w:basedOn w:val="DefaultParagraphFont"/>
    <w:uiPriority w:val="99"/>
    <w:semiHidden/>
    <w:unhideWhenUsed/>
    <w:rsid w:val="00173538"/>
    <w:rPr>
      <w:sz w:val="16"/>
      <w:szCs w:val="16"/>
    </w:rPr>
  </w:style>
  <w:style w:type="paragraph" w:styleId="CommentText">
    <w:name w:val="annotation text"/>
    <w:basedOn w:val="Normal"/>
    <w:link w:val="CommentTextChar"/>
    <w:uiPriority w:val="99"/>
    <w:unhideWhenUsed/>
    <w:rsid w:val="00173538"/>
    <w:pPr>
      <w:spacing w:line="240" w:lineRule="auto"/>
    </w:pPr>
    <w:rPr>
      <w:sz w:val="20"/>
    </w:rPr>
  </w:style>
  <w:style w:type="character" w:customStyle="1" w:styleId="CommentTextChar">
    <w:name w:val="Comment Text Char"/>
    <w:basedOn w:val="DefaultParagraphFont"/>
    <w:link w:val="CommentText"/>
    <w:uiPriority w:val="99"/>
    <w:rsid w:val="0017353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3538"/>
    <w:rPr>
      <w:b/>
      <w:bCs/>
    </w:rPr>
  </w:style>
  <w:style w:type="character" w:customStyle="1" w:styleId="CommentSubjectChar">
    <w:name w:val="Comment Subject Char"/>
    <w:basedOn w:val="CommentTextChar"/>
    <w:link w:val="CommentSubject"/>
    <w:uiPriority w:val="99"/>
    <w:semiHidden/>
    <w:rsid w:val="00173538"/>
    <w:rPr>
      <w:rFonts w:ascii="Calibri" w:eastAsia="Times New Roman" w:hAnsi="Calibri" w:cs="Times New Roman"/>
      <w:b/>
      <w:bCs/>
      <w:sz w:val="20"/>
      <w:szCs w:val="20"/>
    </w:rPr>
  </w:style>
  <w:style w:type="paragraph" w:styleId="TOCHeading">
    <w:name w:val="TOC Heading"/>
    <w:basedOn w:val="Heading1"/>
    <w:next w:val="Normal"/>
    <w:uiPriority w:val="39"/>
    <w:unhideWhenUsed/>
    <w:qFormat/>
    <w:rsid w:val="003F4871"/>
    <w:pPr>
      <w:keepLines/>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paragraph" w:styleId="TOC1">
    <w:name w:val="toc 1"/>
    <w:basedOn w:val="Normal"/>
    <w:next w:val="Normal"/>
    <w:autoRedefine/>
    <w:uiPriority w:val="39"/>
    <w:unhideWhenUsed/>
    <w:rsid w:val="003F4871"/>
    <w:pPr>
      <w:spacing w:after="100"/>
    </w:pPr>
  </w:style>
  <w:style w:type="paragraph" w:styleId="TOC2">
    <w:name w:val="toc 2"/>
    <w:basedOn w:val="Normal"/>
    <w:next w:val="Normal"/>
    <w:autoRedefine/>
    <w:uiPriority w:val="39"/>
    <w:unhideWhenUsed/>
    <w:rsid w:val="007D5B2B"/>
    <w:pPr>
      <w:tabs>
        <w:tab w:val="left" w:pos="660"/>
        <w:tab w:val="right" w:leader="dot" w:pos="9629"/>
      </w:tabs>
      <w:spacing w:after="100"/>
      <w:ind w:left="220"/>
    </w:pPr>
    <w:rPr>
      <w:rFonts w:asciiTheme="minorHAnsi" w:hAnsiTheme="minorHAnsi" w:cstheme="minorHAnsi"/>
      <w:b/>
      <w:bCs/>
      <w:noProof/>
      <w:sz w:val="24"/>
      <w:szCs w:val="22"/>
    </w:rPr>
  </w:style>
  <w:style w:type="paragraph" w:styleId="TOC3">
    <w:name w:val="toc 3"/>
    <w:basedOn w:val="Normal"/>
    <w:next w:val="Normal"/>
    <w:autoRedefine/>
    <w:uiPriority w:val="39"/>
    <w:unhideWhenUsed/>
    <w:rsid w:val="003F4871"/>
    <w:pPr>
      <w:spacing w:after="100"/>
      <w:ind w:left="440"/>
    </w:pPr>
  </w:style>
  <w:style w:type="character" w:styleId="Mention">
    <w:name w:val="Mention"/>
    <w:basedOn w:val="DefaultParagraphFont"/>
    <w:uiPriority w:val="99"/>
    <w:unhideWhenUsed/>
    <w:rsid w:val="00F92EBC"/>
    <w:rPr>
      <w:color w:val="2B579A"/>
      <w:shd w:val="clear" w:color="auto" w:fill="E1DFDD"/>
    </w:rPr>
  </w:style>
  <w:style w:type="paragraph" w:customStyle="1" w:styleId="paragraph">
    <w:name w:val="paragraph"/>
    <w:basedOn w:val="Normal"/>
    <w:rsid w:val="003E0D6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3E0D6E"/>
  </w:style>
  <w:style w:type="character" w:customStyle="1" w:styleId="eop">
    <w:name w:val="eop"/>
    <w:basedOn w:val="DefaultParagraphFont"/>
    <w:rsid w:val="003E0D6E"/>
  </w:style>
  <w:style w:type="paragraph" w:styleId="Revision">
    <w:name w:val="Revision"/>
    <w:hidden/>
    <w:uiPriority w:val="99"/>
    <w:semiHidden/>
    <w:rsid w:val="00650666"/>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2018">
      <w:bodyDiv w:val="1"/>
      <w:marLeft w:val="0"/>
      <w:marRight w:val="0"/>
      <w:marTop w:val="0"/>
      <w:marBottom w:val="0"/>
      <w:divBdr>
        <w:top w:val="none" w:sz="0" w:space="0" w:color="auto"/>
        <w:left w:val="none" w:sz="0" w:space="0" w:color="auto"/>
        <w:bottom w:val="none" w:sz="0" w:space="0" w:color="auto"/>
        <w:right w:val="none" w:sz="0" w:space="0" w:color="auto"/>
      </w:divBdr>
      <w:divsChild>
        <w:div w:id="70205722">
          <w:marLeft w:val="0"/>
          <w:marRight w:val="0"/>
          <w:marTop w:val="0"/>
          <w:marBottom w:val="0"/>
          <w:divBdr>
            <w:top w:val="none" w:sz="0" w:space="0" w:color="auto"/>
            <w:left w:val="none" w:sz="0" w:space="0" w:color="auto"/>
            <w:bottom w:val="none" w:sz="0" w:space="0" w:color="auto"/>
            <w:right w:val="none" w:sz="0" w:space="0" w:color="auto"/>
          </w:divBdr>
        </w:div>
        <w:div w:id="1465730063">
          <w:marLeft w:val="0"/>
          <w:marRight w:val="0"/>
          <w:marTop w:val="0"/>
          <w:marBottom w:val="0"/>
          <w:divBdr>
            <w:top w:val="none" w:sz="0" w:space="0" w:color="auto"/>
            <w:left w:val="none" w:sz="0" w:space="0" w:color="auto"/>
            <w:bottom w:val="none" w:sz="0" w:space="0" w:color="auto"/>
            <w:right w:val="none" w:sz="0" w:space="0" w:color="auto"/>
          </w:divBdr>
        </w:div>
      </w:divsChild>
    </w:div>
    <w:div w:id="1036736093">
      <w:bodyDiv w:val="1"/>
      <w:marLeft w:val="0"/>
      <w:marRight w:val="0"/>
      <w:marTop w:val="0"/>
      <w:marBottom w:val="0"/>
      <w:divBdr>
        <w:top w:val="none" w:sz="0" w:space="0" w:color="auto"/>
        <w:left w:val="none" w:sz="0" w:space="0" w:color="auto"/>
        <w:bottom w:val="none" w:sz="0" w:space="0" w:color="auto"/>
        <w:right w:val="none" w:sz="0" w:space="0" w:color="auto"/>
      </w:divBdr>
      <w:divsChild>
        <w:div w:id="317613684">
          <w:marLeft w:val="994"/>
          <w:marRight w:val="0"/>
          <w:marTop w:val="0"/>
          <w:marBottom w:val="0"/>
          <w:divBdr>
            <w:top w:val="none" w:sz="0" w:space="0" w:color="auto"/>
            <w:left w:val="none" w:sz="0" w:space="0" w:color="auto"/>
            <w:bottom w:val="none" w:sz="0" w:space="0" w:color="auto"/>
            <w:right w:val="none" w:sz="0" w:space="0" w:color="auto"/>
          </w:divBdr>
        </w:div>
        <w:div w:id="708920046">
          <w:marLeft w:val="274"/>
          <w:marRight w:val="0"/>
          <w:marTop w:val="0"/>
          <w:marBottom w:val="0"/>
          <w:divBdr>
            <w:top w:val="none" w:sz="0" w:space="0" w:color="auto"/>
            <w:left w:val="none" w:sz="0" w:space="0" w:color="auto"/>
            <w:bottom w:val="none" w:sz="0" w:space="0" w:color="auto"/>
            <w:right w:val="none" w:sz="0" w:space="0" w:color="auto"/>
          </w:divBdr>
        </w:div>
        <w:div w:id="774834450">
          <w:marLeft w:val="274"/>
          <w:marRight w:val="0"/>
          <w:marTop w:val="0"/>
          <w:marBottom w:val="0"/>
          <w:divBdr>
            <w:top w:val="none" w:sz="0" w:space="0" w:color="auto"/>
            <w:left w:val="none" w:sz="0" w:space="0" w:color="auto"/>
            <w:bottom w:val="none" w:sz="0" w:space="0" w:color="auto"/>
            <w:right w:val="none" w:sz="0" w:space="0" w:color="auto"/>
          </w:divBdr>
        </w:div>
      </w:divsChild>
    </w:div>
    <w:div w:id="1087768159">
      <w:bodyDiv w:val="1"/>
      <w:marLeft w:val="0"/>
      <w:marRight w:val="0"/>
      <w:marTop w:val="0"/>
      <w:marBottom w:val="0"/>
      <w:divBdr>
        <w:top w:val="none" w:sz="0" w:space="0" w:color="auto"/>
        <w:left w:val="none" w:sz="0" w:space="0" w:color="auto"/>
        <w:bottom w:val="none" w:sz="0" w:space="0" w:color="auto"/>
        <w:right w:val="none" w:sz="0" w:space="0" w:color="auto"/>
      </w:divBdr>
    </w:div>
    <w:div w:id="1354187925">
      <w:bodyDiv w:val="1"/>
      <w:marLeft w:val="0"/>
      <w:marRight w:val="0"/>
      <w:marTop w:val="0"/>
      <w:marBottom w:val="0"/>
      <w:divBdr>
        <w:top w:val="none" w:sz="0" w:space="0" w:color="auto"/>
        <w:left w:val="none" w:sz="0" w:space="0" w:color="auto"/>
        <w:bottom w:val="none" w:sz="0" w:space="0" w:color="auto"/>
        <w:right w:val="none" w:sz="0" w:space="0" w:color="auto"/>
      </w:divBdr>
    </w:div>
    <w:div w:id="1484156134">
      <w:bodyDiv w:val="1"/>
      <w:marLeft w:val="0"/>
      <w:marRight w:val="0"/>
      <w:marTop w:val="0"/>
      <w:marBottom w:val="0"/>
      <w:divBdr>
        <w:top w:val="none" w:sz="0" w:space="0" w:color="auto"/>
        <w:left w:val="none" w:sz="0" w:space="0" w:color="auto"/>
        <w:bottom w:val="none" w:sz="0" w:space="0" w:color="auto"/>
        <w:right w:val="none" w:sz="0" w:space="0" w:color="auto"/>
      </w:divBdr>
    </w:div>
    <w:div w:id="1719741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hyperlink" Target="https://www.parliament.act.gov.au/parliamentary-business/in-committees/committees/JCS_Scrutiny" TargetMode="External"/><Relationship Id="rId3" Type="http://schemas.openxmlformats.org/officeDocument/2006/relationships/customXml" Target="../customXml/item3.xml"/><Relationship Id="rId21" Type="http://schemas.openxmlformats.org/officeDocument/2006/relationships/hyperlink" Target="https://www.parliament.act.gov.au/parliamentary-business/in-committees/previous-assemblies/standing-committees-tenth-assembly/JCS_Scrutin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oia.pmc.gov.au/resources/guidance-assessing-impacts/cost-benefit-analysi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png"/><Relationship Id="rId29" Type="http://schemas.openxmlformats.org/officeDocument/2006/relationships/hyperlink" Target="https://www.legislation.act.gov.au/View/ri/db_63524/20201202-75542/html/db_63524.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hdp-au-prod-app-act-yoursay-files.s3.ap-southeast-2.amazonaws.com/1516/3789/3675/211124_ACT_min_std_RIS_rev2331506.1.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23" Type="http://schemas.openxmlformats.org/officeDocument/2006/relationships/hyperlink" Target="mailto:EconomicandRegulatoryPolicy@act.gov.au" TargetMode="External"/><Relationship Id="rId28" Type="http://schemas.openxmlformats.org/officeDocument/2006/relationships/hyperlink" Target="https://www.legislation.act.gov.au/View/a/2001-14/current/html/2001-14.html" TargetMode="External"/><Relationship Id="rId10" Type="http://schemas.openxmlformats.org/officeDocument/2006/relationships/webSettings" Target="webSettings.xml"/><Relationship Id="rId19" Type="http://schemas.openxmlformats.org/officeDocument/2006/relationships/hyperlink" Target="mailto:EconomicandRegulatoryPolicy@act.gov.au" TargetMode="External"/><Relationship Id="rId31" Type="http://schemas.openxmlformats.org/officeDocument/2006/relationships/hyperlink" Target="https://www.climatechoices.act.gov.au/__data/assets/pdf_file/0008/2335562/Baringa-Regulatory-Impact-Analysis-Gas-connections-Final.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parliament.act.gov.au/parliamentary-business/in-committees/committees/JCS_Scrutiny" TargetMode="External"/><Relationship Id="rId27" Type="http://schemas.openxmlformats.org/officeDocument/2006/relationships/hyperlink" Target="https://actgovernment.sharepoint.com/sites/Intranet-CabinetResources/2024%20Guidance%20material/Forms/AllItems.aspx?id=%2Fsites%2FIntranet%2DCabinetResources%2F2024%20Guidance%20material%2FFact%20Sheet%20%2D%20Regulatory%20Impact%20Assessment%20in%20the%20ACT%2Epdf&amp;parent=%2Fsites%2FIntranet%2DCabinetResources%2F2024%20Guidance%20material" TargetMode="External"/><Relationship Id="rId30" Type="http://schemas.openxmlformats.org/officeDocument/2006/relationships/hyperlink" Target="https://hdp-au-prod-app-act-yoursay-files.s3.ap-southeast-2.amazonaws.com/1516/3789/3675/211124_ACT_min_std_RIS_rev2331506.1.pdf" TargetMode="Externa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media.opengov.nsw.gov.au/pairtree_root/41/eb/7e/1a/65/1b/4e/a2/b8/d8/68/9a/1d/8d/75/1a/obj/PUB17_509_Market__failure_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TDocumentDate xmlns="http://schemas.microsoft.com/sharepoint/v3">2024-07-16T22:45:00+00:00</QTDocumentDate>
    <QTRetainTaxHTField xmlns="http://schemas.microsoft.com/sharepoint/v3">
      <Terms xmlns="http://schemas.microsoft.com/office/infopath/2007/PartnerControls">
        <TermInfo xmlns="http://schemas.microsoft.com/office/infopath/2007/PartnerControls">
          <TermName xmlns="http://schemas.microsoft.com/office/infopath/2007/PartnerControls">Record</TermName>
          <TermId xmlns="http://schemas.microsoft.com/office/infopath/2007/PartnerControls">2584089d-4b41-46ae-ad46-8a9fb08e05f7</TermId>
        </TermInfo>
      </Terms>
    </QTRetainTaxHTField>
    <QTDocumentId xmlns="http://schemas.microsoft.com/sharepoint/v3" xsi:nil="true"/>
    <QTBusinessOwnerTaxHTField xmlns="http://schemas.microsoft.com/sharepoint/v3">
      <Terms xmlns="http://schemas.microsoft.com/office/infopath/2007/PartnerControls">
        <TermInfo xmlns="http://schemas.microsoft.com/office/infopath/2007/PartnerControls">
          <TermName xmlns="http://schemas.microsoft.com/office/infopath/2007/PartnerControls">Off Prdctvy ＆ Red Tpe Rdn</TermName>
          <TermId xmlns="http://schemas.microsoft.com/office/infopath/2007/PartnerControls">ed36fe5a-02e8-4a7e-913a-28b6f78dbbe3</TermId>
        </TermInfo>
      </Terms>
    </QTBusinessOwnerTaxHTField>
    <ElectronicId xmlns="4ed821ac-589c-4003-a172-e625d938d56c" xsi:nil="true"/>
    <RecordType xmlns="4ed821ac-589c-4003-a172-e625d938d56c" xsi:nil="true"/>
    <lcf76f155ced4ddcb4097134ff3c332f xmlns="d1db62f0-30ff-45e3-850f-714c416cf9cf">
      <Terms xmlns="http://schemas.microsoft.com/office/infopath/2007/PartnerControls"/>
    </lcf76f155ced4ddcb4097134ff3c332f>
    <QTActivityTaxHTField xmlns="http://schemas.microsoft.com/sharepoint/v3">
      <Terms xmlns="http://schemas.microsoft.com/office/infopath/2007/PartnerControls">
        <TermInfo xmlns="http://schemas.microsoft.com/office/infopath/2007/PartnerControls">
          <TermName xmlns="http://schemas.microsoft.com/office/infopath/2007/PartnerControls">Agency planning</TermName>
          <TermId xmlns="http://schemas.microsoft.com/office/infopath/2007/PartnerControls">daa6bcc6-ba33-4768-aa33-9e8f0120aadb</TermId>
        </TermInfo>
      </Terms>
    </QTActivityTaxHTField>
    <RecordNumber xmlns="4ed821ac-589c-4003-a172-e625d938d56c" xsi:nil="true"/>
    <QTSecurityClassificationTaxHTField xmlns="http://schemas.microsoft.com/sharepoint/v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f67802d0-e2d2-455e-bfc4-106d673b036c</TermId>
        </TermInfo>
      </Terms>
    </QTSecurityClassificationTaxHTField>
    <QTQGSONotes xmlns="1227c05b-0364-427a-85dd-9bb2ccb6cb6a" xsi:nil="true"/>
    <Audit xmlns="4ed821ac-589c-4003-a172-e625d938d56c" xsi:nil="true"/>
    <Disposition xmlns="4ed821ac-589c-4003-a172-e625d938d56c" xsi:nil="true"/>
    <Owner xmlns="4ed821ac-589c-4003-a172-e625d938d56c" xsi:nil="true"/>
    <RecordUri xmlns="4ed821ac-589c-4003-a172-e625d938d56c" xsi:nil="true"/>
    <TRIM_x0020_Author xmlns="4ed821ac-589c-4003-a172-e625d938d56c" xsi:nil="true"/>
    <ContainerPath xmlns="4ed821ac-589c-4003-a172-e625d938d56c" xsi:nil="true"/>
    <Home xmlns="4ed821ac-589c-4003-a172-e625d938d56c" xsi:nil="true"/>
    <FilePlan xmlns="4ed821ac-589c-4003-a172-e625d938d56c" xsi:nil="true"/>
    <StructuredTitle xmlns="4ed821ac-589c-4003-a172-e625d938d56c" xsi:nil="true"/>
    <Assignee xmlns="4ed821ac-589c-4003-a172-e625d938d56c" xsi:nil="true"/>
    <TaxCatchAll xmlns="1227c05b-0364-427a-85dd-9bb2ccb6cb6a">
      <Value>11</Value>
      <Value>4</Value>
      <Value>20</Value>
      <Value>1</Value>
    </TaxCatchAll>
    <Completed xmlns="d1db62f0-30ff-45e3-850f-714c416cf9cf">false</Completed>
    <_dlc_DocId xmlns="4ed821ac-589c-4003-a172-e625d938d56c">AE7YPPJV67PY-1504921193-8974</_dlc_DocId>
    <_dlc_DocIdUrl xmlns="4ed821ac-589c-4003-a172-e625d938d56c">
      <Url>https://treasuryqld.sharepoint.com/sites/OPRTR-OBPR/_layouts/15/DocIdRedir.aspx?ID=AE7YPPJV67PY-1504921193-8974</Url>
      <Description>AE7YPPJV67PY-1504921193-8974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OPRTR Document" ma:contentTypeID="0x010100781568B1C4394FA28C28FD40A55844C00011FC80BCA66C1B46BA01D6B998701B3B00011B56C7932D1B489E45286C51F4DB65" ma:contentTypeVersion="23" ma:contentTypeDescription="" ma:contentTypeScope="" ma:versionID="52e31db98a9c56856491c13fe60cb351">
  <xsd:schema xmlns:xsd="http://www.w3.org/2001/XMLSchema" xmlns:xs="http://www.w3.org/2001/XMLSchema" xmlns:p="http://schemas.microsoft.com/office/2006/metadata/properties" xmlns:ns1="http://schemas.microsoft.com/sharepoint/v3" xmlns:ns2="1227c05b-0364-427a-85dd-9bb2ccb6cb6a" xmlns:ns3="4ed821ac-589c-4003-a172-e625d938d56c" xmlns:ns4="d1db62f0-30ff-45e3-850f-714c416cf9cf" targetNamespace="http://schemas.microsoft.com/office/2006/metadata/properties" ma:root="true" ma:fieldsID="4527f41d63b0fdd5e9019ec1b39c2312" ns1:_="" ns2:_="" ns3:_="" ns4:_="">
    <xsd:import namespace="http://schemas.microsoft.com/sharepoint/v3"/>
    <xsd:import namespace="1227c05b-0364-427a-85dd-9bb2ccb6cb6a"/>
    <xsd:import namespace="4ed821ac-589c-4003-a172-e625d938d56c"/>
    <xsd:import namespace="d1db62f0-30ff-45e3-850f-714c416cf9cf"/>
    <xsd:element name="properties">
      <xsd:complexType>
        <xsd:sequence>
          <xsd:element name="documentManagement">
            <xsd:complexType>
              <xsd:all>
                <xsd:element ref="ns2:TaxCatchAll" minOccurs="0"/>
                <xsd:element ref="ns2:TaxCatchAllLabel" minOccurs="0"/>
                <xsd:element ref="ns1:QTSecurityClassificationTaxHTField" minOccurs="0"/>
                <xsd:element ref="ns1:QTRetainTaxHTField" minOccurs="0"/>
                <xsd:element ref="ns1:QTActivityTaxHTField" minOccurs="0"/>
                <xsd:element ref="ns1:QTDocumentDate" minOccurs="0"/>
                <xsd:element ref="ns1:QTDocumentId" minOccurs="0"/>
                <xsd:element ref="ns1:QTBusinessOwnerTaxHTField" minOccurs="0"/>
                <xsd:element ref="ns3:_dlc_DocId" minOccurs="0"/>
                <xsd:element ref="ns3:_dlc_DocIdUrl" minOccurs="0"/>
                <xsd:element ref="ns3:_dlc_DocIdPersistId" minOccurs="0"/>
                <xsd:element ref="ns3:Assignee" minOccurs="0"/>
                <xsd:element ref="ns3:ContainerPath" minOccurs="0"/>
                <xsd:element ref="ns3:Disposition" minOccurs="0"/>
                <xsd:element ref="ns3:ElectronicId" minOccurs="0"/>
                <xsd:element ref="ns3:FilePlan" minOccurs="0"/>
                <xsd:element ref="ns3:Home" minOccurs="0"/>
                <xsd:element ref="ns3:Owner" minOccurs="0"/>
                <xsd:element ref="ns3:RecordNumber" minOccurs="0"/>
                <xsd:element ref="ns3:RecordType" minOccurs="0"/>
                <xsd:element ref="ns3:RecordUri" minOccurs="0"/>
                <xsd:element ref="ns3:StructuredTitle" minOccurs="0"/>
                <xsd:element ref="ns3:TRIM_x0020_Author" minOccurs="0"/>
                <xsd:element ref="ns2:QTQGSONotes" minOccurs="0"/>
                <xsd:element ref="ns3:Audit"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bjectDetectorVersions" minOccurs="0"/>
                <xsd:element ref="ns4:MediaServiceSearchProperties" minOccurs="0"/>
                <xsd:element ref="ns4:Completed"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TSecurityClassificationTaxHTField" ma:index="10" nillable="true" ma:taxonomy="true" ma:internalName="QTSecurityClassificationTaxHTField" ma:taxonomyFieldName="QTSecurityClassification" ma:displayName="Security Classification" ma:readOnly="false" ma:default="1;#OFFICIAL|f67802d0-e2d2-455e-bfc4-106d673b036c" ma:fieldId="{5e6cf0f2-a8b2-4528-ba19-607cbb2b5f4b}" ma:sspId="a2313f21-320d-4b32-babf-82317826f03e" ma:termSetId="5eba7a93-314e-40d1-b66d-b8925c50e962" ma:anchorId="00000000-0000-0000-0000-000000000000" ma:open="false" ma:isKeyword="false">
      <xsd:complexType>
        <xsd:sequence>
          <xsd:element ref="pc:Terms" minOccurs="0" maxOccurs="1"/>
        </xsd:sequence>
      </xsd:complexType>
    </xsd:element>
    <xsd:element name="QTRetainTaxHTField" ma:index="12" nillable="true" ma:taxonomy="true" ma:internalName="QTRetainTaxHTField" ma:taxonomyFieldName="QTRetain" ma:displayName="Retain" ma:readOnly="false" ma:default="2;#Not a Record|be9c41f7-771d-4c32-914c-5fdd078bfabe" ma:fieldId="{566ca1ba-f3c8-44ee-a9b1-35e411c04af3}" ma:sspId="a2313f21-320d-4b32-babf-82317826f03e" ma:termSetId="ca986ede-da31-4438-9be3-b2d1fffc7559" ma:anchorId="00000000-0000-0000-0000-000000000000" ma:open="false" ma:isKeyword="false">
      <xsd:complexType>
        <xsd:sequence>
          <xsd:element ref="pc:Terms" minOccurs="0" maxOccurs="1"/>
        </xsd:sequence>
      </xsd:complexType>
    </xsd:element>
    <xsd:element name="QTActivityTaxHTField" ma:index="14" nillable="true" ma:taxonomy="true" ma:internalName="QTActivityTaxHTField" ma:taxonomyFieldName="QTActivity" ma:displayName="Activity" ma:readOnly="false" ma:default="" ma:fieldId="{396fe2d1-c521-434d-ac80-f7463cc6128b}" ma:sspId="a2313f21-320d-4b32-babf-82317826f03e" ma:termSetId="dbefb770-281c-4905-9787-01dec3f74e87" ma:anchorId="00000000-0000-0000-0000-000000000000" ma:open="false" ma:isKeyword="false">
      <xsd:complexType>
        <xsd:sequence>
          <xsd:element ref="pc:Terms" minOccurs="0" maxOccurs="1"/>
        </xsd:sequence>
      </xsd:complexType>
    </xsd:element>
    <xsd:element name="QTDocumentDate" ma:index="16" nillable="true" ma:displayName="Document Date" ma:default="[today]" ma:format="DateOnly" ma:internalName="QTDocumentDate" ma:readOnly="false">
      <xsd:simpleType>
        <xsd:restriction base="dms:DateTime"/>
      </xsd:simpleType>
    </xsd:element>
    <xsd:element name="QTDocumentId" ma:index="17" nillable="true" ma:displayName="Document ID" ma:hidden="true" ma:internalName="QTDocumentId" ma:readOnly="false">
      <xsd:simpleType>
        <xsd:restriction base="dms:Text"/>
      </xsd:simpleType>
    </xsd:element>
    <xsd:element name="QTBusinessOwnerTaxHTField" ma:index="18" nillable="true" ma:taxonomy="true" ma:internalName="QTBusinessOwnerTaxHTField" ma:taxonomyFieldName="QTBusinessOwner" ma:displayName="Business Owner" ma:readOnly="false" ma:default="" ma:fieldId="{6e15ce56-a150-4282-98d0-7527b67550ba}" ma:sspId="a2313f21-320d-4b32-babf-82317826f03e" ma:termSetId="3fd11d86-b919-4797-8f14-213cca9ba85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7c05b-0364-427a-85dd-9bb2ccb6cb6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0b5d87f-f820-4610-ac02-cdef4a625ded}" ma:internalName="TaxCatchAll" ma:showField="CatchAllData" ma:web="4ed821ac-589c-4003-a172-e625d938d56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0b5d87f-f820-4610-ac02-cdef4a625ded}" ma:internalName="TaxCatchAllLabel" ma:readOnly="true" ma:showField="CatchAllDataLabel" ma:web="4ed821ac-589c-4003-a172-e625d938d56c">
      <xsd:complexType>
        <xsd:complexContent>
          <xsd:extension base="dms:MultiChoiceLookup">
            <xsd:sequence>
              <xsd:element name="Value" type="dms:Lookup" maxOccurs="unbounded" minOccurs="0" nillable="true"/>
            </xsd:sequence>
          </xsd:extension>
        </xsd:complexContent>
      </xsd:complexType>
    </xsd:element>
    <xsd:element name="QTQGSONotes" ma:index="35" nillable="true" ma:displayName="Notes" ma:internalName="QTQGSO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821ac-589c-4003-a172-e625d938d56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Assignee" ma:index="23" nillable="true" ma:displayName="Assignee" ma:internalName="Assignee">
      <xsd:simpleType>
        <xsd:restriction base="dms:Text">
          <xsd:maxLength value="255"/>
        </xsd:restriction>
      </xsd:simpleType>
    </xsd:element>
    <xsd:element name="ContainerPath" ma:index="24" nillable="true" ma:displayName="ContainerPath" ma:internalName="ContainerPath">
      <xsd:simpleType>
        <xsd:restriction base="dms:Text">
          <xsd:maxLength value="255"/>
        </xsd:restriction>
      </xsd:simpleType>
    </xsd:element>
    <xsd:element name="Disposition" ma:index="25" nillable="true" ma:displayName="Disposition" ma:format="Dropdown" ma:internalName="Disposition">
      <xsd:simpleType>
        <xsd:union memberTypes="dms:Text">
          <xsd:simpleType>
            <xsd:restriction base="dms:Choice">
              <xsd:enumeration value="Active"/>
              <xsd:enumeration value="Inactive"/>
            </xsd:restriction>
          </xsd:simpleType>
        </xsd:union>
      </xsd:simpleType>
    </xsd:element>
    <xsd:element name="ElectronicId" ma:index="26" nillable="true" ma:displayName="ElectronicId" ma:internalName="ElectronicId">
      <xsd:simpleType>
        <xsd:restriction base="dms:Text">
          <xsd:maxLength value="255"/>
        </xsd:restriction>
      </xsd:simpleType>
    </xsd:element>
    <xsd:element name="FilePlan" ma:index="27" nillable="true" ma:displayName="FilePlan" ma:internalName="FilePlan">
      <xsd:simpleType>
        <xsd:restriction base="dms:Text">
          <xsd:maxLength value="255"/>
        </xsd:restriction>
      </xsd:simpleType>
    </xsd:element>
    <xsd:element name="Home" ma:index="28" nillable="true" ma:displayName="Home" ma:internalName="Home">
      <xsd:simpleType>
        <xsd:restriction base="dms:Text">
          <xsd:maxLength value="255"/>
        </xsd:restriction>
      </xsd:simpleType>
    </xsd:element>
    <xsd:element name="Owner" ma:index="29" nillable="true" ma:displayName="Owner" ma:internalName="Owner">
      <xsd:simpleType>
        <xsd:restriction base="dms:Text">
          <xsd:maxLength value="255"/>
        </xsd:restriction>
      </xsd:simpleType>
    </xsd:element>
    <xsd:element name="RecordNumber" ma:index="30" nillable="true" ma:displayName="RecordNumber" ma:internalName="RecordNumber">
      <xsd:simpleType>
        <xsd:restriction base="dms:Text">
          <xsd:maxLength value="255"/>
        </xsd:restriction>
      </xsd:simpleType>
    </xsd:element>
    <xsd:element name="RecordType" ma:index="31" nillable="true" ma:displayName="RecordType" ma:format="Dropdown" ma:internalName="RecordType">
      <xsd:simpleType>
        <xsd:union memberTypes="dms:Text">
          <xsd:simpleType>
            <xsd:restriction base="dms:Choice">
              <xsd:enumeration value="Folder (Container)"/>
              <xsd:enumeration value="Master Folder"/>
              <xsd:enumeration value="Document"/>
              <xsd:enumeration value="Folder"/>
              <xsd:enumeration value="Action Tracker"/>
            </xsd:restriction>
          </xsd:simpleType>
        </xsd:union>
      </xsd:simpleType>
    </xsd:element>
    <xsd:element name="RecordUri" ma:index="32" nillable="true" ma:displayName="RecordUri" ma:internalName="RecordUri">
      <xsd:simpleType>
        <xsd:restriction base="dms:Text">
          <xsd:maxLength value="255"/>
        </xsd:restriction>
      </xsd:simpleType>
    </xsd:element>
    <xsd:element name="StructuredTitle" ma:index="33" nillable="true" ma:displayName="StructuredTitle" ma:internalName="StructuredTitle">
      <xsd:simpleType>
        <xsd:restriction base="dms:Text">
          <xsd:maxLength value="255"/>
        </xsd:restriction>
      </xsd:simpleType>
    </xsd:element>
    <xsd:element name="TRIM_x0020_Author" ma:index="34" nillable="true" ma:displayName="TRIM Author" ma:internalName="TRIM_x0020_Author">
      <xsd:simpleType>
        <xsd:restriction base="dms:Text">
          <xsd:maxLength value="255"/>
        </xsd:restriction>
      </xsd:simpleType>
    </xsd:element>
    <xsd:element name="Audit" ma:index="36" nillable="true" ma:displayName="Audit" ma:internalName="Audit">
      <xsd:simpleType>
        <xsd:restriction base="dms:Note">
          <xsd:maxLength value="255"/>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db62f0-30ff-45e3-850f-714c416cf9cf"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3" nillable="true" ma:displayName="Tags" ma:internalName="MediaServiceAutoTags"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LengthInSeconds" ma:index="47" nillable="true" ma:displayName="Length (seconds)" ma:internalName="MediaLengthInSeconds" ma:readOnly="true">
      <xsd:simpleType>
        <xsd:restriction base="dms:Unknown"/>
      </xsd:simpleType>
    </xsd:element>
    <xsd:element name="MediaServiceDateTaken" ma:index="48" nillable="true" ma:displayName="MediaServiceDateTaken" ma:hidden="true" ma:internalName="MediaServiceDateTaken" ma:readOnly="true">
      <xsd:simpleType>
        <xsd:restriction base="dms:Text"/>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a2313f21-320d-4b32-babf-82317826f0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Completed" ma:index="53" nillable="true" ma:displayName="Completed" ma:default="0" ma:format="Dropdown" ma:internalName="Completed">
      <xsd:simpleType>
        <xsd:restriction base="dms:Boolean"/>
      </xsd:simpleType>
    </xsd:element>
    <xsd:element name="MediaServiceLocation" ma:index="5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2313f21-320d-4b32-babf-82317826f03e" ContentTypeId="0x010100781568B1C4394FA28C28FD40A55844C0"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80B9F-9E3F-4B5C-8DCE-092595C583C9}">
  <ds:schemaRefs>
    <ds:schemaRef ds:uri="http://schemas.openxmlformats.org/officeDocument/2006/bibliography"/>
  </ds:schemaRefs>
</ds:datastoreItem>
</file>

<file path=customXml/itemProps2.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http://schemas.microsoft.com/sharepoint/v3"/>
    <ds:schemaRef ds:uri="4ed821ac-589c-4003-a172-e625d938d56c"/>
    <ds:schemaRef ds:uri="d1db62f0-30ff-45e3-850f-714c416cf9cf"/>
    <ds:schemaRef ds:uri="1227c05b-0364-427a-85dd-9bb2ccb6cb6a"/>
  </ds:schemaRefs>
</ds:datastoreItem>
</file>

<file path=customXml/itemProps3.xml><?xml version="1.0" encoding="utf-8"?>
<ds:datastoreItem xmlns:ds="http://schemas.openxmlformats.org/officeDocument/2006/customXml" ds:itemID="{6870821A-089F-4E4C-AE7F-2A5B427A7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7c05b-0364-427a-85dd-9bb2ccb6cb6a"/>
    <ds:schemaRef ds:uri="4ed821ac-589c-4003-a172-e625d938d56c"/>
    <ds:schemaRef ds:uri="d1db62f0-30ff-45e3-850f-714c416cf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517DC-11BD-48EB-96EE-2BDC7C5C6DEA}">
  <ds:schemaRefs>
    <ds:schemaRef ds:uri="http://schemas.microsoft.com/sharepoint/events"/>
  </ds:schemaRefs>
</ds:datastoreItem>
</file>

<file path=customXml/itemProps5.xml><?xml version="1.0" encoding="utf-8"?>
<ds:datastoreItem xmlns:ds="http://schemas.openxmlformats.org/officeDocument/2006/customXml" ds:itemID="{DF59D9AB-F92C-4170-9E7A-53C62FBD3D04}">
  <ds:schemaRefs>
    <ds:schemaRef ds:uri="Microsoft.SharePoint.Taxonomy.ContentTypeSync"/>
  </ds:schemaRefs>
</ds:datastoreItem>
</file>

<file path=customXml/itemProps6.xml><?xml version="1.0" encoding="utf-8"?>
<ds:datastoreItem xmlns:ds="http://schemas.openxmlformats.org/officeDocument/2006/customXml" ds:itemID="{8FB681A3-58C3-4541-82AC-C3AB1893F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30</Pages>
  <Words>10422</Words>
  <Characters>59411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69694</CharactersWithSpaces>
  <SharedDoc>false</SharedDoc>
  <HLinks>
    <vt:vector size="126" baseType="variant">
      <vt:variant>
        <vt:i4>68</vt:i4>
      </vt:variant>
      <vt:variant>
        <vt:i4>114</vt:i4>
      </vt:variant>
      <vt:variant>
        <vt:i4>0</vt:i4>
      </vt:variant>
      <vt:variant>
        <vt:i4>5</vt:i4>
      </vt:variant>
      <vt:variant>
        <vt:lpwstr>https://oia.pmc.gov.au/resources/guidance-assessing-impacts/cost-benefit-analysis</vt:lpwstr>
      </vt:variant>
      <vt:variant>
        <vt:lpwstr/>
      </vt:variant>
      <vt:variant>
        <vt:i4>1441899</vt:i4>
      </vt:variant>
      <vt:variant>
        <vt:i4>111</vt:i4>
      </vt:variant>
      <vt:variant>
        <vt:i4>0</vt:i4>
      </vt:variant>
      <vt:variant>
        <vt:i4>5</vt:i4>
      </vt:variant>
      <vt:variant>
        <vt:lpwstr>mailto:EconomicandRegulatoryPolicy@act.gov.au</vt:lpwstr>
      </vt:variant>
      <vt:variant>
        <vt:lpwstr/>
      </vt:variant>
      <vt:variant>
        <vt:i4>1048697</vt:i4>
      </vt:variant>
      <vt:variant>
        <vt:i4>108</vt:i4>
      </vt:variant>
      <vt:variant>
        <vt:i4>0</vt:i4>
      </vt:variant>
      <vt:variant>
        <vt:i4>5</vt:i4>
      </vt:variant>
      <vt:variant>
        <vt:lpwstr>https://www.parliament.act.gov.au/parliamentary-business/in-committees/committees/JCS_Scrutiny</vt:lpwstr>
      </vt:variant>
      <vt:variant>
        <vt:lpwstr/>
      </vt:variant>
      <vt:variant>
        <vt:i4>1441899</vt:i4>
      </vt:variant>
      <vt:variant>
        <vt:i4>105</vt:i4>
      </vt:variant>
      <vt:variant>
        <vt:i4>0</vt:i4>
      </vt:variant>
      <vt:variant>
        <vt:i4>5</vt:i4>
      </vt:variant>
      <vt:variant>
        <vt:lpwstr>mailto:EconomicandRegulatoryPolicy@act.gov.au</vt:lpwstr>
      </vt:variant>
      <vt:variant>
        <vt:lpwstr/>
      </vt:variant>
      <vt:variant>
        <vt:i4>1310780</vt:i4>
      </vt:variant>
      <vt:variant>
        <vt:i4>98</vt:i4>
      </vt:variant>
      <vt:variant>
        <vt:i4>0</vt:i4>
      </vt:variant>
      <vt:variant>
        <vt:i4>5</vt:i4>
      </vt:variant>
      <vt:variant>
        <vt:lpwstr/>
      </vt:variant>
      <vt:variant>
        <vt:lpwstr>_Toc150888569</vt:lpwstr>
      </vt:variant>
      <vt:variant>
        <vt:i4>1310780</vt:i4>
      </vt:variant>
      <vt:variant>
        <vt:i4>92</vt:i4>
      </vt:variant>
      <vt:variant>
        <vt:i4>0</vt:i4>
      </vt:variant>
      <vt:variant>
        <vt:i4>5</vt:i4>
      </vt:variant>
      <vt:variant>
        <vt:lpwstr/>
      </vt:variant>
      <vt:variant>
        <vt:lpwstr>_Toc150888568</vt:lpwstr>
      </vt:variant>
      <vt:variant>
        <vt:i4>1310780</vt:i4>
      </vt:variant>
      <vt:variant>
        <vt:i4>86</vt:i4>
      </vt:variant>
      <vt:variant>
        <vt:i4>0</vt:i4>
      </vt:variant>
      <vt:variant>
        <vt:i4>5</vt:i4>
      </vt:variant>
      <vt:variant>
        <vt:lpwstr/>
      </vt:variant>
      <vt:variant>
        <vt:lpwstr>_Toc150888567</vt:lpwstr>
      </vt:variant>
      <vt:variant>
        <vt:i4>1310780</vt:i4>
      </vt:variant>
      <vt:variant>
        <vt:i4>80</vt:i4>
      </vt:variant>
      <vt:variant>
        <vt:i4>0</vt:i4>
      </vt:variant>
      <vt:variant>
        <vt:i4>5</vt:i4>
      </vt:variant>
      <vt:variant>
        <vt:lpwstr/>
      </vt:variant>
      <vt:variant>
        <vt:lpwstr>_Toc150888566</vt:lpwstr>
      </vt:variant>
      <vt:variant>
        <vt:i4>1310780</vt:i4>
      </vt:variant>
      <vt:variant>
        <vt:i4>74</vt:i4>
      </vt:variant>
      <vt:variant>
        <vt:i4>0</vt:i4>
      </vt:variant>
      <vt:variant>
        <vt:i4>5</vt:i4>
      </vt:variant>
      <vt:variant>
        <vt:lpwstr/>
      </vt:variant>
      <vt:variant>
        <vt:lpwstr>_Toc150888565</vt:lpwstr>
      </vt:variant>
      <vt:variant>
        <vt:i4>1310780</vt:i4>
      </vt:variant>
      <vt:variant>
        <vt:i4>68</vt:i4>
      </vt:variant>
      <vt:variant>
        <vt:i4>0</vt:i4>
      </vt:variant>
      <vt:variant>
        <vt:i4>5</vt:i4>
      </vt:variant>
      <vt:variant>
        <vt:lpwstr/>
      </vt:variant>
      <vt:variant>
        <vt:lpwstr>_Toc150888564</vt:lpwstr>
      </vt:variant>
      <vt:variant>
        <vt:i4>1310780</vt:i4>
      </vt:variant>
      <vt:variant>
        <vt:i4>62</vt:i4>
      </vt:variant>
      <vt:variant>
        <vt:i4>0</vt:i4>
      </vt:variant>
      <vt:variant>
        <vt:i4>5</vt:i4>
      </vt:variant>
      <vt:variant>
        <vt:lpwstr/>
      </vt:variant>
      <vt:variant>
        <vt:lpwstr>_Toc150888563</vt:lpwstr>
      </vt:variant>
      <vt:variant>
        <vt:i4>1310780</vt:i4>
      </vt:variant>
      <vt:variant>
        <vt:i4>56</vt:i4>
      </vt:variant>
      <vt:variant>
        <vt:i4>0</vt:i4>
      </vt:variant>
      <vt:variant>
        <vt:i4>5</vt:i4>
      </vt:variant>
      <vt:variant>
        <vt:lpwstr/>
      </vt:variant>
      <vt:variant>
        <vt:lpwstr>_Toc150888562</vt:lpwstr>
      </vt:variant>
      <vt:variant>
        <vt:i4>1310780</vt:i4>
      </vt:variant>
      <vt:variant>
        <vt:i4>50</vt:i4>
      </vt:variant>
      <vt:variant>
        <vt:i4>0</vt:i4>
      </vt:variant>
      <vt:variant>
        <vt:i4>5</vt:i4>
      </vt:variant>
      <vt:variant>
        <vt:lpwstr/>
      </vt:variant>
      <vt:variant>
        <vt:lpwstr>_Toc150888561</vt:lpwstr>
      </vt:variant>
      <vt:variant>
        <vt:i4>1310780</vt:i4>
      </vt:variant>
      <vt:variant>
        <vt:i4>44</vt:i4>
      </vt:variant>
      <vt:variant>
        <vt:i4>0</vt:i4>
      </vt:variant>
      <vt:variant>
        <vt:i4>5</vt:i4>
      </vt:variant>
      <vt:variant>
        <vt:lpwstr/>
      </vt:variant>
      <vt:variant>
        <vt:lpwstr>_Toc150888560</vt:lpwstr>
      </vt:variant>
      <vt:variant>
        <vt:i4>1507388</vt:i4>
      </vt:variant>
      <vt:variant>
        <vt:i4>38</vt:i4>
      </vt:variant>
      <vt:variant>
        <vt:i4>0</vt:i4>
      </vt:variant>
      <vt:variant>
        <vt:i4>5</vt:i4>
      </vt:variant>
      <vt:variant>
        <vt:lpwstr/>
      </vt:variant>
      <vt:variant>
        <vt:lpwstr>_Toc150888559</vt:lpwstr>
      </vt:variant>
      <vt:variant>
        <vt:i4>1507388</vt:i4>
      </vt:variant>
      <vt:variant>
        <vt:i4>32</vt:i4>
      </vt:variant>
      <vt:variant>
        <vt:i4>0</vt:i4>
      </vt:variant>
      <vt:variant>
        <vt:i4>5</vt:i4>
      </vt:variant>
      <vt:variant>
        <vt:lpwstr/>
      </vt:variant>
      <vt:variant>
        <vt:lpwstr>_Toc150888558</vt:lpwstr>
      </vt:variant>
      <vt:variant>
        <vt:i4>1507388</vt:i4>
      </vt:variant>
      <vt:variant>
        <vt:i4>26</vt:i4>
      </vt:variant>
      <vt:variant>
        <vt:i4>0</vt:i4>
      </vt:variant>
      <vt:variant>
        <vt:i4>5</vt:i4>
      </vt:variant>
      <vt:variant>
        <vt:lpwstr/>
      </vt:variant>
      <vt:variant>
        <vt:lpwstr>_Toc150888557</vt:lpwstr>
      </vt:variant>
      <vt:variant>
        <vt:i4>1507388</vt:i4>
      </vt:variant>
      <vt:variant>
        <vt:i4>20</vt:i4>
      </vt:variant>
      <vt:variant>
        <vt:i4>0</vt:i4>
      </vt:variant>
      <vt:variant>
        <vt:i4>5</vt:i4>
      </vt:variant>
      <vt:variant>
        <vt:lpwstr/>
      </vt:variant>
      <vt:variant>
        <vt:lpwstr>_Toc150888556</vt:lpwstr>
      </vt:variant>
      <vt:variant>
        <vt:i4>1507388</vt:i4>
      </vt:variant>
      <vt:variant>
        <vt:i4>14</vt:i4>
      </vt:variant>
      <vt:variant>
        <vt:i4>0</vt:i4>
      </vt:variant>
      <vt:variant>
        <vt:i4>5</vt:i4>
      </vt:variant>
      <vt:variant>
        <vt:lpwstr/>
      </vt:variant>
      <vt:variant>
        <vt:lpwstr>_Toc150888555</vt:lpwstr>
      </vt:variant>
      <vt:variant>
        <vt:i4>1507388</vt:i4>
      </vt:variant>
      <vt:variant>
        <vt:i4>8</vt:i4>
      </vt:variant>
      <vt:variant>
        <vt:i4>0</vt:i4>
      </vt:variant>
      <vt:variant>
        <vt:i4>5</vt:i4>
      </vt:variant>
      <vt:variant>
        <vt:lpwstr/>
      </vt:variant>
      <vt:variant>
        <vt:lpwstr>_Toc150888554</vt:lpwstr>
      </vt:variant>
      <vt:variant>
        <vt:i4>7274564</vt:i4>
      </vt:variant>
      <vt:variant>
        <vt:i4>2</vt:i4>
      </vt:variant>
      <vt:variant>
        <vt:i4>0</vt:i4>
      </vt:variant>
      <vt:variant>
        <vt:i4>5</vt:i4>
      </vt:variant>
      <vt:variant>
        <vt:lpwstr>https://actgovernment-my.sharepoint.com/personal/ian_lawrence_act_gov_au/Documents/Best Practice Guide for Preparing Regulatory Impact Assessment v2.docx</vt:lpwstr>
      </vt:variant>
      <vt:variant>
        <vt:lpwstr>_Toc150888553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Maskell, Alan</dc:creator>
  <cp:keywords/>
  <dc:description/>
  <cp:lastModifiedBy>Ellwood, Christopher</cp:lastModifiedBy>
  <cp:revision>12</cp:revision>
  <cp:lastPrinted>2019-06-13T18:11:00Z</cp:lastPrinted>
  <dcterms:created xsi:type="dcterms:W3CDTF">2024-09-04T05:34:00Z</dcterms:created>
  <dcterms:modified xsi:type="dcterms:W3CDTF">2024-11-25T21:40:00Z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0x010100781568B1C4394FA28C28FD40A55844C00011FC80BCA66C1B46BA01D6B998701B3B00011B56C7932D1B489E45286C51F4DB65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Order">
    <vt:r8>186600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QTSecurityClassification">
    <vt:lpwstr>1;#OFFICIAL|f67802d0-e2d2-455e-bfc4-106d673b036c</vt:lpwstr>
  </property>
  <property fmtid="{D5CDD505-2E9C-101B-9397-08002B2CF9AE}" pid="19" name="_dlc_DocIdItemGuid">
    <vt:lpwstr>9b5a7293-f8ea-4d8c-9e65-6270f6d093f9</vt:lpwstr>
  </property>
  <property fmtid="{D5CDD505-2E9C-101B-9397-08002B2CF9AE}" pid="20" name="QTRetain">
    <vt:lpwstr>4;#Record|2584089d-4b41-46ae-ad46-8a9fb08e05f7</vt:lpwstr>
  </property>
  <property fmtid="{D5CDD505-2E9C-101B-9397-08002B2CF9AE}" pid="21" name="QTBusinessOwner">
    <vt:lpwstr>20;#Off Prdctvy ＆ Red Tpe Rdn|ed36fe5a-02e8-4a7e-913a-28b6f78dbbe3</vt:lpwstr>
  </property>
  <property fmtid="{D5CDD505-2E9C-101B-9397-08002B2CF9AE}" pid="22" name="QTActivity">
    <vt:lpwstr>11;#Agency planning|daa6bcc6-ba33-4768-aa33-9e8f0120aadb</vt:lpwstr>
  </property>
  <property fmtid="{D5CDD505-2E9C-101B-9397-08002B2CF9AE}" pid="23" name="MSIP_Label_5b083577-197b-450c-831d-654cf3f56dc2_Enabled">
    <vt:lpwstr>true</vt:lpwstr>
  </property>
  <property fmtid="{D5CDD505-2E9C-101B-9397-08002B2CF9AE}" pid="24" name="MSIP_Label_5b083577-197b-450c-831d-654cf3f56dc2_SetDate">
    <vt:lpwstr>2024-07-16T22:57:35Z</vt:lpwstr>
  </property>
  <property fmtid="{D5CDD505-2E9C-101B-9397-08002B2CF9AE}" pid="25" name="MSIP_Label_5b083577-197b-450c-831d-654cf3f56dc2_Method">
    <vt:lpwstr>Standard</vt:lpwstr>
  </property>
  <property fmtid="{D5CDD505-2E9C-101B-9397-08002B2CF9AE}" pid="26" name="MSIP_Label_5b083577-197b-450c-831d-654cf3f56dc2_Name">
    <vt:lpwstr>OFFICIAL</vt:lpwstr>
  </property>
  <property fmtid="{D5CDD505-2E9C-101B-9397-08002B2CF9AE}" pid="27" name="MSIP_Label_5b083577-197b-450c-831d-654cf3f56dc2_SiteId">
    <vt:lpwstr>823bfb03-da26-4cbf-a7d6-f02dbfdf182e</vt:lpwstr>
  </property>
  <property fmtid="{D5CDD505-2E9C-101B-9397-08002B2CF9AE}" pid="28" name="MSIP_Label_5b083577-197b-450c-831d-654cf3f56dc2_ActionId">
    <vt:lpwstr>8087a30b-7338-444f-a547-32fa22853ef3</vt:lpwstr>
  </property>
  <property fmtid="{D5CDD505-2E9C-101B-9397-08002B2CF9AE}" pid="29" name="MSIP_Label_5b083577-197b-450c-831d-654cf3f56dc2_ContentBits">
    <vt:lpwstr>0</vt:lpwstr>
  </property>
</Properties>
</file>