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78233EBC" w:rsidR="000A2FFC" w:rsidRDefault="00E753AA">
      <w:bookmarkStart w:id="0" w:name="_Hlk70693919"/>
      <w:bookmarkEnd w:id="0"/>
      <w:r>
        <w:rPr>
          <w:noProof/>
        </w:rPr>
        <w:drawing>
          <wp:anchor distT="0" distB="0" distL="114300" distR="114300" simplePos="0" relativeHeight="251683840" behindDoc="1" locked="0" layoutInCell="1" allowOverlap="1" wp14:anchorId="6A5DBD08" wp14:editId="12A35AE6">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8D3BE6" w:rsidR="00F875BD" w:rsidRDefault="00F875BD"/>
        <w:p w14:paraId="49B2A568" w14:textId="3298E8D1" w:rsidR="00F875BD" w:rsidRDefault="00F46341">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19CC4138" wp14:editId="71261798">
                    <wp:simplePos x="0" y="0"/>
                    <wp:positionH relativeFrom="margin">
                      <wp:posOffset>-200660</wp:posOffset>
                    </wp:positionH>
                    <wp:positionV relativeFrom="page">
                      <wp:posOffset>8362950</wp:posOffset>
                    </wp:positionV>
                    <wp:extent cx="292925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6B2C3AC3" w:rsidR="0094757A" w:rsidRPr="000016B9" w:rsidRDefault="0094757A" w:rsidP="0089332C">
                                <w:pPr>
                                  <w:pStyle w:val="Intro"/>
                                  <w:rPr>
                                    <w:caps/>
                                    <w:color w:val="FFFFFF"/>
                                  </w:rPr>
                                </w:pPr>
                                <w:r>
                                  <w:rPr>
                                    <w:color w:val="FFFFFF"/>
                                  </w:rPr>
                                  <w:t>Chief Minister, Treasury and Economic Development Directorate</w:t>
                                </w:r>
                              </w:p>
                              <w:p w14:paraId="4B1E4223" w14:textId="213AC82E" w:rsidR="0094757A" w:rsidRPr="000016B9" w:rsidRDefault="003524AE" w:rsidP="0089332C">
                                <w:pPr>
                                  <w:pStyle w:val="Intro"/>
                                  <w:rPr>
                                    <w:caps/>
                                    <w:color w:val="FFFFFF"/>
                                  </w:rPr>
                                </w:pPr>
                                <w:r>
                                  <w:rPr>
                                    <w:color w:val="FFFFFF"/>
                                  </w:rPr>
                                  <w:t xml:space="preserve">Updated </w:t>
                                </w:r>
                                <w:r w:rsidR="0094757A">
                                  <w:rPr>
                                    <w:color w:val="FFFFFF"/>
                                  </w:rPr>
                                  <w:t>Policy start date: June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CC4138" id="_x0000_t202" coordsize="21600,21600" o:spt="202" path="m,l,21600r21600,l21600,xe">
                    <v:stroke joinstyle="miter"/>
                    <v:path gradientshapeok="t" o:connecttype="rect"/>
                  </v:shapetype>
                  <v:shape id="Text Box 10" o:spid="_x0000_s1026" type="#_x0000_t202" style="position:absolute;margin-left:-15.8pt;margin-top:658.5pt;width:230.6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" filled="f" stroked="f">
                    <v:textbox style="mso-fit-shape-to-text:t">
                      <w:txbxContent>
                        <w:p w14:paraId="7979A790" w14:textId="6B2C3AC3" w:rsidR="0094757A" w:rsidRPr="000016B9" w:rsidRDefault="0094757A" w:rsidP="0089332C">
                          <w:pPr>
                            <w:pStyle w:val="Intro"/>
                            <w:rPr>
                              <w:caps/>
                              <w:color w:val="FFFFFF"/>
                            </w:rPr>
                          </w:pPr>
                          <w:r>
                            <w:rPr>
                              <w:color w:val="FFFFFF"/>
                            </w:rPr>
                            <w:t>Chief Minister, Treasury and Economic Development Directorate</w:t>
                          </w:r>
                        </w:p>
                        <w:p w14:paraId="4B1E4223" w14:textId="213AC82E" w:rsidR="0094757A" w:rsidRPr="000016B9" w:rsidRDefault="003524AE" w:rsidP="0089332C">
                          <w:pPr>
                            <w:pStyle w:val="Intro"/>
                            <w:rPr>
                              <w:caps/>
                              <w:color w:val="FFFFFF"/>
                            </w:rPr>
                          </w:pPr>
                          <w:r>
                            <w:rPr>
                              <w:color w:val="FFFFFF"/>
                            </w:rPr>
                            <w:t xml:space="preserve">Updated </w:t>
                          </w:r>
                          <w:r w:rsidR="0094757A">
                            <w:rPr>
                              <w:color w:val="FFFFFF"/>
                            </w:rPr>
                            <w:t>Policy start date: June 2021</w:t>
                          </w:r>
                        </w:p>
                      </w:txbxContent>
                    </v:textbox>
                    <w10:wrap anchorx="margin" anchory="page"/>
                  </v:shape>
                </w:pict>
              </mc:Fallback>
            </mc:AlternateContent>
          </w:r>
          <w:r w:rsidR="005C7414">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1171CE4" wp14:editId="174CD5A2">
                    <wp:simplePos x="0" y="0"/>
                    <wp:positionH relativeFrom="margin">
                      <wp:align>right</wp:align>
                    </wp:positionH>
                    <wp:positionV relativeFrom="page">
                      <wp:posOffset>2362200</wp:posOffset>
                    </wp:positionV>
                    <wp:extent cx="5753100" cy="5501640"/>
                    <wp:effectExtent l="0" t="0" r="0" b="381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50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20ABB" w14:textId="6201AE33" w:rsidR="005C7414" w:rsidRPr="005C7414" w:rsidRDefault="005C7414" w:rsidP="005C7414">
                                <w:pPr>
                                  <w:pStyle w:val="Title"/>
                                  <w:jc w:val="center"/>
                                  <w:rPr>
                                    <w:b/>
                                    <w:bCs/>
                                    <w:color w:val="FFFFFF"/>
                                    <w:sz w:val="56"/>
                                    <w:szCs w:val="56"/>
                                  </w:rPr>
                                </w:pPr>
                                <w:bookmarkStart w:id="1" w:name="_Toc234290670"/>
                                <w:bookmarkStart w:id="2" w:name="_Toc45264665"/>
                                <w:r w:rsidRPr="005C7414">
                                  <w:rPr>
                                    <w:b/>
                                    <w:bCs/>
                                    <w:color w:val="FFFFFF"/>
                                    <w:sz w:val="56"/>
                                    <w:szCs w:val="56"/>
                                  </w:rPr>
                                  <w:t>AADP 30</w:t>
                                </w:r>
                                <w:r w:rsidR="00F46341">
                                  <w:rPr>
                                    <w:b/>
                                    <w:bCs/>
                                    <w:color w:val="FFFFFF"/>
                                    <w:sz w:val="56"/>
                                    <w:szCs w:val="56"/>
                                  </w:rPr>
                                  <w:t>5</w:t>
                                </w:r>
                              </w:p>
                              <w:p w14:paraId="31B9053A" w14:textId="77777777" w:rsidR="005C7414" w:rsidRDefault="005C7414" w:rsidP="005C7414">
                                <w:pPr>
                                  <w:pStyle w:val="Title"/>
                                  <w:jc w:val="center"/>
                                  <w:rPr>
                                    <w:b/>
                                    <w:bCs/>
                                    <w:color w:val="FFFFFF"/>
                                    <w:sz w:val="56"/>
                                    <w:szCs w:val="56"/>
                                  </w:rPr>
                                </w:pPr>
                                <w:r w:rsidRPr="005C7414">
                                  <w:rPr>
                                    <w:b/>
                                    <w:bCs/>
                                    <w:color w:val="FFFFFF"/>
                                    <w:sz w:val="56"/>
                                    <w:szCs w:val="56"/>
                                  </w:rPr>
                                  <w:t xml:space="preserve">ACT Accounting Disclosure Paper </w:t>
                                </w:r>
                              </w:p>
                              <w:p w14:paraId="4EA27EDA" w14:textId="6D856678" w:rsidR="005C7414" w:rsidRPr="005C7414" w:rsidRDefault="005C7414" w:rsidP="005C7414">
                                <w:pPr>
                                  <w:pStyle w:val="Title"/>
                                  <w:jc w:val="center"/>
                                  <w:rPr>
                                    <w:b/>
                                    <w:bCs/>
                                    <w:color w:val="FFFFFF"/>
                                    <w:sz w:val="56"/>
                                    <w:szCs w:val="56"/>
                                  </w:rPr>
                                </w:pPr>
                                <w:r w:rsidRPr="005C7414">
                                  <w:rPr>
                                    <w:b/>
                                    <w:bCs/>
                                    <w:color w:val="FFFFFF"/>
                                    <w:sz w:val="56"/>
                                    <w:szCs w:val="56"/>
                                  </w:rPr>
                                  <w:t>on</w:t>
                                </w:r>
                              </w:p>
                              <w:p w14:paraId="1DCC19BA" w14:textId="03A1534D" w:rsidR="00853A2B" w:rsidRDefault="00853A2B" w:rsidP="005C7414">
                                <w:pPr>
                                  <w:pStyle w:val="Title"/>
                                  <w:spacing w:after="360"/>
                                  <w:jc w:val="center"/>
                                  <w:rPr>
                                    <w:b/>
                                    <w:bCs/>
                                    <w:color w:val="FFFFFF"/>
                                    <w:sz w:val="56"/>
                                    <w:szCs w:val="56"/>
                                  </w:rPr>
                                </w:pPr>
                                <w:r w:rsidRPr="005C7414">
                                  <w:rPr>
                                    <w:b/>
                                    <w:bCs/>
                                    <w:color w:val="FFFFFF"/>
                                    <w:sz w:val="56"/>
                                    <w:szCs w:val="56"/>
                                  </w:rPr>
                                  <w:t xml:space="preserve">Treatment of </w:t>
                                </w:r>
                                <w:r w:rsidRPr="005C7414">
                                  <w:rPr>
                                    <w:b/>
                                    <w:bCs/>
                                    <w:color w:val="FFFFFF"/>
                                    <w:sz w:val="56"/>
                                    <w:szCs w:val="56"/>
                                  </w:rPr>
                                  <w:br/>
                                  <w:t>AASB Standards issued</w:t>
                                </w:r>
                                <w:r w:rsidRPr="005C7414">
                                  <w:rPr>
                                    <w:b/>
                                    <w:bCs/>
                                    <w:color w:val="FFFFFF"/>
                                    <w:sz w:val="56"/>
                                    <w:szCs w:val="56"/>
                                  </w:rPr>
                                  <w:br/>
                                  <w:t>which are not yet effective</w:t>
                                </w:r>
                                <w:r w:rsidRPr="005C7414">
                                  <w:rPr>
                                    <w:b/>
                                    <w:bCs/>
                                    <w:color w:val="FFFFFF"/>
                                    <w:sz w:val="56"/>
                                    <w:szCs w:val="56"/>
                                  </w:rPr>
                                  <w:br/>
                                  <w:t>as at 30 June</w:t>
                                </w:r>
                                <w:bookmarkEnd w:id="1"/>
                                <w:r w:rsidRPr="005C7414">
                                  <w:rPr>
                                    <w:b/>
                                    <w:bCs/>
                                    <w:color w:val="FFFFFF"/>
                                    <w:sz w:val="56"/>
                                    <w:szCs w:val="56"/>
                                  </w:rPr>
                                  <w:t xml:space="preserve"> 2021</w:t>
                                </w:r>
                                <w:bookmarkEnd w:id="2"/>
                              </w:p>
                              <w:p w14:paraId="5F0550F7" w14:textId="77777777" w:rsidR="00106DB5" w:rsidRPr="005C7414" w:rsidRDefault="00106DB5" w:rsidP="005C7414">
                                <w:pPr>
                                  <w:pStyle w:val="Title"/>
                                  <w:spacing w:after="360"/>
                                  <w:jc w:val="center"/>
                                  <w:rPr>
                                    <w:b/>
                                    <w:bCs/>
                                    <w:color w:val="FFFFFF"/>
                                    <w:sz w:val="56"/>
                                    <w:szCs w:val="56"/>
                                  </w:rPr>
                                </w:pPr>
                              </w:p>
                              <w:p w14:paraId="309B196E" w14:textId="0655C80D" w:rsidR="0094757A" w:rsidRPr="00C403DB" w:rsidRDefault="00853A2B" w:rsidP="00853A2B">
                                <w:pPr>
                                  <w:pStyle w:val="Title"/>
                                  <w:jc w:val="center"/>
                                  <w:rPr>
                                    <w:color w:val="FFFFFF"/>
                                    <w:lang w:val="en-US"/>
                                  </w:rPr>
                                </w:pPr>
                                <w:bookmarkStart w:id="3" w:name="_Toc234290671"/>
                                <w:bookmarkStart w:id="4" w:name="_Toc45264666"/>
                                <w:r w:rsidRPr="005C7414">
                                  <w:rPr>
                                    <w:b/>
                                    <w:bCs/>
                                    <w:color w:val="FFFFFF"/>
                                    <w:sz w:val="56"/>
                                    <w:szCs w:val="56"/>
                                  </w:rPr>
                                  <w:t>For THE reporting</w:t>
                                </w:r>
                                <w:r w:rsidRPr="00853A2B">
                                  <w:rPr>
                                    <w:b/>
                                    <w:bCs/>
                                    <w:color w:val="FFFFFF"/>
                                  </w:rPr>
                                  <w:t xml:space="preserve"> </w:t>
                                </w:r>
                                <w:r w:rsidRPr="005C7414">
                                  <w:rPr>
                                    <w:b/>
                                    <w:bCs/>
                                    <w:color w:val="FFFFFF"/>
                                    <w:sz w:val="56"/>
                                    <w:szCs w:val="56"/>
                                  </w:rPr>
                                  <w:t>period endED</w:t>
                                </w:r>
                                <w:r w:rsidR="00444468">
                                  <w:rPr>
                                    <w:b/>
                                    <w:bCs/>
                                    <w:color w:val="FFFFFF"/>
                                    <w:sz w:val="56"/>
                                    <w:szCs w:val="56"/>
                                  </w:rPr>
                                  <w:t xml:space="preserve"> </w:t>
                                </w:r>
                                <w:r w:rsidRPr="005C7414">
                                  <w:rPr>
                                    <w:b/>
                                    <w:bCs/>
                                    <w:color w:val="FFFFFF"/>
                                    <w:sz w:val="56"/>
                                    <w:szCs w:val="56"/>
                                  </w:rPr>
                                  <w:t xml:space="preserve">30 June </w:t>
                                </w:r>
                                <w:bookmarkEnd w:id="3"/>
                                <w:r w:rsidRPr="005C7414">
                                  <w:rPr>
                                    <w:b/>
                                    <w:bCs/>
                                    <w:color w:val="FFFFFF"/>
                                    <w:sz w:val="56"/>
                                    <w:szCs w:val="56"/>
                                  </w:rPr>
                                  <w:t>2021</w:t>
                                </w:r>
                                <w:bookmarkEnd w:id="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1CE4" id="_x0000_t202" coordsize="21600,21600" o:spt="202" path="m,l,21600r21600,l21600,xe">
                    <v:stroke joinstyle="miter"/>
                    <v:path gradientshapeok="t" o:connecttype="rect"/>
                  </v:shapetype>
                  <v:shape id="Text Box 9" o:spid="_x0000_s1027" type="#_x0000_t202" style="position:absolute;margin-left:401.8pt;margin-top:186pt;width:453pt;height:433.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" filled="f" stroked="f">
                    <v:textbox>
                      <w:txbxContent>
                        <w:p w14:paraId="26420ABB" w14:textId="6201AE33" w:rsidR="005C7414" w:rsidRPr="005C7414" w:rsidRDefault="005C7414" w:rsidP="005C7414">
                          <w:pPr>
                            <w:pStyle w:val="Title"/>
                            <w:jc w:val="center"/>
                            <w:rPr>
                              <w:b/>
                              <w:bCs/>
                              <w:color w:val="FFFFFF"/>
                              <w:sz w:val="56"/>
                              <w:szCs w:val="56"/>
                            </w:rPr>
                          </w:pPr>
                          <w:bookmarkStart w:id="5" w:name="_Toc234290670"/>
                          <w:bookmarkStart w:id="6" w:name="_Toc45264665"/>
                          <w:r w:rsidRPr="005C7414">
                            <w:rPr>
                              <w:b/>
                              <w:bCs/>
                              <w:color w:val="FFFFFF"/>
                              <w:sz w:val="56"/>
                              <w:szCs w:val="56"/>
                            </w:rPr>
                            <w:t>AADP 30</w:t>
                          </w:r>
                          <w:r w:rsidR="00F46341">
                            <w:rPr>
                              <w:b/>
                              <w:bCs/>
                              <w:color w:val="FFFFFF"/>
                              <w:sz w:val="56"/>
                              <w:szCs w:val="56"/>
                            </w:rPr>
                            <w:t>5</w:t>
                          </w:r>
                        </w:p>
                        <w:p w14:paraId="31B9053A" w14:textId="77777777" w:rsidR="005C7414" w:rsidRDefault="005C7414" w:rsidP="005C7414">
                          <w:pPr>
                            <w:pStyle w:val="Title"/>
                            <w:jc w:val="center"/>
                            <w:rPr>
                              <w:b/>
                              <w:bCs/>
                              <w:color w:val="FFFFFF"/>
                              <w:sz w:val="56"/>
                              <w:szCs w:val="56"/>
                            </w:rPr>
                          </w:pPr>
                          <w:r w:rsidRPr="005C7414">
                            <w:rPr>
                              <w:b/>
                              <w:bCs/>
                              <w:color w:val="FFFFFF"/>
                              <w:sz w:val="56"/>
                              <w:szCs w:val="56"/>
                            </w:rPr>
                            <w:t xml:space="preserve">ACT Accounting Disclosure Paper </w:t>
                          </w:r>
                        </w:p>
                        <w:p w14:paraId="4EA27EDA" w14:textId="6D856678" w:rsidR="005C7414" w:rsidRPr="005C7414" w:rsidRDefault="005C7414" w:rsidP="005C7414">
                          <w:pPr>
                            <w:pStyle w:val="Title"/>
                            <w:jc w:val="center"/>
                            <w:rPr>
                              <w:b/>
                              <w:bCs/>
                              <w:color w:val="FFFFFF"/>
                              <w:sz w:val="56"/>
                              <w:szCs w:val="56"/>
                            </w:rPr>
                          </w:pPr>
                          <w:r w:rsidRPr="005C7414">
                            <w:rPr>
                              <w:b/>
                              <w:bCs/>
                              <w:color w:val="FFFFFF"/>
                              <w:sz w:val="56"/>
                              <w:szCs w:val="56"/>
                            </w:rPr>
                            <w:t>on</w:t>
                          </w:r>
                        </w:p>
                        <w:p w14:paraId="1DCC19BA" w14:textId="03A1534D" w:rsidR="00853A2B" w:rsidRDefault="00853A2B" w:rsidP="005C7414">
                          <w:pPr>
                            <w:pStyle w:val="Title"/>
                            <w:spacing w:after="360"/>
                            <w:jc w:val="center"/>
                            <w:rPr>
                              <w:b/>
                              <w:bCs/>
                              <w:color w:val="FFFFFF"/>
                              <w:sz w:val="56"/>
                              <w:szCs w:val="56"/>
                            </w:rPr>
                          </w:pPr>
                          <w:r w:rsidRPr="005C7414">
                            <w:rPr>
                              <w:b/>
                              <w:bCs/>
                              <w:color w:val="FFFFFF"/>
                              <w:sz w:val="56"/>
                              <w:szCs w:val="56"/>
                            </w:rPr>
                            <w:t xml:space="preserve">Treatment of </w:t>
                          </w:r>
                          <w:r w:rsidRPr="005C7414">
                            <w:rPr>
                              <w:b/>
                              <w:bCs/>
                              <w:color w:val="FFFFFF"/>
                              <w:sz w:val="56"/>
                              <w:szCs w:val="56"/>
                            </w:rPr>
                            <w:br/>
                            <w:t>AASB Standards issued</w:t>
                          </w:r>
                          <w:r w:rsidRPr="005C7414">
                            <w:rPr>
                              <w:b/>
                              <w:bCs/>
                              <w:color w:val="FFFFFF"/>
                              <w:sz w:val="56"/>
                              <w:szCs w:val="56"/>
                            </w:rPr>
                            <w:br/>
                            <w:t>which are not yet effective</w:t>
                          </w:r>
                          <w:r w:rsidRPr="005C7414">
                            <w:rPr>
                              <w:b/>
                              <w:bCs/>
                              <w:color w:val="FFFFFF"/>
                              <w:sz w:val="56"/>
                              <w:szCs w:val="56"/>
                            </w:rPr>
                            <w:br/>
                            <w:t>as at 30 June</w:t>
                          </w:r>
                          <w:bookmarkEnd w:id="5"/>
                          <w:r w:rsidRPr="005C7414">
                            <w:rPr>
                              <w:b/>
                              <w:bCs/>
                              <w:color w:val="FFFFFF"/>
                              <w:sz w:val="56"/>
                              <w:szCs w:val="56"/>
                            </w:rPr>
                            <w:t xml:space="preserve"> 2021</w:t>
                          </w:r>
                          <w:bookmarkEnd w:id="6"/>
                        </w:p>
                        <w:p w14:paraId="5F0550F7" w14:textId="77777777" w:rsidR="00106DB5" w:rsidRPr="005C7414" w:rsidRDefault="00106DB5" w:rsidP="005C7414">
                          <w:pPr>
                            <w:pStyle w:val="Title"/>
                            <w:spacing w:after="360"/>
                            <w:jc w:val="center"/>
                            <w:rPr>
                              <w:b/>
                              <w:bCs/>
                              <w:color w:val="FFFFFF"/>
                              <w:sz w:val="56"/>
                              <w:szCs w:val="56"/>
                            </w:rPr>
                          </w:pPr>
                        </w:p>
                        <w:p w14:paraId="309B196E" w14:textId="0655C80D" w:rsidR="0094757A" w:rsidRPr="00C403DB" w:rsidRDefault="00853A2B" w:rsidP="00853A2B">
                          <w:pPr>
                            <w:pStyle w:val="Title"/>
                            <w:jc w:val="center"/>
                            <w:rPr>
                              <w:color w:val="FFFFFF"/>
                              <w:lang w:val="en-US"/>
                            </w:rPr>
                          </w:pPr>
                          <w:bookmarkStart w:id="7" w:name="_Toc234290671"/>
                          <w:bookmarkStart w:id="8" w:name="_Toc45264666"/>
                          <w:r w:rsidRPr="005C7414">
                            <w:rPr>
                              <w:b/>
                              <w:bCs/>
                              <w:color w:val="FFFFFF"/>
                              <w:sz w:val="56"/>
                              <w:szCs w:val="56"/>
                            </w:rPr>
                            <w:t>For THE reporting</w:t>
                          </w:r>
                          <w:r w:rsidRPr="00853A2B">
                            <w:rPr>
                              <w:b/>
                              <w:bCs/>
                              <w:color w:val="FFFFFF"/>
                            </w:rPr>
                            <w:t xml:space="preserve"> </w:t>
                          </w:r>
                          <w:r w:rsidRPr="005C7414">
                            <w:rPr>
                              <w:b/>
                              <w:bCs/>
                              <w:color w:val="FFFFFF"/>
                              <w:sz w:val="56"/>
                              <w:szCs w:val="56"/>
                            </w:rPr>
                            <w:t>period endED</w:t>
                          </w:r>
                          <w:r w:rsidR="00444468">
                            <w:rPr>
                              <w:b/>
                              <w:bCs/>
                              <w:color w:val="FFFFFF"/>
                              <w:sz w:val="56"/>
                              <w:szCs w:val="56"/>
                            </w:rPr>
                            <w:t xml:space="preserve"> </w:t>
                          </w:r>
                          <w:r w:rsidRPr="005C7414">
                            <w:rPr>
                              <w:b/>
                              <w:bCs/>
                              <w:color w:val="FFFFFF"/>
                              <w:sz w:val="56"/>
                              <w:szCs w:val="56"/>
                            </w:rPr>
                            <w:t xml:space="preserve">30 June </w:t>
                          </w:r>
                          <w:bookmarkEnd w:id="7"/>
                          <w:r w:rsidRPr="005C7414">
                            <w:rPr>
                              <w:b/>
                              <w:bCs/>
                              <w:color w:val="FFFFFF"/>
                              <w:sz w:val="56"/>
                              <w:szCs w:val="56"/>
                            </w:rPr>
                            <w:t>2021</w:t>
                          </w:r>
                          <w:bookmarkEnd w:id="8"/>
                        </w:p>
                      </w:txbxContent>
                    </v:textbox>
                    <w10:wrap anchorx="margin" anchory="page"/>
                  </v:shape>
                </w:pict>
              </mc:Fallback>
            </mc:AlternateContent>
          </w:r>
          <w:r w:rsidR="005C7414">
            <w:rPr>
              <w:noProof/>
            </w:rPr>
            <w:drawing>
              <wp:anchor distT="0" distB="0" distL="114300" distR="114300" simplePos="0" relativeHeight="251665408" behindDoc="0" locked="0" layoutInCell="1" allowOverlap="1" wp14:anchorId="43C608AD" wp14:editId="097A09B4">
                <wp:simplePos x="0" y="0"/>
                <wp:positionH relativeFrom="margin">
                  <wp:align>left</wp:align>
                </wp:positionH>
                <wp:positionV relativeFrom="page">
                  <wp:posOffset>1392555</wp:posOffset>
                </wp:positionV>
                <wp:extent cx="1413510" cy="723265"/>
                <wp:effectExtent l="0" t="0" r="0" b="635"/>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r w:rsidR="00F875BD">
            <w:rPr>
              <w:rFonts w:asciiTheme="majorHAnsi" w:eastAsia="Times New Roman" w:hAnsiTheme="majorHAnsi"/>
              <w:caps/>
              <w:noProof/>
              <w:color w:val="482D8C" w:themeColor="background2"/>
              <w:sz w:val="36"/>
              <w:szCs w:val="40"/>
            </w:rPr>
            <w:br w:type="page"/>
          </w:r>
        </w:p>
      </w:sdtContent>
    </w:sdt>
    <w:p w14:paraId="3F0576C5" w14:textId="77777777" w:rsidR="006234AA" w:rsidRDefault="00A65782" w:rsidP="00A65782">
      <w:pPr>
        <w:pStyle w:val="Normal1"/>
        <w:jc w:val="center"/>
      </w:pPr>
      <w:bookmarkStart w:id="9" w:name="_Toc64020120"/>
      <w:r>
        <w:rPr>
          <w:color w:val="7270D0" w:themeColor="accent4" w:themeTint="99"/>
          <w:sz w:val="72"/>
          <w:szCs w:val="72"/>
        </w:rPr>
        <w:lastRenderedPageBreak/>
        <w:t xml:space="preserve">TABLE OF </w:t>
      </w:r>
      <w:r w:rsidR="002D33BC" w:rsidRPr="00A65782">
        <w:rPr>
          <w:color w:val="7270D0" w:themeColor="accent4" w:themeTint="99"/>
          <w:sz w:val="72"/>
          <w:szCs w:val="72"/>
        </w:rPr>
        <w:t>C</w:t>
      </w:r>
      <w:r w:rsidRPr="00A65782">
        <w:rPr>
          <w:color w:val="7270D0" w:themeColor="accent4" w:themeTint="99"/>
          <w:sz w:val="72"/>
          <w:szCs w:val="72"/>
        </w:rPr>
        <w:t>ONTENTS</w:t>
      </w:r>
      <w:bookmarkEnd w:id="9"/>
      <w:r w:rsidR="00DD7FA7" w:rsidRPr="00C52E3C">
        <w:rPr>
          <w:sz w:val="72"/>
          <w:szCs w:val="72"/>
        </w:rPr>
        <w:fldChar w:fldCharType="begin"/>
      </w:r>
      <w:r w:rsidR="0096313F" w:rsidRPr="00A65782">
        <w:rPr>
          <w:sz w:val="72"/>
          <w:szCs w:val="72"/>
        </w:rPr>
        <w:instrText xml:space="preserve"> TOC \o "1-4" \u </w:instrText>
      </w:r>
      <w:r w:rsidR="00DD7FA7" w:rsidRPr="00C52E3C">
        <w:rPr>
          <w:sz w:val="72"/>
          <w:szCs w:val="72"/>
        </w:rPr>
        <w:fldChar w:fldCharType="separate"/>
      </w:r>
    </w:p>
    <w:p w14:paraId="4FAA2BA6" w14:textId="36BD45CA" w:rsidR="006234AA" w:rsidRDefault="006234AA">
      <w:pPr>
        <w:pStyle w:val="TOC1"/>
        <w:rPr>
          <w:rFonts w:eastAsiaTheme="minorEastAsia" w:cstheme="minorBidi"/>
          <w:b w:val="0"/>
          <w:caps w:val="0"/>
          <w:color w:val="auto"/>
          <w:sz w:val="22"/>
          <w:szCs w:val="22"/>
        </w:rPr>
      </w:pPr>
      <w:r w:rsidRPr="006F0F8C">
        <w:rPr>
          <w:b w:val="0"/>
        </w:rPr>
        <w:t>1.</w:t>
      </w:r>
      <w:r>
        <w:rPr>
          <w:rFonts w:eastAsiaTheme="minorEastAsia" w:cstheme="minorBidi"/>
          <w:b w:val="0"/>
          <w:caps w:val="0"/>
          <w:color w:val="auto"/>
          <w:sz w:val="22"/>
          <w:szCs w:val="22"/>
        </w:rPr>
        <w:tab/>
      </w:r>
      <w:r w:rsidRPr="006F0F8C">
        <w:rPr>
          <w:b w:val="0"/>
        </w:rPr>
        <w:t>Introduction</w:t>
      </w:r>
      <w:r>
        <w:tab/>
      </w:r>
      <w:r>
        <w:fldChar w:fldCharType="begin"/>
      </w:r>
      <w:r>
        <w:instrText xml:space="preserve"> PAGEREF _Toc74743656 \h </w:instrText>
      </w:r>
      <w:r>
        <w:fldChar w:fldCharType="separate"/>
      </w:r>
      <w:r w:rsidR="009E67BB">
        <w:t>4</w:t>
      </w:r>
      <w:r>
        <w:fldChar w:fldCharType="end"/>
      </w:r>
    </w:p>
    <w:p w14:paraId="4E594F1A" w14:textId="10563E5C" w:rsidR="006234AA" w:rsidRDefault="006234AA">
      <w:pPr>
        <w:pStyle w:val="TOC2"/>
        <w:rPr>
          <w:rFonts w:eastAsiaTheme="minorEastAsia" w:cstheme="minorBidi"/>
          <w:color w:val="auto"/>
          <w:sz w:val="22"/>
          <w:szCs w:val="22"/>
        </w:rPr>
      </w:pPr>
      <w:r w:rsidRPr="006F0F8C">
        <w:rPr>
          <w:bCs/>
        </w:rPr>
        <w:t>1.1 APPLICATION</w:t>
      </w:r>
      <w:r>
        <w:tab/>
      </w:r>
      <w:r>
        <w:fldChar w:fldCharType="begin"/>
      </w:r>
      <w:r>
        <w:instrText xml:space="preserve"> PAGEREF _Toc74743657 \h </w:instrText>
      </w:r>
      <w:r>
        <w:fldChar w:fldCharType="separate"/>
      </w:r>
      <w:r w:rsidR="009E67BB">
        <w:t>4</w:t>
      </w:r>
      <w:r>
        <w:fldChar w:fldCharType="end"/>
      </w:r>
    </w:p>
    <w:p w14:paraId="533C8371" w14:textId="233D2888" w:rsidR="006234AA" w:rsidRDefault="006234AA" w:rsidP="005E5FEC">
      <w:pPr>
        <w:pStyle w:val="TOC3"/>
        <w:rPr>
          <w:sz w:val="22"/>
          <w:szCs w:val="22"/>
        </w:rPr>
      </w:pPr>
      <w:r>
        <w:t>1.1.1</w:t>
      </w:r>
      <w:r>
        <w:rPr>
          <w:sz w:val="22"/>
          <w:szCs w:val="22"/>
        </w:rPr>
        <w:tab/>
      </w:r>
      <w:r w:rsidRPr="006F0F8C">
        <w:rPr>
          <w:bCs/>
        </w:rPr>
        <w:t>Background</w:t>
      </w:r>
      <w:r>
        <w:tab/>
      </w:r>
      <w:r>
        <w:fldChar w:fldCharType="begin"/>
      </w:r>
      <w:r>
        <w:instrText xml:space="preserve"> PAGEREF _Toc74743658 \h </w:instrText>
      </w:r>
      <w:r>
        <w:fldChar w:fldCharType="separate"/>
      </w:r>
      <w:r w:rsidR="009E67BB">
        <w:t>4</w:t>
      </w:r>
      <w:r>
        <w:fldChar w:fldCharType="end"/>
      </w:r>
    </w:p>
    <w:p w14:paraId="538B6E93" w14:textId="0AF921C8" w:rsidR="006234AA" w:rsidRDefault="006234AA" w:rsidP="005E5FEC">
      <w:pPr>
        <w:pStyle w:val="TOC3"/>
        <w:rPr>
          <w:sz w:val="22"/>
          <w:szCs w:val="22"/>
        </w:rPr>
      </w:pPr>
      <w:r>
        <w:t>1.1.2</w:t>
      </w:r>
      <w:r>
        <w:rPr>
          <w:sz w:val="22"/>
          <w:szCs w:val="22"/>
        </w:rPr>
        <w:tab/>
      </w:r>
      <w:r w:rsidRPr="006F0F8C">
        <w:rPr>
          <w:bCs/>
        </w:rPr>
        <w:t>Agencies Covered by this Policy</w:t>
      </w:r>
      <w:r>
        <w:tab/>
      </w:r>
      <w:r>
        <w:fldChar w:fldCharType="begin"/>
      </w:r>
      <w:r>
        <w:instrText xml:space="preserve"> PAGEREF _Toc74743659 \h </w:instrText>
      </w:r>
      <w:r>
        <w:fldChar w:fldCharType="separate"/>
      </w:r>
      <w:r w:rsidR="009E67BB">
        <w:t>4</w:t>
      </w:r>
      <w:r>
        <w:fldChar w:fldCharType="end"/>
      </w:r>
    </w:p>
    <w:p w14:paraId="271DE627" w14:textId="7B5CB4A3" w:rsidR="006234AA" w:rsidRDefault="006234AA" w:rsidP="005E5FEC">
      <w:pPr>
        <w:pStyle w:val="TOC3"/>
        <w:rPr>
          <w:sz w:val="22"/>
          <w:szCs w:val="22"/>
        </w:rPr>
      </w:pPr>
      <w:r>
        <w:t>1.1.3</w:t>
      </w:r>
      <w:r>
        <w:rPr>
          <w:sz w:val="22"/>
          <w:szCs w:val="22"/>
        </w:rPr>
        <w:tab/>
      </w:r>
      <w:r>
        <w:t>Contact</w:t>
      </w:r>
      <w:r>
        <w:tab/>
      </w:r>
      <w:r>
        <w:fldChar w:fldCharType="begin"/>
      </w:r>
      <w:r>
        <w:instrText xml:space="preserve"> PAGEREF _Toc74743660 \h </w:instrText>
      </w:r>
      <w:r>
        <w:fldChar w:fldCharType="separate"/>
      </w:r>
      <w:r w:rsidR="009E67BB">
        <w:t>4</w:t>
      </w:r>
      <w:r>
        <w:fldChar w:fldCharType="end"/>
      </w:r>
    </w:p>
    <w:p w14:paraId="41133D76" w14:textId="1EFE02B5" w:rsidR="006234AA" w:rsidRDefault="006234AA" w:rsidP="005E5FEC">
      <w:pPr>
        <w:pStyle w:val="TOC3"/>
        <w:rPr>
          <w:sz w:val="22"/>
          <w:szCs w:val="22"/>
        </w:rPr>
      </w:pPr>
      <w:r>
        <w:t>1.1.4</w:t>
      </w:r>
      <w:r>
        <w:rPr>
          <w:sz w:val="22"/>
          <w:szCs w:val="22"/>
        </w:rPr>
        <w:tab/>
      </w:r>
      <w:r>
        <w:t>Update to this Policy Paper</w:t>
      </w:r>
      <w:r>
        <w:tab/>
      </w:r>
      <w:r>
        <w:fldChar w:fldCharType="begin"/>
      </w:r>
      <w:r>
        <w:instrText xml:space="preserve"> PAGEREF _Toc74743661 \h </w:instrText>
      </w:r>
      <w:r>
        <w:fldChar w:fldCharType="separate"/>
      </w:r>
      <w:r w:rsidR="009E67BB">
        <w:t>4</w:t>
      </w:r>
      <w:r>
        <w:fldChar w:fldCharType="end"/>
      </w:r>
    </w:p>
    <w:p w14:paraId="1A29A2CC" w14:textId="3D4A3C49" w:rsidR="006234AA" w:rsidRDefault="006234AA">
      <w:pPr>
        <w:pStyle w:val="TOC1"/>
        <w:rPr>
          <w:rFonts w:eastAsiaTheme="minorEastAsia" w:cstheme="minorBidi"/>
          <w:b w:val="0"/>
          <w:caps w:val="0"/>
          <w:color w:val="auto"/>
          <w:sz w:val="22"/>
          <w:szCs w:val="22"/>
        </w:rPr>
      </w:pPr>
      <w:r>
        <w:t xml:space="preserve">2. </w:t>
      </w:r>
      <w:r w:rsidRPr="006F0F8C">
        <w:rPr>
          <w:rFonts w:cs="Calibri"/>
        </w:rPr>
        <w:t>Treatment of AASB Standards Issued BUT Yet to be applieD</w:t>
      </w:r>
      <w:r>
        <w:tab/>
      </w:r>
      <w:r>
        <w:fldChar w:fldCharType="begin"/>
      </w:r>
      <w:r>
        <w:instrText xml:space="preserve"> PAGEREF _Toc74743662 \h </w:instrText>
      </w:r>
      <w:r>
        <w:fldChar w:fldCharType="separate"/>
      </w:r>
      <w:r w:rsidR="009E67BB">
        <w:t>4</w:t>
      </w:r>
      <w:r>
        <w:fldChar w:fldCharType="end"/>
      </w:r>
    </w:p>
    <w:p w14:paraId="4A573829" w14:textId="2D332EE1" w:rsidR="006234AA" w:rsidRDefault="006234AA">
      <w:pPr>
        <w:pStyle w:val="TOC2"/>
        <w:rPr>
          <w:rFonts w:eastAsiaTheme="minorEastAsia" w:cstheme="minorBidi"/>
          <w:color w:val="auto"/>
          <w:sz w:val="22"/>
          <w:szCs w:val="22"/>
        </w:rPr>
      </w:pPr>
      <w:r>
        <w:t xml:space="preserve">2.1 </w:t>
      </w:r>
      <w:r w:rsidRPr="006F0F8C">
        <w:rPr>
          <w:rFonts w:cs="Calibri"/>
        </w:rPr>
        <w:t>Disclosures Required for Standards Issued but yet to be applie</w:t>
      </w:r>
      <w:r>
        <w:t>d</w:t>
      </w:r>
      <w:r>
        <w:tab/>
      </w:r>
      <w:r>
        <w:fldChar w:fldCharType="begin"/>
      </w:r>
      <w:r>
        <w:instrText xml:space="preserve"> PAGEREF _Toc74743663 \h </w:instrText>
      </w:r>
      <w:r>
        <w:fldChar w:fldCharType="separate"/>
      </w:r>
      <w:r w:rsidR="009E67BB">
        <w:t>4</w:t>
      </w:r>
      <w:r>
        <w:fldChar w:fldCharType="end"/>
      </w:r>
    </w:p>
    <w:p w14:paraId="0F1264C0" w14:textId="79DBCB6A" w:rsidR="006234AA" w:rsidRDefault="006234AA">
      <w:pPr>
        <w:pStyle w:val="TOC1"/>
        <w:rPr>
          <w:rFonts w:eastAsiaTheme="minorEastAsia" w:cstheme="minorBidi"/>
          <w:b w:val="0"/>
          <w:caps w:val="0"/>
          <w:color w:val="auto"/>
          <w:sz w:val="22"/>
          <w:szCs w:val="22"/>
        </w:rPr>
      </w:pPr>
      <w:r>
        <w:t>3.</w:t>
      </w:r>
      <w:r>
        <w:rPr>
          <w:rFonts w:eastAsiaTheme="minorEastAsia" w:cstheme="minorBidi"/>
          <w:b w:val="0"/>
          <w:caps w:val="0"/>
          <w:color w:val="auto"/>
          <w:sz w:val="22"/>
          <w:szCs w:val="22"/>
        </w:rPr>
        <w:tab/>
      </w:r>
      <w:r w:rsidRPr="006F0F8C">
        <w:rPr>
          <w:rFonts w:cs="Calibri"/>
        </w:rPr>
        <w:t>Summaries of Changes to Standards and Interpretations Issued but yet TO BE APPLIED</w:t>
      </w:r>
      <w:r>
        <w:tab/>
      </w:r>
      <w:r>
        <w:fldChar w:fldCharType="begin"/>
      </w:r>
      <w:r>
        <w:instrText xml:space="preserve"> PAGEREF _Toc74743664 \h </w:instrText>
      </w:r>
      <w:r>
        <w:fldChar w:fldCharType="separate"/>
      </w:r>
      <w:r w:rsidR="009E67BB">
        <w:t>5</w:t>
      </w:r>
      <w:r>
        <w:fldChar w:fldCharType="end"/>
      </w:r>
    </w:p>
    <w:p w14:paraId="4FAFC3C9" w14:textId="22145DF0" w:rsidR="006234AA" w:rsidRDefault="006234AA">
      <w:pPr>
        <w:pStyle w:val="TOC2"/>
        <w:tabs>
          <w:tab w:val="left" w:pos="880"/>
        </w:tabs>
        <w:rPr>
          <w:rFonts w:eastAsiaTheme="minorEastAsia" w:cstheme="minorBidi"/>
          <w:color w:val="auto"/>
          <w:sz w:val="22"/>
          <w:szCs w:val="22"/>
        </w:rPr>
      </w:pPr>
      <w:r>
        <w:t>3.1</w:t>
      </w:r>
      <w:r>
        <w:rPr>
          <w:rFonts w:eastAsiaTheme="minorEastAsia" w:cstheme="minorBidi"/>
          <w:color w:val="auto"/>
          <w:sz w:val="22"/>
          <w:szCs w:val="22"/>
        </w:rPr>
        <w:tab/>
      </w:r>
      <w:r>
        <w:t>Relevant Standards that are consider not to have a Material Financial Impact oN Most Agencies</w:t>
      </w:r>
      <w:r>
        <w:tab/>
      </w:r>
      <w:r>
        <w:fldChar w:fldCharType="begin"/>
      </w:r>
      <w:r>
        <w:instrText xml:space="preserve"> PAGEREF _Toc74743665 \h </w:instrText>
      </w:r>
      <w:r>
        <w:fldChar w:fldCharType="separate"/>
      </w:r>
      <w:r w:rsidR="009E67BB">
        <w:t>6</w:t>
      </w:r>
      <w:r>
        <w:fldChar w:fldCharType="end"/>
      </w:r>
    </w:p>
    <w:p w14:paraId="24F6CC0A" w14:textId="6509254B" w:rsidR="006234AA" w:rsidRDefault="006234AA" w:rsidP="005E5FEC">
      <w:pPr>
        <w:pStyle w:val="TOC3"/>
        <w:rPr>
          <w:sz w:val="22"/>
          <w:szCs w:val="22"/>
        </w:rPr>
      </w:pPr>
      <w:r w:rsidRPr="006F0F8C">
        <w:t>3.1.1</w:t>
      </w:r>
      <w:r>
        <w:rPr>
          <w:sz w:val="22"/>
          <w:szCs w:val="22"/>
        </w:rPr>
        <w:tab/>
      </w:r>
      <w:r w:rsidRPr="006F0F8C">
        <w:t>AASB 2020-1 Amendments to Australian Accounting Standards – Classification of Liabilities as Current or Non-Current (originally appl. 1 January 2022 however now appl. 1 January 2023 due to issue of AASB 2020-6)</w:t>
      </w:r>
      <w:r>
        <w:tab/>
      </w:r>
      <w:r>
        <w:fldChar w:fldCharType="begin"/>
      </w:r>
      <w:r>
        <w:instrText xml:space="preserve"> PAGEREF _Toc74743666 \h </w:instrText>
      </w:r>
      <w:r>
        <w:fldChar w:fldCharType="separate"/>
      </w:r>
      <w:r w:rsidR="009E67BB">
        <w:t>6</w:t>
      </w:r>
      <w:r>
        <w:fldChar w:fldCharType="end"/>
      </w:r>
    </w:p>
    <w:p w14:paraId="2AFE6331" w14:textId="3A6286FF" w:rsidR="006234AA" w:rsidRDefault="006234AA" w:rsidP="005E5FEC">
      <w:pPr>
        <w:pStyle w:val="TOC3"/>
        <w:rPr>
          <w:sz w:val="22"/>
          <w:szCs w:val="22"/>
        </w:rPr>
      </w:pPr>
      <w:r w:rsidRPr="006F0F8C">
        <w:rPr>
          <w:bCs/>
          <w:i/>
        </w:rPr>
        <w:t>3.1.2</w:t>
      </w:r>
      <w:r>
        <w:rPr>
          <w:sz w:val="22"/>
          <w:szCs w:val="22"/>
        </w:rPr>
        <w:tab/>
      </w:r>
      <w:r w:rsidRPr="006F0F8C">
        <w:t>AASB 2020-3 Amendments to Australian Accounting Standards – Annual Improvements 2018-2020 and Other Amendments (appl. 1 January 2022)</w:t>
      </w:r>
      <w:r>
        <w:tab/>
      </w:r>
      <w:r>
        <w:fldChar w:fldCharType="begin"/>
      </w:r>
      <w:r>
        <w:instrText xml:space="preserve"> PAGEREF _Toc74743667 \h </w:instrText>
      </w:r>
      <w:r>
        <w:fldChar w:fldCharType="separate"/>
      </w:r>
      <w:r w:rsidR="009E67BB">
        <w:t>7</w:t>
      </w:r>
      <w:r>
        <w:fldChar w:fldCharType="end"/>
      </w:r>
    </w:p>
    <w:p w14:paraId="7C30142E" w14:textId="2052149D" w:rsidR="006234AA" w:rsidRDefault="006234AA" w:rsidP="005E5FEC">
      <w:pPr>
        <w:pStyle w:val="TOC3"/>
        <w:rPr>
          <w:sz w:val="22"/>
          <w:szCs w:val="22"/>
        </w:rPr>
      </w:pPr>
      <w:r w:rsidRPr="006F0F8C">
        <w:rPr>
          <w:bCs/>
          <w:i/>
        </w:rPr>
        <w:t>3.1.3</w:t>
      </w:r>
      <w:r>
        <w:rPr>
          <w:sz w:val="22"/>
          <w:szCs w:val="22"/>
        </w:rPr>
        <w:tab/>
      </w:r>
      <w:r w:rsidRPr="006F0F8C">
        <w:t>AASB 2020-6 Amendments to Australian Accounting Standards – Classification of Liabilities as Current or Non-current – Deferral of Effective Date (appl. 1 January 2022)</w:t>
      </w:r>
      <w:r>
        <w:tab/>
      </w:r>
      <w:r>
        <w:fldChar w:fldCharType="begin"/>
      </w:r>
      <w:r>
        <w:instrText xml:space="preserve"> PAGEREF _Toc74743668 \h </w:instrText>
      </w:r>
      <w:r>
        <w:fldChar w:fldCharType="separate"/>
      </w:r>
      <w:r w:rsidR="009E67BB">
        <w:t>7</w:t>
      </w:r>
      <w:r>
        <w:fldChar w:fldCharType="end"/>
      </w:r>
    </w:p>
    <w:p w14:paraId="5B83308E" w14:textId="40349591" w:rsidR="006234AA" w:rsidRDefault="006234AA" w:rsidP="005E5FEC">
      <w:pPr>
        <w:pStyle w:val="TOC3"/>
        <w:rPr>
          <w:sz w:val="22"/>
          <w:szCs w:val="22"/>
        </w:rPr>
      </w:pPr>
      <w:r w:rsidRPr="006F0F8C">
        <w:rPr>
          <w:bCs/>
          <w:i/>
        </w:rPr>
        <w:t>3.1.4</w:t>
      </w:r>
      <w:r>
        <w:rPr>
          <w:sz w:val="22"/>
          <w:szCs w:val="22"/>
        </w:rPr>
        <w:tab/>
      </w:r>
      <w:r w:rsidRPr="006F0F8C">
        <w:t>AASB 2021-2 Amendments to Australian Accounting Standards – Disclosure of Accounting Policies and Definition of Accounting Estimates</w:t>
      </w:r>
      <w:r>
        <w:tab/>
      </w:r>
      <w:r>
        <w:fldChar w:fldCharType="begin"/>
      </w:r>
      <w:r>
        <w:instrText xml:space="preserve"> PAGEREF _Toc74743669 \h </w:instrText>
      </w:r>
      <w:r>
        <w:fldChar w:fldCharType="separate"/>
      </w:r>
      <w:r w:rsidR="009E67BB">
        <w:t>8</w:t>
      </w:r>
      <w:r>
        <w:fldChar w:fldCharType="end"/>
      </w:r>
    </w:p>
    <w:p w14:paraId="52EA9D90" w14:textId="00E68420" w:rsidR="006234AA" w:rsidRDefault="006234AA" w:rsidP="005E5FEC">
      <w:pPr>
        <w:pStyle w:val="TOC3"/>
        <w:rPr>
          <w:sz w:val="22"/>
          <w:szCs w:val="22"/>
        </w:rPr>
      </w:pPr>
      <w:r w:rsidRPr="006F0F8C">
        <w:rPr>
          <w:bCs/>
          <w:i/>
        </w:rPr>
        <w:t>3.1.5</w:t>
      </w:r>
      <w:r>
        <w:rPr>
          <w:sz w:val="22"/>
          <w:szCs w:val="22"/>
        </w:rPr>
        <w:tab/>
      </w:r>
      <w:r w:rsidRPr="006F0F8C">
        <w:t>AASB 2021-3 Amendments to Australian Accounting Standards – Covid-19 Related Rent Concessions beyond 30 June 2021</w:t>
      </w:r>
      <w:r>
        <w:tab/>
      </w:r>
      <w:r>
        <w:fldChar w:fldCharType="begin"/>
      </w:r>
      <w:r>
        <w:instrText xml:space="preserve"> PAGEREF _Toc74743670 \h </w:instrText>
      </w:r>
      <w:r>
        <w:fldChar w:fldCharType="separate"/>
      </w:r>
      <w:r w:rsidR="009E67BB">
        <w:t>8</w:t>
      </w:r>
      <w:r>
        <w:fldChar w:fldCharType="end"/>
      </w:r>
    </w:p>
    <w:p w14:paraId="0DAB7F52" w14:textId="6B6C6A75" w:rsidR="006234AA" w:rsidRDefault="006234AA">
      <w:pPr>
        <w:pStyle w:val="TOC2"/>
        <w:tabs>
          <w:tab w:val="left" w:pos="880"/>
        </w:tabs>
        <w:rPr>
          <w:rFonts w:eastAsiaTheme="minorEastAsia" w:cstheme="minorBidi"/>
          <w:color w:val="auto"/>
          <w:sz w:val="22"/>
          <w:szCs w:val="22"/>
        </w:rPr>
      </w:pPr>
      <w:r>
        <w:t>3.2</w:t>
      </w:r>
      <w:r>
        <w:rPr>
          <w:rFonts w:eastAsiaTheme="minorEastAsia" w:cstheme="minorBidi"/>
          <w:color w:val="auto"/>
          <w:sz w:val="22"/>
          <w:szCs w:val="22"/>
        </w:rPr>
        <w:tab/>
      </w:r>
      <w:r>
        <w:t>Standards that are NOT considerED APPLICABLE to Most Agencies</w:t>
      </w:r>
      <w:r>
        <w:tab/>
      </w:r>
      <w:r>
        <w:fldChar w:fldCharType="begin"/>
      </w:r>
      <w:r>
        <w:instrText xml:space="preserve"> PAGEREF _Toc74743671 \h </w:instrText>
      </w:r>
      <w:r>
        <w:fldChar w:fldCharType="separate"/>
      </w:r>
      <w:r w:rsidR="009E67BB">
        <w:t>9</w:t>
      </w:r>
      <w:r>
        <w:fldChar w:fldCharType="end"/>
      </w:r>
    </w:p>
    <w:p w14:paraId="074036BF" w14:textId="7595A630" w:rsidR="006234AA" w:rsidRDefault="006234AA" w:rsidP="005E5FEC">
      <w:pPr>
        <w:pStyle w:val="TOC3"/>
        <w:rPr>
          <w:sz w:val="22"/>
          <w:szCs w:val="22"/>
        </w:rPr>
      </w:pPr>
      <w:r w:rsidRPr="006F0F8C">
        <w:rPr>
          <w:i/>
        </w:rPr>
        <w:t>3.2.1</w:t>
      </w:r>
      <w:r>
        <w:rPr>
          <w:sz w:val="22"/>
          <w:szCs w:val="22"/>
        </w:rPr>
        <w:tab/>
      </w:r>
      <w:r w:rsidRPr="006F0F8C">
        <w:t xml:space="preserve">AASB 17 Insurance Contracts (originally appl. 1 January 2021 however now appl. 1 January 2023 due to issue of </w:t>
      </w:r>
      <w:r w:rsidRPr="006F0F8C">
        <w:rPr>
          <w:i/>
        </w:rPr>
        <w:t>AASB</w:t>
      </w:r>
      <w:r w:rsidRPr="006F0F8C">
        <w:t xml:space="preserve"> 2020-5)</w:t>
      </w:r>
      <w:r>
        <w:tab/>
      </w:r>
      <w:r>
        <w:fldChar w:fldCharType="begin"/>
      </w:r>
      <w:r>
        <w:instrText xml:space="preserve"> PAGEREF _Toc74743672 \h </w:instrText>
      </w:r>
      <w:r>
        <w:fldChar w:fldCharType="separate"/>
      </w:r>
      <w:r w:rsidR="009E67BB">
        <w:t>9</w:t>
      </w:r>
      <w:r>
        <w:fldChar w:fldCharType="end"/>
      </w:r>
    </w:p>
    <w:p w14:paraId="4580FB94" w14:textId="15B80BD1" w:rsidR="006234AA" w:rsidRDefault="006234AA" w:rsidP="005E5FEC">
      <w:pPr>
        <w:pStyle w:val="TOC3"/>
        <w:rPr>
          <w:sz w:val="22"/>
          <w:szCs w:val="22"/>
        </w:rPr>
      </w:pPr>
      <w:r w:rsidRPr="006F0F8C">
        <w:rPr>
          <w:bCs/>
          <w:i/>
        </w:rPr>
        <w:t>3.2.2</w:t>
      </w:r>
      <w:r>
        <w:rPr>
          <w:sz w:val="22"/>
          <w:szCs w:val="22"/>
        </w:rPr>
        <w:tab/>
      </w:r>
      <w:r w:rsidRPr="006F0F8C">
        <w:t>AASB 1060 General Purpose Financial Statements – Simplified Disclosure for for-Profit and Not-For-Profit Tier 2 Entities (appl. 1 July 2021)</w:t>
      </w:r>
      <w:r>
        <w:tab/>
      </w:r>
      <w:r>
        <w:fldChar w:fldCharType="begin"/>
      </w:r>
      <w:r>
        <w:instrText xml:space="preserve"> PAGEREF _Toc74743673 \h </w:instrText>
      </w:r>
      <w:r>
        <w:fldChar w:fldCharType="separate"/>
      </w:r>
      <w:r w:rsidR="009E67BB">
        <w:t>9</w:t>
      </w:r>
      <w:r>
        <w:fldChar w:fldCharType="end"/>
      </w:r>
    </w:p>
    <w:p w14:paraId="00402D78" w14:textId="2882B20B" w:rsidR="006234AA" w:rsidRDefault="006234AA" w:rsidP="005E5FEC">
      <w:pPr>
        <w:pStyle w:val="TOC3"/>
        <w:rPr>
          <w:sz w:val="22"/>
          <w:szCs w:val="22"/>
        </w:rPr>
      </w:pPr>
      <w:r w:rsidRPr="006F0F8C">
        <w:rPr>
          <w:bCs/>
        </w:rPr>
        <w:t>3.2.3</w:t>
      </w:r>
      <w:r>
        <w:rPr>
          <w:sz w:val="22"/>
          <w:szCs w:val="22"/>
        </w:rPr>
        <w:tab/>
      </w:r>
      <w:r w:rsidRPr="006F0F8C">
        <w:t xml:space="preserve">AASB 2014-10 Amendments to Australian Accounting Standards – Sale or Contribution of Assets between an Investor and </w:t>
      </w:r>
      <w:r w:rsidRPr="006F0F8C">
        <w:rPr>
          <w:bCs/>
          <w:i/>
        </w:rPr>
        <w:t>i</w:t>
      </w:r>
      <w:r w:rsidRPr="006F0F8C">
        <w:t>ts Associate or Joint Venture (Appl. 1 January 2022)</w:t>
      </w:r>
      <w:r>
        <w:tab/>
      </w:r>
      <w:r>
        <w:fldChar w:fldCharType="begin"/>
      </w:r>
      <w:r>
        <w:instrText xml:space="preserve"> PAGEREF _Toc74743674 \h </w:instrText>
      </w:r>
      <w:r>
        <w:fldChar w:fldCharType="separate"/>
      </w:r>
      <w:r w:rsidR="009E67BB">
        <w:t>10</w:t>
      </w:r>
      <w:r>
        <w:fldChar w:fldCharType="end"/>
      </w:r>
    </w:p>
    <w:p w14:paraId="391CF9C2" w14:textId="2F9DB090" w:rsidR="006234AA" w:rsidRDefault="006234AA" w:rsidP="005E5FEC">
      <w:pPr>
        <w:pStyle w:val="TOC3"/>
        <w:rPr>
          <w:sz w:val="22"/>
          <w:szCs w:val="22"/>
        </w:rPr>
      </w:pPr>
      <w:r w:rsidRPr="006F0F8C">
        <w:rPr>
          <w:bCs/>
          <w:i/>
        </w:rPr>
        <w:t>3.2.4</w:t>
      </w:r>
      <w:r>
        <w:rPr>
          <w:sz w:val="22"/>
          <w:szCs w:val="22"/>
        </w:rPr>
        <w:tab/>
      </w:r>
      <w:r w:rsidRPr="006F0F8C">
        <w:t>AASB 2020-2 Amendments to Australian Accounting Standards – Removal of Special Purpose Financial Statements for Certain For-Profit Private Sector Entities (appl. 1 July 2021)</w:t>
      </w:r>
      <w:r>
        <w:tab/>
      </w:r>
      <w:r>
        <w:fldChar w:fldCharType="begin"/>
      </w:r>
      <w:r>
        <w:instrText xml:space="preserve"> PAGEREF _Toc74743675 \h </w:instrText>
      </w:r>
      <w:r>
        <w:fldChar w:fldCharType="separate"/>
      </w:r>
      <w:r w:rsidR="009E67BB">
        <w:t>11</w:t>
      </w:r>
      <w:r>
        <w:fldChar w:fldCharType="end"/>
      </w:r>
    </w:p>
    <w:p w14:paraId="27A664EA" w14:textId="2F408002" w:rsidR="006234AA" w:rsidRDefault="006234AA" w:rsidP="005E5FEC">
      <w:pPr>
        <w:pStyle w:val="TOC3"/>
        <w:rPr>
          <w:sz w:val="22"/>
          <w:szCs w:val="22"/>
        </w:rPr>
      </w:pPr>
      <w:r w:rsidRPr="006F0F8C">
        <w:rPr>
          <w:bCs/>
          <w:i/>
        </w:rPr>
        <w:t>3.2.5</w:t>
      </w:r>
      <w:r>
        <w:rPr>
          <w:sz w:val="22"/>
          <w:szCs w:val="22"/>
        </w:rPr>
        <w:tab/>
      </w:r>
      <w:r w:rsidRPr="006F0F8C">
        <w:t>AASB 2020-5 Amendments to Australian Accounting Standards – Insurance Contracts (appl. 1 January 2021)</w:t>
      </w:r>
      <w:r>
        <w:tab/>
      </w:r>
      <w:r>
        <w:fldChar w:fldCharType="begin"/>
      </w:r>
      <w:r>
        <w:instrText xml:space="preserve"> PAGEREF _Toc74743676 \h </w:instrText>
      </w:r>
      <w:r>
        <w:fldChar w:fldCharType="separate"/>
      </w:r>
      <w:r w:rsidR="009E67BB">
        <w:t>11</w:t>
      </w:r>
      <w:r>
        <w:fldChar w:fldCharType="end"/>
      </w:r>
    </w:p>
    <w:p w14:paraId="357A3A47" w14:textId="17566105" w:rsidR="006234AA" w:rsidRDefault="006234AA" w:rsidP="005E5FEC">
      <w:pPr>
        <w:pStyle w:val="TOC3"/>
        <w:rPr>
          <w:sz w:val="22"/>
          <w:szCs w:val="22"/>
        </w:rPr>
      </w:pPr>
      <w:r w:rsidRPr="006F0F8C">
        <w:rPr>
          <w:bCs/>
          <w:i/>
        </w:rPr>
        <w:lastRenderedPageBreak/>
        <w:t>3.2.6</w:t>
      </w:r>
      <w:r>
        <w:rPr>
          <w:sz w:val="22"/>
          <w:szCs w:val="22"/>
        </w:rPr>
        <w:tab/>
      </w:r>
      <w:r w:rsidRPr="006F0F8C">
        <w:t>AASB 2020-7 Amendments to Australian Accounting Standards – Covid-19-Related Rent Concessions: Tier 2 Disclosures (appl. 1 July 2021)</w:t>
      </w:r>
      <w:r>
        <w:tab/>
      </w:r>
      <w:r>
        <w:fldChar w:fldCharType="begin"/>
      </w:r>
      <w:r>
        <w:instrText xml:space="preserve"> PAGEREF _Toc74743677 \h </w:instrText>
      </w:r>
      <w:r>
        <w:fldChar w:fldCharType="separate"/>
      </w:r>
      <w:r w:rsidR="009E67BB">
        <w:t>11</w:t>
      </w:r>
      <w:r>
        <w:fldChar w:fldCharType="end"/>
      </w:r>
    </w:p>
    <w:p w14:paraId="2D1A8465" w14:textId="661A17CE" w:rsidR="006234AA" w:rsidRDefault="006234AA" w:rsidP="005E5FEC">
      <w:pPr>
        <w:pStyle w:val="TOC3"/>
        <w:rPr>
          <w:sz w:val="22"/>
          <w:szCs w:val="22"/>
        </w:rPr>
      </w:pPr>
      <w:r w:rsidRPr="006F0F8C">
        <w:rPr>
          <w:bCs/>
          <w:i/>
        </w:rPr>
        <w:t>3.2.7</w:t>
      </w:r>
      <w:r>
        <w:rPr>
          <w:sz w:val="22"/>
          <w:szCs w:val="22"/>
        </w:rPr>
        <w:tab/>
      </w:r>
      <w:r w:rsidRPr="006F0F8C">
        <w:t>AASB 2020-8 Amendments to Australian Accounting Standards – Interest Rate Benchmark Reform – Phase 2 (appl. 1 January 2021)</w:t>
      </w:r>
      <w:r>
        <w:tab/>
      </w:r>
      <w:r>
        <w:fldChar w:fldCharType="begin"/>
      </w:r>
      <w:r>
        <w:instrText xml:space="preserve"> PAGEREF _Toc74743678 \h </w:instrText>
      </w:r>
      <w:r>
        <w:fldChar w:fldCharType="separate"/>
      </w:r>
      <w:r w:rsidR="009E67BB">
        <w:t>12</w:t>
      </w:r>
      <w:r>
        <w:fldChar w:fldCharType="end"/>
      </w:r>
    </w:p>
    <w:p w14:paraId="6D55DEEB" w14:textId="0E458038" w:rsidR="006234AA" w:rsidRDefault="006234AA" w:rsidP="005E5FEC">
      <w:pPr>
        <w:pStyle w:val="TOC3"/>
        <w:rPr>
          <w:sz w:val="22"/>
          <w:szCs w:val="22"/>
        </w:rPr>
      </w:pPr>
      <w:r w:rsidRPr="006F0F8C">
        <w:rPr>
          <w:bCs/>
          <w:i/>
        </w:rPr>
        <w:t>3.2.8</w:t>
      </w:r>
      <w:r>
        <w:rPr>
          <w:sz w:val="22"/>
          <w:szCs w:val="22"/>
        </w:rPr>
        <w:tab/>
      </w:r>
      <w:r w:rsidRPr="006F0F8C">
        <w:t>AASB 2020-9 Amendments to Australian Accounting Standards – Tier 2 Disclosures: Interest Rate Benchmark Reform (Phase 2) and Other Amendments (appl. 1 July 2021)</w:t>
      </w:r>
      <w:r>
        <w:tab/>
      </w:r>
      <w:r>
        <w:fldChar w:fldCharType="begin"/>
      </w:r>
      <w:r>
        <w:instrText xml:space="preserve"> PAGEREF _Toc74743679 \h </w:instrText>
      </w:r>
      <w:r>
        <w:fldChar w:fldCharType="separate"/>
      </w:r>
      <w:r w:rsidR="009E67BB">
        <w:t>12</w:t>
      </w:r>
      <w:r>
        <w:fldChar w:fldCharType="end"/>
      </w:r>
    </w:p>
    <w:p w14:paraId="1255E179" w14:textId="1AAC9E4C" w:rsidR="006234AA" w:rsidRDefault="006234AA" w:rsidP="005E5FEC">
      <w:pPr>
        <w:pStyle w:val="TOC3"/>
      </w:pPr>
      <w:r w:rsidRPr="006F0F8C">
        <w:rPr>
          <w:rFonts w:cstheme="minorHAnsi"/>
          <w:bCs/>
          <w:i/>
        </w:rPr>
        <w:t>3.2.9</w:t>
      </w:r>
      <w:r>
        <w:rPr>
          <w:sz w:val="22"/>
          <w:szCs w:val="22"/>
        </w:rPr>
        <w:tab/>
      </w:r>
      <w:r w:rsidRPr="006F0F8C">
        <w:t>AASB 2021-1 Amendments to Australian Accounting Standards –  Transition to Tier 2: Simplified Disclosures for Not-for-Profit Entities</w:t>
      </w:r>
      <w:r>
        <w:tab/>
      </w:r>
      <w:r>
        <w:fldChar w:fldCharType="begin"/>
      </w:r>
      <w:r>
        <w:instrText xml:space="preserve"> PAGEREF _Toc74743680 \h </w:instrText>
      </w:r>
      <w:r>
        <w:fldChar w:fldCharType="separate"/>
      </w:r>
      <w:r w:rsidR="009E67BB">
        <w:t>13</w:t>
      </w:r>
      <w:r>
        <w:fldChar w:fldCharType="end"/>
      </w:r>
    </w:p>
    <w:p w14:paraId="4B5E9650" w14:textId="0F1798D3" w:rsidR="005E5FEC" w:rsidRPr="005E5FEC" w:rsidRDefault="005E5FEC" w:rsidP="005E5FEC">
      <w:pPr>
        <w:pStyle w:val="TOC3"/>
      </w:pPr>
      <w:r w:rsidRPr="005E5FEC">
        <w:rPr>
          <w:i/>
          <w:iCs/>
        </w:rPr>
        <w:t>3.2.10</w:t>
      </w:r>
      <w:r w:rsidRPr="005E5FEC">
        <w:tab/>
        <w:t>AASB 2021-5 Amendments to Australian Accounting Standards – Deferred Tax related to Assets and Liabilities arising from a Single Transaction (appl. 1 January 2023)</w:t>
      </w:r>
      <w:r>
        <w:t xml:space="preserve"> 13</w:t>
      </w:r>
    </w:p>
    <w:p w14:paraId="5A4A1D49" w14:textId="77777777" w:rsidR="005E5FEC" w:rsidRDefault="005E5FEC" w:rsidP="005E5FEC">
      <w:pPr>
        <w:pStyle w:val="TOC3"/>
      </w:pPr>
    </w:p>
    <w:p w14:paraId="03B79B6E" w14:textId="49A7EF54" w:rsidR="006234AA" w:rsidRDefault="006234AA">
      <w:pPr>
        <w:pStyle w:val="TOC1"/>
        <w:rPr>
          <w:rFonts w:eastAsiaTheme="minorEastAsia" w:cstheme="minorBidi"/>
          <w:b w:val="0"/>
          <w:caps w:val="0"/>
          <w:color w:val="auto"/>
          <w:sz w:val="22"/>
          <w:szCs w:val="22"/>
        </w:rPr>
      </w:pPr>
      <w:r>
        <w:t>ATTACHMENT A – 2020-21 Model Financial Statement Disclosures for STANDARDS ISSUED BUT YET TO BE APPLIED</w:t>
      </w:r>
      <w:r>
        <w:tab/>
      </w:r>
      <w:r>
        <w:fldChar w:fldCharType="begin"/>
      </w:r>
      <w:r>
        <w:instrText xml:space="preserve"> PAGEREF _Toc74743681 \h </w:instrText>
      </w:r>
      <w:r>
        <w:fldChar w:fldCharType="separate"/>
      </w:r>
      <w:r w:rsidR="009E67BB">
        <w:t>14</w:t>
      </w:r>
      <w:r>
        <w:fldChar w:fldCharType="end"/>
      </w:r>
    </w:p>
    <w:p w14:paraId="25546D5C" w14:textId="4279C4DD" w:rsidR="00C403DB" w:rsidRPr="00CF5CC6" w:rsidRDefault="00DD7FA7" w:rsidP="002E0821">
      <w:pPr>
        <w:pStyle w:val="Heading1"/>
        <w:numPr>
          <w:ilvl w:val="0"/>
          <w:numId w:val="0"/>
        </w:numPr>
        <w:spacing w:before="0" w:after="0" w:line="276" w:lineRule="auto"/>
        <w:rPr>
          <w:b w:val="0"/>
          <w:bCs w:val="0"/>
        </w:rPr>
      </w:pPr>
      <w:r w:rsidRPr="00C52E3C">
        <w:rPr>
          <w:rFonts w:asciiTheme="majorHAnsi" w:hAnsiTheme="majorHAnsi"/>
          <w:noProof/>
          <w:sz w:val="21"/>
          <w:szCs w:val="21"/>
        </w:rPr>
        <w:fldChar w:fldCharType="end"/>
      </w:r>
      <w:r w:rsidR="00C34A60">
        <w:br w:type="page"/>
      </w:r>
      <w:bookmarkStart w:id="10" w:name="_Toc74743656"/>
      <w:r w:rsidR="004D2EBC" w:rsidRPr="00CF5CC6">
        <w:rPr>
          <w:b w:val="0"/>
          <w:bCs w:val="0"/>
        </w:rPr>
        <w:lastRenderedPageBreak/>
        <w:t>1.</w:t>
      </w:r>
      <w:r w:rsidR="004D2EBC" w:rsidRPr="00CF5CC6">
        <w:rPr>
          <w:b w:val="0"/>
          <w:bCs w:val="0"/>
        </w:rPr>
        <w:tab/>
      </w:r>
      <w:bookmarkStart w:id="11" w:name="_Toc91480210"/>
      <w:bookmarkStart w:id="12" w:name="_Toc98757559"/>
      <w:bookmarkStart w:id="13" w:name="_Toc98821839"/>
      <w:bookmarkStart w:id="14" w:name="_Toc98826654"/>
      <w:bookmarkStart w:id="15" w:name="_Toc98826841"/>
      <w:bookmarkStart w:id="16" w:name="_Toc101586632"/>
      <w:bookmarkStart w:id="17" w:name="_Toc58146757"/>
      <w:r w:rsidR="00C403DB" w:rsidRPr="00CF5CC6">
        <w:rPr>
          <w:b w:val="0"/>
          <w:bCs w:val="0"/>
        </w:rPr>
        <w:t>Introduction</w:t>
      </w:r>
      <w:bookmarkEnd w:id="11"/>
      <w:bookmarkEnd w:id="12"/>
      <w:bookmarkEnd w:id="13"/>
      <w:bookmarkEnd w:id="14"/>
      <w:bookmarkEnd w:id="15"/>
      <w:bookmarkEnd w:id="16"/>
      <w:bookmarkEnd w:id="17"/>
      <w:bookmarkEnd w:id="10"/>
    </w:p>
    <w:p w14:paraId="012CF44E" w14:textId="0B759437" w:rsidR="00B22CD5" w:rsidRDefault="00C403DB" w:rsidP="00DB315A">
      <w:pPr>
        <w:pStyle w:val="Heading2"/>
        <w:rPr>
          <w:b w:val="0"/>
          <w:bCs/>
        </w:rPr>
      </w:pPr>
      <w:bookmarkStart w:id="18" w:name="_Toc74743657"/>
      <w:bookmarkStart w:id="19" w:name="_Toc58146758"/>
      <w:r w:rsidRPr="00CF5CC6">
        <w:rPr>
          <w:b w:val="0"/>
          <w:bCs/>
        </w:rPr>
        <w:t>1.1</w:t>
      </w:r>
      <w:r w:rsidR="00B22CD5">
        <w:rPr>
          <w:b w:val="0"/>
          <w:bCs/>
        </w:rPr>
        <w:t xml:space="preserve"> APPLICATION</w:t>
      </w:r>
      <w:bookmarkEnd w:id="18"/>
      <w:r w:rsidRPr="00CF5CC6">
        <w:rPr>
          <w:b w:val="0"/>
          <w:bCs/>
        </w:rPr>
        <w:t xml:space="preserve"> </w:t>
      </w:r>
    </w:p>
    <w:bookmarkEnd w:id="19"/>
    <w:p w14:paraId="01854B5E" w14:textId="3EB662C1" w:rsidR="006A7B38" w:rsidRPr="003A6F39" w:rsidRDefault="00C403DB" w:rsidP="00162635">
      <w:pPr>
        <w:pStyle w:val="Heading3"/>
        <w:spacing w:before="360" w:line="320" w:lineRule="exact"/>
        <w:ind w:left="992" w:hanging="357"/>
        <w:rPr>
          <w:b w:val="0"/>
          <w:bCs/>
        </w:rPr>
      </w:pPr>
      <w:r w:rsidRPr="000362BF">
        <w:rPr>
          <w:sz w:val="22"/>
          <w:szCs w:val="22"/>
        </w:rPr>
        <w:t xml:space="preserve"> </w:t>
      </w:r>
      <w:bookmarkStart w:id="20" w:name="_Toc74743658"/>
      <w:r w:rsidR="006A7B38">
        <w:rPr>
          <w:rStyle w:val="Heading3Char"/>
          <w:b/>
          <w:bCs/>
        </w:rPr>
        <w:t>Background</w:t>
      </w:r>
      <w:bookmarkEnd w:id="20"/>
      <w:r w:rsidR="006A7B38">
        <w:rPr>
          <w:rStyle w:val="Heading3Char"/>
          <w:b/>
          <w:bCs/>
        </w:rPr>
        <w:t xml:space="preserve"> </w:t>
      </w:r>
    </w:p>
    <w:p w14:paraId="45FC0304" w14:textId="2B151BB3" w:rsidR="00C403DB" w:rsidRPr="00EF4637" w:rsidRDefault="00856D37" w:rsidP="00811346">
      <w:pPr>
        <w:pStyle w:val="Footer"/>
        <w:tabs>
          <w:tab w:val="clear" w:pos="4513"/>
        </w:tabs>
        <w:spacing w:before="120" w:after="120" w:line="276" w:lineRule="auto"/>
        <w:jc w:val="both"/>
        <w:rPr>
          <w:sz w:val="22"/>
          <w:szCs w:val="22"/>
        </w:rPr>
      </w:pPr>
      <w:r w:rsidRPr="00FE3BDC">
        <w:rPr>
          <w:rFonts w:cs="Calibri"/>
          <w:sz w:val="22"/>
          <w:szCs w:val="22"/>
        </w:rPr>
        <w:t xml:space="preserve">This policy applies to ACT Government Agencies, that is, directorates and territory authorities.  </w:t>
      </w:r>
      <w:r w:rsidRPr="00FE3BDC">
        <w:rPr>
          <w:sz w:val="22"/>
          <w:szCs w:val="22"/>
        </w:rPr>
        <w:t xml:space="preserve">It covers Australian Accounting Standards and Interpretations which have been issued as at </w:t>
      </w:r>
      <w:r>
        <w:rPr>
          <w:sz w:val="22"/>
          <w:szCs w:val="22"/>
        </w:rPr>
        <w:t>June</w:t>
      </w:r>
      <w:r w:rsidRPr="00FE3BDC">
        <w:rPr>
          <w:sz w:val="22"/>
          <w:szCs w:val="22"/>
        </w:rPr>
        <w:t> 2021 that are yet to be applied.  These standards and interpretations will apply during reporting periods later than 2020-21.</w:t>
      </w:r>
    </w:p>
    <w:p w14:paraId="2E331920" w14:textId="5E9177DB" w:rsidR="00C403DB" w:rsidRPr="003A6F39" w:rsidRDefault="00C403DB" w:rsidP="00162635">
      <w:pPr>
        <w:pStyle w:val="Heading3"/>
        <w:spacing w:before="360" w:line="320" w:lineRule="exact"/>
        <w:ind w:left="992" w:hanging="357"/>
        <w:rPr>
          <w:b w:val="0"/>
          <w:bCs/>
        </w:rPr>
      </w:pPr>
      <w:bookmarkStart w:id="21" w:name="_Toc58146760"/>
      <w:bookmarkStart w:id="22" w:name="_Toc74743659"/>
      <w:r w:rsidRPr="003A6F39">
        <w:rPr>
          <w:rStyle w:val="Heading3Char"/>
          <w:b/>
          <w:bCs/>
        </w:rPr>
        <w:t>Agencies Covered by this Policy</w:t>
      </w:r>
      <w:bookmarkEnd w:id="21"/>
      <w:bookmarkEnd w:id="22"/>
    </w:p>
    <w:p w14:paraId="33CD0768" w14:textId="44E38681" w:rsidR="00932354" w:rsidRPr="000362BF" w:rsidRDefault="00932354" w:rsidP="00811346">
      <w:pPr>
        <w:pStyle w:val="Footer"/>
        <w:spacing w:before="120" w:after="120" w:line="276" w:lineRule="auto"/>
        <w:jc w:val="both"/>
        <w:rPr>
          <w:sz w:val="22"/>
          <w:szCs w:val="22"/>
        </w:rPr>
      </w:pPr>
      <w:r w:rsidRPr="000362BF">
        <w:rPr>
          <w:sz w:val="22"/>
          <w:szCs w:val="22"/>
        </w:rPr>
        <w:t xml:space="preserve">This </w:t>
      </w:r>
      <w:r w:rsidR="006A7B38">
        <w:rPr>
          <w:sz w:val="22"/>
          <w:szCs w:val="22"/>
        </w:rPr>
        <w:t xml:space="preserve">guidance paper applies to </w:t>
      </w:r>
      <w:r w:rsidRPr="000362BF">
        <w:rPr>
          <w:sz w:val="22"/>
          <w:szCs w:val="22"/>
        </w:rPr>
        <w:t>ACT Government Agencies, that is directorates and territory authorities.</w:t>
      </w:r>
    </w:p>
    <w:p w14:paraId="248035DF" w14:textId="5852C768" w:rsidR="00856D37" w:rsidRPr="00856D37" w:rsidRDefault="00C403DB" w:rsidP="00162635">
      <w:pPr>
        <w:pStyle w:val="Heading3"/>
        <w:spacing w:before="360" w:after="0" w:line="320" w:lineRule="exact"/>
        <w:ind w:left="992" w:hanging="357"/>
      </w:pPr>
      <w:bookmarkStart w:id="23" w:name="_Toc58146761"/>
      <w:bookmarkStart w:id="24" w:name="_Toc74743660"/>
      <w:r w:rsidRPr="00CF5CC6">
        <w:t>Contact</w:t>
      </w:r>
      <w:bookmarkEnd w:id="23"/>
      <w:bookmarkEnd w:id="24"/>
    </w:p>
    <w:p w14:paraId="3C91D7CF" w14:textId="7AB8BE23" w:rsidR="00C403DB" w:rsidRDefault="00C403DB" w:rsidP="00811346">
      <w:pPr>
        <w:spacing w:after="120" w:line="276" w:lineRule="auto"/>
        <w:jc w:val="both"/>
        <w:rPr>
          <w:sz w:val="22"/>
          <w:szCs w:val="22"/>
        </w:rPr>
      </w:pPr>
      <w:r w:rsidRPr="00EF4637">
        <w:rPr>
          <w:sz w:val="22"/>
          <w:szCs w:val="22"/>
        </w:rPr>
        <w:t xml:space="preserve">If you have any questions regarding this Policy, please do not hesitate to contact the Financial Reporting and Framework (FRF) Branch to provide further clarification. Contact details are listed on the website: </w:t>
      </w:r>
      <w:hyperlink r:id="rId13" w:history="1">
        <w:r w:rsidRPr="00EF4637">
          <w:rPr>
            <w:rStyle w:val="Hyperlink"/>
            <w:sz w:val="22"/>
            <w:szCs w:val="22"/>
          </w:rPr>
          <w:t>https://apps.treasury.act.gov.au/accounting/</w:t>
        </w:r>
      </w:hyperlink>
      <w:r w:rsidRPr="00EF4637">
        <w:rPr>
          <w:sz w:val="22"/>
          <w:szCs w:val="22"/>
        </w:rPr>
        <w:t>.</w:t>
      </w:r>
    </w:p>
    <w:p w14:paraId="49C36DD7" w14:textId="4C7A15CB" w:rsidR="00856D37" w:rsidRPr="00DB315A" w:rsidRDefault="00DB315A" w:rsidP="00162635">
      <w:pPr>
        <w:pStyle w:val="Heading3"/>
        <w:spacing w:before="360" w:line="320" w:lineRule="exact"/>
        <w:ind w:left="992" w:hanging="357"/>
      </w:pPr>
      <w:bookmarkStart w:id="25" w:name="_Toc74743661"/>
      <w:r>
        <w:t>Update to this Policy Paper</w:t>
      </w:r>
      <w:bookmarkEnd w:id="25"/>
    </w:p>
    <w:p w14:paraId="133FEAF4" w14:textId="4A5E9472" w:rsidR="00856D37" w:rsidRDefault="00856D37" w:rsidP="00811346">
      <w:pPr>
        <w:spacing w:after="120" w:line="276" w:lineRule="auto"/>
        <w:jc w:val="both"/>
        <w:rPr>
          <w:sz w:val="22"/>
          <w:szCs w:val="22"/>
        </w:rPr>
      </w:pPr>
      <w:r w:rsidRPr="00A46135">
        <w:rPr>
          <w:sz w:val="22"/>
          <w:szCs w:val="22"/>
        </w:rPr>
        <w:t xml:space="preserve">The Financial Reporting and Framework </w:t>
      </w:r>
      <w:r>
        <w:rPr>
          <w:sz w:val="22"/>
          <w:szCs w:val="22"/>
        </w:rPr>
        <w:t xml:space="preserve">(FRF) </w:t>
      </w:r>
      <w:r w:rsidRPr="00A46135">
        <w:rPr>
          <w:sz w:val="22"/>
          <w:szCs w:val="22"/>
        </w:rPr>
        <w:t>Branch will provide an update to this paper</w:t>
      </w:r>
      <w:r>
        <w:rPr>
          <w:sz w:val="22"/>
          <w:szCs w:val="22"/>
        </w:rPr>
        <w:t xml:space="preserve"> in July</w:t>
      </w:r>
      <w:r w:rsidRPr="00A46135">
        <w:rPr>
          <w:sz w:val="22"/>
          <w:szCs w:val="22"/>
        </w:rPr>
        <w:t xml:space="preserve"> where new standards are issued </w:t>
      </w:r>
      <w:r>
        <w:rPr>
          <w:sz w:val="22"/>
          <w:szCs w:val="22"/>
        </w:rPr>
        <w:t xml:space="preserve">in </w:t>
      </w:r>
      <w:r w:rsidRPr="00A46135">
        <w:rPr>
          <w:sz w:val="22"/>
          <w:szCs w:val="22"/>
        </w:rPr>
        <w:t xml:space="preserve">June 2021.  </w:t>
      </w:r>
      <w:r>
        <w:rPr>
          <w:sz w:val="22"/>
          <w:szCs w:val="22"/>
        </w:rPr>
        <w:t>However, a</w:t>
      </w:r>
      <w:r w:rsidRPr="00A46135">
        <w:rPr>
          <w:sz w:val="22"/>
          <w:szCs w:val="22"/>
        </w:rPr>
        <w:t>dditional standards may be issued which are</w:t>
      </w:r>
      <w:r>
        <w:rPr>
          <w:sz w:val="22"/>
          <w:szCs w:val="22"/>
        </w:rPr>
        <w:t xml:space="preserve"> not yet</w:t>
      </w:r>
      <w:r w:rsidRPr="00A46135">
        <w:rPr>
          <w:sz w:val="22"/>
          <w:szCs w:val="22"/>
        </w:rPr>
        <w:t xml:space="preserve"> applicable between </w:t>
      </w:r>
      <w:r>
        <w:rPr>
          <w:sz w:val="22"/>
          <w:szCs w:val="22"/>
        </w:rPr>
        <w:t xml:space="preserve">30 June 2021 </w:t>
      </w:r>
      <w:r w:rsidRPr="00A46135">
        <w:rPr>
          <w:sz w:val="22"/>
          <w:szCs w:val="22"/>
        </w:rPr>
        <w:t xml:space="preserve">and the date of signing of the financial statements and therefore these standards may need to be included in an agency’s </w:t>
      </w:r>
      <w:r>
        <w:rPr>
          <w:sz w:val="22"/>
          <w:szCs w:val="22"/>
        </w:rPr>
        <w:t>financial statements</w:t>
      </w:r>
      <w:r w:rsidRPr="00A46135">
        <w:rPr>
          <w:sz w:val="22"/>
          <w:szCs w:val="22"/>
        </w:rPr>
        <w:t>.</w:t>
      </w:r>
      <w:r>
        <w:rPr>
          <w:sz w:val="22"/>
          <w:szCs w:val="22"/>
        </w:rPr>
        <w:t xml:space="preserve">  As such, a</w:t>
      </w:r>
      <w:r w:rsidRPr="00A46135">
        <w:rPr>
          <w:sz w:val="22"/>
          <w:szCs w:val="22"/>
        </w:rPr>
        <w:t xml:space="preserve">gencies should monitor for any further standards issued after the </w:t>
      </w:r>
      <w:r>
        <w:rPr>
          <w:sz w:val="22"/>
          <w:szCs w:val="22"/>
        </w:rPr>
        <w:t xml:space="preserve">FRF Branch releases the </w:t>
      </w:r>
      <w:r w:rsidRPr="00A46135">
        <w:rPr>
          <w:sz w:val="22"/>
          <w:szCs w:val="22"/>
        </w:rPr>
        <w:t xml:space="preserve">July paper until their financial statements are signed.  </w:t>
      </w:r>
      <w:r>
        <w:rPr>
          <w:sz w:val="22"/>
          <w:szCs w:val="22"/>
        </w:rPr>
        <w:t>If there are any further standards issued during this time, a</w:t>
      </w:r>
      <w:r w:rsidRPr="00A46135">
        <w:rPr>
          <w:sz w:val="22"/>
          <w:szCs w:val="22"/>
        </w:rPr>
        <w:t xml:space="preserve">gencies need to assess each </w:t>
      </w:r>
      <w:r>
        <w:rPr>
          <w:sz w:val="22"/>
          <w:szCs w:val="22"/>
        </w:rPr>
        <w:t>s</w:t>
      </w:r>
      <w:r w:rsidRPr="00A46135">
        <w:rPr>
          <w:sz w:val="22"/>
          <w:szCs w:val="22"/>
        </w:rPr>
        <w:t xml:space="preserve">tandard issued but not yet </w:t>
      </w:r>
      <w:r w:rsidR="00162635" w:rsidRPr="00A46135">
        <w:rPr>
          <w:sz w:val="22"/>
          <w:szCs w:val="22"/>
        </w:rPr>
        <w:t>applicable and</w:t>
      </w:r>
      <w:r w:rsidRPr="00A46135">
        <w:rPr>
          <w:sz w:val="22"/>
          <w:szCs w:val="22"/>
        </w:rPr>
        <w:t xml:space="preserve"> disclose these standards </w:t>
      </w:r>
      <w:r>
        <w:rPr>
          <w:sz w:val="22"/>
          <w:szCs w:val="22"/>
        </w:rPr>
        <w:t xml:space="preserve">in Appendix C of their financial statements </w:t>
      </w:r>
      <w:r w:rsidRPr="00A46135">
        <w:rPr>
          <w:sz w:val="22"/>
          <w:szCs w:val="22"/>
        </w:rPr>
        <w:t xml:space="preserve">if they are relevant and if their adoption is likely to have a material financial impact or their financial impact </w:t>
      </w:r>
      <w:r w:rsidR="00162635" w:rsidRPr="00A46135">
        <w:rPr>
          <w:sz w:val="22"/>
          <w:szCs w:val="22"/>
        </w:rPr>
        <w:t>cannot</w:t>
      </w:r>
      <w:r w:rsidRPr="00A46135">
        <w:rPr>
          <w:sz w:val="22"/>
          <w:szCs w:val="22"/>
        </w:rPr>
        <w:t xml:space="preserve"> yet be assessed</w:t>
      </w:r>
      <w:r w:rsidR="00DB315A">
        <w:rPr>
          <w:sz w:val="22"/>
          <w:szCs w:val="22"/>
        </w:rPr>
        <w:t>.</w:t>
      </w:r>
    </w:p>
    <w:p w14:paraId="1B63CDF2" w14:textId="5CD73C92" w:rsidR="00A27027" w:rsidRPr="00DB315A" w:rsidRDefault="00207B68" w:rsidP="00DB315A">
      <w:pPr>
        <w:pStyle w:val="Heading1"/>
        <w:numPr>
          <w:ilvl w:val="0"/>
          <w:numId w:val="0"/>
        </w:numPr>
      </w:pPr>
      <w:bookmarkStart w:id="26" w:name="_Toc74743662"/>
      <w:bookmarkStart w:id="27" w:name="_Toc58146762"/>
      <w:r>
        <w:t xml:space="preserve">2. </w:t>
      </w:r>
      <w:bookmarkStart w:id="28" w:name="_Toc234228963"/>
      <w:r w:rsidR="00D446ED" w:rsidRPr="00E056F8">
        <w:rPr>
          <w:rFonts w:cs="Calibri"/>
        </w:rPr>
        <w:t xml:space="preserve">Treatment of AASB Standards Issued </w:t>
      </w:r>
      <w:r w:rsidR="00D446ED">
        <w:rPr>
          <w:rFonts w:cs="Calibri"/>
        </w:rPr>
        <w:t>BUT</w:t>
      </w:r>
      <w:r w:rsidR="00D446ED" w:rsidRPr="00E056F8">
        <w:rPr>
          <w:rFonts w:cs="Calibri"/>
        </w:rPr>
        <w:t xml:space="preserve"> Yet </w:t>
      </w:r>
      <w:bookmarkEnd w:id="28"/>
      <w:r w:rsidR="00D446ED">
        <w:rPr>
          <w:rFonts w:cs="Calibri"/>
        </w:rPr>
        <w:t>to be applieD</w:t>
      </w:r>
      <w:bookmarkEnd w:id="26"/>
      <w:r w:rsidR="003C58A9" w:rsidRPr="00610F6E">
        <w:t xml:space="preserve"> </w:t>
      </w:r>
      <w:bookmarkEnd w:id="27"/>
    </w:p>
    <w:p w14:paraId="02D3A325" w14:textId="10575C0F" w:rsidR="00EF4637" w:rsidRPr="00F93023" w:rsidRDefault="00EF4637" w:rsidP="00DB315A">
      <w:pPr>
        <w:pStyle w:val="Heading2"/>
        <w:spacing w:line="380" w:lineRule="exact"/>
      </w:pPr>
      <w:bookmarkStart w:id="29" w:name="_Toc74743663"/>
      <w:r>
        <w:t>2.</w:t>
      </w:r>
      <w:r w:rsidR="007D649B">
        <w:t>1</w:t>
      </w:r>
      <w:r>
        <w:t xml:space="preserve"> </w:t>
      </w:r>
      <w:bookmarkStart w:id="30" w:name="_Toc234228964"/>
      <w:r w:rsidR="00DB315A" w:rsidRPr="00E056F8">
        <w:rPr>
          <w:rFonts w:cs="Calibri"/>
        </w:rPr>
        <w:t xml:space="preserve">Disclosures Required for Standards Issued but yet </w:t>
      </w:r>
      <w:bookmarkEnd w:id="30"/>
      <w:r w:rsidR="00DB315A">
        <w:rPr>
          <w:rFonts w:cs="Calibri"/>
        </w:rPr>
        <w:t>to be applie</w:t>
      </w:r>
      <w:r>
        <w:t>d</w:t>
      </w:r>
      <w:bookmarkEnd w:id="29"/>
    </w:p>
    <w:p w14:paraId="7B5D2A76" w14:textId="77777777" w:rsidR="00DB315A" w:rsidRPr="00FE3BDC" w:rsidRDefault="00DB315A" w:rsidP="00811346">
      <w:pPr>
        <w:pStyle w:val="BodyText2"/>
        <w:spacing w:line="276" w:lineRule="auto"/>
        <w:jc w:val="both"/>
        <w:rPr>
          <w:rFonts w:cs="Calibri"/>
          <w:sz w:val="22"/>
          <w:szCs w:val="22"/>
        </w:rPr>
      </w:pPr>
      <w:r w:rsidRPr="00FE3BDC">
        <w:rPr>
          <w:rFonts w:cs="Calibri"/>
          <w:sz w:val="22"/>
          <w:szCs w:val="22"/>
        </w:rPr>
        <w:t xml:space="preserve">When a directorate or territory authority has not early adopted a new accounting standard, and the standard is mandatorily effective in a later reporting period, AASB 108 </w:t>
      </w:r>
      <w:r w:rsidRPr="00FE3BDC">
        <w:rPr>
          <w:rFonts w:cs="Calibri"/>
          <w:i/>
          <w:sz w:val="22"/>
          <w:szCs w:val="22"/>
        </w:rPr>
        <w:t>Accounting Policies, Changes in Accounting Estimates and Errors</w:t>
      </w:r>
      <w:r w:rsidRPr="00FE3BDC">
        <w:rPr>
          <w:rFonts w:cs="Calibri"/>
          <w:sz w:val="22"/>
          <w:szCs w:val="22"/>
        </w:rPr>
        <w:t xml:space="preserve"> requires disclosure of details regarding the adoption of that standard.  This includes the potential financial impact on the financial statements which may occur when the standard is applied.  AASB 108 para 30 and 31 contain the disclosure requirements.</w:t>
      </w:r>
    </w:p>
    <w:p w14:paraId="4032D918" w14:textId="77777777" w:rsidR="00DB315A" w:rsidRPr="00FE3BDC" w:rsidRDefault="00DB315A" w:rsidP="00811346">
      <w:pPr>
        <w:spacing w:after="120" w:line="276" w:lineRule="auto"/>
        <w:jc w:val="both"/>
        <w:rPr>
          <w:rFonts w:cs="Calibri"/>
          <w:sz w:val="22"/>
          <w:szCs w:val="22"/>
        </w:rPr>
      </w:pPr>
      <w:r w:rsidRPr="00FE3BDC">
        <w:rPr>
          <w:rFonts w:cs="Calibri"/>
          <w:sz w:val="22"/>
          <w:szCs w:val="22"/>
        </w:rPr>
        <w:t xml:space="preserve">This policy paper has been developed to assist agencies in making these disclosures.  It provides an indication of what changes have been included in standards which have been issued but are yet to be </w:t>
      </w:r>
      <w:r w:rsidRPr="00FE3BDC">
        <w:rPr>
          <w:rFonts w:cs="Calibri"/>
          <w:sz w:val="22"/>
          <w:szCs w:val="22"/>
        </w:rPr>
        <w:lastRenderedPageBreak/>
        <w:t xml:space="preserve">applied.  This will assist agencies in identifying which of the standards may have a potential material financial impact on them when they are applied.  </w:t>
      </w:r>
    </w:p>
    <w:p w14:paraId="79BF3AAB" w14:textId="77777777" w:rsidR="00DB315A" w:rsidRPr="00FE3BDC" w:rsidRDefault="00DB315A" w:rsidP="00811346">
      <w:pPr>
        <w:spacing w:after="120" w:line="276" w:lineRule="auto"/>
        <w:jc w:val="both"/>
        <w:rPr>
          <w:rFonts w:cs="Calibri"/>
          <w:b/>
          <w:sz w:val="22"/>
          <w:szCs w:val="22"/>
        </w:rPr>
      </w:pPr>
      <w:r w:rsidRPr="00FE3BDC">
        <w:rPr>
          <w:rFonts w:cs="Calibri"/>
          <w:b/>
          <w:sz w:val="22"/>
          <w:szCs w:val="22"/>
        </w:rPr>
        <w:t>Agencies are required to:</w:t>
      </w:r>
    </w:p>
    <w:p w14:paraId="383AA0DE" w14:textId="77777777" w:rsidR="00DB315A" w:rsidRPr="00FE3BDC" w:rsidRDefault="00DB315A" w:rsidP="00811346">
      <w:pPr>
        <w:numPr>
          <w:ilvl w:val="0"/>
          <w:numId w:val="32"/>
        </w:numPr>
        <w:spacing w:after="120" w:line="276" w:lineRule="auto"/>
        <w:jc w:val="both"/>
        <w:rPr>
          <w:rFonts w:cs="Calibri"/>
          <w:b/>
          <w:sz w:val="22"/>
          <w:szCs w:val="22"/>
        </w:rPr>
      </w:pPr>
      <w:r w:rsidRPr="00FE3BDC">
        <w:rPr>
          <w:rFonts w:cs="Calibri"/>
          <w:b/>
          <w:sz w:val="22"/>
          <w:szCs w:val="22"/>
        </w:rPr>
        <w:t xml:space="preserve">Identify those standards that will apply to their agency; </w:t>
      </w:r>
    </w:p>
    <w:p w14:paraId="3C3A2A1C" w14:textId="77777777" w:rsidR="00DB315A" w:rsidRPr="00FE3BDC" w:rsidRDefault="00DB315A" w:rsidP="00811346">
      <w:pPr>
        <w:numPr>
          <w:ilvl w:val="0"/>
          <w:numId w:val="32"/>
        </w:numPr>
        <w:spacing w:after="120" w:line="276" w:lineRule="auto"/>
        <w:jc w:val="both"/>
        <w:rPr>
          <w:rFonts w:cs="Calibri"/>
          <w:b/>
          <w:sz w:val="22"/>
          <w:szCs w:val="22"/>
        </w:rPr>
      </w:pPr>
      <w:r w:rsidRPr="00FE3BDC">
        <w:rPr>
          <w:rFonts w:cs="Calibri"/>
          <w:b/>
          <w:sz w:val="22"/>
          <w:szCs w:val="22"/>
        </w:rPr>
        <w:t>Assess whether there may be a material</w:t>
      </w:r>
      <w:r w:rsidRPr="00FE3BDC">
        <w:rPr>
          <w:rStyle w:val="FootnoteReference"/>
          <w:rFonts w:cs="Calibri"/>
          <w:b/>
          <w:sz w:val="22"/>
          <w:szCs w:val="22"/>
        </w:rPr>
        <w:footnoteReference w:id="1"/>
      </w:r>
      <w:r w:rsidRPr="00FE3BDC">
        <w:rPr>
          <w:rFonts w:cs="Calibri"/>
          <w:b/>
          <w:sz w:val="22"/>
          <w:szCs w:val="22"/>
        </w:rPr>
        <w:t xml:space="preserve"> financial impact upon the agency by reviewing the changes listed in this policy </w:t>
      </w:r>
      <w:r w:rsidRPr="00FE3BDC">
        <w:rPr>
          <w:rFonts w:cs="Calibri"/>
          <w:b/>
          <w:sz w:val="22"/>
          <w:szCs w:val="22"/>
          <w:u w:val="single"/>
        </w:rPr>
        <w:t>and</w:t>
      </w:r>
      <w:r w:rsidRPr="00FE3BDC">
        <w:rPr>
          <w:rFonts w:cs="Calibri"/>
          <w:b/>
          <w:sz w:val="22"/>
          <w:szCs w:val="22"/>
        </w:rPr>
        <w:t xml:space="preserve"> referring directly to the standards and/or interpretations (this assessment should be clearly documented in </w:t>
      </w:r>
      <w:r>
        <w:rPr>
          <w:rFonts w:cs="Calibri"/>
          <w:b/>
          <w:sz w:val="22"/>
          <w:szCs w:val="22"/>
        </w:rPr>
        <w:t>audit</w:t>
      </w:r>
      <w:r w:rsidRPr="00FE3BDC">
        <w:rPr>
          <w:rFonts w:cs="Calibri"/>
          <w:b/>
          <w:sz w:val="22"/>
          <w:szCs w:val="22"/>
        </w:rPr>
        <w:t xml:space="preserve"> work papers);</w:t>
      </w:r>
      <w:bookmarkStart w:id="31" w:name="_Hlk74744172"/>
    </w:p>
    <w:p w14:paraId="1E6E3643" w14:textId="542FC501" w:rsidR="00DB315A" w:rsidRPr="00FE3BDC" w:rsidRDefault="00DB315A" w:rsidP="00811346">
      <w:pPr>
        <w:numPr>
          <w:ilvl w:val="0"/>
          <w:numId w:val="32"/>
        </w:numPr>
        <w:spacing w:after="120" w:line="276" w:lineRule="auto"/>
        <w:jc w:val="both"/>
        <w:rPr>
          <w:rFonts w:cs="Calibri"/>
          <w:b/>
          <w:sz w:val="22"/>
          <w:szCs w:val="22"/>
        </w:rPr>
      </w:pPr>
      <w:r w:rsidRPr="00FE3BDC">
        <w:rPr>
          <w:rFonts w:cs="Calibri"/>
          <w:b/>
          <w:sz w:val="22"/>
          <w:szCs w:val="22"/>
        </w:rPr>
        <w:t xml:space="preserve">Only </w:t>
      </w:r>
      <w:r w:rsidRPr="00FE3BDC">
        <w:rPr>
          <w:rFonts w:cs="Calibri"/>
          <w:b/>
          <w:color w:val="000000"/>
          <w:sz w:val="22"/>
          <w:szCs w:val="22"/>
        </w:rPr>
        <w:t>disclose</w:t>
      </w:r>
      <w:r w:rsidRPr="00FE3BDC">
        <w:rPr>
          <w:rFonts w:cs="Calibri"/>
          <w:b/>
          <w:sz w:val="22"/>
          <w:szCs w:val="22"/>
        </w:rPr>
        <w:t xml:space="preserve"> details of the standards and interpretations which apply </w:t>
      </w:r>
      <w:r w:rsidRPr="00FE3BDC">
        <w:rPr>
          <w:rFonts w:cs="Calibri"/>
          <w:b/>
          <w:color w:val="000000"/>
          <w:sz w:val="22"/>
          <w:szCs w:val="22"/>
        </w:rPr>
        <w:t>and</w:t>
      </w:r>
      <w:r w:rsidRPr="00FE3BDC">
        <w:rPr>
          <w:rFonts w:cs="Calibri"/>
          <w:b/>
          <w:sz w:val="22"/>
          <w:szCs w:val="22"/>
        </w:rPr>
        <w:t xml:space="preserve"> are assessed as having a material financial impact on them, or </w:t>
      </w:r>
      <w:r w:rsidRPr="00FE3BDC">
        <w:rPr>
          <w:b/>
          <w:bCs/>
          <w:sz w:val="22"/>
          <w:szCs w:val="22"/>
        </w:rPr>
        <w:t>if the impact is not known or reasonably estimable</w:t>
      </w:r>
      <w:r w:rsidRPr="00FE3BDC">
        <w:rPr>
          <w:rFonts w:cs="Calibri"/>
          <w:b/>
          <w:sz w:val="22"/>
          <w:szCs w:val="22"/>
        </w:rPr>
        <w:t xml:space="preserve"> in the format as presented in </w:t>
      </w:r>
      <w:r w:rsidRPr="00FE3BDC">
        <w:rPr>
          <w:rFonts w:cs="Calibri"/>
          <w:b/>
          <w:sz w:val="22"/>
          <w:szCs w:val="22"/>
          <w:u w:val="single"/>
        </w:rPr>
        <w:t>Attachment A</w:t>
      </w:r>
      <w:r w:rsidRPr="00FE3BDC">
        <w:rPr>
          <w:rFonts w:cs="Calibri"/>
          <w:b/>
          <w:sz w:val="22"/>
          <w:szCs w:val="22"/>
        </w:rPr>
        <w:t xml:space="preserve">.  If the impact is not known or </w:t>
      </w:r>
      <w:r w:rsidR="00BC371C" w:rsidRPr="00FE3BDC">
        <w:rPr>
          <w:rFonts w:cs="Calibri"/>
          <w:b/>
          <w:sz w:val="22"/>
          <w:szCs w:val="22"/>
        </w:rPr>
        <w:t>cannot</w:t>
      </w:r>
      <w:r w:rsidRPr="00FE3BDC">
        <w:rPr>
          <w:rFonts w:cs="Calibri"/>
          <w:b/>
          <w:sz w:val="22"/>
          <w:szCs w:val="22"/>
        </w:rPr>
        <w:t xml:space="preserve"> be reasonably </w:t>
      </w:r>
      <w:r w:rsidR="00BC371C" w:rsidRPr="00FE3BDC">
        <w:rPr>
          <w:rFonts w:cs="Calibri"/>
          <w:b/>
          <w:sz w:val="22"/>
          <w:szCs w:val="22"/>
        </w:rPr>
        <w:t>estimated,</w:t>
      </w:r>
      <w:r w:rsidRPr="00FE3BDC">
        <w:rPr>
          <w:rFonts w:cs="Calibri"/>
          <w:b/>
          <w:sz w:val="22"/>
          <w:szCs w:val="22"/>
        </w:rPr>
        <w:t xml:space="preserve"> then this should be documented along with the reason why this is the case</w:t>
      </w:r>
      <w:r>
        <w:rPr>
          <w:rFonts w:cs="Calibri"/>
          <w:b/>
          <w:sz w:val="22"/>
          <w:szCs w:val="22"/>
        </w:rPr>
        <w:t xml:space="preserve">.  It is important to note that </w:t>
      </w:r>
      <w:r w:rsidRPr="000E1F97">
        <w:rPr>
          <w:rFonts w:cs="Calibri"/>
          <w:b/>
          <w:sz w:val="22"/>
          <w:szCs w:val="22"/>
        </w:rPr>
        <w:t xml:space="preserve">it is not sufficient </w:t>
      </w:r>
      <w:r>
        <w:rPr>
          <w:rFonts w:cs="Calibri"/>
          <w:b/>
          <w:sz w:val="22"/>
          <w:szCs w:val="22"/>
        </w:rPr>
        <w:t xml:space="preserve">for an agency </w:t>
      </w:r>
      <w:r w:rsidRPr="000E1F97">
        <w:rPr>
          <w:rFonts w:cs="Calibri"/>
          <w:b/>
          <w:sz w:val="22"/>
          <w:szCs w:val="22"/>
        </w:rPr>
        <w:t xml:space="preserve">to state that the impact isn’t known because an assessment hasn’t been </w:t>
      </w:r>
      <w:r w:rsidR="00D22765">
        <w:rPr>
          <w:rFonts w:cs="Calibri"/>
          <w:b/>
          <w:sz w:val="22"/>
          <w:szCs w:val="22"/>
        </w:rPr>
        <w:t>undertaken</w:t>
      </w:r>
      <w:r w:rsidRPr="000E1F97">
        <w:rPr>
          <w:rFonts w:cs="Calibri"/>
          <w:b/>
          <w:sz w:val="22"/>
          <w:szCs w:val="22"/>
        </w:rPr>
        <w:t xml:space="preserve"> yet. </w:t>
      </w:r>
      <w:r>
        <w:rPr>
          <w:rFonts w:cs="Calibri"/>
          <w:b/>
          <w:sz w:val="22"/>
          <w:szCs w:val="22"/>
        </w:rPr>
        <w:t xml:space="preserve"> </w:t>
      </w:r>
      <w:r w:rsidRPr="000E1F97">
        <w:rPr>
          <w:rFonts w:cs="Calibri"/>
          <w:b/>
          <w:sz w:val="22"/>
          <w:szCs w:val="22"/>
        </w:rPr>
        <w:t xml:space="preserve">There needs to be a valid reason for why the </w:t>
      </w:r>
      <w:r>
        <w:rPr>
          <w:rFonts w:cs="Calibri"/>
          <w:b/>
          <w:sz w:val="22"/>
          <w:szCs w:val="22"/>
        </w:rPr>
        <w:t>agency</w:t>
      </w:r>
      <w:r w:rsidRPr="000E1F97">
        <w:rPr>
          <w:rFonts w:cs="Calibri"/>
          <w:b/>
          <w:sz w:val="22"/>
          <w:szCs w:val="22"/>
        </w:rPr>
        <w:t xml:space="preserve"> hasn’t been able to perform the assessment</w:t>
      </w:r>
      <w:r w:rsidRPr="00FE3BDC">
        <w:rPr>
          <w:rFonts w:cs="Calibri"/>
          <w:b/>
          <w:sz w:val="22"/>
          <w:szCs w:val="22"/>
        </w:rPr>
        <w:t xml:space="preserve">; and </w:t>
      </w:r>
    </w:p>
    <w:bookmarkEnd w:id="31"/>
    <w:p w14:paraId="052463C3" w14:textId="77777777" w:rsidR="00DB315A" w:rsidRPr="00FE3BDC" w:rsidRDefault="00DB315A" w:rsidP="00811346">
      <w:pPr>
        <w:numPr>
          <w:ilvl w:val="0"/>
          <w:numId w:val="32"/>
        </w:numPr>
        <w:spacing w:after="240" w:line="276" w:lineRule="auto"/>
        <w:ind w:left="357" w:hanging="357"/>
        <w:jc w:val="both"/>
        <w:rPr>
          <w:b/>
          <w:bCs/>
          <w:sz w:val="22"/>
          <w:szCs w:val="22"/>
        </w:rPr>
      </w:pPr>
      <w:r w:rsidRPr="00FE3BDC">
        <w:rPr>
          <w:rFonts w:cs="Calibri"/>
          <w:b/>
          <w:color w:val="000000"/>
          <w:sz w:val="22"/>
          <w:szCs w:val="22"/>
        </w:rPr>
        <w:t>Not disclose details of the standards and interpretations which either do not apply or which apply but are assessed as not having a material impact on them.</w:t>
      </w:r>
    </w:p>
    <w:p w14:paraId="6013E4E3" w14:textId="77777777" w:rsidR="00DB315A" w:rsidRPr="00413787" w:rsidRDefault="00DB315A" w:rsidP="00811346">
      <w:pPr>
        <w:spacing w:after="120" w:line="276" w:lineRule="auto"/>
        <w:jc w:val="both"/>
        <w:rPr>
          <w:rFonts w:cs="Calibri"/>
          <w:color w:val="000000"/>
          <w:szCs w:val="22"/>
        </w:rPr>
      </w:pPr>
      <w:r w:rsidRPr="00FE3BDC">
        <w:rPr>
          <w:rFonts w:cs="Calibri"/>
          <w:sz w:val="22"/>
          <w:szCs w:val="22"/>
        </w:rPr>
        <w:t xml:space="preserve">Agencies should refer to Section 3 </w:t>
      </w:r>
      <w:r>
        <w:rPr>
          <w:rFonts w:cs="Calibri"/>
          <w:sz w:val="22"/>
          <w:szCs w:val="22"/>
        </w:rPr>
        <w:t>and</w:t>
      </w:r>
      <w:r w:rsidRPr="00FE3BDC">
        <w:rPr>
          <w:rFonts w:cs="Calibri"/>
          <w:sz w:val="22"/>
          <w:szCs w:val="22"/>
        </w:rPr>
        <w:t xml:space="preserve"> </w:t>
      </w:r>
      <w:r w:rsidRPr="00044EF8">
        <w:rPr>
          <w:rFonts w:cs="Calibri"/>
          <w:b/>
          <w:bCs/>
          <w:sz w:val="22"/>
          <w:szCs w:val="22"/>
          <w:u w:val="single"/>
        </w:rPr>
        <w:t>Attachment A</w:t>
      </w:r>
      <w:r w:rsidRPr="00FE3BDC">
        <w:rPr>
          <w:rFonts w:cs="Calibri"/>
          <w:sz w:val="22"/>
          <w:szCs w:val="22"/>
        </w:rPr>
        <w:t xml:space="preserve"> of this Policy Paper which provide the disclosure guidance agencies need to be aware of when preparing their 2020-21 Financial Statements</w:t>
      </w:r>
      <w:r>
        <w:rPr>
          <w:rFonts w:cs="Calibri"/>
          <w:sz w:val="22"/>
          <w:szCs w:val="22"/>
        </w:rPr>
        <w:t>, particularly g</w:t>
      </w:r>
      <w:r w:rsidRPr="00FE3BDC">
        <w:rPr>
          <w:rFonts w:cs="Calibri"/>
          <w:sz w:val="22"/>
          <w:szCs w:val="22"/>
        </w:rPr>
        <w:t>iven there was no 2020</w:t>
      </w:r>
      <w:r w:rsidRPr="00FE3BDC">
        <w:rPr>
          <w:rFonts w:cs="Calibri"/>
          <w:sz w:val="22"/>
          <w:szCs w:val="22"/>
        </w:rPr>
        <w:noBreakHyphen/>
        <w:t>21 Model Financial Statements issued</w:t>
      </w:r>
      <w:r>
        <w:rPr>
          <w:rFonts w:cs="Calibri"/>
          <w:sz w:val="22"/>
          <w:szCs w:val="22"/>
        </w:rPr>
        <w:t>.</w:t>
      </w:r>
      <w:r w:rsidRPr="00FE3BDC">
        <w:rPr>
          <w:rFonts w:cs="Calibri"/>
          <w:sz w:val="22"/>
          <w:szCs w:val="22"/>
        </w:rPr>
        <w:t xml:space="preserve">  </w:t>
      </w:r>
    </w:p>
    <w:p w14:paraId="54F6008D" w14:textId="76B8719B" w:rsidR="0037340A" w:rsidRPr="00DB315A" w:rsidRDefault="00DB315A" w:rsidP="00811346">
      <w:pPr>
        <w:spacing w:after="120" w:line="276" w:lineRule="auto"/>
        <w:jc w:val="both"/>
        <w:rPr>
          <w:sz w:val="22"/>
          <w:szCs w:val="22"/>
        </w:rPr>
      </w:pPr>
      <w:r w:rsidRPr="00FE3BDC">
        <w:rPr>
          <w:rFonts w:cs="Calibri"/>
          <w:b/>
          <w:bCs/>
          <w:sz w:val="22"/>
          <w:szCs w:val="22"/>
        </w:rPr>
        <w:t>It is important for each agency to verify that this assessment is correct for their circumstances.</w:t>
      </w:r>
      <w:r w:rsidR="002D24E0">
        <w:rPr>
          <w:sz w:val="22"/>
          <w:szCs w:val="22"/>
        </w:rPr>
        <w:t xml:space="preserve">  </w:t>
      </w:r>
    </w:p>
    <w:p w14:paraId="1FD4E5FA" w14:textId="0895B9BD" w:rsidR="003C58A9" w:rsidRDefault="00DB315A" w:rsidP="00DB315A">
      <w:pPr>
        <w:pStyle w:val="Heading1"/>
        <w:numPr>
          <w:ilvl w:val="0"/>
          <w:numId w:val="9"/>
        </w:numPr>
        <w:ind w:left="284"/>
      </w:pPr>
      <w:bookmarkStart w:id="32" w:name="_Toc234228966"/>
      <w:bookmarkStart w:id="33" w:name="_Toc58146764"/>
      <w:bookmarkStart w:id="34" w:name="_Toc74743664"/>
      <w:r w:rsidRPr="00E056F8">
        <w:rPr>
          <w:rFonts w:cs="Calibri"/>
        </w:rPr>
        <w:t xml:space="preserve">Summaries of Changes to Standards </w:t>
      </w:r>
      <w:r w:rsidRPr="00E056F8">
        <w:rPr>
          <w:rFonts w:cs="Calibri"/>
          <w:szCs w:val="24"/>
        </w:rPr>
        <w:t>and Interpretations</w:t>
      </w:r>
      <w:r w:rsidRPr="00E056F8">
        <w:rPr>
          <w:rFonts w:cs="Calibri"/>
        </w:rPr>
        <w:t xml:space="preserve"> Issued but yet </w:t>
      </w:r>
      <w:bookmarkEnd w:id="32"/>
      <w:r>
        <w:rPr>
          <w:rFonts w:cs="Calibri"/>
        </w:rPr>
        <w:t xml:space="preserve">TO BE </w:t>
      </w:r>
      <w:bookmarkEnd w:id="33"/>
      <w:r>
        <w:rPr>
          <w:rFonts w:cs="Calibri"/>
        </w:rPr>
        <w:t>APPLIED</w:t>
      </w:r>
      <w:bookmarkEnd w:id="34"/>
    </w:p>
    <w:p w14:paraId="065459A9" w14:textId="77777777" w:rsidR="00DB315A" w:rsidRPr="00FE3BDC" w:rsidRDefault="00DB315A" w:rsidP="00811346">
      <w:pPr>
        <w:pStyle w:val="BodyText2"/>
        <w:keepNext/>
        <w:spacing w:line="276" w:lineRule="auto"/>
        <w:jc w:val="both"/>
        <w:rPr>
          <w:rFonts w:cs="Calibri"/>
          <w:sz w:val="22"/>
          <w:szCs w:val="22"/>
        </w:rPr>
      </w:pPr>
      <w:r w:rsidRPr="00FE3BDC">
        <w:rPr>
          <w:rFonts w:cs="Calibri"/>
          <w:sz w:val="22"/>
          <w:szCs w:val="22"/>
        </w:rPr>
        <w:t xml:space="preserve">The below are all standards and interpretations, currently issued by the AASB, which apply to reporting periods beginning on or after 1 July 2021 include: </w:t>
      </w:r>
    </w:p>
    <w:p w14:paraId="6D004983" w14:textId="77777777" w:rsidR="00DB315A" w:rsidRPr="00FE3BDC" w:rsidRDefault="00DB315A" w:rsidP="00811346">
      <w:pPr>
        <w:pStyle w:val="BodyText2"/>
        <w:spacing w:line="276" w:lineRule="auto"/>
        <w:ind w:left="1418" w:hanging="1418"/>
        <w:jc w:val="both"/>
        <w:rPr>
          <w:rFonts w:cs="Calibri"/>
          <w:sz w:val="22"/>
          <w:szCs w:val="22"/>
        </w:rPr>
      </w:pPr>
      <w:r w:rsidRPr="00FE3BDC">
        <w:rPr>
          <w:sz w:val="22"/>
          <w:szCs w:val="22"/>
        </w:rPr>
        <w:t xml:space="preserve">AASB 17 </w:t>
      </w:r>
      <w:r w:rsidRPr="00FE3BDC">
        <w:rPr>
          <w:sz w:val="22"/>
          <w:szCs w:val="22"/>
        </w:rPr>
        <w:tab/>
      </w:r>
      <w:r w:rsidRPr="00FE3BDC">
        <w:rPr>
          <w:i/>
          <w:iCs/>
          <w:sz w:val="22"/>
          <w:szCs w:val="22"/>
        </w:rPr>
        <w:t>Insurance Contracts;</w:t>
      </w:r>
    </w:p>
    <w:p w14:paraId="3F110B5E" w14:textId="77777777" w:rsidR="00DB315A" w:rsidRPr="00FE3BDC" w:rsidRDefault="00DB315A" w:rsidP="00811346">
      <w:pPr>
        <w:pStyle w:val="BodyText2"/>
        <w:tabs>
          <w:tab w:val="left" w:pos="1418"/>
        </w:tabs>
        <w:spacing w:line="276" w:lineRule="auto"/>
        <w:ind w:left="1418" w:hanging="1418"/>
        <w:jc w:val="both"/>
        <w:rPr>
          <w:rFonts w:cs="Calibri"/>
          <w:i/>
          <w:iCs/>
          <w:sz w:val="22"/>
          <w:szCs w:val="22"/>
        </w:rPr>
      </w:pPr>
      <w:r w:rsidRPr="00FE3BDC">
        <w:rPr>
          <w:rFonts w:cs="Calibri"/>
          <w:sz w:val="22"/>
          <w:szCs w:val="22"/>
        </w:rPr>
        <w:t>AASB 1060</w:t>
      </w:r>
      <w:r w:rsidRPr="00FE3BDC">
        <w:rPr>
          <w:rFonts w:cs="Calibri"/>
          <w:sz w:val="22"/>
          <w:szCs w:val="22"/>
        </w:rPr>
        <w:tab/>
      </w:r>
      <w:r w:rsidRPr="00FE3BDC">
        <w:rPr>
          <w:rFonts w:cs="Calibri"/>
          <w:i/>
          <w:iCs/>
          <w:sz w:val="22"/>
          <w:szCs w:val="22"/>
        </w:rPr>
        <w:t>General Purpose Financial Statements – Simplified Disclosures for For-Profit and Not-for-Profit Tier 2 Entities;</w:t>
      </w:r>
    </w:p>
    <w:p w14:paraId="0BEDFAD4" w14:textId="77777777" w:rsidR="00DB315A" w:rsidRPr="00FE3BDC" w:rsidRDefault="00DB315A" w:rsidP="00811346">
      <w:pPr>
        <w:pStyle w:val="BodyText2"/>
        <w:tabs>
          <w:tab w:val="left" w:pos="1418"/>
        </w:tabs>
        <w:spacing w:line="276" w:lineRule="auto"/>
        <w:ind w:left="1418" w:hanging="1418"/>
        <w:jc w:val="both"/>
        <w:rPr>
          <w:rFonts w:cs="Calibri"/>
          <w:i/>
          <w:iCs/>
          <w:sz w:val="22"/>
          <w:szCs w:val="22"/>
        </w:rPr>
      </w:pPr>
      <w:bookmarkStart w:id="35" w:name="_Toc487644364"/>
      <w:bookmarkStart w:id="36" w:name="_Toc45264676"/>
      <w:r w:rsidRPr="00FE3BDC">
        <w:rPr>
          <w:rFonts w:cs="Calibri"/>
          <w:sz w:val="22"/>
          <w:szCs w:val="22"/>
        </w:rPr>
        <w:t>AASB 2014-10</w:t>
      </w:r>
      <w:r w:rsidRPr="00FE3BDC">
        <w:rPr>
          <w:rFonts w:cs="Calibri"/>
          <w:sz w:val="22"/>
          <w:szCs w:val="22"/>
        </w:rPr>
        <w:tab/>
      </w:r>
      <w:r w:rsidRPr="00FE3BDC">
        <w:rPr>
          <w:rFonts w:cs="Calibri"/>
          <w:i/>
          <w:iCs/>
          <w:sz w:val="22"/>
          <w:szCs w:val="22"/>
        </w:rPr>
        <w:t>Amendments to Australian Accounting Standards – Sale or Contribution of Assets between an Investor and Its Associate or Joint Venture (Appl. 1 January 2022)</w:t>
      </w:r>
      <w:bookmarkEnd w:id="35"/>
      <w:bookmarkEnd w:id="36"/>
      <w:r>
        <w:rPr>
          <w:rFonts w:cs="Calibri"/>
          <w:i/>
          <w:iCs/>
          <w:sz w:val="22"/>
          <w:szCs w:val="22"/>
        </w:rPr>
        <w:t>;</w:t>
      </w:r>
    </w:p>
    <w:p w14:paraId="43BC5D26" w14:textId="77777777" w:rsidR="00DB315A" w:rsidRPr="00FE3BDC" w:rsidRDefault="00DB315A" w:rsidP="00811346">
      <w:pPr>
        <w:pStyle w:val="BodyText2"/>
        <w:spacing w:line="276" w:lineRule="auto"/>
        <w:ind w:left="1418" w:hanging="1418"/>
        <w:jc w:val="both"/>
        <w:rPr>
          <w:rFonts w:cs="Calibri"/>
          <w:sz w:val="22"/>
          <w:szCs w:val="22"/>
        </w:rPr>
      </w:pPr>
      <w:r w:rsidRPr="00FE3BDC">
        <w:rPr>
          <w:rFonts w:cs="Calibri"/>
          <w:sz w:val="22"/>
          <w:szCs w:val="22"/>
        </w:rPr>
        <w:t>AASB 2020-1</w:t>
      </w:r>
      <w:r w:rsidRPr="00FE3BDC">
        <w:rPr>
          <w:rFonts w:cs="Calibri"/>
          <w:sz w:val="22"/>
          <w:szCs w:val="22"/>
        </w:rPr>
        <w:tab/>
      </w:r>
      <w:r w:rsidRPr="00FE3BDC">
        <w:rPr>
          <w:rFonts w:cs="Calibri"/>
          <w:i/>
          <w:iCs/>
          <w:sz w:val="22"/>
          <w:szCs w:val="22"/>
        </w:rPr>
        <w:t>Amendments to Australian Accounting Standards – Classification of Liabilities as Current or Non-current;</w:t>
      </w:r>
    </w:p>
    <w:p w14:paraId="2C4E553F" w14:textId="77777777" w:rsidR="00DB315A" w:rsidRPr="00FE3BDC" w:rsidRDefault="00DB315A" w:rsidP="00811346">
      <w:pPr>
        <w:pStyle w:val="BodyText2"/>
        <w:tabs>
          <w:tab w:val="left" w:pos="1701"/>
        </w:tabs>
        <w:spacing w:line="276" w:lineRule="auto"/>
        <w:ind w:left="1418" w:hanging="1418"/>
        <w:jc w:val="both"/>
        <w:rPr>
          <w:rFonts w:cs="Calibri"/>
          <w:i/>
          <w:iCs/>
          <w:sz w:val="22"/>
          <w:szCs w:val="22"/>
        </w:rPr>
      </w:pPr>
      <w:r w:rsidRPr="00FE3BDC">
        <w:rPr>
          <w:rFonts w:cs="Calibri"/>
          <w:sz w:val="22"/>
          <w:szCs w:val="22"/>
        </w:rPr>
        <w:t>AASB 2020-2</w:t>
      </w:r>
      <w:r w:rsidRPr="00FE3BDC">
        <w:rPr>
          <w:rFonts w:cs="Calibri"/>
          <w:sz w:val="22"/>
          <w:szCs w:val="22"/>
        </w:rPr>
        <w:tab/>
      </w:r>
      <w:r w:rsidRPr="00FE3BDC">
        <w:rPr>
          <w:rFonts w:cs="Calibri"/>
          <w:i/>
          <w:iCs/>
          <w:sz w:val="22"/>
          <w:szCs w:val="22"/>
        </w:rPr>
        <w:t>Amendments to Australian Accounting Standards – Removal of Special Purpose Financial Statements for Certain For-Profit Private Sector Entities;</w:t>
      </w:r>
    </w:p>
    <w:p w14:paraId="54290E94" w14:textId="77777777" w:rsidR="00DB315A" w:rsidRPr="00FE3BDC" w:rsidRDefault="00DB315A" w:rsidP="00811346">
      <w:pPr>
        <w:pStyle w:val="BodyText2"/>
        <w:tabs>
          <w:tab w:val="left" w:pos="1701"/>
        </w:tabs>
        <w:spacing w:line="276" w:lineRule="auto"/>
        <w:ind w:left="1418" w:hanging="1418"/>
        <w:jc w:val="both"/>
        <w:rPr>
          <w:rFonts w:cs="Calibri"/>
          <w:i/>
          <w:iCs/>
          <w:sz w:val="22"/>
          <w:szCs w:val="22"/>
        </w:rPr>
      </w:pPr>
      <w:r w:rsidRPr="00FE3BDC">
        <w:rPr>
          <w:rFonts w:cs="Calibri"/>
          <w:sz w:val="22"/>
          <w:szCs w:val="22"/>
        </w:rPr>
        <w:t>AASB 2020-3</w:t>
      </w:r>
      <w:r w:rsidRPr="00FE3BDC">
        <w:rPr>
          <w:rFonts w:cs="Calibri"/>
          <w:sz w:val="22"/>
          <w:szCs w:val="22"/>
        </w:rPr>
        <w:tab/>
      </w:r>
      <w:r w:rsidRPr="00FE3BDC">
        <w:rPr>
          <w:rFonts w:cs="Calibri"/>
          <w:i/>
          <w:iCs/>
          <w:sz w:val="22"/>
          <w:szCs w:val="22"/>
        </w:rPr>
        <w:t>Amendments to Australian Accounting Standards – Annual Improvements 2018-2020 and other Amendments;</w:t>
      </w:r>
    </w:p>
    <w:p w14:paraId="4621228D" w14:textId="77777777" w:rsidR="00DB315A" w:rsidRPr="00FE3BDC" w:rsidRDefault="00DB315A" w:rsidP="00811346">
      <w:pPr>
        <w:pStyle w:val="BodyText2"/>
        <w:tabs>
          <w:tab w:val="left" w:pos="1701"/>
        </w:tabs>
        <w:spacing w:line="276" w:lineRule="auto"/>
        <w:ind w:left="1418" w:hanging="1418"/>
        <w:jc w:val="both"/>
        <w:rPr>
          <w:rFonts w:cs="Calibri"/>
          <w:i/>
          <w:iCs/>
          <w:sz w:val="22"/>
          <w:szCs w:val="22"/>
        </w:rPr>
      </w:pPr>
      <w:r w:rsidRPr="00FE3BDC">
        <w:rPr>
          <w:rFonts w:cs="Calibri"/>
          <w:sz w:val="22"/>
          <w:szCs w:val="22"/>
        </w:rPr>
        <w:t xml:space="preserve">AASB </w:t>
      </w:r>
      <w:hyperlink r:id="rId14" w:tgtFrame="_blank" w:history="1">
        <w:r w:rsidRPr="00FE3BDC">
          <w:rPr>
            <w:rFonts w:cs="Calibri"/>
            <w:sz w:val="22"/>
            <w:szCs w:val="22"/>
          </w:rPr>
          <w:t>2020-5</w:t>
        </w:r>
      </w:hyperlink>
      <w:r w:rsidRPr="00FE3BDC">
        <w:rPr>
          <w:rFonts w:cs="Calibri"/>
          <w:sz w:val="22"/>
          <w:szCs w:val="22"/>
        </w:rPr>
        <w:tab/>
      </w:r>
      <w:r w:rsidRPr="00FE3BDC">
        <w:rPr>
          <w:rFonts w:cs="Calibri"/>
          <w:i/>
          <w:iCs/>
          <w:sz w:val="22"/>
          <w:szCs w:val="22"/>
        </w:rPr>
        <w:t>Amendments to Australian Accounting Standards – Insurance Contracts;</w:t>
      </w:r>
    </w:p>
    <w:p w14:paraId="00374C73" w14:textId="77777777" w:rsidR="00DB315A" w:rsidRPr="00FE3BDC" w:rsidRDefault="00DB315A" w:rsidP="00811346">
      <w:pPr>
        <w:pStyle w:val="BodyText2"/>
        <w:tabs>
          <w:tab w:val="left" w:pos="1701"/>
        </w:tabs>
        <w:spacing w:line="276" w:lineRule="auto"/>
        <w:ind w:left="1418" w:hanging="1418"/>
        <w:jc w:val="both"/>
        <w:rPr>
          <w:rFonts w:cs="Calibri"/>
          <w:i/>
          <w:iCs/>
          <w:sz w:val="22"/>
          <w:szCs w:val="22"/>
        </w:rPr>
      </w:pPr>
      <w:r w:rsidRPr="00FE3BDC">
        <w:rPr>
          <w:rFonts w:cs="Calibri"/>
          <w:sz w:val="22"/>
          <w:szCs w:val="22"/>
        </w:rPr>
        <w:lastRenderedPageBreak/>
        <w:t xml:space="preserve">AASB </w:t>
      </w:r>
      <w:hyperlink r:id="rId15" w:tgtFrame="_blank" w:history="1">
        <w:r w:rsidRPr="00FE3BDC">
          <w:rPr>
            <w:rFonts w:cs="Calibri"/>
            <w:sz w:val="22"/>
            <w:szCs w:val="22"/>
          </w:rPr>
          <w:t>2020-6</w:t>
        </w:r>
      </w:hyperlink>
      <w:r w:rsidRPr="00FE3BDC">
        <w:rPr>
          <w:rFonts w:ascii="Arial" w:hAnsi="Arial" w:cs="Arial"/>
          <w:color w:val="05548E"/>
          <w:sz w:val="22"/>
          <w:szCs w:val="22"/>
        </w:rPr>
        <w:tab/>
      </w:r>
      <w:r w:rsidRPr="00FE3BDC">
        <w:rPr>
          <w:rFonts w:cs="Calibri"/>
          <w:i/>
          <w:iCs/>
          <w:sz w:val="22"/>
          <w:szCs w:val="22"/>
        </w:rPr>
        <w:t>Amendments to Australian Accounting Standards – Classification of Liabilities as Current or Non-current – Deferral of Effective Date;</w:t>
      </w:r>
    </w:p>
    <w:p w14:paraId="647C875B" w14:textId="77777777" w:rsidR="00DB315A" w:rsidRPr="00FE3BDC" w:rsidRDefault="00DB315A" w:rsidP="00811346">
      <w:pPr>
        <w:pStyle w:val="BodyText2"/>
        <w:tabs>
          <w:tab w:val="left" w:pos="1701"/>
        </w:tabs>
        <w:spacing w:line="276" w:lineRule="auto"/>
        <w:ind w:left="1418" w:hanging="1418"/>
        <w:jc w:val="both"/>
        <w:rPr>
          <w:rFonts w:cs="Calibri"/>
          <w:i/>
          <w:iCs/>
          <w:sz w:val="22"/>
          <w:szCs w:val="22"/>
        </w:rPr>
      </w:pPr>
      <w:r w:rsidRPr="00FE3BDC">
        <w:rPr>
          <w:rFonts w:cs="Calibri"/>
          <w:sz w:val="22"/>
          <w:szCs w:val="22"/>
        </w:rPr>
        <w:t xml:space="preserve">AASB </w:t>
      </w:r>
      <w:hyperlink r:id="rId16" w:tgtFrame="_blank" w:history="1">
        <w:r w:rsidRPr="00FE3BDC">
          <w:rPr>
            <w:rFonts w:cs="Calibri"/>
            <w:sz w:val="22"/>
            <w:szCs w:val="22"/>
          </w:rPr>
          <w:t>2020-7</w:t>
        </w:r>
      </w:hyperlink>
      <w:r w:rsidRPr="00FE3BDC">
        <w:rPr>
          <w:rFonts w:cs="Calibri"/>
          <w:i/>
          <w:iCs/>
          <w:sz w:val="22"/>
          <w:szCs w:val="22"/>
        </w:rPr>
        <w:tab/>
        <w:t>Amendments to Australian Accounting Standards – Covid-19-Related Rent Concessions: Tier 2 Disclosures;</w:t>
      </w:r>
    </w:p>
    <w:p w14:paraId="18619504" w14:textId="77777777" w:rsidR="00DB315A" w:rsidRPr="00FE3BDC" w:rsidRDefault="00DB315A" w:rsidP="00811346">
      <w:pPr>
        <w:pStyle w:val="BodyText2"/>
        <w:tabs>
          <w:tab w:val="left" w:pos="1701"/>
        </w:tabs>
        <w:spacing w:line="276" w:lineRule="auto"/>
        <w:ind w:left="1418" w:hanging="1418"/>
        <w:jc w:val="both"/>
        <w:rPr>
          <w:rFonts w:cs="Calibri"/>
          <w:sz w:val="22"/>
          <w:szCs w:val="22"/>
        </w:rPr>
      </w:pPr>
      <w:r w:rsidRPr="00FE3BDC">
        <w:rPr>
          <w:rFonts w:cs="Calibri"/>
          <w:sz w:val="22"/>
          <w:szCs w:val="22"/>
        </w:rPr>
        <w:t xml:space="preserve">AASB </w:t>
      </w:r>
      <w:hyperlink r:id="rId17" w:tgtFrame="_blank" w:history="1">
        <w:r w:rsidRPr="00FE3BDC">
          <w:rPr>
            <w:rFonts w:cs="Calibri"/>
            <w:sz w:val="22"/>
            <w:szCs w:val="22"/>
          </w:rPr>
          <w:t>2020-8</w:t>
        </w:r>
      </w:hyperlink>
      <w:r w:rsidRPr="00FE3BDC">
        <w:rPr>
          <w:rFonts w:cs="Calibri"/>
          <w:i/>
          <w:iCs/>
          <w:sz w:val="22"/>
          <w:szCs w:val="22"/>
        </w:rPr>
        <w:tab/>
        <w:t xml:space="preserve">Amendments to Australian Accounting Standards – Interest Rate Benchmark Reform – Phase 2; </w:t>
      </w:r>
    </w:p>
    <w:p w14:paraId="729E6BFA" w14:textId="77777777" w:rsidR="00DB315A" w:rsidRPr="00FE3BDC" w:rsidRDefault="00DB315A" w:rsidP="00811346">
      <w:pPr>
        <w:pStyle w:val="BodyText2"/>
        <w:tabs>
          <w:tab w:val="left" w:pos="1701"/>
        </w:tabs>
        <w:spacing w:line="276" w:lineRule="auto"/>
        <w:ind w:left="1418" w:hanging="1418"/>
        <w:jc w:val="both"/>
        <w:rPr>
          <w:rFonts w:cs="Calibri"/>
          <w:i/>
          <w:iCs/>
          <w:sz w:val="22"/>
          <w:szCs w:val="22"/>
        </w:rPr>
      </w:pPr>
      <w:r w:rsidRPr="00FE3BDC">
        <w:rPr>
          <w:rFonts w:cs="Calibri"/>
          <w:sz w:val="22"/>
          <w:szCs w:val="22"/>
        </w:rPr>
        <w:t xml:space="preserve">AASB </w:t>
      </w:r>
      <w:hyperlink r:id="rId18" w:tgtFrame="_blank" w:history="1">
        <w:r w:rsidRPr="00FE3BDC">
          <w:rPr>
            <w:rFonts w:cs="Calibri"/>
            <w:sz w:val="22"/>
            <w:szCs w:val="22"/>
          </w:rPr>
          <w:t>2020-9</w:t>
        </w:r>
      </w:hyperlink>
      <w:r w:rsidRPr="00FE3BDC">
        <w:rPr>
          <w:rFonts w:cs="Calibri"/>
          <w:sz w:val="22"/>
          <w:szCs w:val="22"/>
        </w:rPr>
        <w:tab/>
      </w:r>
      <w:r w:rsidRPr="00FE3BDC">
        <w:rPr>
          <w:rFonts w:cs="Calibri"/>
          <w:i/>
          <w:iCs/>
          <w:sz w:val="22"/>
          <w:szCs w:val="22"/>
        </w:rPr>
        <w:t>Amendments to Australian Accounting Standards – Tier 2 Disclosures: Interest Rate Benchmark Reform (Phase 2) and Other Amendments;</w:t>
      </w:r>
    </w:p>
    <w:p w14:paraId="42A1587F" w14:textId="77777777" w:rsidR="00DB315A" w:rsidRPr="00FE3BDC" w:rsidRDefault="00DB315A" w:rsidP="00811346">
      <w:pPr>
        <w:pStyle w:val="BodyText2"/>
        <w:tabs>
          <w:tab w:val="left" w:pos="1701"/>
        </w:tabs>
        <w:spacing w:line="276" w:lineRule="auto"/>
        <w:ind w:left="1418" w:hanging="1418"/>
        <w:jc w:val="both"/>
        <w:rPr>
          <w:rFonts w:cs="Calibri"/>
          <w:i/>
          <w:iCs/>
          <w:sz w:val="22"/>
          <w:szCs w:val="22"/>
        </w:rPr>
      </w:pPr>
      <w:r w:rsidRPr="00FE3BDC">
        <w:rPr>
          <w:rFonts w:cs="Calibri"/>
          <w:sz w:val="22"/>
          <w:szCs w:val="22"/>
        </w:rPr>
        <w:t>AASB 2021-1</w:t>
      </w:r>
      <w:r w:rsidRPr="00FE3BDC">
        <w:rPr>
          <w:rFonts w:cs="Calibri"/>
          <w:sz w:val="22"/>
          <w:szCs w:val="22"/>
        </w:rPr>
        <w:tab/>
      </w:r>
      <w:r w:rsidRPr="00FE3BDC">
        <w:rPr>
          <w:rFonts w:cs="Calibri"/>
          <w:i/>
          <w:iCs/>
          <w:sz w:val="22"/>
          <w:szCs w:val="22"/>
        </w:rPr>
        <w:t xml:space="preserve">Amendments to Australian Accounting Standards </w:t>
      </w:r>
      <w:proofErr w:type="gramStart"/>
      <w:r w:rsidRPr="00FE3BDC">
        <w:rPr>
          <w:rFonts w:cs="Calibri"/>
          <w:i/>
          <w:iCs/>
          <w:sz w:val="22"/>
          <w:szCs w:val="22"/>
        </w:rPr>
        <w:t>–  Transition</w:t>
      </w:r>
      <w:proofErr w:type="gramEnd"/>
      <w:r w:rsidRPr="00FE3BDC">
        <w:rPr>
          <w:rFonts w:cs="Calibri"/>
          <w:i/>
          <w:iCs/>
          <w:sz w:val="22"/>
          <w:szCs w:val="22"/>
        </w:rPr>
        <w:t xml:space="preserve"> to Tier 2: Simplified Disclosures for Not-for-Profit Entities;</w:t>
      </w:r>
    </w:p>
    <w:p w14:paraId="42CCD195" w14:textId="77777777" w:rsidR="00DB315A" w:rsidRPr="00FE3BDC" w:rsidRDefault="00DB315A" w:rsidP="00811346">
      <w:pPr>
        <w:pStyle w:val="BodyText2"/>
        <w:tabs>
          <w:tab w:val="left" w:pos="1701"/>
        </w:tabs>
        <w:spacing w:line="276" w:lineRule="auto"/>
        <w:ind w:left="1418" w:hanging="1418"/>
        <w:jc w:val="both"/>
        <w:rPr>
          <w:rFonts w:cs="Calibri"/>
          <w:i/>
          <w:iCs/>
          <w:sz w:val="22"/>
          <w:szCs w:val="22"/>
        </w:rPr>
      </w:pPr>
      <w:r w:rsidRPr="00FE3BDC">
        <w:rPr>
          <w:rFonts w:cs="Calibri"/>
          <w:sz w:val="22"/>
          <w:szCs w:val="22"/>
        </w:rPr>
        <w:t>AASB 2021-2</w:t>
      </w:r>
      <w:r w:rsidRPr="00FE3BDC">
        <w:rPr>
          <w:rFonts w:cs="Calibri"/>
          <w:sz w:val="22"/>
          <w:szCs w:val="22"/>
        </w:rPr>
        <w:tab/>
      </w:r>
      <w:r w:rsidRPr="00FE3BDC">
        <w:rPr>
          <w:rFonts w:cs="Calibri"/>
          <w:i/>
          <w:iCs/>
          <w:sz w:val="22"/>
          <w:szCs w:val="22"/>
        </w:rPr>
        <w:t xml:space="preserve">Amendments to Australian Accounting Standards – Disclosure of Accounting Policies and Definition of Accounting Estimates; </w:t>
      </w:r>
      <w:r w:rsidRPr="00FE3BDC">
        <w:rPr>
          <w:rFonts w:cs="Calibri"/>
          <w:sz w:val="22"/>
          <w:szCs w:val="22"/>
        </w:rPr>
        <w:t>and</w:t>
      </w:r>
    </w:p>
    <w:p w14:paraId="71DD925A" w14:textId="46912BFA" w:rsidR="00DB315A" w:rsidRPr="00DB315A" w:rsidRDefault="00DB315A" w:rsidP="00811346">
      <w:pPr>
        <w:spacing w:after="120" w:line="276" w:lineRule="auto"/>
        <w:ind w:left="1418" w:hanging="1418"/>
        <w:jc w:val="both"/>
        <w:rPr>
          <w:rFonts w:ascii="Calibri" w:eastAsia="Times New Roman" w:hAnsi="Calibri" w:cs="Cambria"/>
          <w:sz w:val="22"/>
          <w:szCs w:val="22"/>
        </w:rPr>
      </w:pPr>
      <w:r w:rsidRPr="00DB315A">
        <w:rPr>
          <w:rFonts w:cs="Calibri"/>
          <w:sz w:val="22"/>
          <w:szCs w:val="22"/>
        </w:rPr>
        <w:t>AASB 2021-3</w:t>
      </w:r>
      <w:r w:rsidRPr="00DB315A">
        <w:rPr>
          <w:rFonts w:cs="Calibri"/>
          <w:sz w:val="22"/>
          <w:szCs w:val="22"/>
        </w:rPr>
        <w:tab/>
      </w:r>
      <w:r w:rsidRPr="00DB315A">
        <w:rPr>
          <w:rFonts w:cs="Calibri"/>
          <w:i/>
          <w:iCs/>
          <w:sz w:val="22"/>
          <w:szCs w:val="22"/>
        </w:rPr>
        <w:t>Amendments to Australian Accounting Standards – Covid-19 Related Rent Concessions beyond 30 June 2021.</w:t>
      </w:r>
    </w:p>
    <w:p w14:paraId="758AEDDB" w14:textId="04CA7E19" w:rsidR="003C58A9" w:rsidRDefault="005756D7" w:rsidP="00DB315A">
      <w:pPr>
        <w:pStyle w:val="Heading2"/>
        <w:numPr>
          <w:ilvl w:val="1"/>
          <w:numId w:val="9"/>
        </w:numPr>
        <w:spacing w:line="276" w:lineRule="auto"/>
        <w:ind w:left="709"/>
      </w:pPr>
      <w:bookmarkStart w:id="37" w:name="_Toc73625865"/>
      <w:bookmarkStart w:id="38" w:name="_Toc74743665"/>
      <w:bookmarkStart w:id="39" w:name="_Toc58146765"/>
      <w:r w:rsidRPr="00566C60">
        <w:t>Relevant Stan</w:t>
      </w:r>
      <w:r>
        <w:t>d</w:t>
      </w:r>
      <w:r w:rsidRPr="00566C60">
        <w:t>ards that are consider not to have a Material Financial Impact</w:t>
      </w:r>
      <w:bookmarkEnd w:id="37"/>
      <w:r w:rsidRPr="002778B5">
        <w:t xml:space="preserve"> </w:t>
      </w:r>
      <w:r w:rsidRPr="00566C60">
        <w:t>o</w:t>
      </w:r>
      <w:r>
        <w:t>N</w:t>
      </w:r>
      <w:r w:rsidRPr="00566C60">
        <w:t xml:space="preserve"> </w:t>
      </w:r>
      <w:r>
        <w:t>Most Agencies</w:t>
      </w:r>
      <w:bookmarkEnd w:id="38"/>
      <w:r w:rsidR="007D649B">
        <w:t xml:space="preserve"> </w:t>
      </w:r>
      <w:bookmarkEnd w:id="39"/>
    </w:p>
    <w:p w14:paraId="4706922E" w14:textId="77777777" w:rsidR="005756D7" w:rsidRPr="005756D7" w:rsidRDefault="005756D7" w:rsidP="00811346">
      <w:pPr>
        <w:spacing w:line="276" w:lineRule="auto"/>
        <w:jc w:val="both"/>
        <w:rPr>
          <w:sz w:val="22"/>
          <w:szCs w:val="22"/>
        </w:rPr>
      </w:pPr>
      <w:r w:rsidRPr="005756D7">
        <w:rPr>
          <w:sz w:val="22"/>
          <w:szCs w:val="22"/>
        </w:rPr>
        <w:t xml:space="preserve">The following standards are considered relevant to most ACT Government </w:t>
      </w:r>
      <w:proofErr w:type="gramStart"/>
      <w:r w:rsidRPr="005756D7">
        <w:rPr>
          <w:sz w:val="22"/>
          <w:szCs w:val="22"/>
        </w:rPr>
        <w:t>agencies,</w:t>
      </w:r>
      <w:proofErr w:type="gramEnd"/>
      <w:r w:rsidRPr="005756D7">
        <w:rPr>
          <w:sz w:val="22"/>
          <w:szCs w:val="22"/>
        </w:rPr>
        <w:t xml:space="preserve"> however it is considered that they will </w:t>
      </w:r>
      <w:r w:rsidRPr="005756D7">
        <w:rPr>
          <w:sz w:val="22"/>
          <w:szCs w:val="22"/>
          <w:u w:val="single"/>
        </w:rPr>
        <w:t>not</w:t>
      </w:r>
      <w:r w:rsidRPr="005756D7">
        <w:rPr>
          <w:sz w:val="22"/>
          <w:szCs w:val="22"/>
        </w:rPr>
        <w:t xml:space="preserve"> have a material financial impact on most ACT Government agencies.</w:t>
      </w:r>
    </w:p>
    <w:p w14:paraId="472641AE" w14:textId="32924A09" w:rsidR="005756D7" w:rsidRPr="005756D7" w:rsidRDefault="005756D7" w:rsidP="00162635">
      <w:pPr>
        <w:pStyle w:val="Heading3"/>
        <w:numPr>
          <w:ilvl w:val="2"/>
          <w:numId w:val="9"/>
        </w:numPr>
        <w:spacing w:before="360" w:after="120" w:line="320" w:lineRule="exact"/>
        <w:ind w:left="1134" w:hanging="1077"/>
        <w:rPr>
          <w:iCs/>
        </w:rPr>
      </w:pPr>
      <w:bookmarkStart w:id="40" w:name="_Toc74743666"/>
      <w:r w:rsidRPr="00566C60">
        <w:rPr>
          <w:iCs/>
        </w:rPr>
        <w:t>AASB 2020-1 Amendments to Australian Accounting Standards – Classification of Liabilities as Current or Non-Current (originally appl. 1 January 2022</w:t>
      </w:r>
      <w:r w:rsidRPr="005756D7">
        <w:rPr>
          <w:iCs/>
        </w:rPr>
        <w:t xml:space="preserve"> however now </w:t>
      </w:r>
      <w:r w:rsidRPr="00566C60">
        <w:rPr>
          <w:iCs/>
        </w:rPr>
        <w:t xml:space="preserve">appl. 1 January 2023 due to issue of </w:t>
      </w:r>
      <w:r w:rsidRPr="005756D7">
        <w:rPr>
          <w:iCs/>
        </w:rPr>
        <w:t>AASB</w:t>
      </w:r>
      <w:r w:rsidRPr="00566C60">
        <w:rPr>
          <w:iCs/>
        </w:rPr>
        <w:t xml:space="preserve"> 2020</w:t>
      </w:r>
      <w:r>
        <w:rPr>
          <w:iCs/>
        </w:rPr>
        <w:t>-6)</w:t>
      </w:r>
      <w:bookmarkEnd w:id="40"/>
    </w:p>
    <w:p w14:paraId="7512D83C" w14:textId="61FC882E" w:rsidR="005756D7" w:rsidRPr="00FE3BDC" w:rsidRDefault="005756D7" w:rsidP="00811346">
      <w:pPr>
        <w:keepNext/>
        <w:spacing w:after="120" w:line="276" w:lineRule="auto"/>
        <w:jc w:val="both"/>
        <w:rPr>
          <w:rFonts w:cs="Calibri"/>
          <w:b/>
          <w:sz w:val="22"/>
          <w:szCs w:val="22"/>
        </w:rPr>
      </w:pPr>
      <w:r w:rsidRPr="00FE3BDC">
        <w:rPr>
          <w:rFonts w:cs="Calibri"/>
          <w:b/>
          <w:sz w:val="22"/>
          <w:szCs w:val="22"/>
        </w:rPr>
        <w:t>Background</w:t>
      </w:r>
    </w:p>
    <w:p w14:paraId="6EFE5BD9" w14:textId="77777777" w:rsidR="005756D7" w:rsidRPr="00FE3BDC" w:rsidRDefault="005756D7" w:rsidP="00811346">
      <w:pPr>
        <w:keepNext/>
        <w:spacing w:after="120" w:line="276" w:lineRule="auto"/>
        <w:jc w:val="both"/>
        <w:rPr>
          <w:sz w:val="22"/>
          <w:szCs w:val="22"/>
        </w:rPr>
      </w:pPr>
      <w:r w:rsidRPr="00FE3BDC">
        <w:rPr>
          <w:sz w:val="22"/>
          <w:szCs w:val="22"/>
        </w:rPr>
        <w:t xml:space="preserve">AASB 2020-1 amends AASB 101 </w:t>
      </w:r>
      <w:r w:rsidRPr="00FE3BDC">
        <w:rPr>
          <w:i/>
          <w:iCs/>
          <w:sz w:val="22"/>
          <w:szCs w:val="22"/>
        </w:rPr>
        <w:t>Presentation of Financial Statements</w:t>
      </w:r>
      <w:r w:rsidRPr="00FE3BDC">
        <w:rPr>
          <w:sz w:val="22"/>
          <w:szCs w:val="22"/>
        </w:rPr>
        <w:t xml:space="preserve"> to clarify requirements for the presentation of liabilities in the statement of financial position as current or non-current.  It applies to annual reporting periods beginning on or after 1 January 2022 with earlier application permitted. However</w:t>
      </w:r>
      <w:r>
        <w:rPr>
          <w:sz w:val="22"/>
          <w:szCs w:val="22"/>
        </w:rPr>
        <w:t>,</w:t>
      </w:r>
      <w:r w:rsidRPr="00FE3BDC">
        <w:rPr>
          <w:sz w:val="22"/>
          <w:szCs w:val="22"/>
        </w:rPr>
        <w:t xml:space="preserve"> the AASB has recently issued AASB 2020-6 </w:t>
      </w:r>
      <w:r w:rsidRPr="00FE3BDC">
        <w:rPr>
          <w:i/>
          <w:iCs/>
          <w:sz w:val="22"/>
          <w:szCs w:val="22"/>
        </w:rPr>
        <w:t xml:space="preserve">Amendments to Australian Accounting Standards – Classification of Liabilities as Current or Non-current – Deferral of Effective Date </w:t>
      </w:r>
      <w:r w:rsidRPr="00FE3BDC">
        <w:rPr>
          <w:sz w:val="22"/>
          <w:szCs w:val="22"/>
        </w:rPr>
        <w:t xml:space="preserve">which defers the application date by one year to periods beginning on or after 1 January 2023.  </w:t>
      </w:r>
    </w:p>
    <w:p w14:paraId="2F167CF5" w14:textId="77777777" w:rsidR="005756D7" w:rsidRPr="00FE3BDC" w:rsidRDefault="005756D7" w:rsidP="00811346">
      <w:pPr>
        <w:keepNext/>
        <w:spacing w:after="120" w:line="276" w:lineRule="auto"/>
        <w:jc w:val="both"/>
        <w:rPr>
          <w:rFonts w:cs="Calibri"/>
          <w:b/>
          <w:sz w:val="22"/>
          <w:szCs w:val="22"/>
        </w:rPr>
      </w:pPr>
      <w:r w:rsidRPr="00FE3BDC">
        <w:rPr>
          <w:rFonts w:cstheme="minorHAnsi"/>
          <w:sz w:val="22"/>
          <w:szCs w:val="22"/>
        </w:rPr>
        <w:t>The amendments outlined in this standard clarify that a liability is classified as non-current if, at the end of the reporting period, an agency has the right to defer settlement of the liability for at least 12</w:t>
      </w:r>
      <w:r>
        <w:rPr>
          <w:rFonts w:cstheme="minorHAnsi"/>
          <w:sz w:val="22"/>
          <w:szCs w:val="22"/>
        </w:rPr>
        <w:t> </w:t>
      </w:r>
      <w:r w:rsidRPr="00FE3BDC">
        <w:rPr>
          <w:rFonts w:cstheme="minorHAnsi"/>
          <w:sz w:val="22"/>
          <w:szCs w:val="22"/>
        </w:rPr>
        <w:t>months after the reporting period.  The meaning of settlement of a liability is also clarified in these amendments.</w:t>
      </w:r>
    </w:p>
    <w:p w14:paraId="0CC496DA" w14:textId="77777777" w:rsidR="005756D7" w:rsidRPr="00FE3BDC" w:rsidRDefault="005756D7" w:rsidP="00811346">
      <w:pPr>
        <w:keepNext/>
        <w:spacing w:after="120" w:line="276" w:lineRule="auto"/>
        <w:jc w:val="both"/>
        <w:rPr>
          <w:rFonts w:cs="Calibri"/>
          <w:b/>
          <w:sz w:val="22"/>
          <w:szCs w:val="22"/>
        </w:rPr>
      </w:pPr>
      <w:r w:rsidRPr="00FE3BDC">
        <w:rPr>
          <w:rFonts w:cs="Calibri"/>
          <w:b/>
          <w:sz w:val="22"/>
          <w:szCs w:val="22"/>
        </w:rPr>
        <w:t>Impact</w:t>
      </w:r>
    </w:p>
    <w:p w14:paraId="6CDBE67C" w14:textId="77777777" w:rsidR="005756D7" w:rsidRPr="00FE3BDC" w:rsidRDefault="005756D7" w:rsidP="00811346">
      <w:pPr>
        <w:spacing w:after="120" w:line="276" w:lineRule="auto"/>
        <w:jc w:val="both"/>
        <w:rPr>
          <w:sz w:val="22"/>
          <w:szCs w:val="22"/>
        </w:rPr>
      </w:pPr>
      <w:r w:rsidRPr="00FE3BDC">
        <w:rPr>
          <w:sz w:val="22"/>
          <w:szCs w:val="22"/>
        </w:rPr>
        <w:t>This standard is not expected to have a material financial impact on most directorates and territory authorities.</w:t>
      </w:r>
    </w:p>
    <w:p w14:paraId="04F90179" w14:textId="6C7C7208" w:rsidR="0094757A" w:rsidRPr="003607C3" w:rsidRDefault="0094757A" w:rsidP="00E160C1">
      <w:pPr>
        <w:pStyle w:val="Heading3"/>
        <w:numPr>
          <w:ilvl w:val="2"/>
          <w:numId w:val="9"/>
        </w:numPr>
        <w:spacing w:before="360" w:after="120" w:line="320" w:lineRule="exact"/>
        <w:ind w:left="1134" w:hanging="1077"/>
        <w:rPr>
          <w:b w:val="0"/>
          <w:bCs/>
          <w:i/>
          <w:iCs/>
        </w:rPr>
      </w:pPr>
      <w:bookmarkStart w:id="41" w:name="_Toc74743667"/>
      <w:bookmarkStart w:id="42" w:name="_Hlk68616015"/>
      <w:r w:rsidRPr="003607C3">
        <w:rPr>
          <w:iCs/>
        </w:rPr>
        <w:lastRenderedPageBreak/>
        <w:t>AASB 2020-3 Amendments to Australian Accounting Standards – Annual Improvements 2018-2020 and Other Amendments (appl. 1 January 2022)</w:t>
      </w:r>
      <w:bookmarkEnd w:id="41"/>
    </w:p>
    <w:bookmarkEnd w:id="42"/>
    <w:p w14:paraId="5FBA2B03" w14:textId="77777777" w:rsidR="0094757A" w:rsidRPr="00A46135" w:rsidRDefault="0094757A" w:rsidP="00811346">
      <w:pPr>
        <w:keepNext/>
        <w:spacing w:after="120" w:line="276" w:lineRule="auto"/>
        <w:jc w:val="both"/>
        <w:rPr>
          <w:rFonts w:cs="Calibri"/>
          <w:b/>
          <w:sz w:val="22"/>
          <w:szCs w:val="22"/>
        </w:rPr>
      </w:pPr>
      <w:r w:rsidRPr="00A46135">
        <w:rPr>
          <w:rFonts w:cs="Calibri"/>
          <w:b/>
          <w:sz w:val="22"/>
          <w:szCs w:val="22"/>
        </w:rPr>
        <w:t>Background</w:t>
      </w:r>
    </w:p>
    <w:p w14:paraId="04110ACE" w14:textId="77777777" w:rsidR="0094757A" w:rsidRPr="00A46135" w:rsidRDefault="0094757A" w:rsidP="00811346">
      <w:pPr>
        <w:keepNext/>
        <w:spacing w:after="120" w:line="276" w:lineRule="auto"/>
        <w:jc w:val="both"/>
        <w:rPr>
          <w:rFonts w:cs="Calibri"/>
          <w:bCs/>
          <w:sz w:val="22"/>
          <w:szCs w:val="22"/>
        </w:rPr>
      </w:pPr>
      <w:r w:rsidRPr="00A46135">
        <w:rPr>
          <w:rFonts w:cs="Calibri"/>
          <w:bCs/>
          <w:sz w:val="22"/>
          <w:szCs w:val="22"/>
        </w:rPr>
        <w:t>AASB 2020-3 amends:</w:t>
      </w:r>
    </w:p>
    <w:p w14:paraId="1CD825DA" w14:textId="77777777" w:rsidR="0094757A" w:rsidRPr="00A46135" w:rsidRDefault="0094757A" w:rsidP="00811346">
      <w:pPr>
        <w:keepNext/>
        <w:numPr>
          <w:ilvl w:val="0"/>
          <w:numId w:val="34"/>
        </w:numPr>
        <w:spacing w:after="120" w:line="276" w:lineRule="auto"/>
        <w:ind w:left="714" w:hanging="357"/>
        <w:jc w:val="both"/>
        <w:rPr>
          <w:rFonts w:cs="Calibri"/>
          <w:bCs/>
          <w:sz w:val="22"/>
          <w:szCs w:val="22"/>
        </w:rPr>
      </w:pPr>
      <w:r w:rsidRPr="00A46135">
        <w:rPr>
          <w:rFonts w:cs="Calibri"/>
          <w:bCs/>
          <w:sz w:val="22"/>
          <w:szCs w:val="22"/>
        </w:rPr>
        <w:t xml:space="preserve">AASB 1 </w:t>
      </w:r>
      <w:r w:rsidRPr="00A46135">
        <w:rPr>
          <w:rFonts w:cs="Calibri"/>
          <w:bCs/>
          <w:i/>
          <w:iCs/>
          <w:sz w:val="22"/>
          <w:szCs w:val="22"/>
        </w:rPr>
        <w:t>First-time adoption of Australian Accounting Standards</w:t>
      </w:r>
      <w:r w:rsidRPr="00A46135">
        <w:rPr>
          <w:rFonts w:cs="Calibri"/>
          <w:bCs/>
          <w:sz w:val="22"/>
          <w:szCs w:val="22"/>
        </w:rPr>
        <w:t xml:space="preserve"> to simplify the application of AASB 1 by a subsidiary that becomes a first-time adopter after its parent in relation to the measurement of cumulative translation differences;  </w:t>
      </w:r>
    </w:p>
    <w:p w14:paraId="2B30EBB2" w14:textId="77777777" w:rsidR="0094757A" w:rsidRPr="00A46135" w:rsidRDefault="0094757A" w:rsidP="00811346">
      <w:pPr>
        <w:keepNext/>
        <w:numPr>
          <w:ilvl w:val="0"/>
          <w:numId w:val="34"/>
        </w:numPr>
        <w:spacing w:after="120" w:line="276" w:lineRule="auto"/>
        <w:ind w:left="714" w:hanging="357"/>
        <w:jc w:val="both"/>
        <w:rPr>
          <w:rFonts w:cs="Calibri"/>
          <w:bCs/>
          <w:sz w:val="22"/>
          <w:szCs w:val="22"/>
        </w:rPr>
      </w:pPr>
      <w:r w:rsidRPr="00A46135">
        <w:rPr>
          <w:rFonts w:cs="Calibri"/>
          <w:bCs/>
          <w:sz w:val="22"/>
          <w:szCs w:val="22"/>
        </w:rPr>
        <w:t xml:space="preserve">AASB 3 </w:t>
      </w:r>
      <w:r w:rsidRPr="00A46135">
        <w:rPr>
          <w:rFonts w:cs="Calibri"/>
          <w:bCs/>
          <w:i/>
          <w:iCs/>
          <w:sz w:val="22"/>
          <w:szCs w:val="22"/>
        </w:rPr>
        <w:t>Business Combinations</w:t>
      </w:r>
      <w:r w:rsidRPr="00A46135">
        <w:rPr>
          <w:rFonts w:cs="Calibri"/>
          <w:bCs/>
          <w:sz w:val="22"/>
          <w:szCs w:val="22"/>
        </w:rPr>
        <w:t xml:space="preserve"> to update a reference to the </w:t>
      </w:r>
      <w:r w:rsidRPr="00A46135">
        <w:rPr>
          <w:rFonts w:cs="Calibri"/>
          <w:bCs/>
          <w:i/>
          <w:iCs/>
          <w:sz w:val="22"/>
          <w:szCs w:val="22"/>
        </w:rPr>
        <w:t>Conceptual Framework for Financial Reporting</w:t>
      </w:r>
      <w:r w:rsidRPr="00A46135">
        <w:rPr>
          <w:rFonts w:cs="Calibri"/>
          <w:bCs/>
          <w:sz w:val="22"/>
          <w:szCs w:val="22"/>
        </w:rPr>
        <w:t xml:space="preserve"> without changing the accounting requirements for business combinations; </w:t>
      </w:r>
    </w:p>
    <w:p w14:paraId="0ECEDACB" w14:textId="77777777" w:rsidR="0094757A" w:rsidRPr="00A46135" w:rsidRDefault="0094757A" w:rsidP="00811346">
      <w:pPr>
        <w:keepNext/>
        <w:numPr>
          <w:ilvl w:val="0"/>
          <w:numId w:val="34"/>
        </w:numPr>
        <w:spacing w:after="120" w:line="276" w:lineRule="auto"/>
        <w:ind w:left="714" w:hanging="357"/>
        <w:jc w:val="both"/>
        <w:rPr>
          <w:rFonts w:cs="Calibri"/>
          <w:bCs/>
          <w:sz w:val="22"/>
          <w:szCs w:val="22"/>
        </w:rPr>
      </w:pPr>
      <w:r w:rsidRPr="00A46135">
        <w:rPr>
          <w:rFonts w:cs="Calibri"/>
          <w:bCs/>
          <w:sz w:val="22"/>
          <w:szCs w:val="22"/>
        </w:rPr>
        <w:t xml:space="preserve">AASB 9 </w:t>
      </w:r>
      <w:r w:rsidRPr="00A46135">
        <w:rPr>
          <w:rFonts w:cs="Calibri"/>
          <w:bCs/>
          <w:i/>
          <w:iCs/>
          <w:sz w:val="22"/>
          <w:szCs w:val="22"/>
        </w:rPr>
        <w:t>Financial Instruments</w:t>
      </w:r>
      <w:r w:rsidRPr="00A46135">
        <w:rPr>
          <w:rFonts w:cs="Calibri"/>
          <w:bCs/>
          <w:sz w:val="22"/>
          <w:szCs w:val="22"/>
        </w:rPr>
        <w:t xml:space="preserve"> to clarify the fees an agency includes when assessing whether the terms of a new or modified financial liability are substantially different from the terms of the original financial liability; </w:t>
      </w:r>
    </w:p>
    <w:p w14:paraId="30AC4A08" w14:textId="77777777" w:rsidR="0094757A" w:rsidRPr="003607C3" w:rsidRDefault="0094757A" w:rsidP="00811346">
      <w:pPr>
        <w:keepNext/>
        <w:numPr>
          <w:ilvl w:val="0"/>
          <w:numId w:val="34"/>
        </w:numPr>
        <w:spacing w:after="120" w:line="276" w:lineRule="auto"/>
        <w:ind w:left="714" w:hanging="357"/>
        <w:jc w:val="both"/>
        <w:rPr>
          <w:rFonts w:cs="Calibri"/>
          <w:bCs/>
          <w:sz w:val="22"/>
          <w:szCs w:val="22"/>
        </w:rPr>
      </w:pPr>
      <w:r w:rsidRPr="00A46135">
        <w:rPr>
          <w:rFonts w:cs="Calibri"/>
          <w:bCs/>
          <w:sz w:val="22"/>
          <w:szCs w:val="22"/>
        </w:rPr>
        <w:t xml:space="preserve">AASB 116 </w:t>
      </w:r>
      <w:r w:rsidRPr="00A46135">
        <w:rPr>
          <w:rFonts w:cs="Calibri"/>
          <w:bCs/>
          <w:i/>
          <w:iCs/>
          <w:sz w:val="22"/>
          <w:szCs w:val="22"/>
        </w:rPr>
        <w:t>Property, Plant and Equipment</w:t>
      </w:r>
      <w:r w:rsidRPr="00A46135">
        <w:rPr>
          <w:rFonts w:cs="Calibri"/>
          <w:bCs/>
          <w:sz w:val="22"/>
          <w:szCs w:val="22"/>
        </w:rPr>
        <w:t xml:space="preserve"> to require an </w:t>
      </w:r>
      <w:r w:rsidRPr="00A46135">
        <w:rPr>
          <w:rFonts w:cstheme="minorHAnsi"/>
          <w:sz w:val="22"/>
          <w:szCs w:val="22"/>
        </w:rPr>
        <w:t>agenc</w:t>
      </w:r>
      <w:r w:rsidRPr="00A46135">
        <w:rPr>
          <w:rFonts w:cs="Calibri"/>
          <w:bCs/>
          <w:sz w:val="22"/>
          <w:szCs w:val="22"/>
        </w:rPr>
        <w:t>y to recognise the sales proceeds from selling items produced while preparing property, plant and equipment for its intended</w:t>
      </w:r>
      <w:r>
        <w:rPr>
          <w:rFonts w:cs="Calibri"/>
          <w:bCs/>
          <w:sz w:val="22"/>
          <w:szCs w:val="22"/>
        </w:rPr>
        <w:t xml:space="preserve"> </w:t>
      </w:r>
      <w:r w:rsidRPr="00A46135">
        <w:rPr>
          <w:rFonts w:cs="Calibri"/>
          <w:bCs/>
          <w:sz w:val="22"/>
          <w:szCs w:val="22"/>
        </w:rPr>
        <w:t xml:space="preserve">use and the related cost in profit or loss, instead of deducting the amounts received from the cost of the asset; </w:t>
      </w:r>
    </w:p>
    <w:p w14:paraId="5CA0D5CB" w14:textId="77777777" w:rsidR="0094757A" w:rsidRPr="00A46135" w:rsidRDefault="0094757A" w:rsidP="00811346">
      <w:pPr>
        <w:keepNext/>
        <w:numPr>
          <w:ilvl w:val="0"/>
          <w:numId w:val="34"/>
        </w:numPr>
        <w:spacing w:after="120" w:line="276" w:lineRule="auto"/>
        <w:ind w:left="714" w:hanging="357"/>
        <w:jc w:val="both"/>
        <w:rPr>
          <w:rFonts w:cs="Calibri"/>
          <w:bCs/>
          <w:sz w:val="22"/>
          <w:szCs w:val="22"/>
        </w:rPr>
      </w:pPr>
      <w:r w:rsidRPr="00A46135">
        <w:rPr>
          <w:rFonts w:cs="Calibri"/>
          <w:bCs/>
          <w:sz w:val="22"/>
          <w:szCs w:val="22"/>
        </w:rPr>
        <w:t xml:space="preserve">AASB 137 </w:t>
      </w:r>
      <w:r w:rsidRPr="00A46135">
        <w:rPr>
          <w:rFonts w:cs="Calibri"/>
          <w:bCs/>
          <w:i/>
          <w:iCs/>
          <w:sz w:val="22"/>
          <w:szCs w:val="22"/>
        </w:rPr>
        <w:t>Provisions, Contingent Liabilities and Contingent Assets</w:t>
      </w:r>
      <w:r w:rsidRPr="00A46135">
        <w:rPr>
          <w:rFonts w:cs="Calibri"/>
          <w:bCs/>
          <w:sz w:val="22"/>
          <w:szCs w:val="22"/>
        </w:rPr>
        <w:t xml:space="preserve"> to specify the costs that an agency includes when assessing whether a contract will be loss-making; and  </w:t>
      </w:r>
    </w:p>
    <w:p w14:paraId="2136B220" w14:textId="77777777" w:rsidR="0094757A" w:rsidRPr="00A46135" w:rsidRDefault="0094757A" w:rsidP="00811346">
      <w:pPr>
        <w:keepNext/>
        <w:numPr>
          <w:ilvl w:val="0"/>
          <w:numId w:val="34"/>
        </w:numPr>
        <w:spacing w:after="120" w:line="276" w:lineRule="auto"/>
        <w:ind w:left="714" w:hanging="357"/>
        <w:jc w:val="both"/>
        <w:rPr>
          <w:rFonts w:cs="Calibri"/>
          <w:bCs/>
          <w:sz w:val="22"/>
          <w:szCs w:val="22"/>
        </w:rPr>
      </w:pPr>
      <w:r w:rsidRPr="00A46135">
        <w:rPr>
          <w:rFonts w:cs="Calibri"/>
          <w:bCs/>
          <w:sz w:val="22"/>
          <w:szCs w:val="22"/>
        </w:rPr>
        <w:t xml:space="preserve">AASB 141 </w:t>
      </w:r>
      <w:r w:rsidRPr="00A46135">
        <w:rPr>
          <w:rFonts w:cs="Calibri"/>
          <w:bCs/>
          <w:i/>
          <w:iCs/>
          <w:sz w:val="22"/>
          <w:szCs w:val="22"/>
        </w:rPr>
        <w:t>Agriculture</w:t>
      </w:r>
      <w:r w:rsidRPr="00A46135">
        <w:rPr>
          <w:rFonts w:cs="Calibri"/>
          <w:bCs/>
          <w:sz w:val="22"/>
          <w:szCs w:val="22"/>
        </w:rPr>
        <w:t xml:space="preserve"> to remove the requirement to exclude cash flows from taxation when measuring fair value, thereby aligning the fair value measurement requirements in AASB 141 with those in other Australian Accounting Standards.</w:t>
      </w:r>
    </w:p>
    <w:p w14:paraId="4A5C463F" w14:textId="77777777" w:rsidR="0094757A" w:rsidRPr="00A46135" w:rsidRDefault="0094757A" w:rsidP="00811346">
      <w:pPr>
        <w:spacing w:after="120" w:line="276" w:lineRule="auto"/>
        <w:jc w:val="both"/>
        <w:rPr>
          <w:sz w:val="22"/>
          <w:szCs w:val="22"/>
        </w:rPr>
      </w:pPr>
      <w:r w:rsidRPr="00A46135">
        <w:rPr>
          <w:rFonts w:cs="Calibri"/>
          <w:b/>
          <w:sz w:val="22"/>
          <w:szCs w:val="22"/>
        </w:rPr>
        <w:t>Impact</w:t>
      </w:r>
    </w:p>
    <w:p w14:paraId="50FFC9CF" w14:textId="71A7CBE1" w:rsidR="0094757A" w:rsidRDefault="0094757A" w:rsidP="00811346">
      <w:pPr>
        <w:spacing w:after="120" w:line="276" w:lineRule="auto"/>
        <w:jc w:val="both"/>
        <w:rPr>
          <w:rFonts w:cs="Calibri"/>
          <w:sz w:val="22"/>
          <w:szCs w:val="22"/>
        </w:rPr>
      </w:pPr>
      <w:r w:rsidRPr="00A46135">
        <w:rPr>
          <w:rFonts w:cs="Calibri"/>
          <w:sz w:val="22"/>
          <w:szCs w:val="22"/>
        </w:rPr>
        <w:t xml:space="preserve">This standard is not expected to have a material financial impact on most directorates and territory authorities. </w:t>
      </w:r>
    </w:p>
    <w:p w14:paraId="0F3D598C" w14:textId="5110737E" w:rsidR="0094757A" w:rsidRPr="003607C3" w:rsidRDefault="0094757A" w:rsidP="00911CAE">
      <w:pPr>
        <w:pStyle w:val="Heading3"/>
        <w:numPr>
          <w:ilvl w:val="2"/>
          <w:numId w:val="9"/>
        </w:numPr>
        <w:spacing w:before="360" w:after="120" w:line="320" w:lineRule="exact"/>
        <w:ind w:left="1134" w:hanging="1077"/>
        <w:rPr>
          <w:b w:val="0"/>
          <w:bCs/>
          <w:i/>
          <w:iCs/>
        </w:rPr>
      </w:pPr>
      <w:bookmarkStart w:id="43" w:name="_Toc74743668"/>
      <w:bookmarkStart w:id="44" w:name="_Hlk68616073"/>
      <w:r w:rsidRPr="003607C3">
        <w:rPr>
          <w:iCs/>
        </w:rPr>
        <w:t>AASB 2020-6 Amendments to Australian Accounting Standards – Classification of Liabilities as Current or Non-current – Deferral of Effective Date (appl. 1 January 2022)</w:t>
      </w:r>
      <w:bookmarkEnd w:id="43"/>
    </w:p>
    <w:bookmarkEnd w:id="44"/>
    <w:p w14:paraId="3FA10369" w14:textId="77777777" w:rsidR="0094757A" w:rsidRPr="00A46135" w:rsidRDefault="0094757A" w:rsidP="00811346">
      <w:pPr>
        <w:spacing w:after="120" w:line="276" w:lineRule="auto"/>
        <w:jc w:val="both"/>
        <w:rPr>
          <w:rFonts w:cstheme="minorHAnsi"/>
          <w:b/>
          <w:bCs/>
          <w:sz w:val="22"/>
          <w:szCs w:val="22"/>
        </w:rPr>
      </w:pPr>
      <w:r w:rsidRPr="00A46135">
        <w:rPr>
          <w:rFonts w:cstheme="minorHAnsi"/>
          <w:b/>
          <w:bCs/>
          <w:sz w:val="22"/>
          <w:szCs w:val="22"/>
        </w:rPr>
        <w:t>Background</w:t>
      </w:r>
    </w:p>
    <w:p w14:paraId="1F0CABC9" w14:textId="77777777" w:rsidR="0094757A" w:rsidRPr="00A46135" w:rsidRDefault="0094757A" w:rsidP="00811346">
      <w:pPr>
        <w:autoSpaceDE w:val="0"/>
        <w:autoSpaceDN w:val="0"/>
        <w:adjustRightInd w:val="0"/>
        <w:spacing w:after="120" w:line="276" w:lineRule="auto"/>
        <w:jc w:val="both"/>
        <w:rPr>
          <w:rFonts w:cstheme="minorHAnsi"/>
          <w:sz w:val="22"/>
          <w:szCs w:val="22"/>
        </w:rPr>
      </w:pPr>
      <w:r w:rsidRPr="00A46135">
        <w:rPr>
          <w:rFonts w:cstheme="minorHAnsi"/>
          <w:sz w:val="22"/>
          <w:szCs w:val="22"/>
        </w:rPr>
        <w:t xml:space="preserve">AASB 2020-6 amends AASB 101 </w:t>
      </w:r>
      <w:r w:rsidRPr="00A46135">
        <w:rPr>
          <w:rFonts w:cstheme="minorHAnsi"/>
          <w:i/>
          <w:iCs/>
          <w:sz w:val="22"/>
          <w:szCs w:val="22"/>
        </w:rPr>
        <w:t>Presentation of Financial Statements</w:t>
      </w:r>
      <w:r w:rsidRPr="00A46135">
        <w:rPr>
          <w:rFonts w:cstheme="minorHAnsi"/>
          <w:sz w:val="22"/>
          <w:szCs w:val="22"/>
        </w:rPr>
        <w:t xml:space="preserve"> to defer requirements for the presentation of liabilities in the statement of financial position as current or non-current that were added to AASB 101 in AASB 2020-1 </w:t>
      </w:r>
      <w:r w:rsidRPr="00A46135">
        <w:rPr>
          <w:rFonts w:cstheme="minorHAnsi"/>
          <w:i/>
          <w:iCs/>
          <w:sz w:val="22"/>
          <w:szCs w:val="22"/>
        </w:rPr>
        <w:t>Amendments to Australian Accounting Standards – Classification of Liabilities as Current or Non-current (March 2020)</w:t>
      </w:r>
      <w:r w:rsidRPr="00A46135">
        <w:rPr>
          <w:rFonts w:cstheme="minorHAnsi"/>
          <w:sz w:val="22"/>
          <w:szCs w:val="22"/>
        </w:rPr>
        <w:t xml:space="preserve">. Those requirements will now be compulsory for annual reporting periods beginning on or after 1 January 2023 instead of 1 January 2022, with earlier application permitted. </w:t>
      </w:r>
    </w:p>
    <w:p w14:paraId="4427134A" w14:textId="77777777" w:rsidR="0094757A" w:rsidRPr="00A46135" w:rsidRDefault="0094757A" w:rsidP="00811346">
      <w:pPr>
        <w:pStyle w:val="Default"/>
        <w:spacing w:after="120" w:line="276" w:lineRule="auto"/>
        <w:jc w:val="both"/>
        <w:rPr>
          <w:rFonts w:asciiTheme="minorHAnsi" w:hAnsiTheme="minorHAnsi" w:cstheme="minorHAnsi"/>
          <w:b/>
          <w:bCs/>
          <w:color w:val="auto"/>
          <w:sz w:val="22"/>
          <w:szCs w:val="22"/>
        </w:rPr>
      </w:pPr>
      <w:r w:rsidRPr="00A46135">
        <w:rPr>
          <w:rFonts w:asciiTheme="minorHAnsi" w:hAnsiTheme="minorHAnsi" w:cstheme="minorHAnsi"/>
          <w:b/>
          <w:bCs/>
          <w:color w:val="auto"/>
          <w:sz w:val="22"/>
          <w:szCs w:val="22"/>
        </w:rPr>
        <w:t>Impact</w:t>
      </w:r>
    </w:p>
    <w:p w14:paraId="2A1BCC7C" w14:textId="77777777" w:rsidR="0094757A" w:rsidRPr="00A46135" w:rsidRDefault="0094757A" w:rsidP="00811346">
      <w:pPr>
        <w:pStyle w:val="Default"/>
        <w:spacing w:after="120" w:line="276" w:lineRule="auto"/>
        <w:jc w:val="both"/>
        <w:rPr>
          <w:rFonts w:asciiTheme="minorHAnsi" w:hAnsiTheme="minorHAnsi" w:cstheme="minorHAnsi"/>
          <w:color w:val="auto"/>
          <w:sz w:val="22"/>
          <w:szCs w:val="22"/>
        </w:rPr>
      </w:pPr>
      <w:bookmarkStart w:id="45" w:name="_Hlk73437808"/>
      <w:r w:rsidRPr="00A46135">
        <w:rPr>
          <w:rFonts w:asciiTheme="minorHAnsi" w:hAnsiTheme="minorHAnsi" w:cstheme="minorHAnsi"/>
          <w:color w:val="auto"/>
          <w:sz w:val="22"/>
          <w:szCs w:val="22"/>
        </w:rPr>
        <w:t>This standard defers the application of AASB 2020-1 by one financial year, and as such will not have a material financial impact on directorates and territories authorities.</w:t>
      </w:r>
      <w:bookmarkEnd w:id="45"/>
    </w:p>
    <w:p w14:paraId="66B97687" w14:textId="1CCFC9A6" w:rsidR="0094757A" w:rsidRPr="003607C3" w:rsidRDefault="0094757A" w:rsidP="00E160C1">
      <w:pPr>
        <w:pStyle w:val="Heading3"/>
        <w:numPr>
          <w:ilvl w:val="2"/>
          <w:numId w:val="9"/>
        </w:numPr>
        <w:spacing w:before="360" w:after="120" w:line="320" w:lineRule="exact"/>
        <w:ind w:left="1134" w:hanging="1077"/>
        <w:rPr>
          <w:b w:val="0"/>
          <w:bCs/>
          <w:i/>
          <w:iCs/>
        </w:rPr>
      </w:pPr>
      <w:bookmarkStart w:id="46" w:name="_Toc74743669"/>
      <w:r w:rsidRPr="003607C3">
        <w:rPr>
          <w:iCs/>
        </w:rPr>
        <w:lastRenderedPageBreak/>
        <w:t>AASB 2021-2 Amendments to Australian Accounting Standards – Disclosure of Accounting Policies and Definition of Accounting Estimates</w:t>
      </w:r>
      <w:bookmarkEnd w:id="46"/>
    </w:p>
    <w:p w14:paraId="7404FBCC" w14:textId="77777777" w:rsidR="0094757A" w:rsidRPr="00FE3BDC" w:rsidRDefault="0094757A" w:rsidP="00811346">
      <w:pPr>
        <w:spacing w:after="120" w:line="276" w:lineRule="auto"/>
        <w:jc w:val="both"/>
        <w:rPr>
          <w:rFonts w:cstheme="minorHAnsi"/>
          <w:b/>
          <w:bCs/>
          <w:sz w:val="22"/>
          <w:szCs w:val="22"/>
        </w:rPr>
      </w:pPr>
      <w:r w:rsidRPr="00FE3BDC">
        <w:rPr>
          <w:rFonts w:cstheme="minorHAnsi"/>
          <w:b/>
          <w:bCs/>
          <w:sz w:val="22"/>
          <w:szCs w:val="22"/>
        </w:rPr>
        <w:t>Background</w:t>
      </w:r>
    </w:p>
    <w:p w14:paraId="7E3CAA61" w14:textId="77777777" w:rsidR="0094757A" w:rsidRPr="00FE3BDC" w:rsidRDefault="0094757A" w:rsidP="00811346">
      <w:pPr>
        <w:spacing w:after="120" w:line="276" w:lineRule="auto"/>
        <w:jc w:val="both"/>
        <w:rPr>
          <w:sz w:val="22"/>
          <w:szCs w:val="22"/>
        </w:rPr>
      </w:pPr>
      <w:r w:rsidRPr="00FE3BDC">
        <w:rPr>
          <w:sz w:val="22"/>
          <w:szCs w:val="22"/>
        </w:rPr>
        <w:t xml:space="preserve">This Standard amends: </w:t>
      </w:r>
    </w:p>
    <w:p w14:paraId="78615361" w14:textId="77777777" w:rsidR="0094757A" w:rsidRPr="00FE3BDC" w:rsidRDefault="0094757A" w:rsidP="00811346">
      <w:pPr>
        <w:pStyle w:val="ListParagraph"/>
        <w:numPr>
          <w:ilvl w:val="0"/>
          <w:numId w:val="35"/>
        </w:numPr>
        <w:spacing w:after="120" w:line="276" w:lineRule="auto"/>
        <w:contextualSpacing w:val="0"/>
        <w:jc w:val="both"/>
        <w:rPr>
          <w:szCs w:val="22"/>
        </w:rPr>
      </w:pPr>
      <w:r w:rsidRPr="00FE3BDC">
        <w:rPr>
          <w:szCs w:val="22"/>
        </w:rPr>
        <w:t xml:space="preserve">AASB 7 </w:t>
      </w:r>
      <w:r w:rsidRPr="00FE3BDC">
        <w:rPr>
          <w:i/>
          <w:iCs/>
          <w:szCs w:val="22"/>
        </w:rPr>
        <w:t>Financial Instruments: Disclosures</w:t>
      </w:r>
      <w:r w:rsidRPr="00FE3BDC">
        <w:rPr>
          <w:szCs w:val="22"/>
        </w:rPr>
        <w:t xml:space="preserve"> to clarify that information about measurement bases for financial instruments is expected to be material to an agency’s financial statements; </w:t>
      </w:r>
    </w:p>
    <w:p w14:paraId="48C8B217" w14:textId="77777777" w:rsidR="0094757A" w:rsidRPr="00FE3BDC" w:rsidRDefault="0094757A" w:rsidP="00811346">
      <w:pPr>
        <w:pStyle w:val="ListParagraph"/>
        <w:numPr>
          <w:ilvl w:val="0"/>
          <w:numId w:val="35"/>
        </w:numPr>
        <w:spacing w:after="120" w:line="276" w:lineRule="auto"/>
        <w:contextualSpacing w:val="0"/>
        <w:jc w:val="both"/>
        <w:rPr>
          <w:szCs w:val="22"/>
        </w:rPr>
      </w:pPr>
      <w:r w:rsidRPr="00FE3BDC">
        <w:rPr>
          <w:szCs w:val="22"/>
        </w:rPr>
        <w:t xml:space="preserve">AASB 101 </w:t>
      </w:r>
      <w:r w:rsidRPr="00FE3BDC">
        <w:rPr>
          <w:i/>
          <w:iCs/>
          <w:szCs w:val="22"/>
        </w:rPr>
        <w:t>Presentation of Financial Statements</w:t>
      </w:r>
      <w:r w:rsidRPr="00FE3BDC">
        <w:rPr>
          <w:szCs w:val="22"/>
        </w:rPr>
        <w:t xml:space="preserve"> to require agencies to disclose their material accounting policy information rather than their significant accounting policies; </w:t>
      </w:r>
    </w:p>
    <w:p w14:paraId="5664EDF4" w14:textId="77777777" w:rsidR="0094757A" w:rsidRPr="00FE3BDC" w:rsidRDefault="0094757A" w:rsidP="00811346">
      <w:pPr>
        <w:pStyle w:val="ListParagraph"/>
        <w:numPr>
          <w:ilvl w:val="0"/>
          <w:numId w:val="35"/>
        </w:numPr>
        <w:spacing w:after="120" w:line="276" w:lineRule="auto"/>
        <w:contextualSpacing w:val="0"/>
        <w:jc w:val="both"/>
        <w:rPr>
          <w:szCs w:val="22"/>
        </w:rPr>
      </w:pPr>
      <w:r w:rsidRPr="00FE3BDC">
        <w:rPr>
          <w:szCs w:val="22"/>
        </w:rPr>
        <w:t xml:space="preserve">AASB 108 </w:t>
      </w:r>
      <w:r w:rsidRPr="00FE3BDC">
        <w:rPr>
          <w:i/>
          <w:iCs/>
          <w:szCs w:val="22"/>
        </w:rPr>
        <w:t>Accounting Policies, Changes in Accounting Estimates and Errors</w:t>
      </w:r>
      <w:r w:rsidRPr="00FE3BDC">
        <w:rPr>
          <w:szCs w:val="22"/>
        </w:rPr>
        <w:t xml:space="preserve"> to clarify how agencies should distinguish changes in accounting policies and changes in accounting estimates; </w:t>
      </w:r>
    </w:p>
    <w:p w14:paraId="79097C0F" w14:textId="77777777" w:rsidR="0094757A" w:rsidRPr="00FE3BDC" w:rsidRDefault="0094757A" w:rsidP="00811346">
      <w:pPr>
        <w:pStyle w:val="ListParagraph"/>
        <w:numPr>
          <w:ilvl w:val="0"/>
          <w:numId w:val="35"/>
        </w:numPr>
        <w:spacing w:after="120" w:line="276" w:lineRule="auto"/>
        <w:contextualSpacing w:val="0"/>
        <w:jc w:val="both"/>
        <w:rPr>
          <w:szCs w:val="22"/>
        </w:rPr>
      </w:pPr>
      <w:r w:rsidRPr="00FE3BDC">
        <w:rPr>
          <w:szCs w:val="22"/>
        </w:rPr>
        <w:t xml:space="preserve">AASB 134 </w:t>
      </w:r>
      <w:r w:rsidRPr="00FE3BDC">
        <w:rPr>
          <w:i/>
          <w:iCs/>
          <w:szCs w:val="22"/>
        </w:rPr>
        <w:t>Interim Financial Reporting</w:t>
      </w:r>
      <w:r w:rsidRPr="00FE3BDC">
        <w:rPr>
          <w:szCs w:val="22"/>
        </w:rPr>
        <w:t xml:space="preserve"> to identify material accounting policy information as a component of a complete set of financial statements; and </w:t>
      </w:r>
    </w:p>
    <w:p w14:paraId="7BE94428" w14:textId="77777777" w:rsidR="0094757A" w:rsidRPr="00FE3BDC" w:rsidRDefault="0094757A" w:rsidP="00811346">
      <w:pPr>
        <w:pStyle w:val="ListParagraph"/>
        <w:numPr>
          <w:ilvl w:val="0"/>
          <w:numId w:val="35"/>
        </w:numPr>
        <w:spacing w:after="120" w:line="276" w:lineRule="auto"/>
        <w:contextualSpacing w:val="0"/>
        <w:jc w:val="both"/>
        <w:rPr>
          <w:szCs w:val="22"/>
        </w:rPr>
      </w:pPr>
      <w:r w:rsidRPr="00FE3BDC">
        <w:rPr>
          <w:szCs w:val="22"/>
        </w:rPr>
        <w:t xml:space="preserve">AASB Practice Statement 2 </w:t>
      </w:r>
      <w:r w:rsidRPr="00FE3BDC">
        <w:rPr>
          <w:i/>
          <w:iCs/>
          <w:szCs w:val="22"/>
        </w:rPr>
        <w:t>Making Materiality Judgements</w:t>
      </w:r>
      <w:r w:rsidRPr="00FE3BDC">
        <w:rPr>
          <w:szCs w:val="22"/>
        </w:rPr>
        <w:t xml:space="preserve"> to provide guidance on how to apply the concept of materiality to accounting policy disclosures.</w:t>
      </w:r>
    </w:p>
    <w:p w14:paraId="3EE8A459" w14:textId="77777777" w:rsidR="0094757A" w:rsidRPr="00FE3BDC" w:rsidRDefault="0094757A" w:rsidP="00811346">
      <w:pPr>
        <w:spacing w:after="120" w:line="276" w:lineRule="auto"/>
        <w:jc w:val="both"/>
        <w:rPr>
          <w:rFonts w:cstheme="minorHAnsi"/>
          <w:b/>
          <w:bCs/>
          <w:sz w:val="22"/>
          <w:szCs w:val="22"/>
        </w:rPr>
      </w:pPr>
      <w:r w:rsidRPr="00FE3BDC">
        <w:rPr>
          <w:rFonts w:cstheme="minorHAnsi"/>
          <w:b/>
          <w:bCs/>
          <w:sz w:val="22"/>
          <w:szCs w:val="22"/>
        </w:rPr>
        <w:t>Impact</w:t>
      </w:r>
    </w:p>
    <w:p w14:paraId="7DF5C0DF" w14:textId="3101759E" w:rsidR="0094757A" w:rsidRDefault="0094757A" w:rsidP="00811346">
      <w:pPr>
        <w:spacing w:after="120" w:line="276" w:lineRule="auto"/>
        <w:jc w:val="both"/>
        <w:rPr>
          <w:rFonts w:cs="Calibri"/>
          <w:sz w:val="22"/>
          <w:szCs w:val="22"/>
        </w:rPr>
      </w:pPr>
      <w:r w:rsidRPr="00FE3BDC">
        <w:rPr>
          <w:rFonts w:cs="Calibri"/>
          <w:sz w:val="22"/>
          <w:szCs w:val="22"/>
        </w:rPr>
        <w:t>This standard is not expected to have a material financial impact on most directorates and territory authorities.</w:t>
      </w:r>
    </w:p>
    <w:p w14:paraId="7259DC61" w14:textId="73FC623A" w:rsidR="0094757A" w:rsidRPr="003607C3" w:rsidRDefault="0094757A" w:rsidP="00A60F3C">
      <w:pPr>
        <w:pStyle w:val="Heading3"/>
        <w:numPr>
          <w:ilvl w:val="2"/>
          <w:numId w:val="9"/>
        </w:numPr>
        <w:spacing w:before="360" w:after="120" w:line="320" w:lineRule="exact"/>
        <w:ind w:left="1134" w:hanging="1077"/>
        <w:rPr>
          <w:b w:val="0"/>
          <w:bCs/>
          <w:i/>
          <w:iCs/>
        </w:rPr>
      </w:pPr>
      <w:bookmarkStart w:id="47" w:name="_Toc74743670"/>
      <w:r w:rsidRPr="003607C3">
        <w:rPr>
          <w:iCs/>
        </w:rPr>
        <w:t>AASB 2021-3 Amendments to Australian Accounting Standards – Covid-19</w:t>
      </w:r>
      <w:r>
        <w:rPr>
          <w:iCs/>
        </w:rPr>
        <w:t xml:space="preserve"> </w:t>
      </w:r>
      <w:r w:rsidRPr="003607C3">
        <w:rPr>
          <w:iCs/>
        </w:rPr>
        <w:t>Related Rent Concessions beyond 30 June 2021</w:t>
      </w:r>
      <w:bookmarkEnd w:id="47"/>
    </w:p>
    <w:p w14:paraId="7C686747" w14:textId="77777777" w:rsidR="0094757A" w:rsidRPr="0086577F" w:rsidRDefault="0094757A" w:rsidP="00811346">
      <w:pPr>
        <w:spacing w:after="120" w:line="276" w:lineRule="auto"/>
        <w:jc w:val="both"/>
        <w:rPr>
          <w:rFonts w:cstheme="minorHAnsi"/>
          <w:b/>
          <w:bCs/>
          <w:sz w:val="22"/>
          <w:szCs w:val="22"/>
        </w:rPr>
      </w:pPr>
      <w:r w:rsidRPr="0086577F">
        <w:rPr>
          <w:rFonts w:cstheme="minorHAnsi"/>
          <w:b/>
          <w:bCs/>
          <w:sz w:val="22"/>
          <w:szCs w:val="22"/>
        </w:rPr>
        <w:t>Background</w:t>
      </w:r>
    </w:p>
    <w:p w14:paraId="4C4EFA51" w14:textId="2E6EBE5B" w:rsidR="0094757A" w:rsidRPr="0086577F" w:rsidRDefault="0094757A" w:rsidP="00811346">
      <w:pPr>
        <w:spacing w:after="120" w:line="276" w:lineRule="auto"/>
        <w:jc w:val="both"/>
        <w:rPr>
          <w:rFonts w:cs="Calibri"/>
          <w:sz w:val="22"/>
          <w:szCs w:val="22"/>
        </w:rPr>
      </w:pPr>
      <w:r w:rsidRPr="0086577F">
        <w:rPr>
          <w:sz w:val="22"/>
          <w:szCs w:val="22"/>
        </w:rPr>
        <w:t xml:space="preserve">AASB 2021-3 extends the application date by one year of the practical expediency added to AASB 16 </w:t>
      </w:r>
      <w:r w:rsidRPr="0086577F">
        <w:rPr>
          <w:i/>
          <w:iCs/>
          <w:sz w:val="22"/>
          <w:szCs w:val="22"/>
        </w:rPr>
        <w:t>Leases</w:t>
      </w:r>
      <w:r w:rsidRPr="0086577F">
        <w:rPr>
          <w:sz w:val="22"/>
          <w:szCs w:val="22"/>
        </w:rPr>
        <w:t xml:space="preserve"> by AASB 2020-4 </w:t>
      </w:r>
      <w:r w:rsidRPr="0086577F">
        <w:rPr>
          <w:i/>
          <w:iCs/>
          <w:sz w:val="22"/>
          <w:szCs w:val="22"/>
        </w:rPr>
        <w:t>Amendments to Australian Accounting Standards – Covid-19</w:t>
      </w:r>
      <w:r>
        <w:rPr>
          <w:i/>
          <w:iCs/>
          <w:sz w:val="22"/>
          <w:szCs w:val="22"/>
        </w:rPr>
        <w:t xml:space="preserve"> </w:t>
      </w:r>
      <w:r w:rsidRPr="0086577F">
        <w:rPr>
          <w:i/>
          <w:iCs/>
          <w:sz w:val="22"/>
          <w:szCs w:val="22"/>
        </w:rPr>
        <w:t>Related Rent Concessions</w:t>
      </w:r>
      <w:r w:rsidRPr="0086577F">
        <w:rPr>
          <w:sz w:val="22"/>
          <w:szCs w:val="22"/>
        </w:rPr>
        <w:t>.  The practical expedient permits lessees not to assess whether rent concessions occur</w:t>
      </w:r>
      <w:r>
        <w:rPr>
          <w:sz w:val="22"/>
          <w:szCs w:val="22"/>
        </w:rPr>
        <w:t>ring</w:t>
      </w:r>
      <w:r w:rsidRPr="0086577F">
        <w:rPr>
          <w:sz w:val="22"/>
          <w:szCs w:val="22"/>
        </w:rPr>
        <w:t xml:space="preserve"> </w:t>
      </w:r>
      <w:r>
        <w:rPr>
          <w:sz w:val="22"/>
          <w:szCs w:val="22"/>
        </w:rPr>
        <w:t>from</w:t>
      </w:r>
      <w:r w:rsidRPr="0086577F">
        <w:rPr>
          <w:sz w:val="22"/>
          <w:szCs w:val="22"/>
        </w:rPr>
        <w:t xml:space="preserve"> the covid-19 pandemic </w:t>
      </w:r>
      <w:r>
        <w:rPr>
          <w:sz w:val="22"/>
          <w:szCs w:val="22"/>
        </w:rPr>
        <w:t xml:space="preserve">and which </w:t>
      </w:r>
      <w:r w:rsidRPr="0086577F">
        <w:rPr>
          <w:sz w:val="22"/>
          <w:szCs w:val="22"/>
        </w:rPr>
        <w:t>meet specified conditions are lease modifications and, instead, to account for those rent concessions as if they were not lease modifications. This Standard extends the practical expedient to rent concessions that reduce only lease payments originally due on or before 30 June 2022, provided the other conditions for applying the practical expedient are met.</w:t>
      </w:r>
    </w:p>
    <w:p w14:paraId="0CE5C215" w14:textId="77777777" w:rsidR="0094757A" w:rsidRPr="0086577F" w:rsidRDefault="0094757A" w:rsidP="00811346">
      <w:pPr>
        <w:spacing w:after="120" w:line="276" w:lineRule="auto"/>
        <w:jc w:val="both"/>
        <w:rPr>
          <w:rFonts w:cstheme="minorHAnsi"/>
          <w:b/>
          <w:bCs/>
          <w:sz w:val="22"/>
          <w:szCs w:val="22"/>
        </w:rPr>
      </w:pPr>
      <w:r w:rsidRPr="0086577F">
        <w:rPr>
          <w:rFonts w:cstheme="minorHAnsi"/>
          <w:b/>
          <w:bCs/>
          <w:sz w:val="22"/>
          <w:szCs w:val="22"/>
        </w:rPr>
        <w:t>Impact</w:t>
      </w:r>
    </w:p>
    <w:p w14:paraId="65534C22" w14:textId="77777777" w:rsidR="0094757A" w:rsidRPr="00343D83" w:rsidRDefault="0094757A" w:rsidP="00811346">
      <w:pPr>
        <w:spacing w:after="120" w:line="276" w:lineRule="auto"/>
        <w:jc w:val="both"/>
        <w:rPr>
          <w:rFonts w:cs="Calibri"/>
          <w:sz w:val="22"/>
          <w:szCs w:val="22"/>
        </w:rPr>
      </w:pPr>
      <w:r w:rsidRPr="0086577F">
        <w:rPr>
          <w:sz w:val="22"/>
          <w:szCs w:val="22"/>
        </w:rPr>
        <w:t>This standard defers the application of AASB 2020-4 by one financial year, and as such</w:t>
      </w:r>
      <w:r>
        <w:rPr>
          <w:sz w:val="22"/>
          <w:szCs w:val="22"/>
        </w:rPr>
        <w:t>,</w:t>
      </w:r>
      <w:r w:rsidRPr="0086577F">
        <w:rPr>
          <w:sz w:val="22"/>
          <w:szCs w:val="22"/>
        </w:rPr>
        <w:t xml:space="preserve"> will not </w:t>
      </w:r>
      <w:r>
        <w:rPr>
          <w:sz w:val="22"/>
          <w:szCs w:val="22"/>
        </w:rPr>
        <w:t xml:space="preserve">of </w:t>
      </w:r>
      <w:r w:rsidRPr="0086577F">
        <w:rPr>
          <w:sz w:val="22"/>
          <w:szCs w:val="22"/>
        </w:rPr>
        <w:t>itself have a material financial impact on directorates and territor</w:t>
      </w:r>
      <w:r>
        <w:rPr>
          <w:sz w:val="22"/>
          <w:szCs w:val="22"/>
        </w:rPr>
        <w:t>y</w:t>
      </w:r>
      <w:r w:rsidRPr="0086577F">
        <w:rPr>
          <w:sz w:val="22"/>
          <w:szCs w:val="22"/>
        </w:rPr>
        <w:t xml:space="preserve"> authorities.  </w:t>
      </w:r>
      <w:r>
        <w:rPr>
          <w:sz w:val="22"/>
          <w:szCs w:val="22"/>
        </w:rPr>
        <w:t>D</w:t>
      </w:r>
      <w:r w:rsidRPr="0086577F">
        <w:rPr>
          <w:rFonts w:cs="Calibri"/>
          <w:sz w:val="22"/>
          <w:szCs w:val="22"/>
        </w:rPr>
        <w:t xml:space="preserve">irectorates and territory authorities </w:t>
      </w:r>
      <w:r>
        <w:rPr>
          <w:rFonts w:cs="Calibri"/>
          <w:sz w:val="22"/>
          <w:szCs w:val="22"/>
        </w:rPr>
        <w:t xml:space="preserve">should have </w:t>
      </w:r>
      <w:proofErr w:type="gramStart"/>
      <w:r w:rsidRPr="0086577F">
        <w:rPr>
          <w:rFonts w:cs="Calibri"/>
          <w:sz w:val="22"/>
          <w:szCs w:val="22"/>
        </w:rPr>
        <w:t>ma</w:t>
      </w:r>
      <w:r>
        <w:rPr>
          <w:rFonts w:cs="Calibri"/>
          <w:sz w:val="22"/>
          <w:szCs w:val="22"/>
        </w:rPr>
        <w:t>d</w:t>
      </w:r>
      <w:r w:rsidRPr="0086577F">
        <w:rPr>
          <w:rFonts w:cs="Calibri"/>
          <w:sz w:val="22"/>
          <w:szCs w:val="22"/>
        </w:rPr>
        <w:t>e an assessment of</w:t>
      </w:r>
      <w:proofErr w:type="gramEnd"/>
      <w:r w:rsidRPr="0086577F">
        <w:rPr>
          <w:rFonts w:cs="Calibri"/>
          <w:sz w:val="22"/>
          <w:szCs w:val="22"/>
        </w:rPr>
        <w:t xml:space="preserve"> the financial impact of </w:t>
      </w:r>
      <w:r w:rsidRPr="0086577F">
        <w:rPr>
          <w:sz w:val="22"/>
          <w:szCs w:val="22"/>
        </w:rPr>
        <w:t>AASB 2020-4</w:t>
      </w:r>
      <w:r w:rsidRPr="0086577F">
        <w:rPr>
          <w:rFonts w:cs="Calibri"/>
          <w:sz w:val="22"/>
          <w:szCs w:val="22"/>
        </w:rPr>
        <w:t>.</w:t>
      </w:r>
      <w:r>
        <w:rPr>
          <w:rFonts w:cs="Calibri"/>
          <w:sz w:val="22"/>
          <w:szCs w:val="22"/>
        </w:rPr>
        <w:t xml:space="preserve">  For a summary of AASB 2020-4 please see the </w:t>
      </w:r>
      <w:sdt>
        <w:sdtPr>
          <w:rPr>
            <w:rFonts w:cs="Calibri"/>
            <w:sz w:val="22"/>
            <w:szCs w:val="22"/>
          </w:rPr>
          <w:id w:val="-1968964126"/>
          <w:docPartObj>
            <w:docPartGallery w:val="Watermarks"/>
            <w:docPartUnique/>
          </w:docPartObj>
        </w:sdtPr>
        <w:sdtEndPr/>
        <w:sdtContent/>
      </w:sdt>
      <w:r w:rsidRPr="00343D83">
        <w:rPr>
          <w:rFonts w:cs="Calibri"/>
          <w:sz w:val="22"/>
          <w:szCs w:val="22"/>
        </w:rPr>
        <w:t>ACT Accounting Policy</w:t>
      </w:r>
      <w:r>
        <w:rPr>
          <w:rFonts w:cs="Calibri"/>
          <w:sz w:val="22"/>
          <w:szCs w:val="22"/>
        </w:rPr>
        <w:t xml:space="preserve"> Paper on 2</w:t>
      </w:r>
      <w:r w:rsidRPr="00343D83">
        <w:rPr>
          <w:rFonts w:cs="Calibri"/>
          <w:sz w:val="22"/>
          <w:szCs w:val="22"/>
        </w:rPr>
        <w:t xml:space="preserve">019-20 Standards Released </w:t>
      </w:r>
      <w:r>
        <w:rPr>
          <w:rFonts w:cs="Calibri"/>
          <w:sz w:val="22"/>
          <w:szCs w:val="22"/>
        </w:rPr>
        <w:t>Which are not Y</w:t>
      </w:r>
      <w:r w:rsidRPr="00343D83">
        <w:rPr>
          <w:rFonts w:cs="Calibri"/>
          <w:sz w:val="22"/>
          <w:szCs w:val="22"/>
        </w:rPr>
        <w:t xml:space="preserve">et </w:t>
      </w:r>
      <w:r>
        <w:rPr>
          <w:rFonts w:cs="Calibri"/>
          <w:sz w:val="22"/>
          <w:szCs w:val="22"/>
        </w:rPr>
        <w:t>Effective as at</w:t>
      </w:r>
      <w:r w:rsidRPr="00343D83">
        <w:rPr>
          <w:rFonts w:cs="Calibri"/>
          <w:sz w:val="22"/>
          <w:szCs w:val="22"/>
        </w:rPr>
        <w:t xml:space="preserve"> 30 June 2020</w:t>
      </w:r>
      <w:r>
        <w:rPr>
          <w:rFonts w:cs="Calibri"/>
          <w:sz w:val="22"/>
          <w:szCs w:val="22"/>
        </w:rPr>
        <w:t>.</w:t>
      </w:r>
    </w:p>
    <w:p w14:paraId="23E2B569" w14:textId="4B56423A" w:rsidR="0094757A" w:rsidRDefault="0094757A" w:rsidP="005756D7">
      <w:pPr>
        <w:rPr>
          <w:sz w:val="22"/>
          <w:szCs w:val="22"/>
        </w:rPr>
      </w:pPr>
    </w:p>
    <w:p w14:paraId="756D4CA8" w14:textId="46D249A0" w:rsidR="00101F0C" w:rsidRPr="00CA1CA1" w:rsidRDefault="0094757A" w:rsidP="00DB315A">
      <w:pPr>
        <w:pStyle w:val="Heading2"/>
        <w:numPr>
          <w:ilvl w:val="1"/>
          <w:numId w:val="9"/>
        </w:numPr>
        <w:spacing w:after="120" w:line="240" w:lineRule="auto"/>
        <w:ind w:left="709"/>
      </w:pPr>
      <w:bookmarkStart w:id="48" w:name="_Toc74743671"/>
      <w:r w:rsidRPr="00566C60">
        <w:lastRenderedPageBreak/>
        <w:t>Stan</w:t>
      </w:r>
      <w:r>
        <w:t>d</w:t>
      </w:r>
      <w:r w:rsidRPr="00566C60">
        <w:t xml:space="preserve">ards that are </w:t>
      </w:r>
      <w:r>
        <w:t xml:space="preserve">NOT </w:t>
      </w:r>
      <w:r w:rsidRPr="00566C60">
        <w:t>consider</w:t>
      </w:r>
      <w:r w:rsidR="00E160C1">
        <w:t>ED</w:t>
      </w:r>
      <w:r w:rsidRPr="00566C60">
        <w:t xml:space="preserve"> </w:t>
      </w:r>
      <w:r>
        <w:t xml:space="preserve">APPLICABLE </w:t>
      </w:r>
      <w:r w:rsidRPr="00566C60">
        <w:t xml:space="preserve">to </w:t>
      </w:r>
      <w:r>
        <w:t>Most Agencie</w:t>
      </w:r>
      <w:r w:rsidR="007D649B">
        <w:t>s</w:t>
      </w:r>
      <w:bookmarkEnd w:id="48"/>
    </w:p>
    <w:p w14:paraId="16E5FC97" w14:textId="77777777" w:rsidR="0094757A" w:rsidRDefault="0094757A" w:rsidP="00811346">
      <w:pPr>
        <w:spacing w:after="120" w:line="276" w:lineRule="auto"/>
        <w:jc w:val="both"/>
        <w:rPr>
          <w:sz w:val="22"/>
          <w:szCs w:val="22"/>
        </w:rPr>
      </w:pPr>
      <w:r w:rsidRPr="00FE3BDC">
        <w:rPr>
          <w:sz w:val="22"/>
          <w:szCs w:val="22"/>
        </w:rPr>
        <w:t xml:space="preserve">It is considered that the following Standards do </w:t>
      </w:r>
      <w:r w:rsidRPr="00FE3BDC">
        <w:rPr>
          <w:sz w:val="22"/>
          <w:szCs w:val="22"/>
          <w:u w:val="single"/>
        </w:rPr>
        <w:t>not</w:t>
      </w:r>
      <w:r w:rsidRPr="00FE3BDC">
        <w:rPr>
          <w:sz w:val="22"/>
          <w:szCs w:val="22"/>
        </w:rPr>
        <w:t xml:space="preserve"> apply to most ACT Government agencies</w:t>
      </w:r>
      <w:r>
        <w:rPr>
          <w:sz w:val="22"/>
          <w:szCs w:val="22"/>
        </w:rPr>
        <w:t>.</w:t>
      </w:r>
    </w:p>
    <w:p w14:paraId="1017FB89" w14:textId="6ED69716" w:rsidR="0094757A" w:rsidRPr="00E160C1" w:rsidRDefault="0094757A" w:rsidP="00A60F3C">
      <w:pPr>
        <w:pStyle w:val="Heading3"/>
        <w:numPr>
          <w:ilvl w:val="2"/>
          <w:numId w:val="9"/>
        </w:numPr>
        <w:spacing w:before="360" w:after="120" w:line="320" w:lineRule="exact"/>
        <w:ind w:left="1134" w:hanging="1077"/>
        <w:rPr>
          <w:i/>
          <w:iCs/>
        </w:rPr>
      </w:pPr>
      <w:bookmarkStart w:id="49" w:name="_Toc74743672"/>
      <w:r w:rsidRPr="00E160C1">
        <w:rPr>
          <w:iCs/>
        </w:rPr>
        <w:t xml:space="preserve">AASB 17 Insurance Contracts (originally appl. </w:t>
      </w:r>
      <w:r w:rsidRPr="00E160C1">
        <w:rPr>
          <w:iCs/>
          <w:szCs w:val="24"/>
        </w:rPr>
        <w:t xml:space="preserve">1 January 2021 however now </w:t>
      </w:r>
      <w:r w:rsidRPr="00E160C1">
        <w:rPr>
          <w:iCs/>
        </w:rPr>
        <w:t xml:space="preserve">appl. 1 January 2023 due to issue of </w:t>
      </w:r>
      <w:r w:rsidRPr="00E160C1">
        <w:rPr>
          <w:i/>
          <w:iCs/>
        </w:rPr>
        <w:t>AASB</w:t>
      </w:r>
      <w:r w:rsidRPr="00E160C1">
        <w:rPr>
          <w:iCs/>
        </w:rPr>
        <w:t xml:space="preserve"> 2020-5)</w:t>
      </w:r>
      <w:bookmarkEnd w:id="49"/>
    </w:p>
    <w:p w14:paraId="03195F9C" w14:textId="77777777" w:rsidR="0094757A" w:rsidRPr="00A46135" w:rsidRDefault="0094757A" w:rsidP="0094757A">
      <w:pPr>
        <w:spacing w:before="240" w:after="120" w:line="320" w:lineRule="exact"/>
        <w:rPr>
          <w:b/>
          <w:sz w:val="22"/>
          <w:szCs w:val="22"/>
        </w:rPr>
      </w:pPr>
      <w:r w:rsidRPr="00A46135">
        <w:rPr>
          <w:b/>
          <w:sz w:val="22"/>
          <w:szCs w:val="22"/>
        </w:rPr>
        <w:t>Background</w:t>
      </w:r>
    </w:p>
    <w:p w14:paraId="7F7596EB" w14:textId="77777777" w:rsidR="0094757A" w:rsidRPr="00A46135" w:rsidRDefault="0094757A" w:rsidP="00811346">
      <w:pPr>
        <w:spacing w:after="120" w:line="276" w:lineRule="auto"/>
        <w:jc w:val="both"/>
        <w:rPr>
          <w:sz w:val="22"/>
          <w:szCs w:val="22"/>
        </w:rPr>
      </w:pPr>
      <w:r w:rsidRPr="00A46135">
        <w:rPr>
          <w:sz w:val="22"/>
          <w:szCs w:val="22"/>
        </w:rPr>
        <w:t xml:space="preserve">AASB 17 establishes principles for the recognition, measurement, presentation and disclosure of insurance contracts issued.  It also requires similar principles to be applied to reinsurance contracts held and investment contracts with discretionary participation features issued.  The objective is to ensure that </w:t>
      </w:r>
      <w:r w:rsidRPr="00A46135">
        <w:rPr>
          <w:rFonts w:cstheme="minorHAnsi"/>
          <w:sz w:val="22"/>
          <w:szCs w:val="22"/>
        </w:rPr>
        <w:t>agencies</w:t>
      </w:r>
      <w:r w:rsidRPr="00A46135">
        <w:rPr>
          <w:sz w:val="22"/>
          <w:szCs w:val="22"/>
        </w:rPr>
        <w:t xml:space="preserve"> provide relevant information in a way that faithfully represents those contracts.  This information gives a basis for users of financial statements to assess the effect that contracts within the scope of the standard have on the financial position, financial performance and cash flows of the </w:t>
      </w:r>
      <w:r w:rsidRPr="00A46135">
        <w:rPr>
          <w:rFonts w:cstheme="minorHAnsi"/>
          <w:sz w:val="22"/>
          <w:szCs w:val="22"/>
        </w:rPr>
        <w:t>agenc</w:t>
      </w:r>
      <w:r w:rsidRPr="00A46135">
        <w:rPr>
          <w:sz w:val="22"/>
          <w:szCs w:val="22"/>
        </w:rPr>
        <w:t>y.  AASB 17 reflects the view that an insurance contract combines features of both a financial instrument and a service contract.</w:t>
      </w:r>
    </w:p>
    <w:p w14:paraId="5D2BBEDE" w14:textId="77777777" w:rsidR="0094757A" w:rsidRPr="00A46135" w:rsidRDefault="0094757A" w:rsidP="00811346">
      <w:pPr>
        <w:spacing w:after="120" w:line="276" w:lineRule="auto"/>
        <w:jc w:val="both"/>
        <w:rPr>
          <w:sz w:val="22"/>
          <w:szCs w:val="22"/>
        </w:rPr>
      </w:pPr>
      <w:r w:rsidRPr="00A46135">
        <w:rPr>
          <w:sz w:val="22"/>
          <w:szCs w:val="22"/>
        </w:rPr>
        <w:t xml:space="preserve">AASB 17 does not apply to superannuation entities applying AASB 1056 </w:t>
      </w:r>
      <w:r w:rsidRPr="00A46135">
        <w:rPr>
          <w:i/>
          <w:iCs/>
          <w:sz w:val="22"/>
          <w:szCs w:val="22"/>
        </w:rPr>
        <w:t>Superannuation Entities</w:t>
      </w:r>
      <w:r w:rsidRPr="00A46135">
        <w:rPr>
          <w:sz w:val="22"/>
          <w:szCs w:val="22"/>
        </w:rPr>
        <w:t xml:space="preserve"> and not-for-profit public sector </w:t>
      </w:r>
      <w:r w:rsidRPr="00A46135">
        <w:rPr>
          <w:rFonts w:cstheme="minorHAnsi"/>
          <w:sz w:val="22"/>
          <w:szCs w:val="22"/>
        </w:rPr>
        <w:t>agencies</w:t>
      </w:r>
      <w:r w:rsidRPr="00A46135">
        <w:rPr>
          <w:sz w:val="22"/>
          <w:szCs w:val="22"/>
        </w:rPr>
        <w:t xml:space="preserve">. The AASB is assessing the applicability of AASB 17 to not-for-profit public sector </w:t>
      </w:r>
      <w:r w:rsidRPr="00A46135">
        <w:rPr>
          <w:rFonts w:cstheme="minorHAnsi"/>
          <w:sz w:val="22"/>
          <w:szCs w:val="22"/>
        </w:rPr>
        <w:t>agencies</w:t>
      </w:r>
      <w:r w:rsidRPr="00A46135">
        <w:rPr>
          <w:sz w:val="22"/>
          <w:szCs w:val="22"/>
        </w:rPr>
        <w:t xml:space="preserve">.  In November 2017, the AASB issued Discussion Paper </w:t>
      </w:r>
      <w:r w:rsidRPr="00A46135">
        <w:rPr>
          <w:i/>
          <w:iCs/>
          <w:sz w:val="22"/>
          <w:szCs w:val="22"/>
        </w:rPr>
        <w:t>Australian-specific Insurance Issues – Regulatory Disclosures and Public Sector Entities</w:t>
      </w:r>
      <w:r w:rsidRPr="00A46135">
        <w:rPr>
          <w:sz w:val="22"/>
          <w:szCs w:val="22"/>
        </w:rPr>
        <w:t>.</w:t>
      </w:r>
    </w:p>
    <w:p w14:paraId="7246210A" w14:textId="77777777" w:rsidR="0094757A" w:rsidRPr="00A46135" w:rsidRDefault="0094757A" w:rsidP="0094757A">
      <w:pPr>
        <w:spacing w:after="120" w:line="276" w:lineRule="auto"/>
        <w:rPr>
          <w:b/>
          <w:sz w:val="22"/>
          <w:szCs w:val="22"/>
        </w:rPr>
      </w:pPr>
      <w:r w:rsidRPr="00A46135">
        <w:rPr>
          <w:b/>
          <w:sz w:val="22"/>
          <w:szCs w:val="22"/>
        </w:rPr>
        <w:t>Impact</w:t>
      </w:r>
    </w:p>
    <w:p w14:paraId="076E6709" w14:textId="77777777" w:rsidR="0094757A" w:rsidRPr="00A46135" w:rsidRDefault="0094757A" w:rsidP="00811346">
      <w:pPr>
        <w:spacing w:after="120" w:line="276" w:lineRule="auto"/>
        <w:jc w:val="both"/>
        <w:rPr>
          <w:sz w:val="22"/>
          <w:szCs w:val="22"/>
        </w:rPr>
      </w:pPr>
      <w:r w:rsidRPr="00A46135">
        <w:rPr>
          <w:sz w:val="22"/>
          <w:szCs w:val="22"/>
        </w:rPr>
        <w:t>AASB 17 will not apply to directorates and territory authorities.</w:t>
      </w:r>
    </w:p>
    <w:p w14:paraId="355E30B7" w14:textId="07D37D84" w:rsidR="0094757A" w:rsidRPr="00E27AE0" w:rsidRDefault="0094757A" w:rsidP="00A60F3C">
      <w:pPr>
        <w:pStyle w:val="Heading3"/>
        <w:numPr>
          <w:ilvl w:val="2"/>
          <w:numId w:val="9"/>
        </w:numPr>
        <w:spacing w:before="360" w:after="120" w:line="320" w:lineRule="exact"/>
        <w:ind w:left="1134" w:hanging="1077"/>
        <w:rPr>
          <w:b w:val="0"/>
          <w:bCs/>
          <w:i/>
          <w:iCs/>
        </w:rPr>
      </w:pPr>
      <w:bookmarkStart w:id="50" w:name="_Toc68684845"/>
      <w:bookmarkStart w:id="51" w:name="_Toc68685151"/>
      <w:bookmarkStart w:id="52" w:name="_Toc68685253"/>
      <w:bookmarkStart w:id="53" w:name="_Toc68685355"/>
      <w:bookmarkStart w:id="54" w:name="_Toc68685457"/>
      <w:bookmarkStart w:id="55" w:name="_Toc68685559"/>
      <w:bookmarkStart w:id="56" w:name="_Toc68685663"/>
      <w:bookmarkStart w:id="57" w:name="_Toc68685912"/>
      <w:bookmarkStart w:id="58" w:name="_Toc68684846"/>
      <w:bookmarkStart w:id="59" w:name="_Toc68685152"/>
      <w:bookmarkStart w:id="60" w:name="_Toc68685254"/>
      <w:bookmarkStart w:id="61" w:name="_Toc68685356"/>
      <w:bookmarkStart w:id="62" w:name="_Toc68685458"/>
      <w:bookmarkStart w:id="63" w:name="_Toc68685560"/>
      <w:bookmarkStart w:id="64" w:name="_Toc68685664"/>
      <w:bookmarkStart w:id="65" w:name="_Toc68685913"/>
      <w:bookmarkStart w:id="66" w:name="_Toc68684847"/>
      <w:bookmarkStart w:id="67" w:name="_Toc68685153"/>
      <w:bookmarkStart w:id="68" w:name="_Toc68685255"/>
      <w:bookmarkStart w:id="69" w:name="_Toc68685357"/>
      <w:bookmarkStart w:id="70" w:name="_Toc68685459"/>
      <w:bookmarkStart w:id="71" w:name="_Toc68685561"/>
      <w:bookmarkStart w:id="72" w:name="_Toc68685665"/>
      <w:bookmarkStart w:id="73" w:name="_Toc68685914"/>
      <w:bookmarkStart w:id="74" w:name="_Toc68684848"/>
      <w:bookmarkStart w:id="75" w:name="_Toc68685154"/>
      <w:bookmarkStart w:id="76" w:name="_Toc68685256"/>
      <w:bookmarkStart w:id="77" w:name="_Toc68685358"/>
      <w:bookmarkStart w:id="78" w:name="_Toc68685460"/>
      <w:bookmarkStart w:id="79" w:name="_Toc68685562"/>
      <w:bookmarkStart w:id="80" w:name="_Toc68685666"/>
      <w:bookmarkStart w:id="81" w:name="_Toc68685915"/>
      <w:bookmarkStart w:id="82" w:name="_Toc68684849"/>
      <w:bookmarkStart w:id="83" w:name="_Toc68685155"/>
      <w:bookmarkStart w:id="84" w:name="_Toc68685257"/>
      <w:bookmarkStart w:id="85" w:name="_Toc68685359"/>
      <w:bookmarkStart w:id="86" w:name="_Toc68685461"/>
      <w:bookmarkStart w:id="87" w:name="_Toc68685563"/>
      <w:bookmarkStart w:id="88" w:name="_Toc68685667"/>
      <w:bookmarkStart w:id="89" w:name="_Toc68685916"/>
      <w:bookmarkStart w:id="90" w:name="_Toc68684850"/>
      <w:bookmarkStart w:id="91" w:name="_Toc68685156"/>
      <w:bookmarkStart w:id="92" w:name="_Toc68685258"/>
      <w:bookmarkStart w:id="93" w:name="_Toc68685360"/>
      <w:bookmarkStart w:id="94" w:name="_Toc68685462"/>
      <w:bookmarkStart w:id="95" w:name="_Toc68685564"/>
      <w:bookmarkStart w:id="96" w:name="_Toc68685668"/>
      <w:bookmarkStart w:id="97" w:name="_Toc68685917"/>
      <w:bookmarkStart w:id="98" w:name="_Toc68684851"/>
      <w:bookmarkStart w:id="99" w:name="_Toc68685157"/>
      <w:bookmarkStart w:id="100" w:name="_Toc68685259"/>
      <w:bookmarkStart w:id="101" w:name="_Toc68685361"/>
      <w:bookmarkStart w:id="102" w:name="_Toc68685463"/>
      <w:bookmarkStart w:id="103" w:name="_Toc68685565"/>
      <w:bookmarkStart w:id="104" w:name="_Toc68685669"/>
      <w:bookmarkStart w:id="105" w:name="_Toc68685918"/>
      <w:bookmarkStart w:id="106" w:name="_Toc68684852"/>
      <w:bookmarkStart w:id="107" w:name="_Toc68685158"/>
      <w:bookmarkStart w:id="108" w:name="_Toc68685260"/>
      <w:bookmarkStart w:id="109" w:name="_Toc68685362"/>
      <w:bookmarkStart w:id="110" w:name="_Toc68685464"/>
      <w:bookmarkStart w:id="111" w:name="_Toc68685566"/>
      <w:bookmarkStart w:id="112" w:name="_Toc68685670"/>
      <w:bookmarkStart w:id="113" w:name="_Toc68685919"/>
      <w:bookmarkStart w:id="114" w:name="_Toc68684853"/>
      <w:bookmarkStart w:id="115" w:name="_Toc68685159"/>
      <w:bookmarkStart w:id="116" w:name="_Toc68685261"/>
      <w:bookmarkStart w:id="117" w:name="_Toc68685363"/>
      <w:bookmarkStart w:id="118" w:name="_Toc68685465"/>
      <w:bookmarkStart w:id="119" w:name="_Toc68685567"/>
      <w:bookmarkStart w:id="120" w:name="_Toc68685671"/>
      <w:bookmarkStart w:id="121" w:name="_Toc68685920"/>
      <w:bookmarkStart w:id="122" w:name="_Toc7474367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E27AE0">
        <w:rPr>
          <w:iCs/>
        </w:rPr>
        <w:t xml:space="preserve">AASB 1060 General Purpose Financial Statements – Simplified Disclosure </w:t>
      </w:r>
      <w:r>
        <w:rPr>
          <w:iCs/>
        </w:rPr>
        <w:t>for</w:t>
      </w:r>
      <w:r w:rsidRPr="00E27AE0">
        <w:rPr>
          <w:iCs/>
        </w:rPr>
        <w:t xml:space="preserve"> for-Profit and Not-For-Profit T</w:t>
      </w:r>
      <w:r>
        <w:rPr>
          <w:iCs/>
        </w:rPr>
        <w:t>ier</w:t>
      </w:r>
      <w:r w:rsidRPr="00E27AE0">
        <w:rPr>
          <w:iCs/>
        </w:rPr>
        <w:t xml:space="preserve"> 2 Entities (appl. 1 July 2021)</w:t>
      </w:r>
      <w:bookmarkEnd w:id="122"/>
    </w:p>
    <w:p w14:paraId="797FB0C6" w14:textId="77777777" w:rsidR="0094757A" w:rsidRPr="00A46135" w:rsidRDefault="0094757A" w:rsidP="0094757A">
      <w:pPr>
        <w:spacing w:after="120" w:line="276" w:lineRule="auto"/>
        <w:rPr>
          <w:b/>
          <w:sz w:val="22"/>
          <w:szCs w:val="22"/>
        </w:rPr>
      </w:pPr>
      <w:r w:rsidRPr="00A46135">
        <w:rPr>
          <w:b/>
          <w:sz w:val="22"/>
          <w:szCs w:val="22"/>
        </w:rPr>
        <w:t>Background</w:t>
      </w:r>
    </w:p>
    <w:p w14:paraId="32AD8308" w14:textId="77777777" w:rsidR="0094757A" w:rsidRPr="00A46135" w:rsidRDefault="0094757A" w:rsidP="00811346">
      <w:pPr>
        <w:spacing w:after="120" w:line="276" w:lineRule="auto"/>
        <w:jc w:val="both"/>
        <w:rPr>
          <w:sz w:val="22"/>
          <w:szCs w:val="22"/>
        </w:rPr>
      </w:pPr>
      <w:r w:rsidRPr="00A46135">
        <w:rPr>
          <w:sz w:val="22"/>
          <w:szCs w:val="22"/>
        </w:rPr>
        <w:t xml:space="preserve">AASB 1060 sets out a new, separate disclosure standard to be applied by all agencies that are reporting under Tier 2 of the Differential Framework in AASB 1053 </w:t>
      </w:r>
      <w:r w:rsidRPr="00A46135">
        <w:rPr>
          <w:i/>
          <w:iCs/>
          <w:sz w:val="22"/>
          <w:szCs w:val="22"/>
        </w:rPr>
        <w:t>Application of Tiers of Australian Accounting Standards</w:t>
      </w:r>
      <w:r w:rsidRPr="00A46135">
        <w:rPr>
          <w:sz w:val="22"/>
          <w:szCs w:val="22"/>
        </w:rPr>
        <w:t>.  AASB 1060 has been developed based on a new methodology and principles to be used in determining the Tier 2 disclosures that are necessary for meeting user needs, to replace the current Reduced Disclosure Requirements framework.  The methodology and principles applied are outlined in the Basis for Conclusions to AASB 1060.</w:t>
      </w:r>
    </w:p>
    <w:p w14:paraId="4588A159" w14:textId="77777777" w:rsidR="0094757A" w:rsidRPr="00A46135" w:rsidRDefault="0094757A" w:rsidP="00811346">
      <w:pPr>
        <w:spacing w:after="120" w:line="276" w:lineRule="auto"/>
        <w:jc w:val="both"/>
        <w:rPr>
          <w:sz w:val="22"/>
          <w:szCs w:val="22"/>
        </w:rPr>
      </w:pPr>
      <w:r w:rsidRPr="00A46135">
        <w:rPr>
          <w:sz w:val="22"/>
          <w:szCs w:val="22"/>
        </w:rPr>
        <w:t>AASB 1060 does not change:</w:t>
      </w:r>
    </w:p>
    <w:p w14:paraId="25A2AC33" w14:textId="77777777" w:rsidR="0094757A" w:rsidRPr="00A46135" w:rsidRDefault="0094757A" w:rsidP="00811346">
      <w:pPr>
        <w:pStyle w:val="ListParagraph"/>
        <w:numPr>
          <w:ilvl w:val="0"/>
          <w:numId w:val="40"/>
        </w:numPr>
        <w:spacing w:after="120" w:line="276" w:lineRule="auto"/>
        <w:ind w:left="714" w:hanging="357"/>
        <w:contextualSpacing w:val="0"/>
        <w:jc w:val="both"/>
        <w:rPr>
          <w:szCs w:val="22"/>
        </w:rPr>
      </w:pPr>
      <w:r w:rsidRPr="00A46135">
        <w:rPr>
          <w:szCs w:val="22"/>
        </w:rPr>
        <w:t xml:space="preserve">which agencies are permitted to apply Tier 2 reporting requirements; </w:t>
      </w:r>
      <w:proofErr w:type="gramStart"/>
      <w:r w:rsidRPr="00A46135">
        <w:rPr>
          <w:szCs w:val="22"/>
        </w:rPr>
        <w:t>and</w:t>
      </w:r>
      <w:proofErr w:type="gramEnd"/>
    </w:p>
    <w:p w14:paraId="6CB4E456" w14:textId="77777777" w:rsidR="0094757A" w:rsidRPr="00A46135" w:rsidRDefault="0094757A" w:rsidP="00811346">
      <w:pPr>
        <w:pStyle w:val="ListParagraph"/>
        <w:numPr>
          <w:ilvl w:val="0"/>
          <w:numId w:val="40"/>
        </w:numPr>
        <w:spacing w:after="120" w:line="276" w:lineRule="auto"/>
        <w:ind w:left="714" w:hanging="357"/>
        <w:contextualSpacing w:val="0"/>
        <w:jc w:val="both"/>
        <w:rPr>
          <w:szCs w:val="22"/>
        </w:rPr>
      </w:pPr>
      <w:r w:rsidRPr="00A46135">
        <w:rPr>
          <w:szCs w:val="22"/>
        </w:rPr>
        <w:t>the recognition and measurement requirements of Tier 2, which are the same as for Tier</w:t>
      </w:r>
      <w:r>
        <w:rPr>
          <w:szCs w:val="22"/>
        </w:rPr>
        <w:t xml:space="preserve"> </w:t>
      </w:r>
      <w:r w:rsidRPr="00A46135">
        <w:rPr>
          <w:szCs w:val="22"/>
        </w:rPr>
        <w:t>1.</w:t>
      </w:r>
    </w:p>
    <w:p w14:paraId="72A89FD7" w14:textId="77777777" w:rsidR="0094757A" w:rsidRPr="00A46135" w:rsidRDefault="0094757A" w:rsidP="00811346">
      <w:pPr>
        <w:spacing w:after="120" w:line="276" w:lineRule="auto"/>
        <w:jc w:val="both"/>
        <w:rPr>
          <w:sz w:val="22"/>
          <w:szCs w:val="22"/>
        </w:rPr>
      </w:pPr>
      <w:r w:rsidRPr="00A46135">
        <w:rPr>
          <w:sz w:val="22"/>
          <w:szCs w:val="22"/>
        </w:rPr>
        <w:t xml:space="preserve">The disclosures that are relevant to Tier 2 entities are set out in AASB 1060. </w:t>
      </w:r>
      <w:r>
        <w:rPr>
          <w:sz w:val="22"/>
          <w:szCs w:val="22"/>
        </w:rPr>
        <w:t xml:space="preserve"> </w:t>
      </w:r>
      <w:r w:rsidRPr="00A46135">
        <w:rPr>
          <w:sz w:val="22"/>
          <w:szCs w:val="22"/>
        </w:rPr>
        <w:t xml:space="preserve">Disclosure requirements set out in the body or appendix of other Standards will no longer be shaded or unshaded in relation to Tier 2 requirements.  While agencies that comply with this Standard need to apply the recognition and measurement requirements in other Standards, they are exempt from the presentation and disclosure </w:t>
      </w:r>
      <w:r w:rsidRPr="00A46135">
        <w:rPr>
          <w:sz w:val="22"/>
          <w:szCs w:val="22"/>
        </w:rPr>
        <w:lastRenderedPageBreak/>
        <w:t xml:space="preserve">requirements in other Standards.  Consequential amendments to the relevant Standards are set out in Appendix C to AASB 1060.  While this Standard includes certain presentation requirements, these do not result in presentations or classifications that are different to those required for Tier 1 agencies. </w:t>
      </w:r>
      <w:r>
        <w:rPr>
          <w:sz w:val="22"/>
          <w:szCs w:val="22"/>
        </w:rPr>
        <w:t xml:space="preserve"> </w:t>
      </w:r>
      <w:r w:rsidRPr="00A46135">
        <w:rPr>
          <w:sz w:val="22"/>
          <w:szCs w:val="22"/>
        </w:rPr>
        <w:t xml:space="preserve">The only exception is the option not to include a separate statement of changes in equity in certain circumstances, as set out in paragraph 26 of the Standard.  </w:t>
      </w:r>
    </w:p>
    <w:p w14:paraId="4A08EAD3" w14:textId="77777777" w:rsidR="0094757A" w:rsidRPr="00A46135" w:rsidRDefault="0094757A" w:rsidP="00811346">
      <w:pPr>
        <w:keepNext/>
        <w:spacing w:after="120" w:line="276" w:lineRule="auto"/>
        <w:jc w:val="both"/>
        <w:rPr>
          <w:rFonts w:cs="Calibri"/>
          <w:b/>
          <w:sz w:val="22"/>
          <w:szCs w:val="22"/>
        </w:rPr>
      </w:pPr>
      <w:r w:rsidRPr="00A46135">
        <w:rPr>
          <w:rFonts w:cs="Calibri"/>
          <w:b/>
          <w:sz w:val="22"/>
          <w:szCs w:val="22"/>
        </w:rPr>
        <w:t>Impact</w:t>
      </w:r>
    </w:p>
    <w:p w14:paraId="532573E6" w14:textId="77777777" w:rsidR="0094757A" w:rsidRDefault="0094757A" w:rsidP="00811346">
      <w:pPr>
        <w:spacing w:after="120" w:line="276" w:lineRule="auto"/>
        <w:jc w:val="both"/>
        <w:rPr>
          <w:sz w:val="22"/>
          <w:szCs w:val="22"/>
        </w:rPr>
      </w:pPr>
      <w:r w:rsidRPr="00777841">
        <w:rPr>
          <w:b/>
          <w:bCs/>
          <w:sz w:val="22"/>
          <w:szCs w:val="22"/>
        </w:rPr>
        <w:t>It is ACT Disclosure Policy that agencies that are consolidated into the Whole-of-Government financial statements are not allowed to adopt Tier 2 reporting</w:t>
      </w:r>
      <w:r w:rsidRPr="00A46135">
        <w:rPr>
          <w:sz w:val="22"/>
          <w:szCs w:val="22"/>
        </w:rPr>
        <w:t xml:space="preserve">.  As a result, this standard will not apply to directorates and territory authorities. </w:t>
      </w:r>
    </w:p>
    <w:p w14:paraId="3B7E596D" w14:textId="044FB0A1" w:rsidR="0094757A" w:rsidRPr="00566C60" w:rsidRDefault="0094757A" w:rsidP="00A60F3C">
      <w:pPr>
        <w:pStyle w:val="Heading3"/>
        <w:numPr>
          <w:ilvl w:val="2"/>
          <w:numId w:val="9"/>
        </w:numPr>
        <w:spacing w:before="360" w:after="120" w:line="320" w:lineRule="exact"/>
        <w:ind w:left="1134" w:hanging="1077"/>
        <w:rPr>
          <w:bCs/>
        </w:rPr>
      </w:pPr>
      <w:bookmarkStart w:id="123" w:name="_Toc74743674"/>
      <w:r w:rsidRPr="00566C60">
        <w:rPr>
          <w:iCs/>
        </w:rPr>
        <w:t xml:space="preserve">AASB 2014-10 Amendments to Australian Accounting Standards – Sale or Contribution of Assets between an Investor and </w:t>
      </w:r>
      <w:r>
        <w:rPr>
          <w:b w:val="0"/>
          <w:bCs/>
          <w:i/>
          <w:iCs/>
        </w:rPr>
        <w:t>i</w:t>
      </w:r>
      <w:r w:rsidRPr="00566C60">
        <w:rPr>
          <w:iCs/>
        </w:rPr>
        <w:t>ts Associate or Joint Venture (Appl. 1 January 2022)</w:t>
      </w:r>
      <w:bookmarkEnd w:id="123"/>
      <w:r w:rsidRPr="00566C60">
        <w:rPr>
          <w:iCs/>
        </w:rPr>
        <w:t xml:space="preserve"> </w:t>
      </w:r>
    </w:p>
    <w:p w14:paraId="79397E37" w14:textId="77777777" w:rsidR="0094757A" w:rsidRPr="00FE3BDC" w:rsidRDefault="0094757A" w:rsidP="00811346">
      <w:pPr>
        <w:spacing w:after="120" w:line="276" w:lineRule="auto"/>
        <w:jc w:val="both"/>
        <w:rPr>
          <w:rFonts w:cs="Calibri"/>
          <w:b/>
          <w:sz w:val="22"/>
          <w:szCs w:val="22"/>
        </w:rPr>
      </w:pPr>
      <w:r w:rsidRPr="00FE3BDC">
        <w:rPr>
          <w:rFonts w:cs="Calibri"/>
          <w:b/>
          <w:sz w:val="22"/>
          <w:szCs w:val="22"/>
        </w:rPr>
        <w:t>Background</w:t>
      </w:r>
    </w:p>
    <w:p w14:paraId="2DABF918" w14:textId="77777777" w:rsidR="0094757A" w:rsidRPr="00FE3BDC" w:rsidRDefault="0094757A" w:rsidP="00811346">
      <w:pPr>
        <w:spacing w:after="120" w:line="276" w:lineRule="auto"/>
        <w:jc w:val="both"/>
        <w:rPr>
          <w:rFonts w:cs="Calibri"/>
          <w:sz w:val="22"/>
          <w:szCs w:val="22"/>
        </w:rPr>
      </w:pPr>
      <w:r w:rsidRPr="00FE3BDC">
        <w:rPr>
          <w:sz w:val="22"/>
          <w:szCs w:val="22"/>
        </w:rPr>
        <w:t xml:space="preserve">AASB 2014-10 amends AASB 10 </w:t>
      </w:r>
      <w:r w:rsidRPr="00FE3BDC">
        <w:rPr>
          <w:i/>
          <w:sz w:val="22"/>
          <w:szCs w:val="22"/>
        </w:rPr>
        <w:t>Consolidated Financial Statements</w:t>
      </w:r>
      <w:r w:rsidRPr="00FE3BDC">
        <w:rPr>
          <w:sz w:val="22"/>
          <w:szCs w:val="22"/>
        </w:rPr>
        <w:t xml:space="preserve"> and AASB 128 </w:t>
      </w:r>
      <w:r w:rsidRPr="00FE3BDC">
        <w:rPr>
          <w:i/>
          <w:sz w:val="22"/>
          <w:szCs w:val="22"/>
        </w:rPr>
        <w:t>Investments in Associates and Joint Ventures</w:t>
      </w:r>
      <w:r w:rsidRPr="00FE3BDC">
        <w:rPr>
          <w:sz w:val="22"/>
          <w:szCs w:val="22"/>
        </w:rPr>
        <w:t xml:space="preserve"> to address an inconsistency between the</w:t>
      </w:r>
      <w:r w:rsidRPr="00FE3BDC">
        <w:rPr>
          <w:rFonts w:cs="Calibri"/>
          <w:sz w:val="22"/>
          <w:szCs w:val="22"/>
        </w:rPr>
        <w:t xml:space="preserve"> requirements in AASB 10 and those in AASB 128 (August 2011), in dealing with the sale or contribution of assets between an investor and its associate or joint venture.  The amendments require:</w:t>
      </w:r>
    </w:p>
    <w:p w14:paraId="397FE3F6" w14:textId="77777777" w:rsidR="0094757A" w:rsidRPr="00FE3BDC" w:rsidRDefault="0094757A" w:rsidP="00811346">
      <w:pPr>
        <w:numPr>
          <w:ilvl w:val="0"/>
          <w:numId w:val="36"/>
        </w:numPr>
        <w:autoSpaceDE w:val="0"/>
        <w:autoSpaceDN w:val="0"/>
        <w:adjustRightInd w:val="0"/>
        <w:spacing w:after="120" w:line="276" w:lineRule="auto"/>
        <w:jc w:val="both"/>
        <w:rPr>
          <w:rFonts w:cs="Calibri"/>
          <w:sz w:val="22"/>
          <w:szCs w:val="22"/>
        </w:rPr>
      </w:pPr>
      <w:r w:rsidRPr="00FE3BDC">
        <w:rPr>
          <w:rFonts w:cs="Calibri"/>
          <w:sz w:val="22"/>
          <w:szCs w:val="22"/>
        </w:rPr>
        <w:t>a full gain or loss to be recognised when a transaction involves a business (whether it is housed in a subsidiary or not); and</w:t>
      </w:r>
    </w:p>
    <w:p w14:paraId="7A5930D3" w14:textId="77777777" w:rsidR="0094757A" w:rsidRPr="00FE3BDC" w:rsidRDefault="0094757A" w:rsidP="00811346">
      <w:pPr>
        <w:numPr>
          <w:ilvl w:val="0"/>
          <w:numId w:val="36"/>
        </w:numPr>
        <w:autoSpaceDE w:val="0"/>
        <w:autoSpaceDN w:val="0"/>
        <w:adjustRightInd w:val="0"/>
        <w:spacing w:after="120" w:line="276" w:lineRule="auto"/>
        <w:jc w:val="both"/>
        <w:rPr>
          <w:rFonts w:cs="Calibri"/>
          <w:sz w:val="22"/>
          <w:szCs w:val="22"/>
        </w:rPr>
      </w:pPr>
      <w:r w:rsidRPr="00FE3BDC">
        <w:rPr>
          <w:rFonts w:cs="Calibri"/>
          <w:sz w:val="22"/>
          <w:szCs w:val="22"/>
        </w:rPr>
        <w:t>a partial gain or loss to be recognised when a transaction involves assets that do not constitute a business, even if these assets are housed in a subsidiary.</w:t>
      </w:r>
    </w:p>
    <w:p w14:paraId="4AB31466" w14:textId="77777777" w:rsidR="0094757A" w:rsidRPr="00FE3BDC" w:rsidRDefault="0094757A" w:rsidP="00811346">
      <w:pPr>
        <w:keepNext/>
        <w:spacing w:after="120" w:line="276" w:lineRule="auto"/>
        <w:jc w:val="both"/>
        <w:rPr>
          <w:rFonts w:cs="Calibri"/>
          <w:sz w:val="22"/>
          <w:szCs w:val="22"/>
        </w:rPr>
      </w:pPr>
      <w:r w:rsidRPr="00FE3BDC">
        <w:rPr>
          <w:rFonts w:cs="Calibri"/>
          <w:sz w:val="22"/>
          <w:szCs w:val="22"/>
        </w:rPr>
        <w:t xml:space="preserve">AASB 2017-5 </w:t>
      </w:r>
      <w:r w:rsidRPr="00FE3BDC">
        <w:rPr>
          <w:rFonts w:cs="Calibri"/>
          <w:i/>
          <w:sz w:val="22"/>
          <w:szCs w:val="22"/>
        </w:rPr>
        <w:t>Amendments to Australian Accounting Standards – Effective date of Amendments to AASB 10 and AASB 128 and Editorial Corrections</w:t>
      </w:r>
      <w:r w:rsidRPr="00FE3BDC">
        <w:rPr>
          <w:rFonts w:cs="Calibri"/>
          <w:sz w:val="22"/>
          <w:szCs w:val="22"/>
        </w:rPr>
        <w:t xml:space="preserve"> deferred the mandatory effective date (application date) of amendments to AASB 10 and AASB 128 made in AASB 2014-10 so that the amendments are required to be applied for annual reporting periods beginning on or after 1 January 2022. </w:t>
      </w:r>
    </w:p>
    <w:p w14:paraId="53226FBC" w14:textId="77777777" w:rsidR="0094757A" w:rsidRPr="00FE3BDC" w:rsidRDefault="0094757A" w:rsidP="00811346">
      <w:pPr>
        <w:autoSpaceDE w:val="0"/>
        <w:autoSpaceDN w:val="0"/>
        <w:adjustRightInd w:val="0"/>
        <w:spacing w:after="120" w:line="276" w:lineRule="auto"/>
        <w:jc w:val="both"/>
        <w:rPr>
          <w:rFonts w:cs="Calibri"/>
          <w:b/>
          <w:sz w:val="22"/>
          <w:szCs w:val="22"/>
        </w:rPr>
      </w:pPr>
      <w:r w:rsidRPr="00FE3BDC">
        <w:rPr>
          <w:rFonts w:cs="Calibri"/>
          <w:b/>
          <w:sz w:val="22"/>
          <w:szCs w:val="22"/>
        </w:rPr>
        <w:t>Impact</w:t>
      </w:r>
    </w:p>
    <w:p w14:paraId="223A2D84" w14:textId="0B03C0BD" w:rsidR="00911CAE" w:rsidRDefault="0094757A" w:rsidP="00811346">
      <w:pPr>
        <w:spacing w:after="120" w:line="276" w:lineRule="auto"/>
        <w:jc w:val="both"/>
        <w:rPr>
          <w:rFonts w:cs="Calibri"/>
          <w:sz w:val="22"/>
          <w:szCs w:val="22"/>
        </w:rPr>
      </w:pPr>
      <w:r w:rsidRPr="00FE3BDC">
        <w:rPr>
          <w:rFonts w:cs="Calibri"/>
          <w:sz w:val="22"/>
          <w:szCs w:val="22"/>
        </w:rPr>
        <w:t xml:space="preserve">Directorates and territory authorities do not generally have any investments in subsidiaries, joint ventures and associates and as such this standard will </w:t>
      </w:r>
      <w:r>
        <w:rPr>
          <w:rFonts w:cs="Calibri"/>
          <w:sz w:val="22"/>
          <w:szCs w:val="22"/>
        </w:rPr>
        <w:t>not apply to</w:t>
      </w:r>
      <w:r w:rsidRPr="00FE3BDC">
        <w:rPr>
          <w:rFonts w:cs="Calibri"/>
          <w:sz w:val="22"/>
          <w:szCs w:val="22"/>
        </w:rPr>
        <w:t xml:space="preserve"> most agencies.  Directorates and territory authorities that do have investments in subsidiaries, joint ventures and associates will need to assess the impacts of this standard.</w:t>
      </w:r>
    </w:p>
    <w:p w14:paraId="2A05C9A9" w14:textId="3B16184F" w:rsidR="00911CAE" w:rsidRDefault="00911CAE" w:rsidP="0094757A">
      <w:pPr>
        <w:spacing w:after="120" w:line="276" w:lineRule="auto"/>
        <w:rPr>
          <w:rFonts w:cs="Calibri"/>
          <w:sz w:val="22"/>
          <w:szCs w:val="22"/>
        </w:rPr>
      </w:pPr>
    </w:p>
    <w:p w14:paraId="59AF6637" w14:textId="5BC66002" w:rsidR="00911CAE" w:rsidRDefault="00911CAE" w:rsidP="0094757A">
      <w:pPr>
        <w:spacing w:after="120" w:line="276" w:lineRule="auto"/>
        <w:rPr>
          <w:rFonts w:cs="Calibri"/>
          <w:sz w:val="22"/>
          <w:szCs w:val="22"/>
        </w:rPr>
      </w:pPr>
    </w:p>
    <w:p w14:paraId="645E18EC" w14:textId="1EB0661D" w:rsidR="00911CAE" w:rsidRDefault="00911CAE" w:rsidP="0094757A">
      <w:pPr>
        <w:spacing w:after="120" w:line="276" w:lineRule="auto"/>
        <w:rPr>
          <w:rFonts w:cs="Calibri"/>
          <w:sz w:val="22"/>
          <w:szCs w:val="22"/>
        </w:rPr>
      </w:pPr>
    </w:p>
    <w:p w14:paraId="704A1F7A" w14:textId="7130D454" w:rsidR="00911CAE" w:rsidRDefault="00911CAE" w:rsidP="0094757A">
      <w:pPr>
        <w:spacing w:after="120" w:line="276" w:lineRule="auto"/>
        <w:rPr>
          <w:rFonts w:cs="Calibri"/>
          <w:sz w:val="22"/>
          <w:szCs w:val="22"/>
        </w:rPr>
      </w:pPr>
    </w:p>
    <w:p w14:paraId="794E93F9" w14:textId="08B318B6" w:rsidR="00911CAE" w:rsidRDefault="00911CAE" w:rsidP="0094757A">
      <w:pPr>
        <w:spacing w:after="120" w:line="276" w:lineRule="auto"/>
        <w:rPr>
          <w:rFonts w:cs="Calibri"/>
          <w:sz w:val="22"/>
          <w:szCs w:val="22"/>
        </w:rPr>
      </w:pPr>
    </w:p>
    <w:p w14:paraId="59C7A9CD" w14:textId="77777777" w:rsidR="00911CAE" w:rsidRPr="00FE3BDC" w:rsidRDefault="00911CAE" w:rsidP="0094757A">
      <w:pPr>
        <w:spacing w:after="120" w:line="276" w:lineRule="auto"/>
        <w:rPr>
          <w:rFonts w:cs="Calibri"/>
          <w:sz w:val="22"/>
          <w:szCs w:val="22"/>
        </w:rPr>
      </w:pPr>
    </w:p>
    <w:p w14:paraId="66281E12" w14:textId="68727BC9" w:rsidR="0094757A" w:rsidRPr="00E27AE0" w:rsidRDefault="0094757A" w:rsidP="00A60F3C">
      <w:pPr>
        <w:pStyle w:val="Heading3"/>
        <w:numPr>
          <w:ilvl w:val="2"/>
          <w:numId w:val="9"/>
        </w:numPr>
        <w:spacing w:before="360" w:after="120" w:line="320" w:lineRule="exact"/>
        <w:ind w:left="1134" w:hanging="1077"/>
        <w:rPr>
          <w:b w:val="0"/>
          <w:bCs/>
          <w:i/>
          <w:iCs/>
        </w:rPr>
      </w:pPr>
      <w:bookmarkStart w:id="124" w:name="_Toc74743675"/>
      <w:r w:rsidRPr="00E27AE0">
        <w:rPr>
          <w:iCs/>
        </w:rPr>
        <w:lastRenderedPageBreak/>
        <w:t>AASB 2020-2 Amendments to Australian Accounting Standards – Removal of Special Purpose Financial</w:t>
      </w:r>
      <w:r w:rsidR="00911CAE">
        <w:rPr>
          <w:iCs/>
        </w:rPr>
        <w:t xml:space="preserve"> </w:t>
      </w:r>
      <w:r w:rsidRPr="00E27AE0">
        <w:rPr>
          <w:iCs/>
        </w:rPr>
        <w:t>Statements for Certain For-Profit Private Sector Entities (appl. 1 July 2021)</w:t>
      </w:r>
      <w:bookmarkEnd w:id="124"/>
    </w:p>
    <w:p w14:paraId="2C169812" w14:textId="77777777" w:rsidR="0094757A" w:rsidRPr="00A46135" w:rsidRDefault="0094757A" w:rsidP="00811346">
      <w:pPr>
        <w:keepNext/>
        <w:spacing w:after="120" w:line="276" w:lineRule="auto"/>
        <w:jc w:val="both"/>
        <w:rPr>
          <w:rFonts w:cs="Calibri"/>
          <w:b/>
          <w:sz w:val="22"/>
          <w:szCs w:val="22"/>
        </w:rPr>
      </w:pPr>
      <w:r w:rsidRPr="00A46135">
        <w:rPr>
          <w:rFonts w:cs="Calibri"/>
          <w:b/>
          <w:sz w:val="22"/>
          <w:szCs w:val="22"/>
        </w:rPr>
        <w:t>Background</w:t>
      </w:r>
    </w:p>
    <w:p w14:paraId="79D4A3DB" w14:textId="77777777" w:rsidR="0094757A" w:rsidRPr="00A46135" w:rsidRDefault="0094757A" w:rsidP="00811346">
      <w:pPr>
        <w:keepNext/>
        <w:spacing w:after="120" w:line="276" w:lineRule="auto"/>
        <w:jc w:val="both"/>
        <w:rPr>
          <w:rFonts w:cs="Calibri"/>
          <w:bCs/>
          <w:sz w:val="22"/>
          <w:szCs w:val="22"/>
        </w:rPr>
      </w:pPr>
      <w:r w:rsidRPr="00A46135">
        <w:rPr>
          <w:rFonts w:cs="Calibri"/>
          <w:bCs/>
          <w:sz w:val="22"/>
          <w:szCs w:val="22"/>
        </w:rPr>
        <w:t>AASB 2020-2 makes consequential amendments to several Australian Accounting Standards to specify certain for-profit private sector entities who will no longer be able to prepare special purpose financial statements.</w:t>
      </w:r>
    </w:p>
    <w:p w14:paraId="6D9F0709" w14:textId="77777777" w:rsidR="0094757A" w:rsidRPr="00A46135" w:rsidRDefault="0094757A" w:rsidP="00811346">
      <w:pPr>
        <w:spacing w:after="120" w:line="276" w:lineRule="auto"/>
        <w:jc w:val="both"/>
        <w:rPr>
          <w:rFonts w:cs="Calibri"/>
          <w:b/>
          <w:sz w:val="22"/>
          <w:szCs w:val="22"/>
        </w:rPr>
      </w:pPr>
      <w:r w:rsidRPr="00A46135">
        <w:rPr>
          <w:rFonts w:cs="Calibri"/>
          <w:b/>
          <w:sz w:val="22"/>
          <w:szCs w:val="22"/>
        </w:rPr>
        <w:t>Impact</w:t>
      </w:r>
    </w:p>
    <w:p w14:paraId="08DDD57D" w14:textId="77777777" w:rsidR="0094757A" w:rsidRPr="00A46135" w:rsidRDefault="0094757A" w:rsidP="00811346">
      <w:pPr>
        <w:spacing w:after="120" w:line="276" w:lineRule="auto"/>
        <w:jc w:val="both"/>
        <w:rPr>
          <w:rFonts w:cs="Calibri"/>
          <w:bCs/>
          <w:sz w:val="22"/>
          <w:szCs w:val="22"/>
        </w:rPr>
      </w:pPr>
      <w:r w:rsidRPr="00A46135">
        <w:rPr>
          <w:rFonts w:cs="Calibri"/>
          <w:bCs/>
          <w:sz w:val="22"/>
          <w:szCs w:val="22"/>
        </w:rPr>
        <w:t>This standard does not apply to</w:t>
      </w:r>
      <w:r w:rsidRPr="00A46135">
        <w:rPr>
          <w:rFonts w:ascii="Arial Bold" w:hAnsi="Arial Bold" w:cs="Arial"/>
          <w:b/>
          <w:bCs/>
          <w:iCs/>
          <w:caps/>
          <w:sz w:val="22"/>
          <w:szCs w:val="22"/>
        </w:rPr>
        <w:t xml:space="preserve"> </w:t>
      </w:r>
      <w:r w:rsidRPr="00A46135">
        <w:rPr>
          <w:rFonts w:cs="Calibri"/>
          <w:bCs/>
          <w:sz w:val="22"/>
          <w:szCs w:val="22"/>
        </w:rPr>
        <w:t>directorates and territory authorities.</w:t>
      </w:r>
    </w:p>
    <w:p w14:paraId="4A016A9E" w14:textId="3FC4E9A3" w:rsidR="0094757A" w:rsidRPr="00E27AE0" w:rsidRDefault="0094757A" w:rsidP="00A60F3C">
      <w:pPr>
        <w:pStyle w:val="Heading3"/>
        <w:numPr>
          <w:ilvl w:val="2"/>
          <w:numId w:val="9"/>
        </w:numPr>
        <w:spacing w:before="360" w:after="120" w:line="320" w:lineRule="exact"/>
        <w:ind w:left="1134" w:hanging="1077"/>
        <w:rPr>
          <w:b w:val="0"/>
          <w:bCs/>
          <w:i/>
          <w:iCs/>
        </w:rPr>
      </w:pPr>
      <w:bookmarkStart w:id="125" w:name="_Toc74743676"/>
      <w:bookmarkStart w:id="126" w:name="_Hlk68616044"/>
      <w:r w:rsidRPr="00E27AE0">
        <w:rPr>
          <w:iCs/>
        </w:rPr>
        <w:t>AASB 2020-5 Amendments to Australian Accounting Standards – Insurance Contracts (appl. 1 January 2021)</w:t>
      </w:r>
      <w:bookmarkEnd w:id="125"/>
    </w:p>
    <w:bookmarkEnd w:id="126"/>
    <w:p w14:paraId="3363FB4D" w14:textId="77777777" w:rsidR="0094757A" w:rsidRPr="00FE3BDC" w:rsidRDefault="0094757A" w:rsidP="0094757A">
      <w:pPr>
        <w:spacing w:after="120"/>
        <w:rPr>
          <w:rFonts w:cstheme="minorHAnsi"/>
          <w:b/>
          <w:bCs/>
          <w:sz w:val="22"/>
          <w:szCs w:val="22"/>
        </w:rPr>
      </w:pPr>
      <w:r w:rsidRPr="00FE3BDC">
        <w:rPr>
          <w:rFonts w:cstheme="minorHAnsi"/>
          <w:b/>
          <w:bCs/>
          <w:sz w:val="22"/>
          <w:szCs w:val="22"/>
        </w:rPr>
        <w:t>Background</w:t>
      </w:r>
    </w:p>
    <w:p w14:paraId="1DAC92E4" w14:textId="77777777" w:rsidR="0094757A" w:rsidRPr="00FE3BDC" w:rsidRDefault="0094757A" w:rsidP="00811346">
      <w:pPr>
        <w:jc w:val="both"/>
        <w:rPr>
          <w:rFonts w:cstheme="minorHAnsi"/>
          <w:sz w:val="22"/>
          <w:szCs w:val="22"/>
        </w:rPr>
      </w:pPr>
      <w:r w:rsidRPr="00FE3BDC">
        <w:rPr>
          <w:rFonts w:cstheme="minorHAnsi"/>
          <w:sz w:val="22"/>
          <w:szCs w:val="22"/>
        </w:rPr>
        <w:t>AASB 2020-5 amends AASB 4</w:t>
      </w:r>
      <w:r w:rsidRPr="00FE3BDC">
        <w:rPr>
          <w:sz w:val="22"/>
          <w:szCs w:val="22"/>
        </w:rPr>
        <w:t xml:space="preserve"> </w:t>
      </w:r>
      <w:r w:rsidRPr="00FE3BDC">
        <w:rPr>
          <w:rFonts w:cstheme="minorHAnsi"/>
          <w:i/>
          <w:iCs/>
          <w:sz w:val="22"/>
          <w:szCs w:val="22"/>
        </w:rPr>
        <w:t xml:space="preserve">Insurance Contracts </w:t>
      </w:r>
      <w:r w:rsidRPr="00FE3BDC">
        <w:rPr>
          <w:rFonts w:cstheme="minorHAnsi"/>
          <w:sz w:val="22"/>
          <w:szCs w:val="22"/>
        </w:rPr>
        <w:t>and</w:t>
      </w:r>
      <w:r w:rsidRPr="00FE3BDC">
        <w:rPr>
          <w:i/>
          <w:iCs/>
          <w:sz w:val="22"/>
          <w:szCs w:val="22"/>
        </w:rPr>
        <w:t xml:space="preserve"> </w:t>
      </w:r>
      <w:r w:rsidRPr="00FE3BDC">
        <w:rPr>
          <w:rFonts w:cstheme="minorHAnsi"/>
          <w:sz w:val="22"/>
          <w:szCs w:val="22"/>
        </w:rPr>
        <w:t xml:space="preserve">AASB 17 </w:t>
      </w:r>
      <w:r w:rsidRPr="00FE3BDC">
        <w:rPr>
          <w:rFonts w:cstheme="minorHAnsi"/>
          <w:i/>
          <w:iCs/>
          <w:sz w:val="22"/>
          <w:szCs w:val="22"/>
        </w:rPr>
        <w:t>Insurance Contracts.</w:t>
      </w:r>
      <w:r w:rsidRPr="00FE3BDC">
        <w:rPr>
          <w:rFonts w:cstheme="minorHAnsi"/>
          <w:sz w:val="22"/>
          <w:szCs w:val="22"/>
        </w:rPr>
        <w:t xml:space="preserve">  The amendments to AASB 4 permit eligible insurers to continue to apply AASB 139 </w:t>
      </w:r>
      <w:r w:rsidRPr="00FE3BDC">
        <w:rPr>
          <w:rFonts w:cstheme="minorHAnsi"/>
          <w:i/>
          <w:iCs/>
          <w:sz w:val="22"/>
          <w:szCs w:val="22"/>
        </w:rPr>
        <w:t>Financial Instruments: Recognition and Measurement</w:t>
      </w:r>
      <w:r w:rsidRPr="00FE3BDC">
        <w:rPr>
          <w:rFonts w:cstheme="minorHAnsi"/>
          <w:sz w:val="22"/>
          <w:szCs w:val="22"/>
        </w:rPr>
        <w:t xml:space="preserve"> until they are required to apply AASB 9 </w:t>
      </w:r>
      <w:r w:rsidRPr="00FE3BDC">
        <w:rPr>
          <w:rFonts w:cstheme="minorHAnsi"/>
          <w:i/>
          <w:iCs/>
          <w:sz w:val="22"/>
          <w:szCs w:val="22"/>
        </w:rPr>
        <w:t>Financial Instruments</w:t>
      </w:r>
      <w:r w:rsidRPr="00FE3BDC">
        <w:rPr>
          <w:rFonts w:cstheme="minorHAnsi"/>
          <w:sz w:val="22"/>
          <w:szCs w:val="22"/>
        </w:rPr>
        <w:t xml:space="preserve"> alongside AASB 17.</w:t>
      </w:r>
    </w:p>
    <w:p w14:paraId="008BE71C" w14:textId="77777777" w:rsidR="0094757A" w:rsidRPr="00FE3BDC" w:rsidRDefault="0094757A" w:rsidP="00811346">
      <w:pPr>
        <w:spacing w:before="120" w:after="120"/>
        <w:jc w:val="both"/>
        <w:rPr>
          <w:rFonts w:cstheme="minorHAnsi"/>
          <w:sz w:val="22"/>
          <w:szCs w:val="22"/>
        </w:rPr>
      </w:pPr>
      <w:r w:rsidRPr="00FE3BDC">
        <w:rPr>
          <w:rFonts w:cstheme="minorHAnsi"/>
          <w:sz w:val="22"/>
          <w:szCs w:val="22"/>
        </w:rPr>
        <w:t xml:space="preserve">AASB 2020-5 amends AASB 17 to: </w:t>
      </w:r>
    </w:p>
    <w:p w14:paraId="122DCC15" w14:textId="77777777" w:rsidR="0094757A" w:rsidRPr="00FE3BDC" w:rsidRDefault="0094757A" w:rsidP="00811346">
      <w:pPr>
        <w:pStyle w:val="ListParagraph"/>
        <w:numPr>
          <w:ilvl w:val="0"/>
          <w:numId w:val="39"/>
        </w:numPr>
        <w:spacing w:after="120" w:line="240" w:lineRule="auto"/>
        <w:contextualSpacing w:val="0"/>
        <w:jc w:val="both"/>
        <w:rPr>
          <w:szCs w:val="22"/>
        </w:rPr>
      </w:pPr>
      <w:r w:rsidRPr="00FE3BDC">
        <w:rPr>
          <w:szCs w:val="22"/>
        </w:rPr>
        <w:t xml:space="preserve">reduce the costs of applying AASB 17 by simplifying some of its requirements; </w:t>
      </w:r>
    </w:p>
    <w:p w14:paraId="01FAE9DF" w14:textId="77777777" w:rsidR="0094757A" w:rsidRPr="00FE3BDC" w:rsidRDefault="0094757A" w:rsidP="00811346">
      <w:pPr>
        <w:pStyle w:val="ListParagraph"/>
        <w:numPr>
          <w:ilvl w:val="0"/>
          <w:numId w:val="39"/>
        </w:numPr>
        <w:spacing w:after="120" w:line="240" w:lineRule="auto"/>
        <w:contextualSpacing w:val="0"/>
        <w:jc w:val="both"/>
        <w:rPr>
          <w:szCs w:val="22"/>
        </w:rPr>
      </w:pPr>
      <w:r w:rsidRPr="00FE3BDC">
        <w:rPr>
          <w:szCs w:val="22"/>
        </w:rPr>
        <w:t>make an agency’s financial performance relating to insurance contracts easier to explain; and</w:t>
      </w:r>
    </w:p>
    <w:p w14:paraId="11EABD62" w14:textId="77777777" w:rsidR="0094757A" w:rsidRPr="00FE3BDC" w:rsidRDefault="0094757A" w:rsidP="00811346">
      <w:pPr>
        <w:pStyle w:val="ListParagraph"/>
        <w:numPr>
          <w:ilvl w:val="0"/>
          <w:numId w:val="39"/>
        </w:numPr>
        <w:spacing w:after="120" w:line="276" w:lineRule="auto"/>
        <w:ind w:left="714" w:hanging="357"/>
        <w:contextualSpacing w:val="0"/>
        <w:jc w:val="both"/>
        <w:rPr>
          <w:szCs w:val="22"/>
        </w:rPr>
      </w:pPr>
      <w:r w:rsidRPr="00FE3BDC">
        <w:rPr>
          <w:szCs w:val="22"/>
        </w:rPr>
        <w:t xml:space="preserve">ease the transition to AASB 17 by deferring its effective date to annual periods beginning on or after 1 January 2023 instead of 1 January 2021 and by providing additional optional relief to reduce the complexity in applying AASB 17 for the first time. </w:t>
      </w:r>
    </w:p>
    <w:p w14:paraId="75701E9F" w14:textId="77777777" w:rsidR="0094757A" w:rsidRPr="00FE3BDC" w:rsidRDefault="0094757A" w:rsidP="00811346">
      <w:pPr>
        <w:pStyle w:val="Default"/>
        <w:spacing w:after="120" w:line="276" w:lineRule="auto"/>
        <w:jc w:val="both"/>
        <w:rPr>
          <w:rFonts w:asciiTheme="minorHAnsi" w:hAnsiTheme="minorHAnsi" w:cstheme="minorHAnsi"/>
          <w:b/>
          <w:bCs/>
          <w:color w:val="auto"/>
          <w:sz w:val="22"/>
          <w:szCs w:val="22"/>
        </w:rPr>
      </w:pPr>
      <w:r w:rsidRPr="00FE3BDC">
        <w:rPr>
          <w:rFonts w:asciiTheme="minorHAnsi" w:hAnsiTheme="minorHAnsi" w:cstheme="minorHAnsi"/>
          <w:b/>
          <w:bCs/>
          <w:color w:val="auto"/>
          <w:sz w:val="22"/>
          <w:szCs w:val="22"/>
        </w:rPr>
        <w:t>Impact</w:t>
      </w:r>
    </w:p>
    <w:p w14:paraId="6953B3EE" w14:textId="77777777" w:rsidR="0094757A" w:rsidRPr="00FE3BDC" w:rsidRDefault="0094757A" w:rsidP="00811346">
      <w:pPr>
        <w:pStyle w:val="Default"/>
        <w:spacing w:after="120" w:line="276" w:lineRule="auto"/>
        <w:jc w:val="both"/>
        <w:rPr>
          <w:rFonts w:asciiTheme="minorHAnsi" w:hAnsiTheme="minorHAnsi" w:cstheme="minorHAnsi"/>
          <w:color w:val="auto"/>
          <w:sz w:val="22"/>
          <w:szCs w:val="22"/>
        </w:rPr>
      </w:pPr>
      <w:r w:rsidRPr="00FE3BDC">
        <w:rPr>
          <w:rFonts w:asciiTheme="minorHAnsi" w:hAnsiTheme="minorHAnsi" w:cstheme="minorHAnsi"/>
          <w:color w:val="auto"/>
          <w:sz w:val="22"/>
          <w:szCs w:val="22"/>
        </w:rPr>
        <w:t>This standard will not apply to most directorates and territory authorities.</w:t>
      </w:r>
    </w:p>
    <w:p w14:paraId="3E05EE6A" w14:textId="17DEAAE8" w:rsidR="0094757A" w:rsidRPr="00E27AE0" w:rsidRDefault="0094757A" w:rsidP="00A60F3C">
      <w:pPr>
        <w:pStyle w:val="Heading3"/>
        <w:numPr>
          <w:ilvl w:val="2"/>
          <w:numId w:val="9"/>
        </w:numPr>
        <w:spacing w:before="360" w:after="120" w:line="320" w:lineRule="exact"/>
        <w:ind w:left="1134" w:hanging="1077"/>
        <w:rPr>
          <w:b w:val="0"/>
          <w:bCs/>
          <w:i/>
          <w:iCs/>
        </w:rPr>
      </w:pPr>
      <w:bookmarkStart w:id="127" w:name="_Toc74743677"/>
      <w:bookmarkStart w:id="128" w:name="_Hlk68616094"/>
      <w:r w:rsidRPr="00E27AE0">
        <w:rPr>
          <w:iCs/>
        </w:rPr>
        <w:t>AASB 2020-7 Amendments to Australian Accounting Standards – Covid-19-Related Rent Concessions: Tier 2 Disclosures (appl. 1 July 2021)</w:t>
      </w:r>
      <w:bookmarkEnd w:id="127"/>
    </w:p>
    <w:bookmarkEnd w:id="128"/>
    <w:p w14:paraId="04983BF1" w14:textId="77777777" w:rsidR="0094757A" w:rsidRPr="00A46135" w:rsidRDefault="0094757A" w:rsidP="0094757A">
      <w:pPr>
        <w:spacing w:after="120" w:line="276" w:lineRule="auto"/>
        <w:rPr>
          <w:rFonts w:cstheme="minorHAnsi"/>
          <w:b/>
          <w:bCs/>
          <w:sz w:val="22"/>
          <w:szCs w:val="22"/>
        </w:rPr>
      </w:pPr>
      <w:r w:rsidRPr="00A46135">
        <w:rPr>
          <w:rFonts w:cstheme="minorHAnsi"/>
          <w:b/>
          <w:bCs/>
          <w:sz w:val="22"/>
          <w:szCs w:val="22"/>
        </w:rPr>
        <w:t>Background</w:t>
      </w:r>
    </w:p>
    <w:p w14:paraId="5F404173" w14:textId="77777777" w:rsidR="0094757A" w:rsidRPr="00A46135" w:rsidRDefault="0094757A" w:rsidP="00811346">
      <w:pPr>
        <w:autoSpaceDE w:val="0"/>
        <w:autoSpaceDN w:val="0"/>
        <w:adjustRightInd w:val="0"/>
        <w:spacing w:after="120" w:line="276" w:lineRule="auto"/>
        <w:jc w:val="both"/>
        <w:rPr>
          <w:rFonts w:cstheme="minorHAnsi"/>
          <w:sz w:val="22"/>
          <w:szCs w:val="22"/>
        </w:rPr>
      </w:pPr>
      <w:r w:rsidRPr="00A46135">
        <w:rPr>
          <w:rFonts w:cstheme="minorHAnsi"/>
          <w:sz w:val="22"/>
          <w:szCs w:val="22"/>
        </w:rPr>
        <w:t xml:space="preserve">AASB 2020-7 adds new disclosure requirements to AASB 1060 </w:t>
      </w:r>
      <w:r w:rsidRPr="00A46135">
        <w:rPr>
          <w:rFonts w:cstheme="minorHAnsi"/>
          <w:i/>
          <w:iCs/>
          <w:sz w:val="22"/>
          <w:szCs w:val="22"/>
        </w:rPr>
        <w:t>General Purpose Financial Statements – Simplified Disclosures for For-Profit and Not-for-Profit Tier 2 Entities</w:t>
      </w:r>
      <w:r w:rsidRPr="00A46135">
        <w:rPr>
          <w:rFonts w:cstheme="minorHAnsi"/>
          <w:sz w:val="22"/>
          <w:szCs w:val="22"/>
        </w:rPr>
        <w:t xml:space="preserve"> (paragraph 146A) that: </w:t>
      </w:r>
    </w:p>
    <w:p w14:paraId="3F1BBBC2" w14:textId="77777777" w:rsidR="0094757A" w:rsidRPr="00A46135" w:rsidRDefault="0094757A" w:rsidP="00811346">
      <w:pPr>
        <w:pStyle w:val="ListParagraph"/>
        <w:numPr>
          <w:ilvl w:val="0"/>
          <w:numId w:val="37"/>
        </w:numPr>
        <w:autoSpaceDE w:val="0"/>
        <w:autoSpaceDN w:val="0"/>
        <w:adjustRightInd w:val="0"/>
        <w:spacing w:after="120" w:line="276" w:lineRule="auto"/>
        <w:ind w:left="714" w:hanging="357"/>
        <w:contextualSpacing w:val="0"/>
        <w:jc w:val="both"/>
        <w:rPr>
          <w:rFonts w:cstheme="minorHAnsi"/>
          <w:szCs w:val="22"/>
        </w:rPr>
      </w:pPr>
      <w:r w:rsidRPr="00A46135">
        <w:rPr>
          <w:rFonts w:cstheme="minorHAnsi"/>
          <w:szCs w:val="22"/>
        </w:rPr>
        <w:t xml:space="preserve">require agencies reporting under the Tier 2 – Simplified Disclosures framework that have applied the practical expedient for COVID-19-related rent concessions in AASB 16 </w:t>
      </w:r>
      <w:r w:rsidRPr="00A46135">
        <w:rPr>
          <w:rFonts w:cstheme="minorHAnsi"/>
          <w:i/>
          <w:iCs/>
          <w:szCs w:val="22"/>
        </w:rPr>
        <w:t>Leases</w:t>
      </w:r>
      <w:r w:rsidRPr="00A46135">
        <w:rPr>
          <w:rFonts w:cstheme="minorHAnsi"/>
          <w:szCs w:val="22"/>
        </w:rPr>
        <w:t xml:space="preserve"> to make the same disclosures as required under AASB 16 paragraph 60A; </w:t>
      </w:r>
    </w:p>
    <w:p w14:paraId="25FED94B" w14:textId="77777777" w:rsidR="0094757A" w:rsidRPr="00A46135" w:rsidRDefault="0094757A" w:rsidP="00811346">
      <w:pPr>
        <w:pStyle w:val="ListParagraph"/>
        <w:numPr>
          <w:ilvl w:val="0"/>
          <w:numId w:val="37"/>
        </w:numPr>
        <w:autoSpaceDE w:val="0"/>
        <w:autoSpaceDN w:val="0"/>
        <w:adjustRightInd w:val="0"/>
        <w:spacing w:after="120" w:line="276" w:lineRule="auto"/>
        <w:ind w:left="714" w:hanging="357"/>
        <w:contextualSpacing w:val="0"/>
        <w:jc w:val="both"/>
        <w:rPr>
          <w:rFonts w:cstheme="minorHAnsi"/>
          <w:szCs w:val="22"/>
        </w:rPr>
      </w:pPr>
      <w:r w:rsidRPr="00A46135">
        <w:rPr>
          <w:rFonts w:cstheme="minorHAnsi"/>
          <w:szCs w:val="22"/>
        </w:rPr>
        <w:t xml:space="preserve">exempt these agencies from having to comply directly with AASB 16 paragraph 60A; and </w:t>
      </w:r>
    </w:p>
    <w:p w14:paraId="3CE2E797" w14:textId="77777777" w:rsidR="0094757A" w:rsidRPr="00A46135" w:rsidRDefault="0094757A" w:rsidP="00811346">
      <w:pPr>
        <w:pStyle w:val="ListParagraph"/>
        <w:numPr>
          <w:ilvl w:val="0"/>
          <w:numId w:val="37"/>
        </w:numPr>
        <w:autoSpaceDE w:val="0"/>
        <w:autoSpaceDN w:val="0"/>
        <w:adjustRightInd w:val="0"/>
        <w:spacing w:after="120" w:line="276" w:lineRule="auto"/>
        <w:ind w:left="714" w:hanging="357"/>
        <w:contextualSpacing w:val="0"/>
        <w:jc w:val="both"/>
        <w:rPr>
          <w:rFonts w:cstheme="minorHAnsi"/>
          <w:szCs w:val="22"/>
        </w:rPr>
      </w:pPr>
      <w:r w:rsidRPr="00A46135">
        <w:rPr>
          <w:rFonts w:cstheme="minorHAnsi"/>
          <w:szCs w:val="22"/>
        </w:rPr>
        <w:t xml:space="preserve">provide relief for these agencies from complying with AASB 1060 paragraph 106(b), being the equivalent paragraph to AASB 108 </w:t>
      </w:r>
      <w:r w:rsidRPr="00A46135">
        <w:rPr>
          <w:rFonts w:cstheme="minorHAnsi"/>
          <w:i/>
          <w:iCs/>
          <w:szCs w:val="22"/>
        </w:rPr>
        <w:t>Accounting Policies, Changes in Accounting Estimates and Errors</w:t>
      </w:r>
      <w:r w:rsidRPr="00A46135">
        <w:rPr>
          <w:rFonts w:cstheme="minorHAnsi"/>
          <w:szCs w:val="22"/>
        </w:rPr>
        <w:t xml:space="preserve">, paragraph 28(f). </w:t>
      </w:r>
    </w:p>
    <w:p w14:paraId="7FD65D4E" w14:textId="77777777" w:rsidR="00BA379B" w:rsidRDefault="00BA379B" w:rsidP="00811346">
      <w:pPr>
        <w:pStyle w:val="Default"/>
        <w:spacing w:after="120" w:line="276" w:lineRule="auto"/>
        <w:jc w:val="both"/>
        <w:rPr>
          <w:rFonts w:asciiTheme="minorHAnsi" w:hAnsiTheme="minorHAnsi" w:cstheme="minorHAnsi"/>
          <w:b/>
          <w:bCs/>
          <w:color w:val="auto"/>
          <w:sz w:val="22"/>
          <w:szCs w:val="22"/>
        </w:rPr>
      </w:pPr>
    </w:p>
    <w:p w14:paraId="67DB616C" w14:textId="549C00C5" w:rsidR="0094757A" w:rsidRPr="00A46135" w:rsidRDefault="0094757A" w:rsidP="00811346">
      <w:pPr>
        <w:pStyle w:val="Default"/>
        <w:spacing w:after="120" w:line="276" w:lineRule="auto"/>
        <w:jc w:val="both"/>
        <w:rPr>
          <w:rFonts w:asciiTheme="minorHAnsi" w:hAnsiTheme="minorHAnsi" w:cstheme="minorHAnsi"/>
          <w:b/>
          <w:bCs/>
          <w:color w:val="auto"/>
          <w:sz w:val="22"/>
          <w:szCs w:val="22"/>
        </w:rPr>
      </w:pPr>
      <w:r w:rsidRPr="00A46135">
        <w:rPr>
          <w:rFonts w:asciiTheme="minorHAnsi" w:hAnsiTheme="minorHAnsi" w:cstheme="minorHAnsi"/>
          <w:b/>
          <w:bCs/>
          <w:color w:val="auto"/>
          <w:sz w:val="22"/>
          <w:szCs w:val="22"/>
        </w:rPr>
        <w:lastRenderedPageBreak/>
        <w:t>Impact</w:t>
      </w:r>
    </w:p>
    <w:p w14:paraId="274C3BDE" w14:textId="428D5538" w:rsidR="0094757A" w:rsidRPr="00E160C1" w:rsidRDefault="0094757A" w:rsidP="00811346">
      <w:pPr>
        <w:spacing w:after="120" w:line="276" w:lineRule="auto"/>
        <w:jc w:val="both"/>
        <w:rPr>
          <w:rFonts w:cstheme="minorHAnsi"/>
          <w:sz w:val="22"/>
          <w:szCs w:val="22"/>
        </w:rPr>
      </w:pPr>
      <w:r w:rsidRPr="00866878">
        <w:rPr>
          <w:rFonts w:cstheme="minorHAnsi"/>
          <w:b/>
          <w:bCs/>
          <w:sz w:val="22"/>
          <w:szCs w:val="22"/>
        </w:rPr>
        <w:t>It is ACT Government Disclosure Policy that agencies which are consolidated into the Whole</w:t>
      </w:r>
      <w:r>
        <w:rPr>
          <w:rFonts w:cstheme="minorHAnsi"/>
          <w:b/>
          <w:bCs/>
          <w:sz w:val="22"/>
          <w:szCs w:val="22"/>
        </w:rPr>
        <w:t>-</w:t>
      </w:r>
      <w:r w:rsidRPr="00866878">
        <w:rPr>
          <w:rFonts w:cstheme="minorHAnsi"/>
          <w:b/>
          <w:bCs/>
          <w:sz w:val="22"/>
          <w:szCs w:val="22"/>
        </w:rPr>
        <w:t>of</w:t>
      </w:r>
      <w:r>
        <w:rPr>
          <w:rFonts w:cstheme="minorHAnsi"/>
          <w:b/>
          <w:bCs/>
          <w:sz w:val="22"/>
          <w:szCs w:val="22"/>
        </w:rPr>
        <w:t>-</w:t>
      </w:r>
      <w:r w:rsidRPr="00866878">
        <w:rPr>
          <w:rFonts w:cstheme="minorHAnsi"/>
          <w:b/>
          <w:bCs/>
          <w:sz w:val="22"/>
          <w:szCs w:val="22"/>
        </w:rPr>
        <w:t>Government financial statements are not allowed to adopt Tier 2 reporting.</w:t>
      </w:r>
      <w:r w:rsidRPr="00A46135">
        <w:rPr>
          <w:rFonts w:cstheme="minorHAnsi"/>
          <w:sz w:val="22"/>
          <w:szCs w:val="22"/>
        </w:rPr>
        <w:t xml:space="preserve">  As a result, this standard will not apply to directorates and territory authorities. </w:t>
      </w:r>
    </w:p>
    <w:p w14:paraId="32A16C85" w14:textId="62E34C08" w:rsidR="0094757A" w:rsidRPr="00E27AE0" w:rsidRDefault="0094757A" w:rsidP="00A60F3C">
      <w:pPr>
        <w:pStyle w:val="Heading3"/>
        <w:numPr>
          <w:ilvl w:val="2"/>
          <w:numId w:val="9"/>
        </w:numPr>
        <w:spacing w:before="360" w:after="120" w:line="320" w:lineRule="exact"/>
        <w:ind w:left="1134" w:hanging="1077"/>
        <w:rPr>
          <w:b w:val="0"/>
          <w:bCs/>
          <w:i/>
          <w:iCs/>
        </w:rPr>
      </w:pPr>
      <w:bookmarkStart w:id="129" w:name="_Toc74743678"/>
      <w:bookmarkStart w:id="130" w:name="_Hlk68616147"/>
      <w:r w:rsidRPr="00E27AE0">
        <w:rPr>
          <w:iCs/>
        </w:rPr>
        <w:t>AASB 2020-8 Amendments to Australian Accounting Standards – Interest Rate Benchmark Reform – Phase 2 (appl. 1 January 2021)</w:t>
      </w:r>
      <w:bookmarkEnd w:id="129"/>
    </w:p>
    <w:bookmarkEnd w:id="130"/>
    <w:p w14:paraId="75CCFEFB" w14:textId="77777777" w:rsidR="0094757A" w:rsidRPr="00FE3BDC" w:rsidRDefault="0094757A" w:rsidP="00BA379B">
      <w:pPr>
        <w:pStyle w:val="Default"/>
        <w:spacing w:after="120" w:line="276" w:lineRule="auto"/>
        <w:jc w:val="both"/>
        <w:rPr>
          <w:rFonts w:asciiTheme="minorHAnsi" w:hAnsiTheme="minorHAnsi" w:cstheme="minorHAnsi"/>
          <w:b/>
          <w:bCs/>
          <w:color w:val="auto"/>
          <w:sz w:val="22"/>
          <w:szCs w:val="22"/>
        </w:rPr>
      </w:pPr>
      <w:r w:rsidRPr="00FE3BDC">
        <w:rPr>
          <w:rFonts w:asciiTheme="minorHAnsi" w:hAnsiTheme="minorHAnsi" w:cstheme="minorHAnsi"/>
          <w:b/>
          <w:bCs/>
          <w:color w:val="auto"/>
          <w:sz w:val="22"/>
          <w:szCs w:val="22"/>
        </w:rPr>
        <w:t>Background</w:t>
      </w:r>
    </w:p>
    <w:p w14:paraId="545EED20" w14:textId="77777777" w:rsidR="0094757A" w:rsidRPr="00FE3BDC" w:rsidRDefault="0094757A" w:rsidP="00BA379B">
      <w:pPr>
        <w:autoSpaceDE w:val="0"/>
        <w:autoSpaceDN w:val="0"/>
        <w:adjustRightInd w:val="0"/>
        <w:spacing w:after="120" w:line="276" w:lineRule="auto"/>
        <w:jc w:val="both"/>
        <w:rPr>
          <w:rFonts w:cstheme="minorHAnsi"/>
          <w:sz w:val="22"/>
          <w:szCs w:val="22"/>
        </w:rPr>
      </w:pPr>
      <w:r w:rsidRPr="00FE3BDC">
        <w:rPr>
          <w:rFonts w:cstheme="minorHAnsi"/>
          <w:sz w:val="22"/>
          <w:szCs w:val="22"/>
        </w:rPr>
        <w:t xml:space="preserve">AASB 2020-8 helps agencies provide financial statement users with useful information about the effects of the interest rate benchmark reform on those agencies’ financial statements.  As a result of these amendments, an agency: </w:t>
      </w:r>
    </w:p>
    <w:p w14:paraId="58BBCDE6" w14:textId="77777777" w:rsidR="0094757A" w:rsidRPr="00FE3BDC" w:rsidRDefault="0094757A" w:rsidP="00BA379B">
      <w:pPr>
        <w:pStyle w:val="ListParagraph"/>
        <w:numPr>
          <w:ilvl w:val="0"/>
          <w:numId w:val="38"/>
        </w:numPr>
        <w:autoSpaceDE w:val="0"/>
        <w:autoSpaceDN w:val="0"/>
        <w:adjustRightInd w:val="0"/>
        <w:spacing w:after="120" w:line="276" w:lineRule="auto"/>
        <w:ind w:left="714" w:hanging="357"/>
        <w:contextualSpacing w:val="0"/>
        <w:jc w:val="both"/>
        <w:rPr>
          <w:rFonts w:cstheme="minorHAnsi"/>
          <w:szCs w:val="22"/>
        </w:rPr>
      </w:pPr>
      <w:r w:rsidRPr="00FE3BDC">
        <w:rPr>
          <w:rFonts w:cstheme="minorHAnsi"/>
          <w:szCs w:val="22"/>
        </w:rPr>
        <w:t xml:space="preserve">will not have to derecognise or adjust the carrying </w:t>
      </w:r>
      <w:proofErr w:type="gramStart"/>
      <w:r w:rsidRPr="00FE3BDC">
        <w:rPr>
          <w:rFonts w:cstheme="minorHAnsi"/>
          <w:szCs w:val="22"/>
        </w:rPr>
        <w:t>amount</w:t>
      </w:r>
      <w:proofErr w:type="gramEnd"/>
      <w:r w:rsidRPr="00FE3BDC">
        <w:rPr>
          <w:rFonts w:cstheme="minorHAnsi"/>
          <w:szCs w:val="22"/>
        </w:rPr>
        <w:t xml:space="preserve"> of financial instruments for changes required by the reform, but will instead update the effective interest rate to reflect the change to the alternative benchmark rate;</w:t>
      </w:r>
    </w:p>
    <w:p w14:paraId="37D6D243" w14:textId="77777777" w:rsidR="0094757A" w:rsidRPr="00FE3BDC" w:rsidRDefault="0094757A" w:rsidP="00BA379B">
      <w:pPr>
        <w:pStyle w:val="ListParagraph"/>
        <w:numPr>
          <w:ilvl w:val="0"/>
          <w:numId w:val="38"/>
        </w:numPr>
        <w:autoSpaceDE w:val="0"/>
        <w:autoSpaceDN w:val="0"/>
        <w:adjustRightInd w:val="0"/>
        <w:spacing w:after="120" w:line="276" w:lineRule="auto"/>
        <w:ind w:left="714" w:hanging="357"/>
        <w:contextualSpacing w:val="0"/>
        <w:jc w:val="both"/>
        <w:rPr>
          <w:rFonts w:cstheme="minorHAnsi"/>
          <w:szCs w:val="22"/>
        </w:rPr>
      </w:pPr>
      <w:r w:rsidRPr="00FE3BDC">
        <w:rPr>
          <w:rFonts w:cstheme="minorHAnsi"/>
          <w:szCs w:val="22"/>
        </w:rPr>
        <w:t>will not have to discontinue its hedge accounting solely because it makes changes required by the reform, if the hedge meets other hedge accounting criteria; and</w:t>
      </w:r>
    </w:p>
    <w:p w14:paraId="474D28C9" w14:textId="77777777" w:rsidR="0094757A" w:rsidRPr="00FE3BDC" w:rsidRDefault="0094757A" w:rsidP="00BA379B">
      <w:pPr>
        <w:pStyle w:val="ListParagraph"/>
        <w:numPr>
          <w:ilvl w:val="0"/>
          <w:numId w:val="38"/>
        </w:numPr>
        <w:autoSpaceDE w:val="0"/>
        <w:autoSpaceDN w:val="0"/>
        <w:adjustRightInd w:val="0"/>
        <w:spacing w:after="120" w:line="276" w:lineRule="auto"/>
        <w:ind w:left="714" w:hanging="357"/>
        <w:contextualSpacing w:val="0"/>
        <w:jc w:val="both"/>
        <w:rPr>
          <w:rFonts w:cstheme="minorHAnsi"/>
          <w:szCs w:val="22"/>
        </w:rPr>
      </w:pPr>
      <w:r w:rsidRPr="00FE3BDC">
        <w:rPr>
          <w:rFonts w:cstheme="minorHAnsi"/>
          <w:szCs w:val="22"/>
        </w:rPr>
        <w:t xml:space="preserve">will be required to disclose information about new risks arising from the reform and how it manages the transition to alternative benchmark rates. </w:t>
      </w:r>
    </w:p>
    <w:p w14:paraId="762275B1" w14:textId="77777777" w:rsidR="0094757A" w:rsidRPr="00FE3BDC" w:rsidRDefault="0094757A" w:rsidP="00BA379B">
      <w:pPr>
        <w:pStyle w:val="Default"/>
        <w:spacing w:after="120" w:line="276" w:lineRule="auto"/>
        <w:jc w:val="both"/>
        <w:rPr>
          <w:rFonts w:asciiTheme="minorHAnsi" w:hAnsiTheme="minorHAnsi" w:cstheme="minorHAnsi"/>
          <w:b/>
          <w:bCs/>
          <w:color w:val="auto"/>
          <w:sz w:val="22"/>
          <w:szCs w:val="22"/>
        </w:rPr>
      </w:pPr>
      <w:r w:rsidRPr="00FE3BDC">
        <w:rPr>
          <w:rFonts w:asciiTheme="minorHAnsi" w:hAnsiTheme="minorHAnsi" w:cstheme="minorHAnsi"/>
          <w:b/>
          <w:bCs/>
          <w:color w:val="auto"/>
          <w:sz w:val="22"/>
          <w:szCs w:val="22"/>
        </w:rPr>
        <w:t>Impact</w:t>
      </w:r>
    </w:p>
    <w:p w14:paraId="2309FCDE" w14:textId="77777777" w:rsidR="0094757A" w:rsidRPr="00FE3BDC" w:rsidRDefault="0094757A" w:rsidP="00BA379B">
      <w:pPr>
        <w:pStyle w:val="Default"/>
        <w:spacing w:after="120" w:line="276" w:lineRule="auto"/>
        <w:jc w:val="both"/>
        <w:rPr>
          <w:rFonts w:asciiTheme="minorHAnsi" w:hAnsiTheme="minorHAnsi" w:cstheme="minorHAnsi"/>
          <w:color w:val="auto"/>
          <w:sz w:val="22"/>
          <w:szCs w:val="22"/>
        </w:rPr>
      </w:pPr>
      <w:r w:rsidRPr="00FE3BDC">
        <w:rPr>
          <w:rFonts w:asciiTheme="minorHAnsi" w:hAnsiTheme="minorHAnsi" w:cstheme="minorHAnsi"/>
          <w:color w:val="auto"/>
          <w:sz w:val="22"/>
          <w:szCs w:val="22"/>
        </w:rPr>
        <w:t>This standard will not apply to most directorates and territory authorities.</w:t>
      </w:r>
    </w:p>
    <w:p w14:paraId="3371D18E" w14:textId="454AD4F9" w:rsidR="0094757A" w:rsidRPr="00E27AE0" w:rsidRDefault="0094757A" w:rsidP="00A60F3C">
      <w:pPr>
        <w:pStyle w:val="Heading3"/>
        <w:numPr>
          <w:ilvl w:val="2"/>
          <w:numId w:val="9"/>
        </w:numPr>
        <w:spacing w:before="360" w:after="120" w:line="320" w:lineRule="exact"/>
        <w:ind w:left="1134" w:hanging="1077"/>
        <w:rPr>
          <w:b w:val="0"/>
          <w:bCs/>
          <w:i/>
          <w:iCs/>
        </w:rPr>
      </w:pPr>
      <w:bookmarkStart w:id="131" w:name="_Toc74743679"/>
      <w:bookmarkStart w:id="132" w:name="_Hlk68616168"/>
      <w:r w:rsidRPr="00E27AE0">
        <w:rPr>
          <w:iCs/>
        </w:rPr>
        <w:t>AASB 2020-9 Amendments to Australian Accounting Standards – Tier 2 Disclosures: Interest Rate Benchmark Reform (Phase 2) and Other Amendments (appl. 1 July 2021)</w:t>
      </w:r>
      <w:bookmarkEnd w:id="131"/>
    </w:p>
    <w:bookmarkEnd w:id="132"/>
    <w:p w14:paraId="30811638" w14:textId="77777777" w:rsidR="0094757A" w:rsidRPr="00A46135" w:rsidRDefault="0094757A" w:rsidP="00BA379B">
      <w:pPr>
        <w:spacing w:after="120" w:line="276" w:lineRule="auto"/>
        <w:jc w:val="both"/>
        <w:rPr>
          <w:rFonts w:cstheme="minorHAnsi"/>
          <w:b/>
          <w:bCs/>
          <w:sz w:val="22"/>
          <w:szCs w:val="22"/>
        </w:rPr>
      </w:pPr>
      <w:r w:rsidRPr="00A46135">
        <w:rPr>
          <w:rFonts w:cstheme="minorHAnsi"/>
          <w:b/>
          <w:bCs/>
          <w:sz w:val="22"/>
          <w:szCs w:val="22"/>
        </w:rPr>
        <w:t>Background</w:t>
      </w:r>
    </w:p>
    <w:p w14:paraId="633E2FD1" w14:textId="77777777" w:rsidR="0094757A" w:rsidRPr="00A46135" w:rsidRDefault="0094757A" w:rsidP="00BA379B">
      <w:pPr>
        <w:autoSpaceDE w:val="0"/>
        <w:autoSpaceDN w:val="0"/>
        <w:adjustRightInd w:val="0"/>
        <w:spacing w:after="120" w:line="276" w:lineRule="auto"/>
        <w:jc w:val="both"/>
        <w:rPr>
          <w:rFonts w:cstheme="minorHAnsi"/>
          <w:sz w:val="22"/>
          <w:szCs w:val="22"/>
        </w:rPr>
      </w:pPr>
      <w:r w:rsidRPr="00A46135">
        <w:rPr>
          <w:rFonts w:cstheme="minorHAnsi"/>
          <w:sz w:val="22"/>
          <w:szCs w:val="22"/>
        </w:rPr>
        <w:t xml:space="preserve">AASB 2020-9 provides relief for agencies reporting under the Tier 2 – Simplified Disclosures framework from disclosing the financial effects of their initial application of the amendments in AASB 2020-8. </w:t>
      </w:r>
    </w:p>
    <w:p w14:paraId="63BD5E15" w14:textId="77777777" w:rsidR="0094757A" w:rsidRPr="00A46135" w:rsidRDefault="0094757A" w:rsidP="00BA379B">
      <w:pPr>
        <w:pStyle w:val="Default"/>
        <w:spacing w:after="120" w:line="276" w:lineRule="auto"/>
        <w:jc w:val="both"/>
        <w:rPr>
          <w:rFonts w:asciiTheme="minorHAnsi" w:hAnsiTheme="minorHAnsi" w:cstheme="minorHAnsi"/>
          <w:color w:val="auto"/>
          <w:sz w:val="22"/>
          <w:szCs w:val="22"/>
        </w:rPr>
      </w:pPr>
      <w:r w:rsidRPr="00A46135">
        <w:rPr>
          <w:rFonts w:asciiTheme="minorHAnsi" w:hAnsiTheme="minorHAnsi" w:cstheme="minorHAnsi"/>
          <w:color w:val="auto"/>
          <w:sz w:val="22"/>
          <w:szCs w:val="22"/>
        </w:rPr>
        <w:t>AASB 2020-9</w:t>
      </w:r>
      <w:r w:rsidRPr="00A46135">
        <w:rPr>
          <w:rFonts w:cstheme="minorHAnsi"/>
          <w:sz w:val="22"/>
          <w:szCs w:val="22"/>
        </w:rPr>
        <w:t xml:space="preserve"> </w:t>
      </w:r>
      <w:r w:rsidRPr="00A46135">
        <w:rPr>
          <w:rFonts w:asciiTheme="minorHAnsi" w:hAnsiTheme="minorHAnsi" w:cstheme="minorHAnsi"/>
          <w:color w:val="auto"/>
          <w:sz w:val="22"/>
          <w:szCs w:val="22"/>
        </w:rPr>
        <w:t xml:space="preserve">also makes various editorial corrections to AASB 1060 </w:t>
      </w:r>
      <w:r w:rsidRPr="00A46135">
        <w:rPr>
          <w:rFonts w:asciiTheme="minorHAnsi" w:hAnsiTheme="minorHAnsi" w:cstheme="minorHAnsi"/>
          <w:i/>
          <w:iCs/>
          <w:color w:val="auto"/>
          <w:sz w:val="22"/>
          <w:szCs w:val="22"/>
        </w:rPr>
        <w:t>General Purpose Financial Statements – Simplified Disclosures for For-Profit and Not-for-Profit Tier 2 Entities</w:t>
      </w:r>
      <w:r w:rsidRPr="00A46135">
        <w:rPr>
          <w:rFonts w:asciiTheme="minorHAnsi" w:hAnsiTheme="minorHAnsi" w:cstheme="minorHAnsi"/>
          <w:color w:val="auto"/>
          <w:sz w:val="22"/>
          <w:szCs w:val="22"/>
        </w:rPr>
        <w:t>.</w:t>
      </w:r>
    </w:p>
    <w:p w14:paraId="72CF40D0" w14:textId="77777777" w:rsidR="0094757A" w:rsidRPr="00A46135" w:rsidRDefault="0094757A" w:rsidP="00BA379B">
      <w:pPr>
        <w:pStyle w:val="Default"/>
        <w:spacing w:after="120" w:line="276" w:lineRule="auto"/>
        <w:jc w:val="both"/>
        <w:rPr>
          <w:rFonts w:asciiTheme="minorHAnsi" w:hAnsiTheme="minorHAnsi" w:cstheme="minorHAnsi"/>
          <w:b/>
          <w:bCs/>
          <w:color w:val="auto"/>
          <w:sz w:val="22"/>
          <w:szCs w:val="22"/>
        </w:rPr>
      </w:pPr>
      <w:r w:rsidRPr="00A46135">
        <w:rPr>
          <w:rFonts w:asciiTheme="minorHAnsi" w:hAnsiTheme="minorHAnsi" w:cstheme="minorHAnsi"/>
          <w:b/>
          <w:bCs/>
          <w:color w:val="auto"/>
          <w:sz w:val="22"/>
          <w:szCs w:val="22"/>
        </w:rPr>
        <w:t>Impact</w:t>
      </w:r>
    </w:p>
    <w:p w14:paraId="13F66F11" w14:textId="4319DE7B" w:rsidR="0094757A" w:rsidRDefault="0094757A" w:rsidP="00BA379B">
      <w:pPr>
        <w:spacing w:after="120" w:line="276" w:lineRule="auto"/>
        <w:jc w:val="both"/>
        <w:rPr>
          <w:rFonts w:cstheme="minorHAnsi"/>
          <w:sz w:val="22"/>
          <w:szCs w:val="22"/>
        </w:rPr>
      </w:pPr>
      <w:r w:rsidRPr="00120290">
        <w:rPr>
          <w:rFonts w:cstheme="minorHAnsi"/>
          <w:b/>
          <w:bCs/>
          <w:sz w:val="22"/>
          <w:szCs w:val="22"/>
        </w:rPr>
        <w:t>It is ACT Government Disclosure Policy that agencies which are consolidated into the Whole of Government financial statements are not allowed to adopt Tier 2 reporting.</w:t>
      </w:r>
      <w:r w:rsidRPr="00A46135">
        <w:rPr>
          <w:rFonts w:cstheme="minorHAnsi"/>
          <w:sz w:val="22"/>
          <w:szCs w:val="22"/>
        </w:rPr>
        <w:t xml:space="preserve">  As a result, this standard will not apply to directorates and territory authorities. </w:t>
      </w:r>
    </w:p>
    <w:p w14:paraId="5278F56A" w14:textId="77777777" w:rsidR="00911CAE" w:rsidRPr="00A46135" w:rsidRDefault="00911CAE" w:rsidP="0094757A">
      <w:pPr>
        <w:spacing w:after="120" w:line="276" w:lineRule="auto"/>
        <w:rPr>
          <w:rFonts w:cstheme="minorHAnsi"/>
          <w:sz w:val="22"/>
          <w:szCs w:val="22"/>
        </w:rPr>
      </w:pPr>
    </w:p>
    <w:p w14:paraId="1F37F0D4" w14:textId="174E89D5" w:rsidR="0094757A" w:rsidRPr="00E27AE0" w:rsidRDefault="0094757A" w:rsidP="00A60F3C">
      <w:pPr>
        <w:pStyle w:val="Heading3"/>
        <w:numPr>
          <w:ilvl w:val="2"/>
          <w:numId w:val="9"/>
        </w:numPr>
        <w:spacing w:before="360" w:after="120" w:line="320" w:lineRule="exact"/>
        <w:ind w:left="1134" w:hanging="1077"/>
        <w:rPr>
          <w:rFonts w:cstheme="minorHAnsi"/>
          <w:b w:val="0"/>
          <w:bCs/>
          <w:i/>
          <w:iCs/>
        </w:rPr>
      </w:pPr>
      <w:bookmarkStart w:id="133" w:name="_Toc74743680"/>
      <w:bookmarkStart w:id="134" w:name="_Hlk77924405"/>
      <w:r w:rsidRPr="00E27AE0">
        <w:rPr>
          <w:iCs/>
        </w:rPr>
        <w:lastRenderedPageBreak/>
        <w:t>AASB 2021-1 Amendments to Australian Accounting Standards – Transition to Tier</w:t>
      </w:r>
      <w:r>
        <w:rPr>
          <w:iCs/>
        </w:rPr>
        <w:t> </w:t>
      </w:r>
      <w:r w:rsidRPr="00E27AE0">
        <w:rPr>
          <w:iCs/>
        </w:rPr>
        <w:t>2: Simplified Disclosures for Not-for-Profit Entities</w:t>
      </w:r>
      <w:bookmarkEnd w:id="133"/>
    </w:p>
    <w:bookmarkEnd w:id="134"/>
    <w:p w14:paraId="401EA964" w14:textId="77777777" w:rsidR="0094757A" w:rsidRPr="00FE3BDC" w:rsidRDefault="0094757A" w:rsidP="00BA379B">
      <w:pPr>
        <w:spacing w:after="120" w:line="276" w:lineRule="auto"/>
        <w:jc w:val="both"/>
        <w:rPr>
          <w:rFonts w:cstheme="minorHAnsi"/>
          <w:b/>
          <w:bCs/>
          <w:sz w:val="22"/>
          <w:szCs w:val="22"/>
        </w:rPr>
      </w:pPr>
      <w:r w:rsidRPr="00FE3BDC">
        <w:rPr>
          <w:rFonts w:cstheme="minorHAnsi"/>
          <w:b/>
          <w:bCs/>
          <w:sz w:val="22"/>
          <w:szCs w:val="22"/>
        </w:rPr>
        <w:t>Background</w:t>
      </w:r>
    </w:p>
    <w:p w14:paraId="735539E4" w14:textId="77777777" w:rsidR="0094757A" w:rsidRPr="00FE3BDC" w:rsidRDefault="0094757A" w:rsidP="00BA379B">
      <w:pPr>
        <w:spacing w:after="120" w:line="276" w:lineRule="auto"/>
        <w:jc w:val="both"/>
        <w:rPr>
          <w:sz w:val="22"/>
          <w:szCs w:val="22"/>
        </w:rPr>
      </w:pPr>
      <w:r w:rsidRPr="00FE3BDC">
        <w:rPr>
          <w:sz w:val="22"/>
          <w:szCs w:val="22"/>
        </w:rPr>
        <w:t xml:space="preserve">AASB 2021-1 amends AASB 1060 to provide not-for-profit entities with optional relief from presenting comparative information in the notes to the financial statements where an agency did not disclose the comparable information in its prior financial statements.  This optional relief relates to certain circumstances where an agency does not have to present comparative information in the notes to the financial statements when transitioning from either: </w:t>
      </w:r>
    </w:p>
    <w:p w14:paraId="279AD47E" w14:textId="77777777" w:rsidR="0094757A" w:rsidRPr="00FE3BDC" w:rsidRDefault="0094757A" w:rsidP="00BA379B">
      <w:pPr>
        <w:pStyle w:val="ListParagraph"/>
        <w:numPr>
          <w:ilvl w:val="0"/>
          <w:numId w:val="41"/>
        </w:numPr>
        <w:spacing w:after="120" w:line="276" w:lineRule="auto"/>
        <w:contextualSpacing w:val="0"/>
        <w:jc w:val="both"/>
        <w:rPr>
          <w:szCs w:val="22"/>
        </w:rPr>
      </w:pPr>
      <w:r w:rsidRPr="00FE3BDC">
        <w:rPr>
          <w:szCs w:val="22"/>
        </w:rPr>
        <w:t xml:space="preserve">Tier 1: Australian Accounting Standards </w:t>
      </w:r>
      <w:r w:rsidRPr="00FE3BDC">
        <w:rPr>
          <w:b/>
          <w:bCs/>
          <w:szCs w:val="22"/>
        </w:rPr>
        <w:t>or</w:t>
      </w:r>
      <w:r w:rsidRPr="00FE3BDC">
        <w:rPr>
          <w:szCs w:val="22"/>
        </w:rPr>
        <w:t xml:space="preserve"> Tier 2: Australian Accounting Standards – Reduced Disclosure Requirements; </w:t>
      </w:r>
      <w:r w:rsidRPr="00FE3BDC">
        <w:rPr>
          <w:b/>
          <w:bCs/>
          <w:szCs w:val="22"/>
        </w:rPr>
        <w:t>to</w:t>
      </w:r>
      <w:r w:rsidRPr="00FE3BDC">
        <w:rPr>
          <w:szCs w:val="22"/>
        </w:rPr>
        <w:t xml:space="preserve"> </w:t>
      </w:r>
    </w:p>
    <w:p w14:paraId="79D6B891" w14:textId="77777777" w:rsidR="0094757A" w:rsidRPr="00FE3BDC" w:rsidRDefault="0094757A" w:rsidP="00BA379B">
      <w:pPr>
        <w:pStyle w:val="ListParagraph"/>
        <w:numPr>
          <w:ilvl w:val="0"/>
          <w:numId w:val="41"/>
        </w:numPr>
        <w:spacing w:after="120" w:line="276" w:lineRule="auto"/>
        <w:contextualSpacing w:val="0"/>
        <w:jc w:val="both"/>
        <w:rPr>
          <w:szCs w:val="22"/>
        </w:rPr>
      </w:pPr>
      <w:bookmarkStart w:id="135" w:name="_Hlk74650795"/>
      <w:r w:rsidRPr="00FE3BDC">
        <w:rPr>
          <w:szCs w:val="22"/>
        </w:rPr>
        <w:t xml:space="preserve">Tier 2: Australian Accounting Standards </w:t>
      </w:r>
      <w:bookmarkEnd w:id="135"/>
      <w:r w:rsidRPr="00FE3BDC">
        <w:rPr>
          <w:szCs w:val="22"/>
        </w:rPr>
        <w:t>– Simplified Disclosures.</w:t>
      </w:r>
    </w:p>
    <w:p w14:paraId="3D7387DD" w14:textId="77777777" w:rsidR="0094757A" w:rsidRPr="00FE3BDC" w:rsidRDefault="0094757A" w:rsidP="00BA379B">
      <w:pPr>
        <w:spacing w:after="120" w:line="276" w:lineRule="auto"/>
        <w:jc w:val="both"/>
        <w:rPr>
          <w:rFonts w:cs="Calibri"/>
          <w:sz w:val="22"/>
          <w:szCs w:val="22"/>
        </w:rPr>
      </w:pPr>
      <w:r w:rsidRPr="00FE3BDC">
        <w:rPr>
          <w:sz w:val="22"/>
          <w:szCs w:val="22"/>
        </w:rPr>
        <w:t>This relief is available to not-for-profit entities for a reporting period prior to the agency’s mandatory application of AASB 1060.</w:t>
      </w:r>
    </w:p>
    <w:p w14:paraId="1430066D" w14:textId="77777777" w:rsidR="0094757A" w:rsidRPr="00FE3BDC" w:rsidRDefault="0094757A" w:rsidP="00BA379B">
      <w:pPr>
        <w:spacing w:after="120" w:line="276" w:lineRule="auto"/>
        <w:jc w:val="both"/>
        <w:rPr>
          <w:rFonts w:cstheme="minorHAnsi"/>
          <w:b/>
          <w:bCs/>
          <w:sz w:val="22"/>
          <w:szCs w:val="22"/>
        </w:rPr>
      </w:pPr>
      <w:r w:rsidRPr="00FE3BDC">
        <w:rPr>
          <w:rFonts w:cstheme="minorHAnsi"/>
          <w:b/>
          <w:bCs/>
          <w:sz w:val="22"/>
          <w:szCs w:val="22"/>
        </w:rPr>
        <w:t>Impact</w:t>
      </w:r>
    </w:p>
    <w:p w14:paraId="11732E9C" w14:textId="4A77EE9C" w:rsidR="0094757A" w:rsidRDefault="0094757A" w:rsidP="00BA379B">
      <w:pPr>
        <w:spacing w:after="120" w:line="276" w:lineRule="auto"/>
        <w:jc w:val="both"/>
        <w:rPr>
          <w:rFonts w:cstheme="minorHAnsi"/>
          <w:sz w:val="22"/>
          <w:szCs w:val="22"/>
        </w:rPr>
      </w:pPr>
      <w:r w:rsidRPr="00FE3BDC">
        <w:rPr>
          <w:rFonts w:cstheme="minorHAnsi"/>
          <w:b/>
          <w:bCs/>
          <w:sz w:val="22"/>
          <w:szCs w:val="22"/>
        </w:rPr>
        <w:t>It is ACT Government Disclosure Policy that agencies which are consolidated into the Whole</w:t>
      </w:r>
      <w:r>
        <w:rPr>
          <w:rFonts w:cstheme="minorHAnsi"/>
          <w:b/>
          <w:bCs/>
          <w:sz w:val="22"/>
          <w:szCs w:val="22"/>
        </w:rPr>
        <w:t>-</w:t>
      </w:r>
      <w:r w:rsidRPr="00FE3BDC">
        <w:rPr>
          <w:rFonts w:cstheme="minorHAnsi"/>
          <w:b/>
          <w:bCs/>
          <w:sz w:val="22"/>
          <w:szCs w:val="22"/>
        </w:rPr>
        <w:t>of</w:t>
      </w:r>
      <w:r>
        <w:rPr>
          <w:rFonts w:cstheme="minorHAnsi"/>
          <w:b/>
          <w:bCs/>
          <w:sz w:val="22"/>
          <w:szCs w:val="22"/>
        </w:rPr>
        <w:t>-</w:t>
      </w:r>
      <w:r w:rsidRPr="00FE3BDC">
        <w:rPr>
          <w:rFonts w:cstheme="minorHAnsi"/>
          <w:b/>
          <w:bCs/>
          <w:sz w:val="22"/>
          <w:szCs w:val="22"/>
        </w:rPr>
        <w:t>Government financial statements are not allowed to adopt Tier 2 reporting.</w:t>
      </w:r>
      <w:r w:rsidRPr="00FE3BDC">
        <w:rPr>
          <w:rFonts w:cstheme="minorHAnsi"/>
          <w:sz w:val="22"/>
          <w:szCs w:val="22"/>
        </w:rPr>
        <w:t xml:space="preserve">  As a result, this standard will not apply to directorates and territory authorities.</w:t>
      </w:r>
    </w:p>
    <w:p w14:paraId="7609B00F" w14:textId="4CA8EAA7" w:rsidR="005E5FEC" w:rsidRDefault="005E5FEC" w:rsidP="0094757A">
      <w:pPr>
        <w:spacing w:after="120" w:line="276" w:lineRule="auto"/>
        <w:rPr>
          <w:rFonts w:cstheme="minorHAnsi"/>
          <w:sz w:val="22"/>
          <w:szCs w:val="22"/>
        </w:rPr>
      </w:pPr>
    </w:p>
    <w:p w14:paraId="4A4E9A32" w14:textId="2493ACF2" w:rsidR="005E5FEC" w:rsidRPr="005E5FEC" w:rsidRDefault="005E5FEC" w:rsidP="005E5FEC">
      <w:pPr>
        <w:pStyle w:val="Heading3"/>
        <w:numPr>
          <w:ilvl w:val="0"/>
          <w:numId w:val="0"/>
        </w:numPr>
        <w:spacing w:before="360" w:after="120" w:line="320" w:lineRule="exact"/>
        <w:ind w:left="1134" w:hanging="1276"/>
        <w:rPr>
          <w:bCs/>
          <w:i/>
          <w:iCs/>
        </w:rPr>
      </w:pPr>
      <w:r w:rsidRPr="005E5FEC">
        <w:rPr>
          <w:i/>
        </w:rPr>
        <w:t>3.2.10</w:t>
      </w:r>
      <w:r>
        <w:rPr>
          <w:iCs/>
        </w:rPr>
        <w:tab/>
      </w:r>
      <w:r w:rsidRPr="005E5FEC">
        <w:rPr>
          <w:iCs/>
        </w:rPr>
        <w:t>AASB 2021-5 Amendments to Australian Accounting Standards –</w:t>
      </w:r>
      <w:r>
        <w:rPr>
          <w:iCs/>
        </w:rPr>
        <w:t xml:space="preserve"> </w:t>
      </w:r>
      <w:r w:rsidRPr="005E5FEC">
        <w:t>Deferred Tax related to Assets and Liabilities arising from a Single Transaction</w:t>
      </w:r>
      <w:r w:rsidRPr="005E5FEC">
        <w:rPr>
          <w:iCs/>
        </w:rPr>
        <w:t xml:space="preserve"> (appl. 1 January 2023)</w:t>
      </w:r>
    </w:p>
    <w:p w14:paraId="447E4E46" w14:textId="77777777" w:rsidR="005E5FEC" w:rsidRPr="005E5FEC" w:rsidRDefault="005E5FEC" w:rsidP="00BA379B">
      <w:pPr>
        <w:spacing w:after="120" w:line="276" w:lineRule="auto"/>
        <w:jc w:val="both"/>
        <w:rPr>
          <w:rFonts w:cstheme="minorHAnsi"/>
          <w:b/>
          <w:sz w:val="22"/>
          <w:szCs w:val="22"/>
        </w:rPr>
      </w:pPr>
      <w:r w:rsidRPr="005E5FEC">
        <w:rPr>
          <w:rFonts w:cstheme="minorHAnsi"/>
          <w:b/>
          <w:sz w:val="22"/>
          <w:szCs w:val="22"/>
        </w:rPr>
        <w:t>Background</w:t>
      </w:r>
    </w:p>
    <w:p w14:paraId="3C8DB2AA" w14:textId="77777777" w:rsidR="005E5FEC" w:rsidRPr="005E5FEC" w:rsidRDefault="005E5FEC" w:rsidP="00BA379B">
      <w:pPr>
        <w:spacing w:after="120" w:line="276" w:lineRule="auto"/>
        <w:jc w:val="both"/>
        <w:rPr>
          <w:rFonts w:cstheme="minorHAnsi"/>
          <w:sz w:val="22"/>
          <w:szCs w:val="22"/>
        </w:rPr>
      </w:pPr>
      <w:r w:rsidRPr="005E5FEC">
        <w:rPr>
          <w:rFonts w:cstheme="minorHAnsi"/>
          <w:sz w:val="22"/>
          <w:szCs w:val="22"/>
        </w:rPr>
        <w:t>This Standard amends AASB 112 to clarify the accounting for deferred tax on transactions that, at the time of the transaction, give rise to equal taxable and deductible temporary differences. In specified circumstances, entities are exempt from recognising deferred tax when they recognise assets or liabilities for the first time. The amendments clarify that the exemption does not apply to transactions for which entities recognise both an asset and a liability and that give rise to equal taxable and deductible temporary differences. This may be the case for transactions such as leases and decommissioning, restoration and similar obligations. Entities are required to recognise deferred tax on such transactions.</w:t>
      </w:r>
    </w:p>
    <w:p w14:paraId="230BF86E" w14:textId="77777777" w:rsidR="005E5FEC" w:rsidRPr="005E5FEC" w:rsidRDefault="005E5FEC" w:rsidP="00BA379B">
      <w:pPr>
        <w:spacing w:after="120" w:line="276" w:lineRule="auto"/>
        <w:jc w:val="both"/>
        <w:rPr>
          <w:rFonts w:cstheme="minorHAnsi"/>
          <w:sz w:val="22"/>
          <w:szCs w:val="22"/>
        </w:rPr>
      </w:pPr>
      <w:r w:rsidRPr="005E5FEC">
        <w:rPr>
          <w:rFonts w:cstheme="minorHAnsi"/>
          <w:sz w:val="22"/>
          <w:szCs w:val="22"/>
        </w:rPr>
        <w:t xml:space="preserve">The Standard amends AASB 1 to require deferred tax related to leases and decommissioning, restoration and similar obligations to be recognised by first-time adopters at the date of transition to Australian Accounting Standards, despite the exemption set out in AASB 112.  </w:t>
      </w:r>
    </w:p>
    <w:p w14:paraId="1D46512E" w14:textId="77777777" w:rsidR="005E5FEC" w:rsidRPr="005E5FEC" w:rsidRDefault="005E5FEC" w:rsidP="00BA379B">
      <w:pPr>
        <w:spacing w:after="120" w:line="276" w:lineRule="auto"/>
        <w:jc w:val="both"/>
        <w:rPr>
          <w:rFonts w:cstheme="minorHAnsi"/>
          <w:b/>
          <w:sz w:val="22"/>
          <w:szCs w:val="22"/>
        </w:rPr>
      </w:pPr>
      <w:r w:rsidRPr="005E5FEC">
        <w:rPr>
          <w:rFonts w:cstheme="minorHAnsi"/>
          <w:b/>
          <w:sz w:val="22"/>
          <w:szCs w:val="22"/>
        </w:rPr>
        <w:t>Impact</w:t>
      </w:r>
    </w:p>
    <w:p w14:paraId="2DA5148C" w14:textId="77777777" w:rsidR="005E5FEC" w:rsidRPr="005E5FEC" w:rsidRDefault="005E5FEC" w:rsidP="00BA379B">
      <w:pPr>
        <w:spacing w:after="120" w:line="276" w:lineRule="auto"/>
        <w:jc w:val="both"/>
        <w:rPr>
          <w:rFonts w:cstheme="minorHAnsi"/>
          <w:sz w:val="22"/>
          <w:szCs w:val="22"/>
        </w:rPr>
      </w:pPr>
      <w:r w:rsidRPr="005E5FEC">
        <w:rPr>
          <w:rFonts w:cstheme="minorHAnsi"/>
          <w:sz w:val="22"/>
          <w:szCs w:val="22"/>
        </w:rPr>
        <w:t>Directorates and territory authorities do not generally have any deferred tax on transactions and as such this standard will not apply to most agencies.  Directorates and territory authorities that do have deferred tax on transactions will need to assess the impacts of this standard.</w:t>
      </w:r>
    </w:p>
    <w:p w14:paraId="59EB14E7" w14:textId="70BBC916" w:rsidR="009B0E16" w:rsidRPr="00570409" w:rsidRDefault="009B0E16" w:rsidP="0094757A">
      <w:pPr>
        <w:pStyle w:val="ListParagraph"/>
        <w:spacing w:after="120" w:line="276" w:lineRule="auto"/>
        <w:ind w:left="0"/>
        <w:contextualSpacing w:val="0"/>
        <w:rPr>
          <w:rFonts w:cs="Arial"/>
          <w:color w:val="101010"/>
          <w:sz w:val="22"/>
          <w:szCs w:val="22"/>
          <w:lang w:val="en"/>
        </w:rPr>
      </w:pPr>
    </w:p>
    <w:p w14:paraId="2253BBED" w14:textId="77777777" w:rsidR="000715C4" w:rsidRDefault="000715C4" w:rsidP="00E70895">
      <w:pPr>
        <w:pStyle w:val="Bullet1"/>
        <w:numPr>
          <w:ilvl w:val="0"/>
          <w:numId w:val="0"/>
        </w:numPr>
        <w:ind w:left="360"/>
        <w:rPr>
          <w:sz w:val="21"/>
          <w:szCs w:val="21"/>
        </w:rPr>
        <w:sectPr w:rsidR="000715C4" w:rsidSect="00D53521">
          <w:headerReference w:type="default" r:id="rId19"/>
          <w:footerReference w:type="default" r:id="rId20"/>
          <w:type w:val="continuous"/>
          <w:pgSz w:w="11906" w:h="16838" w:code="9"/>
          <w:pgMar w:top="1276" w:right="1418" w:bottom="993" w:left="1418" w:header="567" w:footer="184" w:gutter="0"/>
          <w:cols w:space="708"/>
          <w:docGrid w:linePitch="360"/>
        </w:sectPr>
      </w:pPr>
    </w:p>
    <w:p w14:paraId="42BC44CD" w14:textId="619CEAF9" w:rsidR="000715C4" w:rsidRPr="003A6F39" w:rsidRDefault="000715C4" w:rsidP="001B22DE">
      <w:pPr>
        <w:pStyle w:val="Heading1"/>
        <w:numPr>
          <w:ilvl w:val="0"/>
          <w:numId w:val="0"/>
        </w:numPr>
      </w:pPr>
      <w:bookmarkStart w:id="137" w:name="_Toc74743681"/>
      <w:bookmarkStart w:id="138" w:name="_Hlk70420261"/>
      <w:r w:rsidRPr="003A6F39">
        <w:lastRenderedPageBreak/>
        <w:t>ATTACHMENT A</w:t>
      </w:r>
      <w:r w:rsidR="003A6F39" w:rsidRPr="003A6F39">
        <w:t xml:space="preserve"> </w:t>
      </w:r>
      <w:r w:rsidR="005D1F71">
        <w:t>–</w:t>
      </w:r>
      <w:r w:rsidR="003A6F39">
        <w:t xml:space="preserve"> </w:t>
      </w:r>
      <w:r w:rsidR="008F1E9B">
        <w:t>2</w:t>
      </w:r>
      <w:r w:rsidR="005D1F71">
        <w:t>020-21</w:t>
      </w:r>
      <w:r w:rsidR="005D1F71" w:rsidRPr="005D1F71">
        <w:t xml:space="preserve"> Model Financial Statement Disclosures for </w:t>
      </w:r>
      <w:r w:rsidR="008F1E9B">
        <w:t>STANDARDS ISSUED BUT YET TO BE APPLIED</w:t>
      </w:r>
      <w:bookmarkEnd w:id="137"/>
      <w:r w:rsidR="005D1F71" w:rsidRPr="003A6F39">
        <w:t xml:space="preserve"> </w:t>
      </w:r>
    </w:p>
    <w:p w14:paraId="66B9731F" w14:textId="77777777" w:rsidR="008F1E9B" w:rsidRPr="00790F13" w:rsidRDefault="008F1E9B" w:rsidP="00BA379B">
      <w:pPr>
        <w:spacing w:after="120"/>
        <w:jc w:val="both"/>
        <w:rPr>
          <w:rFonts w:cs="Calibri"/>
          <w:b/>
          <w:sz w:val="22"/>
          <w:szCs w:val="22"/>
        </w:rPr>
      </w:pPr>
      <w:r w:rsidRPr="00790F13">
        <w:rPr>
          <w:rFonts w:cs="Calibri"/>
          <w:b/>
          <w:sz w:val="22"/>
          <w:szCs w:val="22"/>
        </w:rPr>
        <w:t>Background</w:t>
      </w:r>
    </w:p>
    <w:p w14:paraId="73825B74" w14:textId="77777777" w:rsidR="008F1E9B" w:rsidRPr="00790F13" w:rsidRDefault="008F1E9B" w:rsidP="00BA379B">
      <w:pPr>
        <w:spacing w:after="120" w:line="276" w:lineRule="auto"/>
        <w:jc w:val="both"/>
        <w:rPr>
          <w:rFonts w:cs="Calibri"/>
          <w:sz w:val="22"/>
          <w:szCs w:val="22"/>
        </w:rPr>
      </w:pPr>
      <w:r w:rsidRPr="00790F13">
        <w:rPr>
          <w:rFonts w:cs="Calibri"/>
          <w:sz w:val="22"/>
          <w:szCs w:val="22"/>
        </w:rPr>
        <w:t xml:space="preserve">Given that none of the standards issued but yet to be applied will impact most directorates and territory authorities, these agencies can use the below ‘Impact of Accounting Standards Issued but yet to be Applied’ example disclosure (highlighted in blue) in their 2020-21 financial statements.  </w:t>
      </w:r>
      <w:r w:rsidRPr="00790F13">
        <w:rPr>
          <w:rFonts w:cs="Calibri"/>
          <w:b/>
          <w:bCs/>
          <w:sz w:val="22"/>
          <w:szCs w:val="22"/>
        </w:rPr>
        <w:t xml:space="preserve">Please note </w:t>
      </w:r>
      <w:r w:rsidRPr="00790F13">
        <w:rPr>
          <w:rFonts w:cs="Calibri"/>
          <w:b/>
          <w:sz w:val="22"/>
          <w:szCs w:val="22"/>
        </w:rPr>
        <w:t xml:space="preserve">– where there is one or more of these standards that do apply to an agency and have a material financial impact or where the impact on the agency has not yet been assessed the example </w:t>
      </w:r>
      <w:proofErr w:type="spellStart"/>
      <w:r w:rsidRPr="00790F13">
        <w:rPr>
          <w:rFonts w:cs="Calibri"/>
          <w:b/>
          <w:sz w:val="22"/>
          <w:szCs w:val="22"/>
        </w:rPr>
        <w:t>disclsoure</w:t>
      </w:r>
      <w:proofErr w:type="spellEnd"/>
      <w:r w:rsidRPr="00790F13">
        <w:rPr>
          <w:rFonts w:cs="Calibri"/>
          <w:b/>
          <w:sz w:val="22"/>
          <w:szCs w:val="22"/>
        </w:rPr>
        <w:t xml:space="preserve"> must be tailored to include the detail of the standards that are applicable to that agency.</w:t>
      </w:r>
      <w:r w:rsidRPr="00790F13">
        <w:rPr>
          <w:rFonts w:cs="Calibri"/>
          <w:color w:val="FF0000"/>
          <w:sz w:val="22"/>
          <w:szCs w:val="22"/>
        </w:rPr>
        <w:t xml:space="preserve"> </w:t>
      </w:r>
    </w:p>
    <w:p w14:paraId="6AFB6042" w14:textId="77777777" w:rsidR="008F1E9B" w:rsidRPr="00790F13" w:rsidRDefault="008F1E9B" w:rsidP="00BA379B">
      <w:pPr>
        <w:spacing w:after="120" w:line="276" w:lineRule="auto"/>
        <w:jc w:val="both"/>
        <w:rPr>
          <w:rFonts w:cs="Calibri"/>
          <w:sz w:val="22"/>
          <w:szCs w:val="22"/>
        </w:rPr>
      </w:pPr>
      <w:r w:rsidRPr="00790F13">
        <w:rPr>
          <w:rFonts w:cs="Calibri"/>
          <w:sz w:val="22"/>
          <w:szCs w:val="22"/>
        </w:rPr>
        <w:t xml:space="preserve">The disclosure below is applicable to ‘Example Agency’.  A complete list of standards for the consideration of each agency can be found in Section 3 of this paper, and each of these standards and interpretations are also discussed in Section 3.   </w:t>
      </w:r>
    </w:p>
    <w:p w14:paraId="48A8AC34" w14:textId="77777777" w:rsidR="008F1E9B" w:rsidRDefault="008F1E9B" w:rsidP="008F1E9B">
      <w:pPr>
        <w:ind w:right="-1"/>
        <w:rPr>
          <w:rFonts w:cs="Calibri"/>
        </w:rPr>
      </w:pPr>
    </w:p>
    <w:p w14:paraId="09E313D8" w14:textId="29128223" w:rsidR="008F1E9B" w:rsidRDefault="008F1E9B" w:rsidP="008F1E9B">
      <w:pPr>
        <w:spacing w:before="240" w:after="120" w:line="240" w:lineRule="auto"/>
        <w:ind w:right="-1"/>
        <w:jc w:val="center"/>
        <w:rPr>
          <w:rFonts w:cs="Calibri"/>
          <w:b/>
          <w:bCs/>
          <w:sz w:val="36"/>
          <w:szCs w:val="36"/>
        </w:rPr>
      </w:pPr>
      <w:r w:rsidRPr="0096496C">
        <w:rPr>
          <w:rFonts w:cs="Calibri"/>
          <w:b/>
          <w:bCs/>
          <w:sz w:val="36"/>
          <w:szCs w:val="36"/>
        </w:rPr>
        <w:t>EXAMPLE DISCLOSURE</w:t>
      </w:r>
    </w:p>
    <w:p w14:paraId="52BDBAC4" w14:textId="77777777" w:rsidR="005D1F71" w:rsidRDefault="008F1E9B" w:rsidP="006E3448">
      <w:pPr>
        <w:spacing w:before="240" w:after="120" w:line="240" w:lineRule="auto"/>
        <w:jc w:val="center"/>
        <w:rPr>
          <w:sz w:val="22"/>
          <w:szCs w:val="22"/>
        </w:rPr>
      </w:pPr>
      <w:r>
        <w:rPr>
          <w:rFonts w:cs="Calibri"/>
          <w:b/>
          <w:bCs/>
          <w:sz w:val="36"/>
          <w:szCs w:val="36"/>
        </w:rPr>
        <w:t>(Disclosure in Blue and Commentary in Grey)</w:t>
      </w:r>
    </w:p>
    <w:p w14:paraId="3635F92E" w14:textId="77777777" w:rsidR="006E3448" w:rsidRDefault="006E3448" w:rsidP="006E3448">
      <w:pPr>
        <w:spacing w:before="240" w:after="120" w:line="240" w:lineRule="auto"/>
        <w:jc w:val="cente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E1FF" w:themeFill="text2" w:themeFillTint="66"/>
        <w:tblLook w:val="04A0" w:firstRow="1" w:lastRow="0" w:firstColumn="1" w:lastColumn="0" w:noHBand="0" w:noVBand="1"/>
      </w:tblPr>
      <w:tblGrid>
        <w:gridCol w:w="9016"/>
      </w:tblGrid>
      <w:tr w:rsidR="006E3448" w14:paraId="11802B5C" w14:textId="77777777" w:rsidTr="00D446ED">
        <w:tc>
          <w:tcPr>
            <w:tcW w:w="9016" w:type="dxa"/>
            <w:shd w:val="clear" w:color="auto" w:fill="92E1FF" w:themeFill="text2" w:themeFillTint="66"/>
          </w:tcPr>
          <w:p w14:paraId="269177EB" w14:textId="77777777" w:rsidR="006E3448" w:rsidRPr="00790F13" w:rsidRDefault="006E3448" w:rsidP="006E3448">
            <w:pPr>
              <w:pStyle w:val="Normal1"/>
              <w:rPr>
                <w:b/>
                <w:bCs/>
                <w:sz w:val="32"/>
                <w:szCs w:val="32"/>
              </w:rPr>
            </w:pPr>
            <w:bookmarkStart w:id="139" w:name="_Toc43899051"/>
            <w:bookmarkStart w:id="140" w:name="_Toc73625868"/>
            <w:bookmarkStart w:id="141" w:name="AppendixCImpactAS"/>
            <w:r w:rsidRPr="00790F13">
              <w:rPr>
                <w:b/>
                <w:bCs/>
                <w:sz w:val="32"/>
                <w:szCs w:val="32"/>
              </w:rPr>
              <w:t>Appendix C – Impact of Accounting Standards Issued But Yet to Be Applied</w:t>
            </w:r>
            <w:bookmarkEnd w:id="139"/>
            <w:bookmarkEnd w:id="140"/>
          </w:p>
          <w:bookmarkEnd w:id="141"/>
          <w:p w14:paraId="73462CB3" w14:textId="77777777" w:rsidR="00790F13" w:rsidRDefault="00790F13" w:rsidP="00E46432">
            <w:pPr>
              <w:pStyle w:val="CommentText"/>
              <w:rPr>
                <w:rFonts w:cs="Calibri"/>
                <w:sz w:val="24"/>
              </w:rPr>
            </w:pPr>
          </w:p>
          <w:p w14:paraId="35B23702" w14:textId="6EDB6F35" w:rsidR="006E3448" w:rsidRPr="00790F13" w:rsidRDefault="006E3448" w:rsidP="00D446ED">
            <w:pPr>
              <w:pStyle w:val="CommentText"/>
              <w:spacing w:after="120" w:line="276" w:lineRule="auto"/>
              <w:rPr>
                <w:rFonts w:cs="Calibri"/>
                <w:sz w:val="24"/>
                <w:szCs w:val="24"/>
              </w:rPr>
            </w:pPr>
            <w:r w:rsidRPr="00790F13">
              <w:rPr>
                <w:rFonts w:cs="Calibri"/>
                <w:sz w:val="24"/>
                <w:szCs w:val="24"/>
              </w:rPr>
              <w:t>The information below applies to both the Controlled and Territorial financial statements.</w:t>
            </w:r>
          </w:p>
          <w:p w14:paraId="10F509E4" w14:textId="77777777" w:rsidR="006E3448" w:rsidRPr="00790F13" w:rsidRDefault="006E3448" w:rsidP="00790F13">
            <w:pPr>
              <w:spacing w:line="276" w:lineRule="auto"/>
              <w:ind w:right="-1"/>
              <w:rPr>
                <w:rFonts w:cs="Calibri"/>
                <w:b/>
                <w:sz w:val="24"/>
                <w:szCs w:val="24"/>
              </w:rPr>
            </w:pPr>
            <w:bookmarkStart w:id="142" w:name="_Hlk45264482"/>
            <w:r w:rsidRPr="00790F13">
              <w:rPr>
                <w:rFonts w:cs="Calibri"/>
                <w:b/>
                <w:sz w:val="24"/>
                <w:szCs w:val="24"/>
              </w:rPr>
              <w:t>IMPACT OF ACCOUNTING STANDARDS ISSUED BUT YET TO BE APPLIED</w:t>
            </w:r>
          </w:p>
          <w:bookmarkEnd w:id="142"/>
          <w:p w14:paraId="23893237" w14:textId="77777777" w:rsidR="006E3448" w:rsidRPr="00790F13" w:rsidRDefault="006E3448" w:rsidP="00D446ED">
            <w:pPr>
              <w:spacing w:after="120" w:line="276" w:lineRule="auto"/>
              <w:rPr>
                <w:sz w:val="24"/>
                <w:szCs w:val="24"/>
              </w:rPr>
            </w:pPr>
            <w:r w:rsidRPr="00790F13">
              <w:rPr>
                <w:sz w:val="24"/>
                <w:szCs w:val="24"/>
              </w:rPr>
              <w:t xml:space="preserve">All Australian Accounting Standards and Interpretations issued </w:t>
            </w:r>
            <w:proofErr w:type="gramStart"/>
            <w:r w:rsidRPr="00790F13">
              <w:rPr>
                <w:sz w:val="24"/>
                <w:szCs w:val="24"/>
              </w:rPr>
              <w:t>but yet</w:t>
            </w:r>
            <w:proofErr w:type="gramEnd"/>
            <w:r w:rsidRPr="00790F13">
              <w:rPr>
                <w:sz w:val="24"/>
                <w:szCs w:val="24"/>
              </w:rPr>
              <w:t xml:space="preserve"> to be applied are either not relevant to ‘Example Agency’ or have been assessed as having an immaterial financial impact on ‘Example Agency’.  </w:t>
            </w:r>
          </w:p>
          <w:p w14:paraId="61583F45" w14:textId="77777777" w:rsidR="006E3448" w:rsidRPr="0096496C" w:rsidRDefault="006E3448" w:rsidP="00D446ED">
            <w:pPr>
              <w:spacing w:after="120" w:line="276" w:lineRule="auto"/>
            </w:pPr>
            <w:r w:rsidRPr="00790F13">
              <w:rPr>
                <w:sz w:val="24"/>
                <w:szCs w:val="24"/>
              </w:rPr>
              <w:t>These standards and interpretations are applicable to future reporting periods.  ‘Example Agency’ does not intend to adopt these standards and interpretations early.  Where applicable, these Australian Accounting Standards will be adopted from their application date.</w:t>
            </w:r>
          </w:p>
        </w:tc>
      </w:tr>
    </w:tbl>
    <w:p w14:paraId="4046FE28" w14:textId="4FA51CD9" w:rsidR="006E3448" w:rsidRPr="005D1F71" w:rsidRDefault="006E3448" w:rsidP="006E3448">
      <w:pPr>
        <w:spacing w:before="240" w:after="120" w:line="240" w:lineRule="auto"/>
        <w:rPr>
          <w:sz w:val="22"/>
          <w:szCs w:val="22"/>
        </w:rPr>
        <w:sectPr w:rsidR="006E3448" w:rsidRPr="005D1F71">
          <w:headerReference w:type="default" r:id="rId21"/>
          <w:pgSz w:w="11906" w:h="16838"/>
          <w:pgMar w:top="1440" w:right="1440" w:bottom="1440" w:left="1440" w:header="708" w:footer="708" w:gutter="0"/>
          <w:cols w:space="708"/>
          <w:docGrid w:linePitch="360"/>
        </w:sectPr>
      </w:pPr>
    </w:p>
    <w:bookmarkEnd w:id="138"/>
    <w:p w14:paraId="5EF78F6C" w14:textId="77777777" w:rsidR="00E12C15" w:rsidRDefault="00E12C15" w:rsidP="008F1E9B">
      <w:pPr>
        <w:spacing w:after="60"/>
      </w:pPr>
    </w:p>
    <w:p w14:paraId="4AAD6D85" w14:textId="77777777" w:rsidR="00E12C15" w:rsidRDefault="00E12C15" w:rsidP="008F1E9B">
      <w:pPr>
        <w:spacing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446ED" w14:paraId="6481C8A2" w14:textId="77777777" w:rsidTr="00E46432">
        <w:tc>
          <w:tcPr>
            <w:tcW w:w="9016" w:type="dxa"/>
            <w:shd w:val="clear" w:color="auto" w:fill="D9D9D9" w:themeFill="background1" w:themeFillShade="D9"/>
          </w:tcPr>
          <w:p w14:paraId="2BA5CCC8" w14:textId="77777777" w:rsidR="00D446ED" w:rsidRDefault="00D446ED" w:rsidP="00E46432">
            <w:pPr>
              <w:pStyle w:val="Appxhead2"/>
              <w:rPr>
                <w:bCs/>
                <w:sz w:val="24"/>
                <w:szCs w:val="24"/>
              </w:rPr>
            </w:pPr>
            <w:r w:rsidRPr="00740AD6">
              <w:t>Appendix C – Commentary</w:t>
            </w:r>
          </w:p>
          <w:p w14:paraId="12ADED39" w14:textId="77777777" w:rsidR="00D446ED" w:rsidRPr="00D446ED" w:rsidRDefault="00D446ED" w:rsidP="00D446ED">
            <w:pPr>
              <w:pStyle w:val="CommentaryHeading"/>
              <w:shd w:val="clear" w:color="auto" w:fill="D9D9D9" w:themeFill="background1" w:themeFillShade="D9"/>
              <w:spacing w:before="0" w:after="120" w:line="276" w:lineRule="auto"/>
              <w:ind w:right="74"/>
              <w:jc w:val="both"/>
              <w:rPr>
                <w:b w:val="0"/>
                <w:bCs w:val="0"/>
                <w:sz w:val="22"/>
                <w:szCs w:val="22"/>
              </w:rPr>
            </w:pPr>
            <w:r w:rsidRPr="00D446ED">
              <w:rPr>
                <w:b w:val="0"/>
                <w:bCs w:val="0"/>
                <w:sz w:val="22"/>
                <w:szCs w:val="22"/>
              </w:rPr>
              <w:t xml:space="preserve">The above example disclosure and this associated commentary is to assist agencies to make the necessary disclosures in their financial statements.  Agencies should make their own assessment on the impact and relevance of the standards, bearing in mind that they should only disclose those standards and amending standards that are expected to have a material impact on them or where they have not yet assessed their impact.  </w:t>
            </w:r>
          </w:p>
          <w:p w14:paraId="35727202" w14:textId="77777777" w:rsidR="00D446ED" w:rsidRPr="00D446ED" w:rsidRDefault="00D446ED" w:rsidP="00D446ED">
            <w:pPr>
              <w:pStyle w:val="CommentaryHeading"/>
              <w:shd w:val="clear" w:color="auto" w:fill="D9D9D9" w:themeFill="background1" w:themeFillShade="D9"/>
              <w:spacing w:before="0" w:after="120" w:line="276" w:lineRule="auto"/>
              <w:ind w:right="74"/>
              <w:jc w:val="both"/>
              <w:rPr>
                <w:b w:val="0"/>
                <w:bCs w:val="0"/>
                <w:sz w:val="22"/>
                <w:szCs w:val="22"/>
              </w:rPr>
            </w:pPr>
            <w:r w:rsidRPr="00D446ED">
              <w:rPr>
                <w:b w:val="0"/>
                <w:bCs w:val="0"/>
                <w:sz w:val="22"/>
                <w:szCs w:val="22"/>
              </w:rPr>
              <w:t xml:space="preserve">There are no ‘Standards Issued </w:t>
            </w:r>
            <w:proofErr w:type="gramStart"/>
            <w:r w:rsidRPr="00D446ED">
              <w:rPr>
                <w:b w:val="0"/>
                <w:bCs w:val="0"/>
                <w:sz w:val="22"/>
                <w:szCs w:val="22"/>
              </w:rPr>
              <w:t>but Yet</w:t>
            </w:r>
            <w:proofErr w:type="gramEnd"/>
            <w:r w:rsidRPr="00D446ED">
              <w:rPr>
                <w:b w:val="0"/>
                <w:bCs w:val="0"/>
                <w:sz w:val="22"/>
                <w:szCs w:val="22"/>
              </w:rPr>
              <w:t xml:space="preserve"> to be Applied’ listed in the disclosure above, as it is considered that none of these standards will be applicable to most agencies, or if applicable, will not have a material financial effect.  These standards have not been disclosed because agencies do not have to include standards that would never apply to them (</w:t>
            </w:r>
            <w:proofErr w:type="gramStart"/>
            <w:r w:rsidRPr="00D446ED">
              <w:rPr>
                <w:b w:val="0"/>
                <w:bCs w:val="0"/>
                <w:sz w:val="22"/>
                <w:szCs w:val="22"/>
              </w:rPr>
              <w:t>e.g.</w:t>
            </w:r>
            <w:proofErr w:type="gramEnd"/>
            <w:r w:rsidRPr="00D446ED">
              <w:rPr>
                <w:b w:val="0"/>
                <w:bCs w:val="0"/>
                <w:sz w:val="22"/>
                <w:szCs w:val="22"/>
              </w:rPr>
              <w:t xml:space="preserve"> AASB 129 </w:t>
            </w:r>
            <w:r w:rsidRPr="00D446ED">
              <w:rPr>
                <w:b w:val="0"/>
                <w:bCs w:val="0"/>
                <w:i/>
                <w:iCs/>
                <w:sz w:val="22"/>
                <w:szCs w:val="22"/>
              </w:rPr>
              <w:t>Financial Reporting in Hyperinflationary Economies</w:t>
            </w:r>
            <w:r w:rsidRPr="00D446ED">
              <w:rPr>
                <w:b w:val="0"/>
                <w:bCs w:val="0"/>
                <w:sz w:val="22"/>
                <w:szCs w:val="22"/>
              </w:rPr>
              <w:t>) or that do not have a material financial impact on them.  As such, most agencies will be able to simply use the disclosure wording included in the blue section above in their own financial statements.</w:t>
            </w:r>
          </w:p>
          <w:p w14:paraId="028C8974" w14:textId="77777777" w:rsidR="00D446ED" w:rsidRPr="00740AD6" w:rsidRDefault="00D446ED" w:rsidP="00D446ED">
            <w:pPr>
              <w:shd w:val="clear" w:color="auto" w:fill="D9D9D9" w:themeFill="background1" w:themeFillShade="D9"/>
              <w:spacing w:after="120" w:line="276" w:lineRule="auto"/>
              <w:rPr>
                <w:b/>
                <w:bCs/>
              </w:rPr>
            </w:pPr>
            <w:r w:rsidRPr="00D446ED">
              <w:rPr>
                <w:b/>
                <w:bCs/>
                <w:sz w:val="22"/>
                <w:szCs w:val="22"/>
              </w:rPr>
              <w:t xml:space="preserve">It is recommended that agencies review all the standards issued </w:t>
            </w:r>
            <w:proofErr w:type="gramStart"/>
            <w:r w:rsidRPr="00D446ED">
              <w:rPr>
                <w:b/>
                <w:bCs/>
                <w:sz w:val="22"/>
                <w:szCs w:val="22"/>
              </w:rPr>
              <w:t>but yet</w:t>
            </w:r>
            <w:proofErr w:type="gramEnd"/>
            <w:r w:rsidRPr="00D446ED">
              <w:rPr>
                <w:b/>
                <w:bCs/>
                <w:sz w:val="22"/>
                <w:szCs w:val="22"/>
              </w:rPr>
              <w:t xml:space="preserve"> to be applied to ensure these standards do not apply to them or they do not have a material financial impact. </w:t>
            </w:r>
          </w:p>
        </w:tc>
      </w:tr>
    </w:tbl>
    <w:p w14:paraId="7C7ED837" w14:textId="5A460151" w:rsidR="00B0598D" w:rsidRDefault="0062060D" w:rsidP="008F1E9B">
      <w:pPr>
        <w:spacing w:after="60"/>
      </w:pPr>
      <w:r>
        <w:br w:type="page"/>
      </w:r>
    </w:p>
    <w:p w14:paraId="26EF30BC" w14:textId="77777777" w:rsidR="00B0598D" w:rsidRDefault="00B0598D" w:rsidP="00E70895">
      <w:pPr>
        <w:pStyle w:val="Bullet1"/>
        <w:numPr>
          <w:ilvl w:val="0"/>
          <w:numId w:val="0"/>
        </w:numPr>
        <w:ind w:left="360"/>
        <w:rPr>
          <w:sz w:val="21"/>
          <w:szCs w:val="21"/>
        </w:rPr>
        <w:sectPr w:rsidR="00B0598D" w:rsidSect="000715C4">
          <w:headerReference w:type="default" r:id="rId22"/>
          <w:pgSz w:w="11906" w:h="16838" w:code="9"/>
          <w:pgMar w:top="1276" w:right="1418" w:bottom="993" w:left="1418" w:header="567" w:footer="184" w:gutter="0"/>
          <w:cols w:space="708"/>
          <w:docGrid w:linePitch="360"/>
        </w:sectPr>
      </w:pPr>
    </w:p>
    <w:p w14:paraId="6E5FB3BB" w14:textId="77777777" w:rsidR="00B0598D" w:rsidRDefault="00B0598D" w:rsidP="00B0598D">
      <w:pPr>
        <w:spacing w:after="0" w:line="240" w:lineRule="auto"/>
      </w:pPr>
    </w:p>
    <w:p w14:paraId="369427E9" w14:textId="687F0D82" w:rsidR="008517A1" w:rsidRDefault="008517A1" w:rsidP="00E70895">
      <w:pPr>
        <w:pStyle w:val="Bullet1"/>
        <w:numPr>
          <w:ilvl w:val="0"/>
          <w:numId w:val="0"/>
        </w:numPr>
        <w:ind w:left="360"/>
        <w:rPr>
          <w:sz w:val="21"/>
          <w:szCs w:val="21"/>
        </w:rPr>
      </w:pPr>
    </w:p>
    <w:p w14:paraId="2BE31D36" w14:textId="42E466D3" w:rsidR="00B0598D" w:rsidRDefault="00B0598D" w:rsidP="00E70895">
      <w:pPr>
        <w:pStyle w:val="Bullet1"/>
        <w:numPr>
          <w:ilvl w:val="0"/>
          <w:numId w:val="0"/>
        </w:numPr>
        <w:ind w:left="360"/>
        <w:rPr>
          <w:sz w:val="21"/>
          <w:szCs w:val="21"/>
        </w:rPr>
      </w:pPr>
    </w:p>
    <w:p w14:paraId="4F498E0F" w14:textId="53DBB462" w:rsidR="00B0598D" w:rsidRDefault="00B0598D" w:rsidP="00E70895">
      <w:pPr>
        <w:pStyle w:val="Bullet1"/>
        <w:numPr>
          <w:ilvl w:val="0"/>
          <w:numId w:val="0"/>
        </w:numPr>
        <w:ind w:left="360"/>
        <w:rPr>
          <w:sz w:val="21"/>
          <w:szCs w:val="21"/>
        </w:rPr>
      </w:pPr>
    </w:p>
    <w:p w14:paraId="2EA3F2C3" w14:textId="77777777" w:rsidR="00B0598D" w:rsidRDefault="00B0598D" w:rsidP="00E70895">
      <w:pPr>
        <w:pStyle w:val="Bullet1"/>
        <w:numPr>
          <w:ilvl w:val="0"/>
          <w:numId w:val="0"/>
        </w:numPr>
        <w:ind w:left="360"/>
        <w:rPr>
          <w:sz w:val="21"/>
          <w:szCs w:val="21"/>
        </w:rPr>
      </w:pPr>
    </w:p>
    <w:p w14:paraId="75834431" w14:textId="77777777" w:rsidR="008517A1" w:rsidRDefault="008517A1" w:rsidP="00E70895">
      <w:pPr>
        <w:pStyle w:val="Bullet1"/>
        <w:numPr>
          <w:ilvl w:val="0"/>
          <w:numId w:val="0"/>
        </w:numPr>
        <w:ind w:left="360"/>
        <w:rPr>
          <w:sz w:val="21"/>
          <w:szCs w:val="21"/>
        </w:rPr>
      </w:pPr>
    </w:p>
    <w:p w14:paraId="3AE47B5F" w14:textId="1DEDABE6" w:rsidR="00632F54" w:rsidRPr="00632F54" w:rsidRDefault="00515609" w:rsidP="002233F8">
      <w:pPr>
        <w:spacing w:line="276" w:lineRule="auto"/>
      </w:pPr>
      <w:r>
        <w:rPr>
          <w:b/>
          <w:noProof/>
          <w:color w:val="FF0000"/>
        </w:rPr>
        <mc:AlternateContent>
          <mc:Choice Requires="wps">
            <w:drawing>
              <wp:anchor distT="0" distB="0" distL="114300" distR="114300" simplePos="0" relativeHeight="251685888" behindDoc="0" locked="0" layoutInCell="1" allowOverlap="1" wp14:anchorId="151649BD" wp14:editId="72C7EBB0">
                <wp:simplePos x="0" y="0"/>
                <wp:positionH relativeFrom="column">
                  <wp:posOffset>2128190</wp:posOffset>
                </wp:positionH>
                <wp:positionV relativeFrom="paragraph">
                  <wp:posOffset>4045174</wp:posOffset>
                </wp:positionV>
                <wp:extent cx="11099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9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D0112"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7.55pt,318.5pt" to="176.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" strokecolor="#2f2f2f [3044]"/>
            </w:pict>
          </mc:Fallback>
        </mc:AlternateContent>
      </w:r>
      <w:r>
        <w:rPr>
          <w:b/>
          <w:noProof/>
          <w:color w:val="FF0000"/>
        </w:rPr>
        <mc:AlternateContent>
          <mc:Choice Requires="wps">
            <w:drawing>
              <wp:anchor distT="0" distB="0" distL="114300" distR="114300" simplePos="0" relativeHeight="251684864" behindDoc="0" locked="0" layoutInCell="1" allowOverlap="1" wp14:anchorId="4FCB02C1" wp14:editId="09474F22">
                <wp:simplePos x="0" y="0"/>
                <wp:positionH relativeFrom="column">
                  <wp:posOffset>1245503</wp:posOffset>
                </wp:positionH>
                <wp:positionV relativeFrom="paragraph">
                  <wp:posOffset>4024032</wp:posOffset>
                </wp:positionV>
                <wp:extent cx="845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4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0675C"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8.05pt,316.85pt" to="104.7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" strokecolor="#2f2f2f [3044]"/>
            </w:pict>
          </mc:Fallback>
        </mc:AlternateContent>
      </w:r>
      <w:bookmarkStart w:id="143" w:name="_Toc457377884"/>
      <w:bookmarkEnd w:id="143"/>
      <w:r w:rsidR="006D2273">
        <w:rPr>
          <w:noProof/>
        </w:rPr>
        <w:drawing>
          <wp:anchor distT="0" distB="0" distL="114300" distR="114300" simplePos="0" relativeHeight="251681792" behindDoc="1" locked="0" layoutInCell="1" allowOverlap="1" wp14:anchorId="7375332D" wp14:editId="7239403A">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144" w:name="_Toc55814473"/>
      <w:bookmarkStart w:id="145" w:name="_Toc55815582"/>
      <w:bookmarkStart w:id="146" w:name="_Toc57269502"/>
      <w:bookmarkStart w:id="147" w:name="_Toc58395019"/>
      <w:r w:rsidR="00496C0F">
        <w:rPr>
          <w:noProof/>
        </w:rPr>
        <w:drawing>
          <wp:anchor distT="0" distB="0" distL="114300" distR="114300" simplePos="0" relativeHeight="251658240" behindDoc="0" locked="0" layoutInCell="1" allowOverlap="1" wp14:anchorId="1961ED14" wp14:editId="5CD0E36B">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54B160D4" wp14:editId="33DC808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21F6" w14:textId="77777777" w:rsidR="0094757A" w:rsidRPr="000016B9" w:rsidRDefault="0094757A" w:rsidP="004D2EBC">
                            <w:pPr>
                              <w:pStyle w:val="Intro"/>
                              <w:rPr>
                                <w:caps/>
                                <w:color w:val="FFFFFF"/>
                              </w:rPr>
                            </w:pPr>
                            <w:r>
                              <w:rPr>
                                <w:color w:val="FFFFFF"/>
                              </w:rPr>
                              <w:t>Chief Minister, Treasury and Economic Development Directorate</w:t>
                            </w:r>
                          </w:p>
                          <w:p w14:paraId="7610C570" w14:textId="4D493B99" w:rsidR="0094757A" w:rsidRPr="000016B9" w:rsidRDefault="0094757A" w:rsidP="004D2EBC">
                            <w:pPr>
                              <w:pStyle w:val="Intro"/>
                              <w:rPr>
                                <w:caps/>
                                <w:color w:val="FFFFFF"/>
                              </w:rPr>
                            </w:pPr>
                            <w:r>
                              <w:rPr>
                                <w:color w:val="FFFFFF"/>
                              </w:rPr>
                              <w:t>Ju</w:t>
                            </w:r>
                            <w:r w:rsidR="003524AE">
                              <w:rPr>
                                <w:color w:val="FFFFFF"/>
                              </w:rPr>
                              <w:t>ne</w:t>
                            </w:r>
                            <w:r>
                              <w:rPr>
                                <w:color w:val="FFFFFF"/>
                              </w:rPr>
                              <w:t xml:space="preserve"> 2021</w:t>
                            </w:r>
                            <w:r w:rsidR="003524AE">
                              <w:rPr>
                                <w:color w:val="FFFFFF"/>
                              </w:rPr>
                              <w:t xml:space="preserve"> updated</w:t>
                            </w:r>
                          </w:p>
                          <w:p w14:paraId="0EF20222" w14:textId="5C7021E4" w:rsidR="0094757A" w:rsidRPr="003D4DBC" w:rsidRDefault="0094757A" w:rsidP="000016B9">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160D4"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R5Q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" filled="f" stroked="f">
                <v:textbox style="mso-fit-shape-to-text:t">
                  <w:txbxContent>
                    <w:p w14:paraId="54D121F6" w14:textId="77777777" w:rsidR="0094757A" w:rsidRPr="000016B9" w:rsidRDefault="0094757A" w:rsidP="004D2EBC">
                      <w:pPr>
                        <w:pStyle w:val="Intro"/>
                        <w:rPr>
                          <w:caps/>
                          <w:color w:val="FFFFFF"/>
                        </w:rPr>
                      </w:pPr>
                      <w:r>
                        <w:rPr>
                          <w:color w:val="FFFFFF"/>
                        </w:rPr>
                        <w:t>Chief Minister, Treasury and Economic Development Directorate</w:t>
                      </w:r>
                    </w:p>
                    <w:p w14:paraId="7610C570" w14:textId="4D493B99" w:rsidR="0094757A" w:rsidRPr="000016B9" w:rsidRDefault="0094757A" w:rsidP="004D2EBC">
                      <w:pPr>
                        <w:pStyle w:val="Intro"/>
                        <w:rPr>
                          <w:caps/>
                          <w:color w:val="FFFFFF"/>
                        </w:rPr>
                      </w:pPr>
                      <w:r>
                        <w:rPr>
                          <w:color w:val="FFFFFF"/>
                        </w:rPr>
                        <w:t>Ju</w:t>
                      </w:r>
                      <w:r w:rsidR="003524AE">
                        <w:rPr>
                          <w:color w:val="FFFFFF"/>
                        </w:rPr>
                        <w:t>ne</w:t>
                      </w:r>
                      <w:r>
                        <w:rPr>
                          <w:color w:val="FFFFFF"/>
                        </w:rPr>
                        <w:t xml:space="preserve"> 2021</w:t>
                      </w:r>
                      <w:r w:rsidR="003524AE">
                        <w:rPr>
                          <w:color w:val="FFFFFF"/>
                        </w:rPr>
                        <w:t xml:space="preserve"> updated</w:t>
                      </w:r>
                    </w:p>
                    <w:p w14:paraId="0EF20222" w14:textId="5C7021E4" w:rsidR="0094757A" w:rsidRPr="003D4DBC" w:rsidRDefault="0094757A" w:rsidP="000016B9">
                      <w:pPr>
                        <w:pStyle w:val="Intro"/>
                        <w:rPr>
                          <w:color w:val="FFFFFF" w:themeColor="background1"/>
                        </w:rPr>
                      </w:pPr>
                    </w:p>
                  </w:txbxContent>
                </v:textbox>
                <w10:wrap anchory="page"/>
              </v:shape>
            </w:pict>
          </mc:Fallback>
        </mc:AlternateContent>
      </w:r>
      <w:bookmarkEnd w:id="144"/>
      <w:bookmarkEnd w:id="145"/>
      <w:bookmarkEnd w:id="146"/>
      <w:bookmarkEnd w:id="147"/>
    </w:p>
    <w:sectPr w:rsidR="00632F54" w:rsidRPr="00632F54" w:rsidSect="000715C4">
      <w:headerReference w:type="default" r:id="rId24"/>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772F" w14:textId="77777777" w:rsidR="0094757A" w:rsidRDefault="0094757A" w:rsidP="00665B9F">
      <w:pPr>
        <w:spacing w:after="0" w:line="240" w:lineRule="auto"/>
      </w:pPr>
      <w:r>
        <w:separator/>
      </w:r>
    </w:p>
  </w:endnote>
  <w:endnote w:type="continuationSeparator" w:id="0">
    <w:p w14:paraId="332A5257" w14:textId="77777777" w:rsidR="0094757A" w:rsidRDefault="0094757A"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36FD" w14:textId="46D358A8" w:rsidR="0094757A" w:rsidRPr="000A6B63" w:rsidRDefault="0094757A" w:rsidP="00731AE2">
    <w:pPr>
      <w:pStyle w:val="Intro"/>
      <w:tabs>
        <w:tab w:val="right" w:pos="8789"/>
        <w:tab w:val="right" w:pos="9070"/>
      </w:tabs>
    </w:pPr>
    <w:r>
      <w:rPr>
        <w:noProof/>
        <w:sz w:val="18"/>
        <w:szCs w:val="18"/>
      </w:rPr>
      <mc:AlternateContent>
        <mc:Choice Requires="wps">
          <w:drawing>
            <wp:anchor distT="0" distB="0" distL="114300" distR="114300" simplePos="0" relativeHeight="251656704" behindDoc="0" locked="0" layoutInCell="1" allowOverlap="1" wp14:anchorId="7481C769" wp14:editId="31CBFB6F">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E6C27"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A025" w14:textId="77777777" w:rsidR="0094757A" w:rsidRDefault="0094757A" w:rsidP="00665B9F">
      <w:pPr>
        <w:spacing w:after="0" w:line="240" w:lineRule="auto"/>
      </w:pPr>
      <w:r>
        <w:separator/>
      </w:r>
    </w:p>
  </w:footnote>
  <w:footnote w:type="continuationSeparator" w:id="0">
    <w:p w14:paraId="7192A95A" w14:textId="77777777" w:rsidR="0094757A" w:rsidRDefault="0094757A" w:rsidP="00665B9F">
      <w:pPr>
        <w:spacing w:after="0" w:line="240" w:lineRule="auto"/>
      </w:pPr>
      <w:r>
        <w:continuationSeparator/>
      </w:r>
    </w:p>
  </w:footnote>
  <w:footnote w:id="1">
    <w:p w14:paraId="2E7A842D" w14:textId="77777777" w:rsidR="0094757A" w:rsidRDefault="0094757A" w:rsidP="00DB315A">
      <w:pPr>
        <w:pStyle w:val="FootnoteText"/>
      </w:pPr>
      <w:r>
        <w:rPr>
          <w:rStyle w:val="FootnoteReference"/>
        </w:rPr>
        <w:footnoteRef/>
      </w:r>
      <w:r>
        <w:t xml:space="preserve"> There is a revised definition of materiality in AASB 101 para 7 which applies to the 2020-21 financial year for the first time.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B4E" w14:textId="59891F71" w:rsidR="0094757A" w:rsidRPr="00F46341" w:rsidRDefault="00F46341" w:rsidP="00F46341">
    <w:pPr>
      <w:pStyle w:val="Header"/>
      <w:tabs>
        <w:tab w:val="clear" w:pos="4513"/>
      </w:tabs>
      <w:rPr>
        <w:b/>
        <w:bCs/>
        <w:sz w:val="22"/>
        <w:szCs w:val="22"/>
      </w:rPr>
    </w:pPr>
    <w:bookmarkStart w:id="136" w:name="_Hlk105428236"/>
    <w:r w:rsidRPr="009D56A7">
      <w:rPr>
        <w:rFonts w:ascii="Calibri" w:hAnsi="Calibri" w:cs="Calibri"/>
        <w:b/>
        <w:bCs/>
        <w:color w:val="7030A0"/>
        <w:sz w:val="22"/>
        <w:szCs w:val="22"/>
      </w:rPr>
      <w:t>AADP 305 — AASB Standards Issued which are not Yet Effective as at 30 June 20</w:t>
    </w:r>
    <w:r w:rsidR="0094757A" w:rsidRPr="009D56A7">
      <w:rPr>
        <w:b/>
        <w:bCs/>
        <w:caps/>
        <w:noProof/>
        <w:color w:val="7030A0"/>
        <w:sz w:val="22"/>
        <w:szCs w:val="22"/>
      </w:rPr>
      <w:drawing>
        <wp:anchor distT="0" distB="0" distL="114300" distR="114300" simplePos="0" relativeHeight="251657728" behindDoc="1" locked="0" layoutInCell="1" allowOverlap="1" wp14:anchorId="084DAD62" wp14:editId="27013603">
          <wp:simplePos x="0" y="0"/>
          <wp:positionH relativeFrom="page">
            <wp:posOffset>534035</wp:posOffset>
          </wp:positionH>
          <wp:positionV relativeFrom="page">
            <wp:posOffset>-584200</wp:posOffset>
          </wp:positionV>
          <wp:extent cx="7632000" cy="903600"/>
          <wp:effectExtent l="38100" t="0" r="7620" b="640080"/>
          <wp:wrapNone/>
          <wp:docPr id="6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Pr="009D56A7">
      <w:rPr>
        <w:rFonts w:ascii="Calibri" w:hAnsi="Calibri" w:cs="Calibri"/>
        <w:b/>
        <w:bCs/>
        <w:color w:val="7030A0"/>
        <w:sz w:val="22"/>
        <w:szCs w:val="22"/>
      </w:rPr>
      <w:t>21</w:t>
    </w:r>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7D09" w14:textId="7733F6D7" w:rsidR="0094757A" w:rsidRPr="003826C2" w:rsidRDefault="0094757A" w:rsidP="00382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3223" w14:textId="77777777" w:rsidR="0094757A" w:rsidRPr="00371BF4" w:rsidRDefault="0094757A" w:rsidP="002C5CC0">
    <w:pPr>
      <w:pStyle w:val="headerhead"/>
    </w:pPr>
    <w:r w:rsidRPr="00371BF4">
      <w:t>‘Example Agency’</w:t>
    </w:r>
  </w:p>
  <w:p w14:paraId="778A2960" w14:textId="77777777" w:rsidR="0094757A" w:rsidRPr="00371BF4" w:rsidRDefault="0094757A" w:rsidP="002C5CC0">
    <w:pPr>
      <w:pStyle w:val="headerhead"/>
    </w:pPr>
    <w:r w:rsidRPr="00371BF4">
      <w:t>Notes to and Forming Part of the Financial Statements - Territorial</w:t>
    </w:r>
  </w:p>
  <w:p w14:paraId="0A623EB7" w14:textId="69A786D9" w:rsidR="0094757A" w:rsidRPr="002C5CC0" w:rsidRDefault="0094757A" w:rsidP="002C5CC0">
    <w:pPr>
      <w:pStyle w:val="headerhead"/>
    </w:pPr>
    <w:r w:rsidRPr="00371BF4">
      <w:t>For the Year Ended 30 June 20</w:t>
    </w:r>
    <w: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2BB0" w14:textId="145DDF09" w:rsidR="0094757A" w:rsidRPr="003826C2" w:rsidRDefault="0094757A" w:rsidP="003826C2">
    <w:pPr>
      <w:pStyle w:val="Header"/>
      <w:jc w:val="center"/>
      <w:rPr>
        <w:rFonts w:ascii="Calibri" w:eastAsia="Times New Roman" w:hAnsi="Calibri" w:cs="Arial"/>
        <w:b/>
        <w:caps/>
        <w:sz w:val="22"/>
        <w:szCs w:val="16"/>
        <w:lang w:eastAsia="en-US"/>
      </w:rPr>
    </w:pPr>
    <w:r w:rsidRPr="00B0598D">
      <w:rPr>
        <w:rFonts w:ascii="Calibri" w:eastAsia="Times New Roman" w:hAnsi="Calibri" w:cs="Arial"/>
        <w:b/>
        <w:caps/>
        <w:sz w:val="22"/>
        <w:szCs w:val="16"/>
        <w:lang w:eastAsia="en-US"/>
      </w:rPr>
      <w:t xml:space="preserve">Appendix D- Change IN </w:t>
    </w:r>
    <w:proofErr w:type="gramStart"/>
    <w:r w:rsidRPr="00B0598D">
      <w:rPr>
        <w:rFonts w:ascii="Calibri" w:eastAsia="Times New Roman" w:hAnsi="Calibri" w:cs="Arial"/>
        <w:b/>
        <w:caps/>
        <w:sz w:val="22"/>
        <w:szCs w:val="16"/>
        <w:lang w:eastAsia="en-US"/>
      </w:rPr>
      <w:t>Accounting  Policy</w:t>
    </w:r>
    <w:proofErr w:type="gramEnd"/>
    <w:r w:rsidRPr="00B0598D">
      <w:rPr>
        <w:rFonts w:ascii="Calibri" w:eastAsia="Times New Roman" w:hAnsi="Calibri" w:cs="Arial"/>
        <w:b/>
        <w:caps/>
        <w:sz w:val="22"/>
        <w:szCs w:val="16"/>
        <w:lang w:eastAsia="en-US"/>
      </w:rPr>
      <w:t xml:space="preserve"> and Accounting Estimates, AND Correction Prior Period Error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5788"/>
    <w:multiLevelType w:val="hybridMultilevel"/>
    <w:tmpl w:val="4D1C8224"/>
    <w:lvl w:ilvl="0" w:tplc="0C090001">
      <w:start w:val="1"/>
      <w:numFmt w:val="bullet"/>
      <w:lvlText w:val=""/>
      <w:lvlJc w:val="left"/>
      <w:pPr>
        <w:ind w:left="2205" w:hanging="360"/>
      </w:pPr>
      <w:rPr>
        <w:rFonts w:ascii="Symbol" w:hAnsi="Symbol" w:hint="default"/>
      </w:rPr>
    </w:lvl>
    <w:lvl w:ilvl="1" w:tplc="0C090003">
      <w:start w:val="1"/>
      <w:numFmt w:val="bullet"/>
      <w:lvlText w:val="o"/>
      <w:lvlJc w:val="left"/>
      <w:pPr>
        <w:ind w:left="2925" w:hanging="360"/>
      </w:pPr>
      <w:rPr>
        <w:rFonts w:ascii="Courier New" w:hAnsi="Courier New" w:cs="Courier New" w:hint="default"/>
      </w:rPr>
    </w:lvl>
    <w:lvl w:ilvl="2" w:tplc="008437A4">
      <w:start w:val="4"/>
      <w:numFmt w:val="bullet"/>
      <w:lvlText w:val="-"/>
      <w:lvlJc w:val="left"/>
      <w:pPr>
        <w:ind w:left="3645" w:hanging="360"/>
      </w:pPr>
      <w:rPr>
        <w:rFonts w:ascii="Calibri" w:eastAsia="Times New Roman" w:hAnsi="Calibri" w:cs="Calibri"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2" w15:restartNumberingAfterBreak="0">
    <w:nsid w:val="0DFB0849"/>
    <w:multiLevelType w:val="hybridMultilevel"/>
    <w:tmpl w:val="DD26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F7148"/>
    <w:multiLevelType w:val="hybridMultilevel"/>
    <w:tmpl w:val="39B09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278AE"/>
    <w:multiLevelType w:val="hybridMultilevel"/>
    <w:tmpl w:val="0B201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62832"/>
    <w:multiLevelType w:val="hybridMultilevel"/>
    <w:tmpl w:val="A074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A52AD"/>
    <w:multiLevelType w:val="hybridMultilevel"/>
    <w:tmpl w:val="E4C6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1F64C9"/>
    <w:multiLevelType w:val="hybridMultilevel"/>
    <w:tmpl w:val="86D4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973C8"/>
    <w:multiLevelType w:val="hybridMultilevel"/>
    <w:tmpl w:val="22B83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758F5"/>
    <w:multiLevelType w:val="hybridMultilevel"/>
    <w:tmpl w:val="CCDC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DC0C0E"/>
    <w:multiLevelType w:val="hybridMultilevel"/>
    <w:tmpl w:val="DF682204"/>
    <w:lvl w:ilvl="0" w:tplc="0C090001">
      <w:start w:val="1"/>
      <w:numFmt w:val="bullet"/>
      <w:lvlText w:val=""/>
      <w:lvlJc w:val="left"/>
      <w:pPr>
        <w:ind w:left="720" w:hanging="360"/>
      </w:pPr>
      <w:rPr>
        <w:rFonts w:ascii="Symbol" w:hAnsi="Symbol" w:hint="default"/>
      </w:rPr>
    </w:lvl>
    <w:lvl w:ilvl="1" w:tplc="74CACDDA">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C2E0B83"/>
    <w:multiLevelType w:val="multilevel"/>
    <w:tmpl w:val="43A44730"/>
    <w:lvl w:ilvl="0">
      <w:start w:val="3"/>
      <w:numFmt w:val="decimal"/>
      <w:lvlText w:val="%1."/>
      <w:lvlJc w:val="left"/>
      <w:pPr>
        <w:ind w:left="2062"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4" w15:restartNumberingAfterBreak="0">
    <w:nsid w:val="2D8A3B40"/>
    <w:multiLevelType w:val="hybridMultilevel"/>
    <w:tmpl w:val="7FCC1564"/>
    <w:lvl w:ilvl="0" w:tplc="EF94C3F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6A566F"/>
    <w:multiLevelType w:val="hybridMultilevel"/>
    <w:tmpl w:val="7D827734"/>
    <w:lvl w:ilvl="0" w:tplc="773250FA">
      <w:start w:val="3"/>
      <w:numFmt w:val="decimal"/>
      <w:pStyle w:val="NoteTitle"/>
      <w:lvlText w:val="Note %1."/>
      <w:lvlJc w:val="left"/>
      <w:pPr>
        <w:tabs>
          <w:tab w:val="num" w:pos="1701"/>
        </w:tabs>
        <w:ind w:left="1701" w:hanging="1134"/>
      </w:pPr>
      <w:rPr>
        <w:rFonts w:hint="default"/>
        <w:b/>
        <w:caps/>
      </w:rPr>
    </w:lvl>
    <w:lvl w:ilvl="1" w:tplc="04090001">
      <w:start w:val="1"/>
      <w:numFmt w:val="bullet"/>
      <w:lvlText w:val=""/>
      <w:lvlJc w:val="left"/>
      <w:pPr>
        <w:tabs>
          <w:tab w:val="num" w:pos="-1794"/>
        </w:tabs>
        <w:ind w:left="-1794" w:hanging="360"/>
      </w:pPr>
      <w:rPr>
        <w:rFonts w:ascii="Symbol" w:hAnsi="Symbol" w:hint="default"/>
      </w:rPr>
    </w:lvl>
    <w:lvl w:ilvl="2" w:tplc="363E5A42">
      <w:start w:val="1"/>
      <w:numFmt w:val="lowerLetter"/>
      <w:lvlText w:val="%3)"/>
      <w:lvlJc w:val="left"/>
      <w:pPr>
        <w:tabs>
          <w:tab w:val="num" w:pos="-894"/>
        </w:tabs>
        <w:ind w:left="-894" w:hanging="360"/>
      </w:pPr>
      <w:rPr>
        <w:rFonts w:hint="default"/>
      </w:rPr>
    </w:lvl>
    <w:lvl w:ilvl="3" w:tplc="0409000F" w:tentative="1">
      <w:start w:val="1"/>
      <w:numFmt w:val="decimal"/>
      <w:lvlText w:val="%4."/>
      <w:lvlJc w:val="left"/>
      <w:pPr>
        <w:tabs>
          <w:tab w:val="num" w:pos="-354"/>
        </w:tabs>
        <w:ind w:left="-354" w:hanging="360"/>
      </w:pPr>
    </w:lvl>
    <w:lvl w:ilvl="4" w:tplc="04090019" w:tentative="1">
      <w:start w:val="1"/>
      <w:numFmt w:val="lowerLetter"/>
      <w:lvlText w:val="%5."/>
      <w:lvlJc w:val="left"/>
      <w:pPr>
        <w:tabs>
          <w:tab w:val="num" w:pos="366"/>
        </w:tabs>
        <w:ind w:left="366" w:hanging="360"/>
      </w:pPr>
    </w:lvl>
    <w:lvl w:ilvl="5" w:tplc="0409001B" w:tentative="1">
      <w:start w:val="1"/>
      <w:numFmt w:val="lowerRoman"/>
      <w:lvlText w:val="%6."/>
      <w:lvlJc w:val="right"/>
      <w:pPr>
        <w:tabs>
          <w:tab w:val="num" w:pos="1086"/>
        </w:tabs>
        <w:ind w:left="1086" w:hanging="180"/>
      </w:pPr>
    </w:lvl>
    <w:lvl w:ilvl="6" w:tplc="0409000F" w:tentative="1">
      <w:start w:val="1"/>
      <w:numFmt w:val="decimal"/>
      <w:lvlText w:val="%7."/>
      <w:lvlJc w:val="left"/>
      <w:pPr>
        <w:tabs>
          <w:tab w:val="num" w:pos="1806"/>
        </w:tabs>
        <w:ind w:left="1806" w:hanging="360"/>
      </w:pPr>
    </w:lvl>
    <w:lvl w:ilvl="7" w:tplc="04090019" w:tentative="1">
      <w:start w:val="1"/>
      <w:numFmt w:val="lowerLetter"/>
      <w:lvlText w:val="%8."/>
      <w:lvlJc w:val="left"/>
      <w:pPr>
        <w:tabs>
          <w:tab w:val="num" w:pos="2526"/>
        </w:tabs>
        <w:ind w:left="2526" w:hanging="360"/>
      </w:pPr>
    </w:lvl>
    <w:lvl w:ilvl="8" w:tplc="0409001B" w:tentative="1">
      <w:start w:val="1"/>
      <w:numFmt w:val="lowerRoman"/>
      <w:lvlText w:val="%9."/>
      <w:lvlJc w:val="right"/>
      <w:pPr>
        <w:tabs>
          <w:tab w:val="num" w:pos="3246"/>
        </w:tabs>
        <w:ind w:left="3246" w:hanging="180"/>
      </w:pPr>
    </w:lvl>
  </w:abstractNum>
  <w:abstractNum w:abstractNumId="16" w15:restartNumberingAfterBreak="0">
    <w:nsid w:val="2F5B6AF6"/>
    <w:multiLevelType w:val="multilevel"/>
    <w:tmpl w:val="43A44730"/>
    <w:lvl w:ilvl="0">
      <w:start w:val="3"/>
      <w:numFmt w:val="decimal"/>
      <w:lvlText w:val="%1."/>
      <w:lvlJc w:val="left"/>
      <w:pPr>
        <w:ind w:left="2062"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7" w15:restartNumberingAfterBreak="0">
    <w:nsid w:val="2F631F3B"/>
    <w:multiLevelType w:val="multilevel"/>
    <w:tmpl w:val="344A74FC"/>
    <w:lvl w:ilvl="0">
      <w:start w:val="3"/>
      <w:numFmt w:val="decimal"/>
      <w:lvlText w:val="%1."/>
      <w:lvlJc w:val="left"/>
      <w:pPr>
        <w:ind w:left="2062" w:hanging="360"/>
      </w:pPr>
      <w:rPr>
        <w:rFonts w:hint="default"/>
        <w:b/>
      </w:rPr>
    </w:lvl>
    <w:lvl w:ilvl="1">
      <w:start w:val="2"/>
      <w:numFmt w:val="decimal"/>
      <w:isLgl/>
      <w:lvlText w:val="%1.%2"/>
      <w:lvlJc w:val="left"/>
      <w:pPr>
        <w:ind w:left="1800" w:hanging="720"/>
      </w:pPr>
      <w:rPr>
        <w:rFonts w:hint="default"/>
        <w:b/>
      </w:rPr>
    </w:lvl>
    <w:lvl w:ilvl="2">
      <w:start w:val="10"/>
      <w:numFmt w:val="decimal"/>
      <w:isLgl/>
      <w:lvlText w:val="%1.%2.%3"/>
      <w:lvlJc w:val="left"/>
      <w:pPr>
        <w:ind w:left="4483"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18" w15:restartNumberingAfterBreak="0">
    <w:nsid w:val="3472394D"/>
    <w:multiLevelType w:val="hybridMultilevel"/>
    <w:tmpl w:val="E8B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8F75B5"/>
    <w:multiLevelType w:val="hybridMultilevel"/>
    <w:tmpl w:val="E3444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404FFE"/>
    <w:multiLevelType w:val="hybridMultilevel"/>
    <w:tmpl w:val="FE98A83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37A43F00"/>
    <w:multiLevelType w:val="hybridMultilevel"/>
    <w:tmpl w:val="3BCC825C"/>
    <w:lvl w:ilvl="0" w:tplc="DCB01058">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FA5574"/>
    <w:multiLevelType w:val="hybridMultilevel"/>
    <w:tmpl w:val="110E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2B6E9A"/>
    <w:multiLevelType w:val="hybridMultilevel"/>
    <w:tmpl w:val="AC5272CC"/>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751"/>
        </w:tabs>
        <w:ind w:left="751"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7FF4124"/>
    <w:multiLevelType w:val="hybridMultilevel"/>
    <w:tmpl w:val="7F10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7D2DFB"/>
    <w:multiLevelType w:val="hybridMultilevel"/>
    <w:tmpl w:val="8064042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43D5D87"/>
    <w:multiLevelType w:val="hybridMultilevel"/>
    <w:tmpl w:val="7FBCD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5A3C68"/>
    <w:multiLevelType w:val="hybridMultilevel"/>
    <w:tmpl w:val="49FEF26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67D3FC1"/>
    <w:multiLevelType w:val="hybridMultilevel"/>
    <w:tmpl w:val="6C7893FA"/>
    <w:lvl w:ilvl="0" w:tplc="8C284F4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2" w15:restartNumberingAfterBreak="0">
    <w:nsid w:val="5BE6468C"/>
    <w:multiLevelType w:val="hybridMultilevel"/>
    <w:tmpl w:val="176E5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34" w15:restartNumberingAfterBreak="0">
    <w:nsid w:val="63D823FB"/>
    <w:multiLevelType w:val="hybridMultilevel"/>
    <w:tmpl w:val="7584E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893582"/>
    <w:multiLevelType w:val="hybridMultilevel"/>
    <w:tmpl w:val="2E8E4B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B37EAC"/>
    <w:multiLevelType w:val="hybridMultilevel"/>
    <w:tmpl w:val="E236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735652"/>
    <w:multiLevelType w:val="hybridMultilevel"/>
    <w:tmpl w:val="B28AE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0458F2"/>
    <w:multiLevelType w:val="hybridMultilevel"/>
    <w:tmpl w:val="3D5A2B58"/>
    <w:lvl w:ilvl="0" w:tplc="43989A34">
      <w:start w:val="1"/>
      <w:numFmt w:val="decimal"/>
      <w:pStyle w:val="Heading3"/>
      <w:lvlText w:val="1.1.%1"/>
      <w:lvlJc w:val="righ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5E268B"/>
    <w:multiLevelType w:val="hybridMultilevel"/>
    <w:tmpl w:val="D0A24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E66D4D"/>
    <w:multiLevelType w:val="hybridMultilevel"/>
    <w:tmpl w:val="ECAE57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6E46FF"/>
    <w:multiLevelType w:val="hybridMultilevel"/>
    <w:tmpl w:val="EEF2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59049C"/>
    <w:multiLevelType w:val="hybridMultilevel"/>
    <w:tmpl w:val="59DC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24"/>
  </w:num>
  <w:num w:numId="4">
    <w:abstractNumId w:val="11"/>
  </w:num>
  <w:num w:numId="5">
    <w:abstractNumId w:val="26"/>
  </w:num>
  <w:num w:numId="6">
    <w:abstractNumId w:val="0"/>
  </w:num>
  <w:num w:numId="7">
    <w:abstractNumId w:val="39"/>
  </w:num>
  <w:num w:numId="8">
    <w:abstractNumId w:val="12"/>
  </w:num>
  <w:num w:numId="9">
    <w:abstractNumId w:val="16"/>
  </w:num>
  <w:num w:numId="10">
    <w:abstractNumId w:val="1"/>
  </w:num>
  <w:num w:numId="11">
    <w:abstractNumId w:val="40"/>
  </w:num>
  <w:num w:numId="12">
    <w:abstractNumId w:val="23"/>
  </w:num>
  <w:num w:numId="13">
    <w:abstractNumId w:val="28"/>
  </w:num>
  <w:num w:numId="14">
    <w:abstractNumId w:val="21"/>
  </w:num>
  <w:num w:numId="15">
    <w:abstractNumId w:val="7"/>
  </w:num>
  <w:num w:numId="16">
    <w:abstractNumId w:val="9"/>
  </w:num>
  <w:num w:numId="17">
    <w:abstractNumId w:val="41"/>
  </w:num>
  <w:num w:numId="18">
    <w:abstractNumId w:val="35"/>
  </w:num>
  <w:num w:numId="19">
    <w:abstractNumId w:val="32"/>
  </w:num>
  <w:num w:numId="20">
    <w:abstractNumId w:val="27"/>
  </w:num>
  <w:num w:numId="21">
    <w:abstractNumId w:val="20"/>
  </w:num>
  <w:num w:numId="22">
    <w:abstractNumId w:val="22"/>
  </w:num>
  <w:num w:numId="23">
    <w:abstractNumId w:val="38"/>
  </w:num>
  <w:num w:numId="24">
    <w:abstractNumId w:val="6"/>
  </w:num>
  <w:num w:numId="25">
    <w:abstractNumId w:val="42"/>
  </w:num>
  <w:num w:numId="26">
    <w:abstractNumId w:val="3"/>
  </w:num>
  <w:num w:numId="27">
    <w:abstractNumId w:val="25"/>
  </w:num>
  <w:num w:numId="28">
    <w:abstractNumId w:val="33"/>
  </w:num>
  <w:num w:numId="29">
    <w:abstractNumId w:val="15"/>
  </w:num>
  <w:num w:numId="30">
    <w:abstractNumId w:val="10"/>
  </w:num>
  <w:num w:numId="31">
    <w:abstractNumId w:val="14"/>
  </w:num>
  <w:num w:numId="32">
    <w:abstractNumId w:val="29"/>
  </w:num>
  <w:num w:numId="33">
    <w:abstractNumId w:val="19"/>
  </w:num>
  <w:num w:numId="34">
    <w:abstractNumId w:val="43"/>
  </w:num>
  <w:num w:numId="35">
    <w:abstractNumId w:val="8"/>
  </w:num>
  <w:num w:numId="36">
    <w:abstractNumId w:val="30"/>
  </w:num>
  <w:num w:numId="37">
    <w:abstractNumId w:val="4"/>
  </w:num>
  <w:num w:numId="38">
    <w:abstractNumId w:val="18"/>
  </w:num>
  <w:num w:numId="39">
    <w:abstractNumId w:val="34"/>
  </w:num>
  <w:num w:numId="40">
    <w:abstractNumId w:val="2"/>
  </w:num>
  <w:num w:numId="41">
    <w:abstractNumId w:val="5"/>
  </w:num>
  <w:num w:numId="42">
    <w:abstractNumId w:val="37"/>
  </w:num>
  <w:num w:numId="43">
    <w:abstractNumId w:val="17"/>
  </w:num>
  <w:num w:numId="4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1E92"/>
    <w:rsid w:val="0000540D"/>
    <w:rsid w:val="000068D5"/>
    <w:rsid w:val="000077CF"/>
    <w:rsid w:val="00030790"/>
    <w:rsid w:val="00030CC1"/>
    <w:rsid w:val="00031343"/>
    <w:rsid w:val="00034546"/>
    <w:rsid w:val="00034D25"/>
    <w:rsid w:val="000350DF"/>
    <w:rsid w:val="000362BF"/>
    <w:rsid w:val="00036B92"/>
    <w:rsid w:val="000419C1"/>
    <w:rsid w:val="00043B50"/>
    <w:rsid w:val="000446A5"/>
    <w:rsid w:val="0005170A"/>
    <w:rsid w:val="0005196D"/>
    <w:rsid w:val="0005585A"/>
    <w:rsid w:val="000607A6"/>
    <w:rsid w:val="000650AF"/>
    <w:rsid w:val="00065CEA"/>
    <w:rsid w:val="00067597"/>
    <w:rsid w:val="00070067"/>
    <w:rsid w:val="000715C4"/>
    <w:rsid w:val="00074450"/>
    <w:rsid w:val="0007453E"/>
    <w:rsid w:val="00076803"/>
    <w:rsid w:val="00077772"/>
    <w:rsid w:val="00077EC9"/>
    <w:rsid w:val="00081893"/>
    <w:rsid w:val="00081934"/>
    <w:rsid w:val="0008209D"/>
    <w:rsid w:val="000821F6"/>
    <w:rsid w:val="00083ED8"/>
    <w:rsid w:val="00090A83"/>
    <w:rsid w:val="000947FC"/>
    <w:rsid w:val="00095ECF"/>
    <w:rsid w:val="000960BB"/>
    <w:rsid w:val="000A0C92"/>
    <w:rsid w:val="000A15B3"/>
    <w:rsid w:val="000A2FFC"/>
    <w:rsid w:val="000A6B63"/>
    <w:rsid w:val="000B0AB1"/>
    <w:rsid w:val="000B13CB"/>
    <w:rsid w:val="000C21E4"/>
    <w:rsid w:val="000C3F1E"/>
    <w:rsid w:val="000C5705"/>
    <w:rsid w:val="000C6C34"/>
    <w:rsid w:val="000C6FB6"/>
    <w:rsid w:val="000D5F0C"/>
    <w:rsid w:val="000D6CBD"/>
    <w:rsid w:val="000E5786"/>
    <w:rsid w:val="000F182C"/>
    <w:rsid w:val="000F5CCD"/>
    <w:rsid w:val="000F5D86"/>
    <w:rsid w:val="000F6963"/>
    <w:rsid w:val="00101F0C"/>
    <w:rsid w:val="00106DB5"/>
    <w:rsid w:val="0011020F"/>
    <w:rsid w:val="0011392B"/>
    <w:rsid w:val="00113D54"/>
    <w:rsid w:val="001165ED"/>
    <w:rsid w:val="0011798B"/>
    <w:rsid w:val="00125BB4"/>
    <w:rsid w:val="00127B38"/>
    <w:rsid w:val="0013020B"/>
    <w:rsid w:val="001302DE"/>
    <w:rsid w:val="00132E5A"/>
    <w:rsid w:val="001369CB"/>
    <w:rsid w:val="00137FB9"/>
    <w:rsid w:val="001451C4"/>
    <w:rsid w:val="0015010B"/>
    <w:rsid w:val="00150DAB"/>
    <w:rsid w:val="00152EB7"/>
    <w:rsid w:val="0016080C"/>
    <w:rsid w:val="001623DE"/>
    <w:rsid w:val="00162635"/>
    <w:rsid w:val="00171E30"/>
    <w:rsid w:val="0017396E"/>
    <w:rsid w:val="00175495"/>
    <w:rsid w:val="00177117"/>
    <w:rsid w:val="00190F88"/>
    <w:rsid w:val="001912A2"/>
    <w:rsid w:val="0019535A"/>
    <w:rsid w:val="00196497"/>
    <w:rsid w:val="001966FA"/>
    <w:rsid w:val="00197666"/>
    <w:rsid w:val="001A0139"/>
    <w:rsid w:val="001A0956"/>
    <w:rsid w:val="001A3E5F"/>
    <w:rsid w:val="001B20B8"/>
    <w:rsid w:val="001B22DE"/>
    <w:rsid w:val="001B4170"/>
    <w:rsid w:val="001C1FF2"/>
    <w:rsid w:val="001C21E6"/>
    <w:rsid w:val="001D7944"/>
    <w:rsid w:val="001E73DD"/>
    <w:rsid w:val="001E7690"/>
    <w:rsid w:val="001E76BA"/>
    <w:rsid w:val="001F41D6"/>
    <w:rsid w:val="001F6597"/>
    <w:rsid w:val="002009BA"/>
    <w:rsid w:val="0020321B"/>
    <w:rsid w:val="00203514"/>
    <w:rsid w:val="00203525"/>
    <w:rsid w:val="00207B68"/>
    <w:rsid w:val="002110E8"/>
    <w:rsid w:val="002113F9"/>
    <w:rsid w:val="00214A8E"/>
    <w:rsid w:val="00215465"/>
    <w:rsid w:val="00220FB0"/>
    <w:rsid w:val="00221AFA"/>
    <w:rsid w:val="002233F8"/>
    <w:rsid w:val="002306CB"/>
    <w:rsid w:val="00232CA9"/>
    <w:rsid w:val="002372BC"/>
    <w:rsid w:val="002467D9"/>
    <w:rsid w:val="00246AAC"/>
    <w:rsid w:val="002479CE"/>
    <w:rsid w:val="00250E88"/>
    <w:rsid w:val="002528B1"/>
    <w:rsid w:val="00254269"/>
    <w:rsid w:val="0026278F"/>
    <w:rsid w:val="00270BC8"/>
    <w:rsid w:val="00272191"/>
    <w:rsid w:val="00272911"/>
    <w:rsid w:val="002730B4"/>
    <w:rsid w:val="00276C60"/>
    <w:rsid w:val="002846D8"/>
    <w:rsid w:val="002851C3"/>
    <w:rsid w:val="00285F0D"/>
    <w:rsid w:val="00287E5D"/>
    <w:rsid w:val="00293855"/>
    <w:rsid w:val="0029668D"/>
    <w:rsid w:val="002A0832"/>
    <w:rsid w:val="002A093C"/>
    <w:rsid w:val="002A5458"/>
    <w:rsid w:val="002B2DF4"/>
    <w:rsid w:val="002C2961"/>
    <w:rsid w:val="002C4EF6"/>
    <w:rsid w:val="002C5825"/>
    <w:rsid w:val="002C5CC0"/>
    <w:rsid w:val="002C6B74"/>
    <w:rsid w:val="002D24E0"/>
    <w:rsid w:val="002D2A91"/>
    <w:rsid w:val="002D33BC"/>
    <w:rsid w:val="002D35C5"/>
    <w:rsid w:val="002D6623"/>
    <w:rsid w:val="002D7AE7"/>
    <w:rsid w:val="002E0821"/>
    <w:rsid w:val="002E10C5"/>
    <w:rsid w:val="002E7655"/>
    <w:rsid w:val="002F00C7"/>
    <w:rsid w:val="002F3300"/>
    <w:rsid w:val="002F58DD"/>
    <w:rsid w:val="002F7CCE"/>
    <w:rsid w:val="003010B0"/>
    <w:rsid w:val="003026B2"/>
    <w:rsid w:val="00306ACE"/>
    <w:rsid w:val="003238CE"/>
    <w:rsid w:val="00324F8B"/>
    <w:rsid w:val="00325E15"/>
    <w:rsid w:val="0032603F"/>
    <w:rsid w:val="0032731A"/>
    <w:rsid w:val="00330ABC"/>
    <w:rsid w:val="00333BA8"/>
    <w:rsid w:val="003346C0"/>
    <w:rsid w:val="00334AA8"/>
    <w:rsid w:val="00337A1C"/>
    <w:rsid w:val="003409C1"/>
    <w:rsid w:val="00340BD0"/>
    <w:rsid w:val="003438FF"/>
    <w:rsid w:val="003439ED"/>
    <w:rsid w:val="00344169"/>
    <w:rsid w:val="00344952"/>
    <w:rsid w:val="00351982"/>
    <w:rsid w:val="003524AE"/>
    <w:rsid w:val="00354F6D"/>
    <w:rsid w:val="003633F5"/>
    <w:rsid w:val="00372CE7"/>
    <w:rsid w:val="0037340A"/>
    <w:rsid w:val="00376A58"/>
    <w:rsid w:val="00376AA1"/>
    <w:rsid w:val="003826C2"/>
    <w:rsid w:val="003849C2"/>
    <w:rsid w:val="00384AEA"/>
    <w:rsid w:val="003857D4"/>
    <w:rsid w:val="00385DF1"/>
    <w:rsid w:val="003A0D59"/>
    <w:rsid w:val="003A641C"/>
    <w:rsid w:val="003A6F39"/>
    <w:rsid w:val="003B13F4"/>
    <w:rsid w:val="003B4644"/>
    <w:rsid w:val="003B610B"/>
    <w:rsid w:val="003B6E9B"/>
    <w:rsid w:val="003C33A9"/>
    <w:rsid w:val="003C41C3"/>
    <w:rsid w:val="003C58A9"/>
    <w:rsid w:val="003C6121"/>
    <w:rsid w:val="003D4DBC"/>
    <w:rsid w:val="003E14B6"/>
    <w:rsid w:val="003E1FF0"/>
    <w:rsid w:val="003E2A82"/>
    <w:rsid w:val="003E34DD"/>
    <w:rsid w:val="003E62B8"/>
    <w:rsid w:val="003F08BC"/>
    <w:rsid w:val="003F23B2"/>
    <w:rsid w:val="0040217A"/>
    <w:rsid w:val="00404316"/>
    <w:rsid w:val="00411A3D"/>
    <w:rsid w:val="00412BA9"/>
    <w:rsid w:val="0042164B"/>
    <w:rsid w:val="00425223"/>
    <w:rsid w:val="00432D00"/>
    <w:rsid w:val="00433307"/>
    <w:rsid w:val="00433DDA"/>
    <w:rsid w:val="0043729D"/>
    <w:rsid w:val="00440D17"/>
    <w:rsid w:val="00441DCA"/>
    <w:rsid w:val="004439BD"/>
    <w:rsid w:val="00444468"/>
    <w:rsid w:val="004477AA"/>
    <w:rsid w:val="004502A1"/>
    <w:rsid w:val="00451537"/>
    <w:rsid w:val="00452B15"/>
    <w:rsid w:val="00454987"/>
    <w:rsid w:val="00455421"/>
    <w:rsid w:val="004563B4"/>
    <w:rsid w:val="0046292F"/>
    <w:rsid w:val="00462EA4"/>
    <w:rsid w:val="00463968"/>
    <w:rsid w:val="004640C9"/>
    <w:rsid w:val="00474450"/>
    <w:rsid w:val="00481CE3"/>
    <w:rsid w:val="004820F0"/>
    <w:rsid w:val="00482E0B"/>
    <w:rsid w:val="0048774F"/>
    <w:rsid w:val="0049216D"/>
    <w:rsid w:val="00496C0F"/>
    <w:rsid w:val="00496CD4"/>
    <w:rsid w:val="004A0783"/>
    <w:rsid w:val="004A2E3B"/>
    <w:rsid w:val="004A728D"/>
    <w:rsid w:val="004B4981"/>
    <w:rsid w:val="004B6B86"/>
    <w:rsid w:val="004C10AE"/>
    <w:rsid w:val="004C1925"/>
    <w:rsid w:val="004C6D2D"/>
    <w:rsid w:val="004D2EBC"/>
    <w:rsid w:val="004D44FD"/>
    <w:rsid w:val="004E69B5"/>
    <w:rsid w:val="004F131E"/>
    <w:rsid w:val="004F1BB5"/>
    <w:rsid w:val="004F2528"/>
    <w:rsid w:val="004F3D98"/>
    <w:rsid w:val="004F5B70"/>
    <w:rsid w:val="004F74DA"/>
    <w:rsid w:val="004F7CB7"/>
    <w:rsid w:val="00500830"/>
    <w:rsid w:val="005014D9"/>
    <w:rsid w:val="00503E7E"/>
    <w:rsid w:val="00503F7F"/>
    <w:rsid w:val="005054A1"/>
    <w:rsid w:val="00510FCE"/>
    <w:rsid w:val="005115E8"/>
    <w:rsid w:val="00512E77"/>
    <w:rsid w:val="00513DB1"/>
    <w:rsid w:val="00515609"/>
    <w:rsid w:val="00526563"/>
    <w:rsid w:val="00526710"/>
    <w:rsid w:val="00527612"/>
    <w:rsid w:val="00531666"/>
    <w:rsid w:val="0053763A"/>
    <w:rsid w:val="00553805"/>
    <w:rsid w:val="00554E4D"/>
    <w:rsid w:val="005638F1"/>
    <w:rsid w:val="005654E8"/>
    <w:rsid w:val="00570409"/>
    <w:rsid w:val="00572596"/>
    <w:rsid w:val="00572D4E"/>
    <w:rsid w:val="005747F8"/>
    <w:rsid w:val="005756D7"/>
    <w:rsid w:val="00576BB3"/>
    <w:rsid w:val="00576D35"/>
    <w:rsid w:val="00577AA3"/>
    <w:rsid w:val="0058377A"/>
    <w:rsid w:val="00586AC8"/>
    <w:rsid w:val="00597D83"/>
    <w:rsid w:val="005A0681"/>
    <w:rsid w:val="005A1AFD"/>
    <w:rsid w:val="005A352E"/>
    <w:rsid w:val="005A4AA1"/>
    <w:rsid w:val="005A5959"/>
    <w:rsid w:val="005A60DB"/>
    <w:rsid w:val="005B369E"/>
    <w:rsid w:val="005B593F"/>
    <w:rsid w:val="005C32E0"/>
    <w:rsid w:val="005C54B5"/>
    <w:rsid w:val="005C72CC"/>
    <w:rsid w:val="005C7414"/>
    <w:rsid w:val="005D1F71"/>
    <w:rsid w:val="005D5D9F"/>
    <w:rsid w:val="005D6B08"/>
    <w:rsid w:val="005E5305"/>
    <w:rsid w:val="005E5FEC"/>
    <w:rsid w:val="005E7CA0"/>
    <w:rsid w:val="005F520A"/>
    <w:rsid w:val="00600374"/>
    <w:rsid w:val="00601C53"/>
    <w:rsid w:val="00602C36"/>
    <w:rsid w:val="006046C7"/>
    <w:rsid w:val="006046FF"/>
    <w:rsid w:val="00610F1B"/>
    <w:rsid w:val="00610F6E"/>
    <w:rsid w:val="006117C8"/>
    <w:rsid w:val="00613185"/>
    <w:rsid w:val="00613F07"/>
    <w:rsid w:val="0062060D"/>
    <w:rsid w:val="00622565"/>
    <w:rsid w:val="00622BDA"/>
    <w:rsid w:val="006234AA"/>
    <w:rsid w:val="006245F7"/>
    <w:rsid w:val="00625E31"/>
    <w:rsid w:val="00627FFC"/>
    <w:rsid w:val="0063036E"/>
    <w:rsid w:val="00632F54"/>
    <w:rsid w:val="00633AF4"/>
    <w:rsid w:val="00635C80"/>
    <w:rsid w:val="006431FB"/>
    <w:rsid w:val="00645F61"/>
    <w:rsid w:val="00646714"/>
    <w:rsid w:val="00650217"/>
    <w:rsid w:val="006515F5"/>
    <w:rsid w:val="00654DF7"/>
    <w:rsid w:val="006550A5"/>
    <w:rsid w:val="0065663C"/>
    <w:rsid w:val="006610FF"/>
    <w:rsid w:val="00662A0C"/>
    <w:rsid w:val="006646CF"/>
    <w:rsid w:val="00665B9F"/>
    <w:rsid w:val="006677C9"/>
    <w:rsid w:val="00672EC3"/>
    <w:rsid w:val="00676623"/>
    <w:rsid w:val="00680C6F"/>
    <w:rsid w:val="00685229"/>
    <w:rsid w:val="006858D3"/>
    <w:rsid w:val="00685918"/>
    <w:rsid w:val="006875BB"/>
    <w:rsid w:val="006926DC"/>
    <w:rsid w:val="0069624A"/>
    <w:rsid w:val="006A2843"/>
    <w:rsid w:val="006A5EA3"/>
    <w:rsid w:val="006A6360"/>
    <w:rsid w:val="006A7B38"/>
    <w:rsid w:val="006B4B44"/>
    <w:rsid w:val="006B6D9B"/>
    <w:rsid w:val="006C1037"/>
    <w:rsid w:val="006C2224"/>
    <w:rsid w:val="006D0B57"/>
    <w:rsid w:val="006D1CA1"/>
    <w:rsid w:val="006D2273"/>
    <w:rsid w:val="006D52C4"/>
    <w:rsid w:val="006D5CDC"/>
    <w:rsid w:val="006E3448"/>
    <w:rsid w:val="006E70A3"/>
    <w:rsid w:val="006F5582"/>
    <w:rsid w:val="006F5FA4"/>
    <w:rsid w:val="006F7929"/>
    <w:rsid w:val="007017BB"/>
    <w:rsid w:val="007028FD"/>
    <w:rsid w:val="007034F9"/>
    <w:rsid w:val="00715BBF"/>
    <w:rsid w:val="007212BC"/>
    <w:rsid w:val="0072744A"/>
    <w:rsid w:val="00727A25"/>
    <w:rsid w:val="0073089A"/>
    <w:rsid w:val="00730C58"/>
    <w:rsid w:val="00731AE2"/>
    <w:rsid w:val="00732F0D"/>
    <w:rsid w:val="00737D34"/>
    <w:rsid w:val="00742630"/>
    <w:rsid w:val="00752EAD"/>
    <w:rsid w:val="007611D0"/>
    <w:rsid w:val="0076130E"/>
    <w:rsid w:val="00762C72"/>
    <w:rsid w:val="0076392F"/>
    <w:rsid w:val="00764CC8"/>
    <w:rsid w:val="007704AA"/>
    <w:rsid w:val="00770D11"/>
    <w:rsid w:val="007712A4"/>
    <w:rsid w:val="00776841"/>
    <w:rsid w:val="00777666"/>
    <w:rsid w:val="0078083E"/>
    <w:rsid w:val="00780AAC"/>
    <w:rsid w:val="007903B1"/>
    <w:rsid w:val="0079069F"/>
    <w:rsid w:val="00790F13"/>
    <w:rsid w:val="007A1CF4"/>
    <w:rsid w:val="007A280C"/>
    <w:rsid w:val="007A40FA"/>
    <w:rsid w:val="007A6A50"/>
    <w:rsid w:val="007A6CAD"/>
    <w:rsid w:val="007A7ECB"/>
    <w:rsid w:val="007B40CC"/>
    <w:rsid w:val="007B4D93"/>
    <w:rsid w:val="007C6F9D"/>
    <w:rsid w:val="007D1FEC"/>
    <w:rsid w:val="007D26DC"/>
    <w:rsid w:val="007D5471"/>
    <w:rsid w:val="007D5985"/>
    <w:rsid w:val="007D649B"/>
    <w:rsid w:val="007D700E"/>
    <w:rsid w:val="007E7418"/>
    <w:rsid w:val="007E76A2"/>
    <w:rsid w:val="007F000B"/>
    <w:rsid w:val="007F094A"/>
    <w:rsid w:val="007F0ADE"/>
    <w:rsid w:val="00807008"/>
    <w:rsid w:val="00810221"/>
    <w:rsid w:val="00810457"/>
    <w:rsid w:val="00811346"/>
    <w:rsid w:val="008153D1"/>
    <w:rsid w:val="00815AAF"/>
    <w:rsid w:val="00817EC4"/>
    <w:rsid w:val="00820BCA"/>
    <w:rsid w:val="00821671"/>
    <w:rsid w:val="00825590"/>
    <w:rsid w:val="008266EE"/>
    <w:rsid w:val="00826FDC"/>
    <w:rsid w:val="00832B4A"/>
    <w:rsid w:val="008353FF"/>
    <w:rsid w:val="00840FBE"/>
    <w:rsid w:val="008423B9"/>
    <w:rsid w:val="008459DC"/>
    <w:rsid w:val="00851354"/>
    <w:rsid w:val="008517A1"/>
    <w:rsid w:val="00853A2B"/>
    <w:rsid w:val="008545F3"/>
    <w:rsid w:val="00856D37"/>
    <w:rsid w:val="00857AC5"/>
    <w:rsid w:val="0086011C"/>
    <w:rsid w:val="0086024E"/>
    <w:rsid w:val="00860677"/>
    <w:rsid w:val="00860B3E"/>
    <w:rsid w:val="00861253"/>
    <w:rsid w:val="0086439B"/>
    <w:rsid w:val="008705A4"/>
    <w:rsid w:val="00871EBE"/>
    <w:rsid w:val="0087531A"/>
    <w:rsid w:val="00875C35"/>
    <w:rsid w:val="0087736B"/>
    <w:rsid w:val="00881736"/>
    <w:rsid w:val="00884A54"/>
    <w:rsid w:val="00886A94"/>
    <w:rsid w:val="0089332C"/>
    <w:rsid w:val="00893739"/>
    <w:rsid w:val="008A2D11"/>
    <w:rsid w:val="008A593B"/>
    <w:rsid w:val="008B0021"/>
    <w:rsid w:val="008B1866"/>
    <w:rsid w:val="008B4747"/>
    <w:rsid w:val="008B7B78"/>
    <w:rsid w:val="008C38CB"/>
    <w:rsid w:val="008C4B48"/>
    <w:rsid w:val="008C58CC"/>
    <w:rsid w:val="008C5DC9"/>
    <w:rsid w:val="008D2D94"/>
    <w:rsid w:val="008D37D2"/>
    <w:rsid w:val="008D3A55"/>
    <w:rsid w:val="008E1495"/>
    <w:rsid w:val="008E6747"/>
    <w:rsid w:val="008E6A6E"/>
    <w:rsid w:val="008F1E9B"/>
    <w:rsid w:val="008F372D"/>
    <w:rsid w:val="009016F8"/>
    <w:rsid w:val="00904155"/>
    <w:rsid w:val="0090578F"/>
    <w:rsid w:val="00911CAE"/>
    <w:rsid w:val="00912F86"/>
    <w:rsid w:val="009255A3"/>
    <w:rsid w:val="0092592D"/>
    <w:rsid w:val="00927E92"/>
    <w:rsid w:val="00932354"/>
    <w:rsid w:val="00936F16"/>
    <w:rsid w:val="00937B2B"/>
    <w:rsid w:val="00941A30"/>
    <w:rsid w:val="009441EE"/>
    <w:rsid w:val="00947539"/>
    <w:rsid w:val="0094757A"/>
    <w:rsid w:val="00947A63"/>
    <w:rsid w:val="009501AD"/>
    <w:rsid w:val="0095211D"/>
    <w:rsid w:val="0095577E"/>
    <w:rsid w:val="009559E9"/>
    <w:rsid w:val="0096313F"/>
    <w:rsid w:val="00963453"/>
    <w:rsid w:val="00966ABA"/>
    <w:rsid w:val="00971451"/>
    <w:rsid w:val="00973894"/>
    <w:rsid w:val="00975520"/>
    <w:rsid w:val="0098328A"/>
    <w:rsid w:val="00987D99"/>
    <w:rsid w:val="00990721"/>
    <w:rsid w:val="00991147"/>
    <w:rsid w:val="009947B8"/>
    <w:rsid w:val="009972DF"/>
    <w:rsid w:val="009979A0"/>
    <w:rsid w:val="009A5058"/>
    <w:rsid w:val="009B0676"/>
    <w:rsid w:val="009B0821"/>
    <w:rsid w:val="009B0E16"/>
    <w:rsid w:val="009B18D4"/>
    <w:rsid w:val="009B195F"/>
    <w:rsid w:val="009B196B"/>
    <w:rsid w:val="009B5C4E"/>
    <w:rsid w:val="009B7419"/>
    <w:rsid w:val="009C0369"/>
    <w:rsid w:val="009C15CB"/>
    <w:rsid w:val="009C26B5"/>
    <w:rsid w:val="009C68A2"/>
    <w:rsid w:val="009D4D1E"/>
    <w:rsid w:val="009D56A7"/>
    <w:rsid w:val="009E0EDC"/>
    <w:rsid w:val="009E1BB2"/>
    <w:rsid w:val="009E391E"/>
    <w:rsid w:val="009E4EC4"/>
    <w:rsid w:val="009E51BD"/>
    <w:rsid w:val="009E67BB"/>
    <w:rsid w:val="009F0219"/>
    <w:rsid w:val="009F6F88"/>
    <w:rsid w:val="00A040F4"/>
    <w:rsid w:val="00A07BB1"/>
    <w:rsid w:val="00A20913"/>
    <w:rsid w:val="00A2344E"/>
    <w:rsid w:val="00A25032"/>
    <w:rsid w:val="00A27027"/>
    <w:rsid w:val="00A316F9"/>
    <w:rsid w:val="00A324CC"/>
    <w:rsid w:val="00A476A2"/>
    <w:rsid w:val="00A529B3"/>
    <w:rsid w:val="00A53F9C"/>
    <w:rsid w:val="00A541B9"/>
    <w:rsid w:val="00A56397"/>
    <w:rsid w:val="00A56436"/>
    <w:rsid w:val="00A6033C"/>
    <w:rsid w:val="00A60F3C"/>
    <w:rsid w:val="00A65782"/>
    <w:rsid w:val="00A669CC"/>
    <w:rsid w:val="00A71462"/>
    <w:rsid w:val="00A73BCF"/>
    <w:rsid w:val="00A75E41"/>
    <w:rsid w:val="00A776FA"/>
    <w:rsid w:val="00A7771C"/>
    <w:rsid w:val="00A80C2F"/>
    <w:rsid w:val="00A8133E"/>
    <w:rsid w:val="00A838AB"/>
    <w:rsid w:val="00A86BCD"/>
    <w:rsid w:val="00A87B55"/>
    <w:rsid w:val="00A93E44"/>
    <w:rsid w:val="00AA396A"/>
    <w:rsid w:val="00AA4D3A"/>
    <w:rsid w:val="00AA4F81"/>
    <w:rsid w:val="00AA618D"/>
    <w:rsid w:val="00AA6E5F"/>
    <w:rsid w:val="00AB3779"/>
    <w:rsid w:val="00AB6DED"/>
    <w:rsid w:val="00AB7D32"/>
    <w:rsid w:val="00AC02DF"/>
    <w:rsid w:val="00AC5820"/>
    <w:rsid w:val="00AC747D"/>
    <w:rsid w:val="00AD251D"/>
    <w:rsid w:val="00AD5CEA"/>
    <w:rsid w:val="00AD606C"/>
    <w:rsid w:val="00AE1E4E"/>
    <w:rsid w:val="00AE2693"/>
    <w:rsid w:val="00AE34FE"/>
    <w:rsid w:val="00AE3905"/>
    <w:rsid w:val="00AE3E57"/>
    <w:rsid w:val="00AE4769"/>
    <w:rsid w:val="00AE507F"/>
    <w:rsid w:val="00AE52FF"/>
    <w:rsid w:val="00AE6BD7"/>
    <w:rsid w:val="00AF00F6"/>
    <w:rsid w:val="00AF0C54"/>
    <w:rsid w:val="00AF112C"/>
    <w:rsid w:val="00AF15CF"/>
    <w:rsid w:val="00AF4E7F"/>
    <w:rsid w:val="00B019BE"/>
    <w:rsid w:val="00B02277"/>
    <w:rsid w:val="00B024D0"/>
    <w:rsid w:val="00B044BA"/>
    <w:rsid w:val="00B0598D"/>
    <w:rsid w:val="00B20F85"/>
    <w:rsid w:val="00B22CD5"/>
    <w:rsid w:val="00B23196"/>
    <w:rsid w:val="00B25A2E"/>
    <w:rsid w:val="00B320D9"/>
    <w:rsid w:val="00B403F4"/>
    <w:rsid w:val="00B40C9A"/>
    <w:rsid w:val="00B40CCC"/>
    <w:rsid w:val="00B42A6D"/>
    <w:rsid w:val="00B43A54"/>
    <w:rsid w:val="00B44063"/>
    <w:rsid w:val="00B45B84"/>
    <w:rsid w:val="00B4646B"/>
    <w:rsid w:val="00B507E5"/>
    <w:rsid w:val="00B51C5D"/>
    <w:rsid w:val="00B525C2"/>
    <w:rsid w:val="00B52648"/>
    <w:rsid w:val="00B52FED"/>
    <w:rsid w:val="00B531FF"/>
    <w:rsid w:val="00B556F6"/>
    <w:rsid w:val="00B6033D"/>
    <w:rsid w:val="00B6508B"/>
    <w:rsid w:val="00B70B52"/>
    <w:rsid w:val="00B71D00"/>
    <w:rsid w:val="00B72098"/>
    <w:rsid w:val="00B76330"/>
    <w:rsid w:val="00B7638A"/>
    <w:rsid w:val="00B815E1"/>
    <w:rsid w:val="00B82896"/>
    <w:rsid w:val="00B8431A"/>
    <w:rsid w:val="00B84D04"/>
    <w:rsid w:val="00B86450"/>
    <w:rsid w:val="00B90D00"/>
    <w:rsid w:val="00B9233A"/>
    <w:rsid w:val="00B93219"/>
    <w:rsid w:val="00B9431F"/>
    <w:rsid w:val="00B94B4B"/>
    <w:rsid w:val="00BA379B"/>
    <w:rsid w:val="00BB3989"/>
    <w:rsid w:val="00BC21E9"/>
    <w:rsid w:val="00BC371C"/>
    <w:rsid w:val="00BC6211"/>
    <w:rsid w:val="00BD0DB1"/>
    <w:rsid w:val="00BE2925"/>
    <w:rsid w:val="00BF07A0"/>
    <w:rsid w:val="00C0465E"/>
    <w:rsid w:val="00C053E2"/>
    <w:rsid w:val="00C07999"/>
    <w:rsid w:val="00C07F65"/>
    <w:rsid w:val="00C140C2"/>
    <w:rsid w:val="00C156C9"/>
    <w:rsid w:val="00C158CA"/>
    <w:rsid w:val="00C169F0"/>
    <w:rsid w:val="00C17A32"/>
    <w:rsid w:val="00C17AE1"/>
    <w:rsid w:val="00C21938"/>
    <w:rsid w:val="00C30FA2"/>
    <w:rsid w:val="00C348AF"/>
    <w:rsid w:val="00C34A60"/>
    <w:rsid w:val="00C34F4D"/>
    <w:rsid w:val="00C403DB"/>
    <w:rsid w:val="00C43531"/>
    <w:rsid w:val="00C447D2"/>
    <w:rsid w:val="00C44BC5"/>
    <w:rsid w:val="00C44D0C"/>
    <w:rsid w:val="00C47CC4"/>
    <w:rsid w:val="00C52E3C"/>
    <w:rsid w:val="00C54947"/>
    <w:rsid w:val="00C5519F"/>
    <w:rsid w:val="00C55A3A"/>
    <w:rsid w:val="00C55B8B"/>
    <w:rsid w:val="00C57EFC"/>
    <w:rsid w:val="00C62F7D"/>
    <w:rsid w:val="00C777B3"/>
    <w:rsid w:val="00C801E3"/>
    <w:rsid w:val="00C81BB2"/>
    <w:rsid w:val="00C82173"/>
    <w:rsid w:val="00C837F2"/>
    <w:rsid w:val="00C856C3"/>
    <w:rsid w:val="00C85938"/>
    <w:rsid w:val="00C879EB"/>
    <w:rsid w:val="00C91093"/>
    <w:rsid w:val="00C973B7"/>
    <w:rsid w:val="00CA1CA1"/>
    <w:rsid w:val="00CA266B"/>
    <w:rsid w:val="00CA4AB5"/>
    <w:rsid w:val="00CA74C1"/>
    <w:rsid w:val="00CB5751"/>
    <w:rsid w:val="00CB5B48"/>
    <w:rsid w:val="00CB7CEE"/>
    <w:rsid w:val="00CC1CF4"/>
    <w:rsid w:val="00CC4B29"/>
    <w:rsid w:val="00CC4BF1"/>
    <w:rsid w:val="00CE2ADD"/>
    <w:rsid w:val="00CE5298"/>
    <w:rsid w:val="00CE6681"/>
    <w:rsid w:val="00CF3DE7"/>
    <w:rsid w:val="00CF5A26"/>
    <w:rsid w:val="00CF5CC6"/>
    <w:rsid w:val="00D05E52"/>
    <w:rsid w:val="00D05F63"/>
    <w:rsid w:val="00D06DD7"/>
    <w:rsid w:val="00D12505"/>
    <w:rsid w:val="00D1364C"/>
    <w:rsid w:val="00D17E41"/>
    <w:rsid w:val="00D2026C"/>
    <w:rsid w:val="00D21FC2"/>
    <w:rsid w:val="00D22765"/>
    <w:rsid w:val="00D249CA"/>
    <w:rsid w:val="00D24F1A"/>
    <w:rsid w:val="00D27EEF"/>
    <w:rsid w:val="00D333DE"/>
    <w:rsid w:val="00D3675D"/>
    <w:rsid w:val="00D36954"/>
    <w:rsid w:val="00D40533"/>
    <w:rsid w:val="00D4278C"/>
    <w:rsid w:val="00D44651"/>
    <w:rsid w:val="00D446ED"/>
    <w:rsid w:val="00D51B7A"/>
    <w:rsid w:val="00D53521"/>
    <w:rsid w:val="00D53A68"/>
    <w:rsid w:val="00D5471F"/>
    <w:rsid w:val="00D5768A"/>
    <w:rsid w:val="00D620C5"/>
    <w:rsid w:val="00D63564"/>
    <w:rsid w:val="00D672BE"/>
    <w:rsid w:val="00D71DBF"/>
    <w:rsid w:val="00D71FC3"/>
    <w:rsid w:val="00D727C7"/>
    <w:rsid w:val="00D72E45"/>
    <w:rsid w:val="00D760F0"/>
    <w:rsid w:val="00D935FC"/>
    <w:rsid w:val="00D97B27"/>
    <w:rsid w:val="00DA0213"/>
    <w:rsid w:val="00DA07DA"/>
    <w:rsid w:val="00DA1478"/>
    <w:rsid w:val="00DA4885"/>
    <w:rsid w:val="00DA5AF1"/>
    <w:rsid w:val="00DB04F9"/>
    <w:rsid w:val="00DB064A"/>
    <w:rsid w:val="00DB0E17"/>
    <w:rsid w:val="00DB2F55"/>
    <w:rsid w:val="00DB315A"/>
    <w:rsid w:val="00DB76EC"/>
    <w:rsid w:val="00DC5368"/>
    <w:rsid w:val="00DD1627"/>
    <w:rsid w:val="00DD35A4"/>
    <w:rsid w:val="00DD3BB0"/>
    <w:rsid w:val="00DD6496"/>
    <w:rsid w:val="00DD6585"/>
    <w:rsid w:val="00DD7FA7"/>
    <w:rsid w:val="00DE0CB0"/>
    <w:rsid w:val="00DE4195"/>
    <w:rsid w:val="00DE6E9F"/>
    <w:rsid w:val="00DF0404"/>
    <w:rsid w:val="00DF5A9B"/>
    <w:rsid w:val="00DF6C17"/>
    <w:rsid w:val="00DF793D"/>
    <w:rsid w:val="00E00EF4"/>
    <w:rsid w:val="00E020B6"/>
    <w:rsid w:val="00E03570"/>
    <w:rsid w:val="00E04A5C"/>
    <w:rsid w:val="00E05033"/>
    <w:rsid w:val="00E05A06"/>
    <w:rsid w:val="00E07E0D"/>
    <w:rsid w:val="00E1173F"/>
    <w:rsid w:val="00E12C15"/>
    <w:rsid w:val="00E160C1"/>
    <w:rsid w:val="00E20794"/>
    <w:rsid w:val="00E20F89"/>
    <w:rsid w:val="00E2181C"/>
    <w:rsid w:val="00E256D6"/>
    <w:rsid w:val="00E25F01"/>
    <w:rsid w:val="00E278FC"/>
    <w:rsid w:val="00E27E63"/>
    <w:rsid w:val="00E30105"/>
    <w:rsid w:val="00E30862"/>
    <w:rsid w:val="00E30CBC"/>
    <w:rsid w:val="00E32262"/>
    <w:rsid w:val="00E4388B"/>
    <w:rsid w:val="00E43F8B"/>
    <w:rsid w:val="00E46204"/>
    <w:rsid w:val="00E54E3B"/>
    <w:rsid w:val="00E561E7"/>
    <w:rsid w:val="00E639C0"/>
    <w:rsid w:val="00E64385"/>
    <w:rsid w:val="00E666BB"/>
    <w:rsid w:val="00E670FD"/>
    <w:rsid w:val="00E673CB"/>
    <w:rsid w:val="00E70793"/>
    <w:rsid w:val="00E70895"/>
    <w:rsid w:val="00E7305D"/>
    <w:rsid w:val="00E73B61"/>
    <w:rsid w:val="00E753AA"/>
    <w:rsid w:val="00E76B40"/>
    <w:rsid w:val="00E817B2"/>
    <w:rsid w:val="00E82307"/>
    <w:rsid w:val="00E82BD5"/>
    <w:rsid w:val="00E850F8"/>
    <w:rsid w:val="00E86AE6"/>
    <w:rsid w:val="00E90588"/>
    <w:rsid w:val="00E93F07"/>
    <w:rsid w:val="00E97133"/>
    <w:rsid w:val="00EB201E"/>
    <w:rsid w:val="00EC7585"/>
    <w:rsid w:val="00EC7B5C"/>
    <w:rsid w:val="00ED05D3"/>
    <w:rsid w:val="00ED1FB3"/>
    <w:rsid w:val="00EE1737"/>
    <w:rsid w:val="00EE1FEC"/>
    <w:rsid w:val="00EF0435"/>
    <w:rsid w:val="00EF0DF8"/>
    <w:rsid w:val="00EF1231"/>
    <w:rsid w:val="00EF1E3C"/>
    <w:rsid w:val="00EF4637"/>
    <w:rsid w:val="00EF63A6"/>
    <w:rsid w:val="00EF6410"/>
    <w:rsid w:val="00F04053"/>
    <w:rsid w:val="00F05A1C"/>
    <w:rsid w:val="00F05E53"/>
    <w:rsid w:val="00F07CB6"/>
    <w:rsid w:val="00F11E01"/>
    <w:rsid w:val="00F14166"/>
    <w:rsid w:val="00F141C9"/>
    <w:rsid w:val="00F15362"/>
    <w:rsid w:val="00F21925"/>
    <w:rsid w:val="00F24640"/>
    <w:rsid w:val="00F259AC"/>
    <w:rsid w:val="00F31D0B"/>
    <w:rsid w:val="00F33186"/>
    <w:rsid w:val="00F35740"/>
    <w:rsid w:val="00F41F56"/>
    <w:rsid w:val="00F42747"/>
    <w:rsid w:val="00F43E6B"/>
    <w:rsid w:val="00F45FBE"/>
    <w:rsid w:val="00F46341"/>
    <w:rsid w:val="00F46FCC"/>
    <w:rsid w:val="00F47ECA"/>
    <w:rsid w:val="00F5042B"/>
    <w:rsid w:val="00F5066C"/>
    <w:rsid w:val="00F50862"/>
    <w:rsid w:val="00F51F3D"/>
    <w:rsid w:val="00F53D3C"/>
    <w:rsid w:val="00F55B58"/>
    <w:rsid w:val="00F60C0E"/>
    <w:rsid w:val="00F60D56"/>
    <w:rsid w:val="00F61744"/>
    <w:rsid w:val="00F6228B"/>
    <w:rsid w:val="00F65712"/>
    <w:rsid w:val="00F65D04"/>
    <w:rsid w:val="00F67789"/>
    <w:rsid w:val="00F711BC"/>
    <w:rsid w:val="00F74EEF"/>
    <w:rsid w:val="00F826ED"/>
    <w:rsid w:val="00F86EA1"/>
    <w:rsid w:val="00F875BD"/>
    <w:rsid w:val="00F93023"/>
    <w:rsid w:val="00F972CA"/>
    <w:rsid w:val="00F9781B"/>
    <w:rsid w:val="00FA023D"/>
    <w:rsid w:val="00FA6322"/>
    <w:rsid w:val="00FA7FA7"/>
    <w:rsid w:val="00FB1226"/>
    <w:rsid w:val="00FB3938"/>
    <w:rsid w:val="00FB470D"/>
    <w:rsid w:val="00FB67DA"/>
    <w:rsid w:val="00FB7CF5"/>
    <w:rsid w:val="00FC0434"/>
    <w:rsid w:val="00FC46CF"/>
    <w:rsid w:val="00FC70CA"/>
    <w:rsid w:val="00FD70F0"/>
    <w:rsid w:val="00FE0459"/>
    <w:rsid w:val="00FE064B"/>
    <w:rsid w:val="00FE0F8C"/>
    <w:rsid w:val="00FE491A"/>
    <w:rsid w:val="00FE631C"/>
    <w:rsid w:val="00FF0A9E"/>
    <w:rsid w:val="00FF667B"/>
    <w:rsid w:val="00FF7224"/>
    <w:rsid w:val="00FF74ED"/>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DDC505"/>
  <w15:docId w15:val="{DC83F2AE-6BA7-4F0C-8186-38CC104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numPr>
        <w:numId w:val="8"/>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7"/>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Heading2"/>
    <w:next w:val="Normal"/>
    <w:link w:val="Heading9Char"/>
    <w:rsid w:val="005D1F71"/>
    <w:pPr>
      <w:tabs>
        <w:tab w:val="num" w:pos="1584"/>
      </w:tabs>
      <w:suppressAutoHyphens w:val="0"/>
      <w:spacing w:after="120" w:line="240" w:lineRule="auto"/>
      <w:ind w:left="1584" w:hanging="1584"/>
      <w:outlineLvl w:val="8"/>
    </w:pPr>
    <w:rPr>
      <w:rFonts w:ascii="Arial Bold" w:eastAsia="Times New Roman" w:hAnsi="Arial Bold"/>
      <w:color w:val="auto"/>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DE0CB0"/>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E5FEC"/>
    <w:pPr>
      <w:keepNext/>
      <w:tabs>
        <w:tab w:val="left" w:pos="1320"/>
        <w:tab w:val="right" w:leader="dot" w:pos="9060"/>
      </w:tabs>
      <w:spacing w:before="120" w:after="120" w:line="240" w:lineRule="exact"/>
      <w:ind w:left="420"/>
    </w:pPr>
    <w:rPr>
      <w:rFonts w:eastAsiaTheme="minorEastAsia" w:cstheme="minorBidi"/>
      <w:noProof/>
      <w:sz w:val="24"/>
      <w:szCs w:val="24"/>
    </w:rPr>
  </w:style>
  <w:style w:type="paragraph" w:styleId="Title">
    <w:name w:val="Title"/>
    <w:basedOn w:val="Normal"/>
    <w:link w:val="TitleChar"/>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OLG List Paragraph Bullets"/>
    <w:basedOn w:val="Normal"/>
    <w:link w:val="ListParagraphChar"/>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semiHidden/>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uiPriority w:val="99"/>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customStyle="1" w:styleId="reference">
    <w:name w:val="reference"/>
    <w:basedOn w:val="Normal"/>
    <w:link w:val="referenceChar"/>
    <w:qFormat/>
    <w:rsid w:val="006A7B38"/>
    <w:pPr>
      <w:shd w:val="clear" w:color="auto" w:fill="F2F2F2"/>
      <w:spacing w:after="0" w:line="240" w:lineRule="auto"/>
      <w:ind w:left="567" w:right="567"/>
    </w:pPr>
    <w:rPr>
      <w:rFonts w:ascii="Calibri" w:eastAsia="Times New Roman" w:hAnsi="Calibri"/>
      <w:sz w:val="20"/>
      <w:szCs w:val="16"/>
      <w:lang w:eastAsia="en-US" w:bidi="en-US"/>
    </w:rPr>
  </w:style>
  <w:style w:type="character" w:customStyle="1" w:styleId="referenceChar">
    <w:name w:val="reference Char"/>
    <w:link w:val="reference"/>
    <w:rsid w:val="006A7B38"/>
    <w:rPr>
      <w:rFonts w:ascii="Calibri" w:eastAsia="Times New Roman" w:hAnsi="Calibri" w:cs="Times New Roman"/>
      <w:sz w:val="20"/>
      <w:szCs w:val="16"/>
      <w:shd w:val="clear" w:color="auto" w:fill="F2F2F2"/>
      <w:lang w:bidi="en-US"/>
    </w:rPr>
  </w:style>
  <w:style w:type="character" w:customStyle="1" w:styleId="ListParagraphChar">
    <w:name w:val="List Paragraph Char"/>
    <w:aliases w:val="OLG List Paragraph Bullets Char"/>
    <w:link w:val="ListParagraph"/>
    <w:uiPriority w:val="34"/>
    <w:rsid w:val="006A7B38"/>
    <w:rPr>
      <w:rFonts w:cs="Times New Roman"/>
      <w:sz w:val="21"/>
      <w:szCs w:val="21"/>
      <w:lang w:eastAsia="en-AU"/>
    </w:rPr>
  </w:style>
  <w:style w:type="character" w:customStyle="1" w:styleId="Heading9Char">
    <w:name w:val="Heading 9 Char"/>
    <w:basedOn w:val="DefaultParagraphFont"/>
    <w:link w:val="Heading9"/>
    <w:rsid w:val="005D1F71"/>
    <w:rPr>
      <w:rFonts w:ascii="Arial Bold" w:eastAsia="Times New Roman" w:hAnsi="Arial Bold" w:cs="Times New Roman"/>
      <w:b/>
      <w:caps/>
      <w:sz w:val="28"/>
      <w:szCs w:val="24"/>
    </w:rPr>
  </w:style>
  <w:style w:type="paragraph" w:customStyle="1" w:styleId="TableReference">
    <w:name w:val="Table Reference"/>
    <w:basedOn w:val="Normal"/>
    <w:rsid w:val="0062060D"/>
    <w:pPr>
      <w:spacing w:after="0" w:line="240" w:lineRule="auto"/>
    </w:pPr>
    <w:rPr>
      <w:rFonts w:ascii="Calibri" w:eastAsia="Times New Roman" w:hAnsi="Calibri"/>
      <w:color w:val="008000"/>
      <w:sz w:val="12"/>
      <w:szCs w:val="14"/>
      <w:lang w:eastAsia="en-US"/>
    </w:rPr>
  </w:style>
  <w:style w:type="paragraph" w:customStyle="1" w:styleId="CommentaryTitle">
    <w:name w:val="Commentary Title"/>
    <w:basedOn w:val="Normal"/>
    <w:rsid w:val="0062060D"/>
    <w:pPr>
      <w:pageBreakBefore/>
      <w:spacing w:before="120" w:after="360" w:line="240" w:lineRule="auto"/>
    </w:pPr>
    <w:rPr>
      <w:rFonts w:ascii="Calibri" w:eastAsia="Times New Roman" w:hAnsi="Calibri"/>
      <w:b/>
      <w:bCs/>
      <w:sz w:val="22"/>
      <w:szCs w:val="24"/>
      <w:lang w:eastAsia="en-US"/>
    </w:rPr>
  </w:style>
  <w:style w:type="paragraph" w:customStyle="1" w:styleId="TableTitle">
    <w:name w:val="Table Title"/>
    <w:basedOn w:val="Normal"/>
    <w:next w:val="Normal"/>
    <w:rsid w:val="0062060D"/>
    <w:pPr>
      <w:spacing w:after="0" w:line="240" w:lineRule="auto"/>
      <w:jc w:val="right"/>
    </w:pPr>
    <w:rPr>
      <w:rFonts w:ascii="Calibri" w:eastAsia="Times New Roman" w:hAnsi="Calibri"/>
      <w:b/>
      <w:bCs/>
      <w:sz w:val="18"/>
      <w:szCs w:val="18"/>
      <w:lang w:eastAsia="en-US"/>
    </w:rPr>
  </w:style>
  <w:style w:type="paragraph" w:customStyle="1" w:styleId="TableText0">
    <w:name w:val="Table Text"/>
    <w:basedOn w:val="Normal"/>
    <w:next w:val="Normal"/>
    <w:rsid w:val="0062060D"/>
    <w:pPr>
      <w:spacing w:before="40" w:after="0" w:line="240" w:lineRule="auto"/>
    </w:pPr>
    <w:rPr>
      <w:rFonts w:ascii="Calibri" w:eastAsia="Times New Roman" w:hAnsi="Calibri"/>
      <w:sz w:val="18"/>
      <w:szCs w:val="18"/>
      <w:lang w:eastAsia="en-US"/>
    </w:rPr>
  </w:style>
  <w:style w:type="paragraph" w:customStyle="1" w:styleId="CommentaryText">
    <w:name w:val="Commentary Text"/>
    <w:basedOn w:val="Normal"/>
    <w:rsid w:val="0062060D"/>
    <w:pPr>
      <w:spacing w:after="120" w:line="240" w:lineRule="auto"/>
      <w:jc w:val="both"/>
    </w:pPr>
    <w:rPr>
      <w:rFonts w:ascii="Calibri" w:eastAsia="Times New Roman" w:hAnsi="Calibri"/>
      <w:sz w:val="20"/>
      <w:szCs w:val="16"/>
      <w:lang w:eastAsia="en-US"/>
    </w:rPr>
  </w:style>
  <w:style w:type="paragraph" w:customStyle="1" w:styleId="CommentaryHeading">
    <w:name w:val="Commentary Heading"/>
    <w:basedOn w:val="Normal"/>
    <w:rsid w:val="0062060D"/>
    <w:pPr>
      <w:keepNext/>
      <w:spacing w:before="120" w:after="60" w:line="240" w:lineRule="auto"/>
    </w:pPr>
    <w:rPr>
      <w:rFonts w:ascii="Calibri" w:eastAsia="Times New Roman" w:hAnsi="Calibri"/>
      <w:b/>
      <w:bCs/>
      <w:sz w:val="20"/>
      <w:szCs w:val="18"/>
      <w:lang w:eastAsia="en-US"/>
    </w:rPr>
  </w:style>
  <w:style w:type="paragraph" w:customStyle="1" w:styleId="Reference0">
    <w:name w:val="Reference"/>
    <w:basedOn w:val="TableTitle"/>
    <w:rsid w:val="0062060D"/>
    <w:pPr>
      <w:jc w:val="left"/>
    </w:pPr>
    <w:rPr>
      <w:sz w:val="20"/>
    </w:rPr>
  </w:style>
  <w:style w:type="paragraph" w:customStyle="1" w:styleId="Commentary-Bullet">
    <w:name w:val="Commentary - Bullet"/>
    <w:basedOn w:val="CommentaryText"/>
    <w:rsid w:val="0062060D"/>
    <w:pPr>
      <w:numPr>
        <w:numId w:val="12"/>
      </w:numPr>
      <w:tabs>
        <w:tab w:val="left" w:pos="3306"/>
      </w:tabs>
      <w:spacing w:after="60"/>
    </w:pPr>
  </w:style>
  <w:style w:type="paragraph" w:customStyle="1" w:styleId="headerhead">
    <w:name w:val="headerhead"/>
    <w:basedOn w:val="Normal"/>
    <w:link w:val="headerheadChar"/>
    <w:qFormat/>
    <w:rsid w:val="003826C2"/>
    <w:pPr>
      <w:spacing w:after="0" w:line="240" w:lineRule="auto"/>
      <w:jc w:val="center"/>
    </w:pPr>
    <w:rPr>
      <w:rFonts w:ascii="Calibri" w:eastAsia="Times New Roman" w:hAnsi="Calibri" w:cs="Arial"/>
      <w:b/>
      <w:caps/>
      <w:sz w:val="22"/>
      <w:szCs w:val="16"/>
      <w:lang w:eastAsia="en-US"/>
    </w:rPr>
  </w:style>
  <w:style w:type="character" w:customStyle="1" w:styleId="headerheadChar">
    <w:name w:val="headerhead Char"/>
    <w:link w:val="headerhead"/>
    <w:rsid w:val="003826C2"/>
    <w:rPr>
      <w:rFonts w:ascii="Calibri" w:eastAsia="Times New Roman" w:hAnsi="Calibri" w:cs="Arial"/>
      <w:b/>
      <w:caps/>
      <w:szCs w:val="16"/>
    </w:rPr>
  </w:style>
  <w:style w:type="paragraph" w:customStyle="1" w:styleId="Appxhead2">
    <w:name w:val="Appxhead2"/>
    <w:basedOn w:val="Normal"/>
    <w:link w:val="Appxhead2Char"/>
    <w:qFormat/>
    <w:rsid w:val="00B0598D"/>
    <w:pPr>
      <w:spacing w:before="240" w:after="120" w:line="240" w:lineRule="auto"/>
    </w:pPr>
    <w:rPr>
      <w:rFonts w:ascii="Arial" w:eastAsia="Times New Roman" w:hAnsi="Arial"/>
      <w:b/>
      <w:caps/>
      <w:sz w:val="28"/>
      <w:szCs w:val="28"/>
      <w:lang w:eastAsia="en-US"/>
    </w:rPr>
  </w:style>
  <w:style w:type="character" w:customStyle="1" w:styleId="Appxhead2Char">
    <w:name w:val="Appxhead2 Char"/>
    <w:link w:val="Appxhead2"/>
    <w:rsid w:val="00B0598D"/>
    <w:rPr>
      <w:rFonts w:ascii="Arial" w:eastAsia="Times New Roman" w:hAnsi="Arial" w:cs="Times New Roman"/>
      <w:b/>
      <w:caps/>
      <w:sz w:val="28"/>
      <w:szCs w:val="28"/>
    </w:rPr>
  </w:style>
  <w:style w:type="paragraph" w:customStyle="1" w:styleId="NotesNumber">
    <w:name w:val="Notes Number"/>
    <w:basedOn w:val="Normal"/>
    <w:rsid w:val="002C5CC0"/>
    <w:pPr>
      <w:numPr>
        <w:numId w:val="28"/>
      </w:numPr>
      <w:spacing w:after="0" w:line="240" w:lineRule="auto"/>
    </w:pPr>
    <w:rPr>
      <w:rFonts w:ascii="Calibri" w:eastAsia="Times New Roman" w:hAnsi="Calibri"/>
      <w:iCs/>
      <w:sz w:val="20"/>
      <w:szCs w:val="20"/>
      <w:lang w:eastAsia="en-US"/>
    </w:rPr>
  </w:style>
  <w:style w:type="paragraph" w:customStyle="1" w:styleId="NoteTitle">
    <w:name w:val="Note Title"/>
    <w:basedOn w:val="Normal"/>
    <w:rsid w:val="002C5CC0"/>
    <w:pPr>
      <w:numPr>
        <w:numId w:val="29"/>
      </w:numPr>
      <w:spacing w:after="240" w:line="240" w:lineRule="auto"/>
    </w:pPr>
    <w:rPr>
      <w:rFonts w:ascii="Calibri" w:eastAsia="Times New Roman" w:hAnsi="Calibri"/>
      <w:b/>
      <w:caps/>
      <w:sz w:val="22"/>
      <w:szCs w:val="16"/>
      <w:lang w:eastAsia="en-US"/>
    </w:rPr>
  </w:style>
  <w:style w:type="character" w:customStyle="1" w:styleId="apple-style-span">
    <w:name w:val="apple-style-span"/>
    <w:basedOn w:val="DefaultParagraphFont"/>
    <w:rsid w:val="002C5CC0"/>
  </w:style>
  <w:style w:type="paragraph" w:customStyle="1" w:styleId="NormalSF">
    <w:name w:val="Normal SF"/>
    <w:basedOn w:val="Normal"/>
    <w:qFormat/>
    <w:rsid w:val="002C5CC0"/>
    <w:pPr>
      <w:keepLines/>
      <w:spacing w:before="120" w:after="120" w:line="240" w:lineRule="auto"/>
    </w:pPr>
    <w:rPr>
      <w:rFonts w:ascii="Calibri" w:eastAsia="Times New Roman" w:hAnsi="Calibri"/>
      <w:sz w:val="22"/>
      <w:szCs w:val="24"/>
      <w:lang w:val="en-US"/>
    </w:rPr>
  </w:style>
  <w:style w:type="paragraph" w:styleId="FootnoteText">
    <w:name w:val="footnote text"/>
    <w:basedOn w:val="Normal"/>
    <w:link w:val="FootnoteTextChar"/>
    <w:semiHidden/>
    <w:rsid w:val="00DB315A"/>
    <w:pPr>
      <w:spacing w:after="0" w:line="240" w:lineRule="auto"/>
      <w:jc w:val="both"/>
    </w:pPr>
    <w:rPr>
      <w:rFonts w:ascii="Calibri" w:eastAsia="Times New Roman" w:hAnsi="Calibri"/>
      <w:color w:val="008000"/>
      <w:sz w:val="16"/>
      <w:szCs w:val="16"/>
      <w:lang w:eastAsia="en-US"/>
    </w:rPr>
  </w:style>
  <w:style w:type="character" w:customStyle="1" w:styleId="FootnoteTextChar">
    <w:name w:val="Footnote Text Char"/>
    <w:basedOn w:val="DefaultParagraphFont"/>
    <w:link w:val="FootnoteText"/>
    <w:semiHidden/>
    <w:rsid w:val="00DB315A"/>
    <w:rPr>
      <w:rFonts w:ascii="Calibri" w:eastAsia="Times New Roman" w:hAnsi="Calibri" w:cs="Times New Roman"/>
      <w:color w:val="008000"/>
      <w:sz w:val="16"/>
      <w:szCs w:val="16"/>
    </w:rPr>
  </w:style>
  <w:style w:type="character" w:styleId="FootnoteReference">
    <w:name w:val="footnote reference"/>
    <w:semiHidden/>
    <w:rsid w:val="00DB3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1173491208">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treasury.act.gov.au/accounting/" TargetMode="External"/><Relationship Id="rId18" Type="http://schemas.openxmlformats.org/officeDocument/2006/relationships/hyperlink" Target="https://www.aasb.gov.au/admin/file/content105/c9/AASB2020-9_12-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aasb.gov.au/admin/file/content105/c9/AASB2020-8_09-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sb.gov.au/admin/file/content105/c9/AASB2020-7_08-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aasb.gov.au/admin/file/content105/c9/AASB2020-6_08-20.pdf"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sb.gov.au/admin/file/content105/c9/AASB2020-5_07-20.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46</TotalTime>
  <Pages>16</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Bourke, Natasha</dc:creator>
  <cp:lastModifiedBy>Palfreyman, Hamish</cp:lastModifiedBy>
  <cp:revision>7</cp:revision>
  <cp:lastPrinted>2021-07-22T23:37:00Z</cp:lastPrinted>
  <dcterms:created xsi:type="dcterms:W3CDTF">2022-06-06T04:26:00Z</dcterms:created>
  <dcterms:modified xsi:type="dcterms:W3CDTF">2022-06-07T03:37:00Z</dcterms:modified>
</cp:coreProperties>
</file>