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F37" w14:textId="77777777" w:rsidR="000A2FFC" w:rsidRDefault="00E753AA">
      <w:bookmarkStart w:id="0" w:name="_Hlk70693919"/>
      <w:bookmarkEnd w:id="0"/>
      <w:r>
        <w:rPr>
          <w:noProof/>
        </w:rPr>
        <w:drawing>
          <wp:anchor distT="0" distB="0" distL="114300" distR="114300" simplePos="0" relativeHeight="251683840" behindDoc="1" locked="0" layoutInCell="1" allowOverlap="1" wp14:anchorId="6A5DBD08" wp14:editId="12A35AE6">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43C608AD" wp14:editId="1F479FDA">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77777777" w:rsidR="00F875BD" w:rsidRDefault="00F875BD"/>
        <w:p w14:paraId="49B2A568" w14:textId="3AEC785A" w:rsidR="00F875BD" w:rsidRDefault="006A7B38">
          <w:pPr>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21171CE4" wp14:editId="7AE91E08">
                    <wp:simplePos x="0" y="0"/>
                    <wp:positionH relativeFrom="margin">
                      <wp:posOffset>-186055</wp:posOffset>
                    </wp:positionH>
                    <wp:positionV relativeFrom="page">
                      <wp:posOffset>2914650</wp:posOffset>
                    </wp:positionV>
                    <wp:extent cx="6496050" cy="30480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DF2E" w14:textId="06B852FE" w:rsidR="00344231" w:rsidRDefault="00344231" w:rsidP="00344231">
                                <w:pPr>
                                  <w:pStyle w:val="Title"/>
                                  <w:jc w:val="center"/>
                                  <w:rPr>
                                    <w:color w:val="FFFFFF"/>
                                    <w:lang w:val="en-US"/>
                                  </w:rPr>
                                </w:pPr>
                                <w:r w:rsidRPr="00344231">
                                  <w:rPr>
                                    <w:color w:val="FFFFFF"/>
                                    <w:lang w:val="en-US"/>
                                  </w:rPr>
                                  <w:t xml:space="preserve">AAGP 204 </w:t>
                                </w:r>
                                <w:r>
                                  <w:rPr>
                                    <w:color w:val="FFFFFF"/>
                                    <w:lang w:val="en-US"/>
                                  </w:rPr>
                                  <w:t xml:space="preserve">– </w:t>
                                </w:r>
                                <w:r w:rsidRPr="00344231">
                                  <w:rPr>
                                    <w:color w:val="FFFFFF"/>
                                    <w:lang w:val="en-US"/>
                                  </w:rPr>
                                  <w:t>ACT</w:t>
                                </w:r>
                                <w:r>
                                  <w:rPr>
                                    <w:color w:val="FFFFFF"/>
                                    <w:lang w:val="en-US"/>
                                  </w:rPr>
                                  <w:t xml:space="preserve"> </w:t>
                                </w:r>
                                <w:r w:rsidRPr="00344231">
                                  <w:rPr>
                                    <w:color w:val="FFFFFF"/>
                                    <w:lang w:val="en-US"/>
                                  </w:rPr>
                                  <w:t>Accounting Guidance Paper</w:t>
                                </w:r>
                              </w:p>
                              <w:p w14:paraId="27258E88" w14:textId="68548B93" w:rsidR="00344231" w:rsidRDefault="00344231" w:rsidP="00344231">
                                <w:pPr>
                                  <w:pStyle w:val="Title"/>
                                  <w:jc w:val="center"/>
                                  <w:rPr>
                                    <w:color w:val="FFFFFF"/>
                                    <w:lang w:val="en-US"/>
                                  </w:rPr>
                                </w:pPr>
                                <w:r w:rsidRPr="00344231">
                                  <w:rPr>
                                    <w:color w:val="FFFFFF"/>
                                    <w:lang w:val="en-US"/>
                                  </w:rPr>
                                  <w:t>on</w:t>
                                </w:r>
                              </w:p>
                              <w:p w14:paraId="309B196E" w14:textId="067DE778" w:rsidR="00211746" w:rsidRPr="00C403DB" w:rsidRDefault="00344231" w:rsidP="00344231">
                                <w:pPr>
                                  <w:pStyle w:val="Title"/>
                                  <w:jc w:val="center"/>
                                  <w:rPr>
                                    <w:color w:val="FFFFFF"/>
                                    <w:lang w:val="en-US"/>
                                  </w:rPr>
                                </w:pPr>
                                <w:r w:rsidRPr="00344231">
                                  <w:rPr>
                                    <w:color w:val="FFFFFF"/>
                                    <w:lang w:val="en-US"/>
                                  </w:rPr>
                                  <w:t>COVID-19 Disclosures and Workpapers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71CE4" id="_x0000_t202" coordsize="21600,21600" o:spt="202" path="m,l,21600r21600,l21600,xe">
                    <v:stroke joinstyle="miter"/>
                    <v:path gradientshapeok="t" o:connecttype="rect"/>
                  </v:shapetype>
                  <v:shape id="Text Box 9" o:spid="_x0000_s1026" type="#_x0000_t202" style="position:absolute;margin-left:-14.65pt;margin-top:229.5pt;width:511.5pt;height:24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" filled="f" stroked="f">
                    <v:textbox>
                      <w:txbxContent>
                        <w:p w14:paraId="740BDF2E" w14:textId="06B852FE" w:rsidR="00344231" w:rsidRDefault="00344231" w:rsidP="00344231">
                          <w:pPr>
                            <w:pStyle w:val="Title"/>
                            <w:jc w:val="center"/>
                            <w:rPr>
                              <w:color w:val="FFFFFF"/>
                              <w:lang w:val="en-US"/>
                            </w:rPr>
                          </w:pPr>
                          <w:r w:rsidRPr="00344231">
                            <w:rPr>
                              <w:color w:val="FFFFFF"/>
                              <w:lang w:val="en-US"/>
                            </w:rPr>
                            <w:t>AAGP 204</w:t>
                          </w:r>
                          <w:r w:rsidRPr="00344231">
                            <w:rPr>
                              <w:color w:val="FFFFFF"/>
                              <w:lang w:val="en-US"/>
                            </w:rPr>
                            <w:t xml:space="preserve"> </w:t>
                          </w:r>
                          <w:r>
                            <w:rPr>
                              <w:color w:val="FFFFFF"/>
                              <w:lang w:val="en-US"/>
                            </w:rPr>
                            <w:t xml:space="preserve">– </w:t>
                          </w:r>
                          <w:r w:rsidRPr="00344231">
                            <w:rPr>
                              <w:color w:val="FFFFFF"/>
                              <w:lang w:val="en-US"/>
                            </w:rPr>
                            <w:t>ACT</w:t>
                          </w:r>
                          <w:r>
                            <w:rPr>
                              <w:color w:val="FFFFFF"/>
                              <w:lang w:val="en-US"/>
                            </w:rPr>
                            <w:t xml:space="preserve"> </w:t>
                          </w:r>
                          <w:r w:rsidRPr="00344231">
                            <w:rPr>
                              <w:color w:val="FFFFFF"/>
                              <w:lang w:val="en-US"/>
                            </w:rPr>
                            <w:t>Accounting Guidance Paper</w:t>
                          </w:r>
                        </w:p>
                        <w:p w14:paraId="27258E88" w14:textId="68548B93" w:rsidR="00344231" w:rsidRDefault="00344231" w:rsidP="00344231">
                          <w:pPr>
                            <w:pStyle w:val="Title"/>
                            <w:jc w:val="center"/>
                            <w:rPr>
                              <w:color w:val="FFFFFF"/>
                              <w:lang w:val="en-US"/>
                            </w:rPr>
                          </w:pPr>
                          <w:r w:rsidRPr="00344231">
                            <w:rPr>
                              <w:color w:val="FFFFFF"/>
                              <w:lang w:val="en-US"/>
                            </w:rPr>
                            <w:t>on</w:t>
                          </w:r>
                        </w:p>
                        <w:p w14:paraId="309B196E" w14:textId="067DE778" w:rsidR="00211746" w:rsidRPr="00C403DB" w:rsidRDefault="00344231" w:rsidP="00344231">
                          <w:pPr>
                            <w:pStyle w:val="Title"/>
                            <w:jc w:val="center"/>
                            <w:rPr>
                              <w:color w:val="FFFFFF"/>
                              <w:lang w:val="en-US"/>
                            </w:rPr>
                          </w:pPr>
                          <w:r w:rsidRPr="00344231">
                            <w:rPr>
                              <w:color w:val="FFFFFF"/>
                              <w:lang w:val="en-US"/>
                            </w:rPr>
                            <w:t>COVID-19 Disclosures and Workpapers</w:t>
                          </w:r>
                        </w:p>
                      </w:txbxContent>
                    </v:textbox>
                    <w10:wrap anchorx="margin" anchory="page"/>
                  </v:shape>
                </w:pict>
              </mc:Fallback>
            </mc:AlternateContent>
          </w:r>
          <w:r w:rsidR="00C403D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19CC4138" wp14:editId="5201067A">
                    <wp:simplePos x="0" y="0"/>
                    <wp:positionH relativeFrom="margin">
                      <wp:posOffset>-210185</wp:posOffset>
                    </wp:positionH>
                    <wp:positionV relativeFrom="page">
                      <wp:posOffset>7810500</wp:posOffset>
                    </wp:positionV>
                    <wp:extent cx="2929255"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A790" w14:textId="6B2C3AC3" w:rsidR="00211746" w:rsidRPr="000016B9" w:rsidRDefault="00211746" w:rsidP="0089332C">
                                <w:pPr>
                                  <w:pStyle w:val="Intro"/>
                                  <w:rPr>
                                    <w:caps/>
                                    <w:color w:val="FFFFFF"/>
                                  </w:rPr>
                                </w:pPr>
                                <w:r>
                                  <w:rPr>
                                    <w:color w:val="FFFFFF"/>
                                  </w:rPr>
                                  <w:t>Chief Minister, Treasury and Economic Development Directorate</w:t>
                                </w:r>
                              </w:p>
                              <w:p w14:paraId="4B1E4223" w14:textId="53737326" w:rsidR="00211746" w:rsidRPr="000016B9" w:rsidRDefault="00211746" w:rsidP="0089332C">
                                <w:pPr>
                                  <w:pStyle w:val="Intro"/>
                                  <w:rPr>
                                    <w:caps/>
                                    <w:color w:val="FFFFFF"/>
                                  </w:rPr>
                                </w:pPr>
                                <w:r>
                                  <w:rPr>
                                    <w:color w:val="FFFFFF"/>
                                  </w:rPr>
                                  <w:t xml:space="preserve">Policy </w:t>
                                </w:r>
                                <w:proofErr w:type="gramStart"/>
                                <w:r>
                                  <w:rPr>
                                    <w:color w:val="FFFFFF"/>
                                  </w:rPr>
                                  <w:t>start</w:t>
                                </w:r>
                                <w:proofErr w:type="gramEnd"/>
                                <w:r>
                                  <w:rPr>
                                    <w:color w:val="FFFFFF"/>
                                  </w:rPr>
                                  <w:t xml:space="preserve"> date: June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CC4138" id="Text Box 10" o:spid="_x0000_s1027" type="#_x0000_t202" style="position:absolute;margin-left:-16.55pt;margin-top:615pt;width:230.6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" filled="f" stroked="f">
                    <v:textbox style="mso-fit-shape-to-text:t">
                      <w:txbxContent>
                        <w:p w14:paraId="7979A790" w14:textId="6B2C3AC3" w:rsidR="00211746" w:rsidRPr="000016B9" w:rsidRDefault="00211746" w:rsidP="0089332C">
                          <w:pPr>
                            <w:pStyle w:val="Intro"/>
                            <w:rPr>
                              <w:caps/>
                              <w:color w:val="FFFFFF"/>
                            </w:rPr>
                          </w:pPr>
                          <w:r>
                            <w:rPr>
                              <w:color w:val="FFFFFF"/>
                            </w:rPr>
                            <w:t>Chief Minister, Treasury and Economic Development Directorate</w:t>
                          </w:r>
                        </w:p>
                        <w:p w14:paraId="4B1E4223" w14:textId="53737326" w:rsidR="00211746" w:rsidRPr="000016B9" w:rsidRDefault="00211746" w:rsidP="0089332C">
                          <w:pPr>
                            <w:pStyle w:val="Intro"/>
                            <w:rPr>
                              <w:caps/>
                              <w:color w:val="FFFFFF"/>
                            </w:rPr>
                          </w:pPr>
                          <w:r>
                            <w:rPr>
                              <w:color w:val="FFFFFF"/>
                            </w:rPr>
                            <w:t xml:space="preserve">Policy </w:t>
                          </w:r>
                          <w:proofErr w:type="gramStart"/>
                          <w:r>
                            <w:rPr>
                              <w:color w:val="FFFFFF"/>
                            </w:rPr>
                            <w:t>start</w:t>
                          </w:r>
                          <w:proofErr w:type="gramEnd"/>
                          <w:r>
                            <w:rPr>
                              <w:color w:val="FFFFFF"/>
                            </w:rPr>
                            <w:t xml:space="preserve"> date: June 2021</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5F8A89A4" w14:textId="77777777" w:rsidR="00E43D74" w:rsidRDefault="00A65782" w:rsidP="00A65782">
      <w:pPr>
        <w:pStyle w:val="Normal1"/>
        <w:jc w:val="center"/>
      </w:pPr>
      <w:bookmarkStart w:id="1" w:name="_Toc64020120"/>
      <w:r>
        <w:rPr>
          <w:color w:val="7270D0" w:themeColor="accent4" w:themeTint="99"/>
          <w:sz w:val="72"/>
          <w:szCs w:val="72"/>
        </w:rPr>
        <w:lastRenderedPageBreak/>
        <w:t xml:space="preserve">TABLE OF </w:t>
      </w:r>
      <w:r w:rsidR="002D33BC" w:rsidRPr="00A65782">
        <w:rPr>
          <w:color w:val="7270D0" w:themeColor="accent4" w:themeTint="99"/>
          <w:sz w:val="72"/>
          <w:szCs w:val="72"/>
        </w:rPr>
        <w:t>C</w:t>
      </w:r>
      <w:r w:rsidRPr="00A65782">
        <w:rPr>
          <w:color w:val="7270D0" w:themeColor="accent4" w:themeTint="99"/>
          <w:sz w:val="72"/>
          <w:szCs w:val="72"/>
        </w:rPr>
        <w:t>ONTENTS</w:t>
      </w:r>
      <w:bookmarkEnd w:id="1"/>
      <w:r w:rsidR="00DD7FA7" w:rsidRPr="00C52E3C">
        <w:rPr>
          <w:rFonts w:eastAsiaTheme="minorHAnsi"/>
          <w:sz w:val="72"/>
          <w:szCs w:val="72"/>
        </w:rPr>
        <w:fldChar w:fldCharType="begin"/>
      </w:r>
      <w:r w:rsidR="0096313F" w:rsidRPr="00A65782">
        <w:rPr>
          <w:sz w:val="72"/>
          <w:szCs w:val="72"/>
        </w:rPr>
        <w:instrText xml:space="preserve"> TOC \o "1-4" \u </w:instrText>
      </w:r>
      <w:r w:rsidR="00DD7FA7" w:rsidRPr="00C52E3C">
        <w:rPr>
          <w:rFonts w:eastAsiaTheme="minorHAnsi"/>
          <w:sz w:val="72"/>
          <w:szCs w:val="72"/>
        </w:rPr>
        <w:fldChar w:fldCharType="separate"/>
      </w:r>
    </w:p>
    <w:p w14:paraId="60CF351D" w14:textId="4A953F13" w:rsidR="00E43D74" w:rsidRDefault="00E43D74">
      <w:pPr>
        <w:pStyle w:val="TOC1"/>
        <w:rPr>
          <w:rFonts w:eastAsiaTheme="minorEastAsia" w:cstheme="minorBidi"/>
          <w:b w:val="0"/>
          <w:caps w:val="0"/>
          <w:color w:val="auto"/>
          <w:sz w:val="22"/>
          <w:szCs w:val="22"/>
        </w:rPr>
      </w:pPr>
      <w:r w:rsidRPr="00D8532A">
        <w:rPr>
          <w:b w:val="0"/>
        </w:rPr>
        <w:t>1.</w:t>
      </w:r>
      <w:r>
        <w:rPr>
          <w:rFonts w:eastAsiaTheme="minorEastAsia" w:cstheme="minorBidi"/>
          <w:b w:val="0"/>
          <w:caps w:val="0"/>
          <w:color w:val="auto"/>
          <w:sz w:val="22"/>
          <w:szCs w:val="22"/>
        </w:rPr>
        <w:tab/>
      </w:r>
      <w:r w:rsidRPr="00D8532A">
        <w:rPr>
          <w:b w:val="0"/>
        </w:rPr>
        <w:t>Introduction</w:t>
      </w:r>
      <w:r>
        <w:tab/>
      </w:r>
      <w:r>
        <w:fldChar w:fldCharType="begin"/>
      </w:r>
      <w:r>
        <w:instrText xml:space="preserve"> PAGEREF _Toc76391511 \h </w:instrText>
      </w:r>
      <w:r>
        <w:fldChar w:fldCharType="separate"/>
      </w:r>
      <w:r w:rsidR="005F65FD">
        <w:t>3</w:t>
      </w:r>
      <w:r>
        <w:fldChar w:fldCharType="end"/>
      </w:r>
    </w:p>
    <w:p w14:paraId="08357FE4" w14:textId="03C98DE6" w:rsidR="00E43D74" w:rsidRDefault="00E43D74">
      <w:pPr>
        <w:pStyle w:val="TOC2"/>
        <w:rPr>
          <w:rFonts w:eastAsiaTheme="minorEastAsia" w:cstheme="minorBidi"/>
          <w:color w:val="auto"/>
          <w:sz w:val="22"/>
          <w:szCs w:val="22"/>
        </w:rPr>
      </w:pPr>
      <w:r w:rsidRPr="00D8532A">
        <w:rPr>
          <w:bCs/>
        </w:rPr>
        <w:t>1.1 APPLICATION</w:t>
      </w:r>
      <w:r>
        <w:tab/>
      </w:r>
      <w:r>
        <w:fldChar w:fldCharType="begin"/>
      </w:r>
      <w:r>
        <w:instrText xml:space="preserve"> PAGEREF _Toc76391512 \h </w:instrText>
      </w:r>
      <w:r>
        <w:fldChar w:fldCharType="separate"/>
      </w:r>
      <w:r w:rsidR="005F65FD">
        <w:t>3</w:t>
      </w:r>
      <w:r>
        <w:fldChar w:fldCharType="end"/>
      </w:r>
    </w:p>
    <w:p w14:paraId="077805F4" w14:textId="73DA44DC" w:rsidR="00E43D74" w:rsidRDefault="00E43D74">
      <w:pPr>
        <w:pStyle w:val="TOC3"/>
        <w:rPr>
          <w:rFonts w:eastAsiaTheme="minorEastAsia" w:cstheme="minorBidi"/>
          <w:noProof/>
          <w:sz w:val="22"/>
          <w:szCs w:val="22"/>
        </w:rPr>
      </w:pPr>
      <w:r>
        <w:rPr>
          <w:noProof/>
        </w:rPr>
        <w:t>1.1.1</w:t>
      </w:r>
      <w:r>
        <w:rPr>
          <w:rFonts w:eastAsiaTheme="minorEastAsia" w:cstheme="minorBidi"/>
          <w:noProof/>
          <w:sz w:val="22"/>
          <w:szCs w:val="22"/>
        </w:rPr>
        <w:tab/>
      </w:r>
      <w:r w:rsidRPr="00D8532A">
        <w:rPr>
          <w:bCs/>
          <w:noProof/>
        </w:rPr>
        <w:t>Background</w:t>
      </w:r>
      <w:r>
        <w:rPr>
          <w:noProof/>
        </w:rPr>
        <w:tab/>
      </w:r>
      <w:r>
        <w:rPr>
          <w:noProof/>
        </w:rPr>
        <w:fldChar w:fldCharType="begin"/>
      </w:r>
      <w:r>
        <w:rPr>
          <w:noProof/>
        </w:rPr>
        <w:instrText xml:space="preserve"> PAGEREF _Toc76391513 \h </w:instrText>
      </w:r>
      <w:r>
        <w:rPr>
          <w:noProof/>
        </w:rPr>
      </w:r>
      <w:r>
        <w:rPr>
          <w:noProof/>
        </w:rPr>
        <w:fldChar w:fldCharType="separate"/>
      </w:r>
      <w:r w:rsidR="005F65FD">
        <w:rPr>
          <w:noProof/>
        </w:rPr>
        <w:t>3</w:t>
      </w:r>
      <w:r>
        <w:rPr>
          <w:noProof/>
        </w:rPr>
        <w:fldChar w:fldCharType="end"/>
      </w:r>
    </w:p>
    <w:p w14:paraId="228916FE" w14:textId="2544ACA5" w:rsidR="00E43D74" w:rsidRDefault="00E43D74">
      <w:pPr>
        <w:pStyle w:val="TOC3"/>
        <w:rPr>
          <w:rFonts w:eastAsiaTheme="minorEastAsia" w:cstheme="minorBidi"/>
          <w:noProof/>
          <w:sz w:val="22"/>
          <w:szCs w:val="22"/>
        </w:rPr>
      </w:pPr>
      <w:r>
        <w:rPr>
          <w:noProof/>
        </w:rPr>
        <w:t>1.1.2</w:t>
      </w:r>
      <w:r>
        <w:rPr>
          <w:rFonts w:eastAsiaTheme="minorEastAsia" w:cstheme="minorBidi"/>
          <w:noProof/>
          <w:sz w:val="22"/>
          <w:szCs w:val="22"/>
        </w:rPr>
        <w:tab/>
      </w:r>
      <w:r w:rsidRPr="00D8532A">
        <w:rPr>
          <w:bCs/>
          <w:noProof/>
        </w:rPr>
        <w:t>Agencies Covered by this Policy</w:t>
      </w:r>
      <w:r>
        <w:rPr>
          <w:noProof/>
        </w:rPr>
        <w:tab/>
      </w:r>
      <w:r>
        <w:rPr>
          <w:noProof/>
        </w:rPr>
        <w:fldChar w:fldCharType="begin"/>
      </w:r>
      <w:r>
        <w:rPr>
          <w:noProof/>
        </w:rPr>
        <w:instrText xml:space="preserve"> PAGEREF _Toc76391514 \h </w:instrText>
      </w:r>
      <w:r>
        <w:rPr>
          <w:noProof/>
        </w:rPr>
      </w:r>
      <w:r>
        <w:rPr>
          <w:noProof/>
        </w:rPr>
        <w:fldChar w:fldCharType="separate"/>
      </w:r>
      <w:r w:rsidR="005F65FD">
        <w:rPr>
          <w:noProof/>
        </w:rPr>
        <w:t>3</w:t>
      </w:r>
      <w:r>
        <w:rPr>
          <w:noProof/>
        </w:rPr>
        <w:fldChar w:fldCharType="end"/>
      </w:r>
    </w:p>
    <w:p w14:paraId="0043CE57" w14:textId="53E97014" w:rsidR="00E43D74" w:rsidRDefault="00E43D74">
      <w:pPr>
        <w:pStyle w:val="TOC3"/>
        <w:rPr>
          <w:rFonts w:eastAsiaTheme="minorEastAsia" w:cstheme="minorBidi"/>
          <w:noProof/>
          <w:sz w:val="22"/>
          <w:szCs w:val="22"/>
        </w:rPr>
      </w:pPr>
      <w:r>
        <w:rPr>
          <w:noProof/>
        </w:rPr>
        <w:t>1.1.3</w:t>
      </w:r>
      <w:r>
        <w:rPr>
          <w:rFonts w:eastAsiaTheme="minorEastAsia" w:cstheme="minorBidi"/>
          <w:noProof/>
          <w:sz w:val="22"/>
          <w:szCs w:val="22"/>
        </w:rPr>
        <w:tab/>
      </w:r>
      <w:r>
        <w:rPr>
          <w:noProof/>
        </w:rPr>
        <w:t>Contact</w:t>
      </w:r>
      <w:r>
        <w:rPr>
          <w:noProof/>
        </w:rPr>
        <w:tab/>
      </w:r>
      <w:r>
        <w:rPr>
          <w:noProof/>
        </w:rPr>
        <w:fldChar w:fldCharType="begin"/>
      </w:r>
      <w:r>
        <w:rPr>
          <w:noProof/>
        </w:rPr>
        <w:instrText xml:space="preserve"> PAGEREF _Toc76391515 \h </w:instrText>
      </w:r>
      <w:r>
        <w:rPr>
          <w:noProof/>
        </w:rPr>
      </w:r>
      <w:r>
        <w:rPr>
          <w:noProof/>
        </w:rPr>
        <w:fldChar w:fldCharType="separate"/>
      </w:r>
      <w:r w:rsidR="005F65FD">
        <w:rPr>
          <w:noProof/>
        </w:rPr>
        <w:t>3</w:t>
      </w:r>
      <w:r>
        <w:rPr>
          <w:noProof/>
        </w:rPr>
        <w:fldChar w:fldCharType="end"/>
      </w:r>
    </w:p>
    <w:p w14:paraId="444F9EB2" w14:textId="17405D1C" w:rsidR="00E43D74" w:rsidRDefault="00E43D74">
      <w:pPr>
        <w:pStyle w:val="TOC1"/>
        <w:rPr>
          <w:rFonts w:eastAsiaTheme="minorEastAsia" w:cstheme="minorBidi"/>
          <w:b w:val="0"/>
          <w:caps w:val="0"/>
          <w:color w:val="auto"/>
          <w:sz w:val="22"/>
          <w:szCs w:val="22"/>
        </w:rPr>
      </w:pPr>
      <w:r>
        <w:t>2. Documentation of COVID-19 Assessment and Working Papers</w:t>
      </w:r>
      <w:r>
        <w:tab/>
      </w:r>
      <w:r>
        <w:fldChar w:fldCharType="begin"/>
      </w:r>
      <w:r>
        <w:instrText xml:space="preserve"> PAGEREF _Toc76391516 \h </w:instrText>
      </w:r>
      <w:r>
        <w:fldChar w:fldCharType="separate"/>
      </w:r>
      <w:r w:rsidR="005F65FD">
        <w:t>4</w:t>
      </w:r>
      <w:r>
        <w:fldChar w:fldCharType="end"/>
      </w:r>
    </w:p>
    <w:p w14:paraId="3D87EA42" w14:textId="1B258BBB" w:rsidR="00E43D74" w:rsidRDefault="00E43D74">
      <w:pPr>
        <w:pStyle w:val="TOC1"/>
        <w:rPr>
          <w:rFonts w:eastAsiaTheme="minorEastAsia" w:cstheme="minorBidi"/>
          <w:b w:val="0"/>
          <w:caps w:val="0"/>
          <w:color w:val="auto"/>
          <w:sz w:val="22"/>
          <w:szCs w:val="22"/>
        </w:rPr>
      </w:pPr>
      <w:r>
        <w:t>3.</w:t>
      </w:r>
      <w:r>
        <w:rPr>
          <w:rFonts w:eastAsiaTheme="minorEastAsia" w:cstheme="minorBidi"/>
          <w:b w:val="0"/>
          <w:caps w:val="0"/>
          <w:color w:val="auto"/>
          <w:sz w:val="22"/>
          <w:szCs w:val="22"/>
        </w:rPr>
        <w:tab/>
      </w:r>
      <w:r>
        <w:t>Additional Disclosure Guidance</w:t>
      </w:r>
      <w:r>
        <w:tab/>
      </w:r>
      <w:r>
        <w:fldChar w:fldCharType="begin"/>
      </w:r>
      <w:r>
        <w:instrText xml:space="preserve"> PAGEREF _Toc76391517 \h </w:instrText>
      </w:r>
      <w:r>
        <w:fldChar w:fldCharType="separate"/>
      </w:r>
      <w:r w:rsidR="005F65FD">
        <w:t>5</w:t>
      </w:r>
      <w:r>
        <w:fldChar w:fldCharType="end"/>
      </w:r>
    </w:p>
    <w:p w14:paraId="2232B4CE" w14:textId="420F3EF6" w:rsidR="00E43D74" w:rsidRDefault="00E43D74">
      <w:pPr>
        <w:pStyle w:val="TOC1"/>
        <w:rPr>
          <w:rFonts w:eastAsiaTheme="minorEastAsia" w:cstheme="minorBidi"/>
          <w:b w:val="0"/>
          <w:caps w:val="0"/>
          <w:color w:val="auto"/>
          <w:sz w:val="22"/>
          <w:szCs w:val="22"/>
        </w:rPr>
      </w:pPr>
      <w:r>
        <w:t>ATTACHMENT B – 2020-21 Model Financial Statement Disclosures for COVID-19</w:t>
      </w:r>
      <w:r>
        <w:tab/>
      </w:r>
      <w:r>
        <w:fldChar w:fldCharType="begin"/>
      </w:r>
      <w:r>
        <w:instrText xml:space="preserve"> PAGEREF _Toc76391518 \h </w:instrText>
      </w:r>
      <w:r>
        <w:fldChar w:fldCharType="separate"/>
      </w:r>
      <w:r w:rsidR="005F65FD">
        <w:t>6</w:t>
      </w:r>
      <w:r>
        <w:fldChar w:fldCharType="end"/>
      </w:r>
    </w:p>
    <w:p w14:paraId="25546D5C" w14:textId="4279C4DD" w:rsidR="00C403DB" w:rsidRPr="00CF5CC6" w:rsidRDefault="00DD7FA7" w:rsidP="002E0821">
      <w:pPr>
        <w:pStyle w:val="Heading1"/>
        <w:numPr>
          <w:ilvl w:val="0"/>
          <w:numId w:val="0"/>
        </w:numPr>
        <w:spacing w:before="0" w:after="0" w:line="276" w:lineRule="auto"/>
        <w:rPr>
          <w:b w:val="0"/>
          <w:bCs w:val="0"/>
        </w:rPr>
      </w:pPr>
      <w:r w:rsidRPr="00C52E3C">
        <w:rPr>
          <w:rFonts w:asciiTheme="majorHAnsi" w:hAnsiTheme="majorHAnsi"/>
          <w:noProof/>
          <w:sz w:val="21"/>
          <w:szCs w:val="21"/>
        </w:rPr>
        <w:fldChar w:fldCharType="end"/>
      </w:r>
      <w:r w:rsidR="00C34A60">
        <w:br w:type="page"/>
      </w:r>
      <w:bookmarkStart w:id="2" w:name="_Toc76391511"/>
      <w:r w:rsidR="004D2EBC" w:rsidRPr="00CF5CC6">
        <w:rPr>
          <w:b w:val="0"/>
          <w:bCs w:val="0"/>
        </w:rPr>
        <w:lastRenderedPageBreak/>
        <w:t>1.</w:t>
      </w:r>
      <w:r w:rsidR="004D2EBC" w:rsidRPr="00CF5CC6">
        <w:rPr>
          <w:b w:val="0"/>
          <w:bCs w:val="0"/>
        </w:rPr>
        <w:tab/>
      </w:r>
      <w:bookmarkStart w:id="3" w:name="_Toc91480210"/>
      <w:bookmarkStart w:id="4" w:name="_Toc98757559"/>
      <w:bookmarkStart w:id="5" w:name="_Toc98821839"/>
      <w:bookmarkStart w:id="6" w:name="_Toc98826654"/>
      <w:bookmarkStart w:id="7" w:name="_Toc98826841"/>
      <w:bookmarkStart w:id="8" w:name="_Toc101586632"/>
      <w:bookmarkStart w:id="9" w:name="_Toc58146757"/>
      <w:r w:rsidR="00C403DB" w:rsidRPr="00CF5CC6">
        <w:rPr>
          <w:b w:val="0"/>
          <w:bCs w:val="0"/>
        </w:rPr>
        <w:t>Introduction</w:t>
      </w:r>
      <w:bookmarkEnd w:id="3"/>
      <w:bookmarkEnd w:id="4"/>
      <w:bookmarkEnd w:id="5"/>
      <w:bookmarkEnd w:id="6"/>
      <w:bookmarkEnd w:id="7"/>
      <w:bookmarkEnd w:id="8"/>
      <w:bookmarkEnd w:id="9"/>
      <w:bookmarkEnd w:id="2"/>
    </w:p>
    <w:p w14:paraId="012CF44E" w14:textId="0B759437" w:rsidR="00B22CD5" w:rsidRDefault="00C403DB" w:rsidP="00C403DB">
      <w:pPr>
        <w:pStyle w:val="Heading2"/>
        <w:rPr>
          <w:b w:val="0"/>
          <w:bCs/>
        </w:rPr>
      </w:pPr>
      <w:bookmarkStart w:id="10" w:name="_Toc76391512"/>
      <w:bookmarkStart w:id="11" w:name="_Toc58146758"/>
      <w:r w:rsidRPr="00CF5CC6">
        <w:rPr>
          <w:b w:val="0"/>
          <w:bCs/>
        </w:rPr>
        <w:t>1.1</w:t>
      </w:r>
      <w:r w:rsidR="00B22CD5">
        <w:rPr>
          <w:b w:val="0"/>
          <w:bCs/>
        </w:rPr>
        <w:t xml:space="preserve"> APPLICATION</w:t>
      </w:r>
      <w:bookmarkEnd w:id="10"/>
      <w:r w:rsidRPr="00CF5CC6">
        <w:rPr>
          <w:b w:val="0"/>
          <w:bCs/>
        </w:rPr>
        <w:t xml:space="preserve"> </w:t>
      </w:r>
    </w:p>
    <w:bookmarkEnd w:id="11"/>
    <w:p w14:paraId="01854B5E" w14:textId="3EB662C1" w:rsidR="006A7B38" w:rsidRPr="003A6F39" w:rsidRDefault="00C403DB" w:rsidP="006A7B38">
      <w:pPr>
        <w:pStyle w:val="Heading3"/>
        <w:spacing w:before="360"/>
        <w:ind w:left="992" w:hanging="357"/>
        <w:rPr>
          <w:b w:val="0"/>
          <w:bCs/>
        </w:rPr>
      </w:pPr>
      <w:r w:rsidRPr="000362BF">
        <w:rPr>
          <w:sz w:val="22"/>
          <w:szCs w:val="22"/>
        </w:rPr>
        <w:t xml:space="preserve"> </w:t>
      </w:r>
      <w:bookmarkStart w:id="12" w:name="_Toc76391513"/>
      <w:r w:rsidR="006A7B38">
        <w:rPr>
          <w:rStyle w:val="Heading3Char"/>
          <w:b/>
          <w:bCs/>
        </w:rPr>
        <w:t>Background</w:t>
      </w:r>
      <w:bookmarkEnd w:id="12"/>
      <w:r w:rsidR="006A7B38">
        <w:rPr>
          <w:rStyle w:val="Heading3Char"/>
          <w:b/>
          <w:bCs/>
        </w:rPr>
        <w:t xml:space="preserve"> </w:t>
      </w:r>
    </w:p>
    <w:p w14:paraId="660CA31F" w14:textId="547501C6" w:rsidR="006431FB" w:rsidRDefault="005045B4" w:rsidP="00344231">
      <w:pPr>
        <w:spacing w:after="120"/>
        <w:jc w:val="both"/>
        <w:rPr>
          <w:sz w:val="22"/>
          <w:szCs w:val="22"/>
        </w:rPr>
      </w:pPr>
      <w:r>
        <w:rPr>
          <w:sz w:val="22"/>
          <w:szCs w:val="22"/>
        </w:rPr>
        <w:t>This Guidance paper has been produced and released to assist ACT Government agencies in improving</w:t>
      </w:r>
      <w:r w:rsidR="0026580E">
        <w:rPr>
          <w:sz w:val="22"/>
          <w:szCs w:val="22"/>
        </w:rPr>
        <w:t xml:space="preserve"> and standardising</w:t>
      </w:r>
      <w:r>
        <w:rPr>
          <w:sz w:val="22"/>
          <w:szCs w:val="22"/>
        </w:rPr>
        <w:t xml:space="preserve"> financial statement disclosures and supporting workpapers </w:t>
      </w:r>
      <w:r w:rsidR="0026580E">
        <w:rPr>
          <w:sz w:val="22"/>
          <w:szCs w:val="22"/>
        </w:rPr>
        <w:t xml:space="preserve">regarding </w:t>
      </w:r>
      <w:r w:rsidRPr="00EF4637">
        <w:rPr>
          <w:sz w:val="22"/>
          <w:szCs w:val="22"/>
        </w:rPr>
        <w:t xml:space="preserve">the </w:t>
      </w:r>
      <w:r w:rsidR="0026580E">
        <w:rPr>
          <w:sz w:val="22"/>
          <w:szCs w:val="22"/>
        </w:rPr>
        <w:t>COVID-19 pandemic</w:t>
      </w:r>
      <w:r w:rsidRPr="00EF4637">
        <w:rPr>
          <w:sz w:val="22"/>
          <w:szCs w:val="22"/>
        </w:rPr>
        <w:t>.</w:t>
      </w:r>
      <w:r w:rsidR="007A1059">
        <w:rPr>
          <w:sz w:val="22"/>
          <w:szCs w:val="22"/>
        </w:rPr>
        <w:t xml:space="preserve">  </w:t>
      </w:r>
      <w:r w:rsidR="006A7B38" w:rsidRPr="00EF4637">
        <w:rPr>
          <w:sz w:val="22"/>
          <w:szCs w:val="22"/>
        </w:rPr>
        <w:t xml:space="preserve">  </w:t>
      </w:r>
    </w:p>
    <w:p w14:paraId="08894084" w14:textId="08C11A4F" w:rsidR="006A7B38" w:rsidRPr="00EF4637" w:rsidRDefault="006431FB" w:rsidP="00344231">
      <w:pPr>
        <w:spacing w:after="120"/>
        <w:jc w:val="both"/>
        <w:rPr>
          <w:sz w:val="22"/>
          <w:szCs w:val="22"/>
        </w:rPr>
      </w:pPr>
      <w:r>
        <w:rPr>
          <w:sz w:val="22"/>
          <w:szCs w:val="22"/>
        </w:rPr>
        <w:t xml:space="preserve">In order to assist agencies in </w:t>
      </w:r>
      <w:r w:rsidR="00346E13">
        <w:rPr>
          <w:sz w:val="22"/>
          <w:szCs w:val="22"/>
        </w:rPr>
        <w:t>producing</w:t>
      </w:r>
      <w:r w:rsidR="00A17526">
        <w:rPr>
          <w:sz w:val="22"/>
          <w:szCs w:val="22"/>
        </w:rPr>
        <w:t xml:space="preserve"> both their 2020-21 financial statement </w:t>
      </w:r>
      <w:r w:rsidR="0026580E">
        <w:rPr>
          <w:sz w:val="22"/>
          <w:szCs w:val="22"/>
        </w:rPr>
        <w:t>COVID-19</w:t>
      </w:r>
      <w:r w:rsidR="00A17526">
        <w:rPr>
          <w:sz w:val="22"/>
          <w:szCs w:val="22"/>
        </w:rPr>
        <w:t xml:space="preserve"> disclosures and </w:t>
      </w:r>
      <w:r w:rsidR="00346E13">
        <w:rPr>
          <w:sz w:val="22"/>
          <w:szCs w:val="22"/>
        </w:rPr>
        <w:t xml:space="preserve">COVID-19 </w:t>
      </w:r>
      <w:r w:rsidR="00A17526">
        <w:rPr>
          <w:sz w:val="22"/>
          <w:szCs w:val="22"/>
        </w:rPr>
        <w:t>working papers</w:t>
      </w:r>
      <w:r w:rsidR="00E7135B">
        <w:rPr>
          <w:sz w:val="22"/>
          <w:szCs w:val="22"/>
        </w:rPr>
        <w:t>,</w:t>
      </w:r>
      <w:r w:rsidR="00A17526">
        <w:rPr>
          <w:sz w:val="22"/>
          <w:szCs w:val="22"/>
        </w:rPr>
        <w:t xml:space="preserve"> t</w:t>
      </w:r>
      <w:r w:rsidR="006A7B38" w:rsidRPr="00EF4637">
        <w:rPr>
          <w:sz w:val="22"/>
          <w:szCs w:val="22"/>
        </w:rPr>
        <w:t>his paper is divided into two parts:</w:t>
      </w:r>
    </w:p>
    <w:p w14:paraId="147CAEB2" w14:textId="270785BC" w:rsidR="006A7B38" w:rsidRPr="00EF4637" w:rsidRDefault="006A7B38" w:rsidP="00344231">
      <w:pPr>
        <w:pStyle w:val="ListParagraph"/>
        <w:numPr>
          <w:ilvl w:val="0"/>
          <w:numId w:val="10"/>
        </w:numPr>
        <w:spacing w:after="120"/>
        <w:ind w:left="851" w:hanging="425"/>
        <w:contextualSpacing w:val="0"/>
        <w:jc w:val="both"/>
        <w:rPr>
          <w:sz w:val="22"/>
          <w:szCs w:val="22"/>
        </w:rPr>
      </w:pPr>
      <w:r w:rsidRPr="00EF4637">
        <w:rPr>
          <w:sz w:val="22"/>
          <w:szCs w:val="22"/>
        </w:rPr>
        <w:t xml:space="preserve">Documentation of </w:t>
      </w:r>
      <w:r w:rsidR="0026580E">
        <w:rPr>
          <w:sz w:val="22"/>
          <w:szCs w:val="22"/>
        </w:rPr>
        <w:t xml:space="preserve">COVID-19 </w:t>
      </w:r>
      <w:r w:rsidRPr="00EF4637">
        <w:rPr>
          <w:sz w:val="22"/>
          <w:szCs w:val="22"/>
        </w:rPr>
        <w:t>Assessment and Working Papers</w:t>
      </w:r>
      <w:r w:rsidR="00AF6C0B">
        <w:rPr>
          <w:sz w:val="22"/>
          <w:szCs w:val="22"/>
        </w:rPr>
        <w:t xml:space="preserve"> (Refer to </w:t>
      </w:r>
      <w:r w:rsidR="00AF6C0B" w:rsidRPr="00EF4637">
        <w:rPr>
          <w:sz w:val="22"/>
          <w:szCs w:val="22"/>
        </w:rPr>
        <w:t>Section 2</w:t>
      </w:r>
      <w:r w:rsidR="00AF6C0B">
        <w:rPr>
          <w:sz w:val="22"/>
          <w:szCs w:val="22"/>
        </w:rPr>
        <w:t>)</w:t>
      </w:r>
      <w:r w:rsidRPr="00EF4637">
        <w:rPr>
          <w:sz w:val="22"/>
          <w:szCs w:val="22"/>
        </w:rPr>
        <w:t>.</w:t>
      </w:r>
    </w:p>
    <w:p w14:paraId="0E46929F" w14:textId="68DDF27C" w:rsidR="006A7B38" w:rsidRPr="00001E92" w:rsidRDefault="006A7B38" w:rsidP="00344231">
      <w:pPr>
        <w:spacing w:after="120"/>
        <w:ind w:left="851"/>
        <w:jc w:val="both"/>
        <w:rPr>
          <w:sz w:val="22"/>
          <w:szCs w:val="22"/>
        </w:rPr>
      </w:pPr>
      <w:r w:rsidRPr="00001E92">
        <w:rPr>
          <w:sz w:val="22"/>
          <w:szCs w:val="22"/>
        </w:rPr>
        <w:t xml:space="preserve">This </w:t>
      </w:r>
      <w:r w:rsidR="009441EE" w:rsidRPr="00001E92">
        <w:rPr>
          <w:sz w:val="22"/>
          <w:szCs w:val="22"/>
        </w:rPr>
        <w:t>section</w:t>
      </w:r>
      <w:r w:rsidRPr="00001E92">
        <w:rPr>
          <w:sz w:val="22"/>
          <w:szCs w:val="22"/>
        </w:rPr>
        <w:t xml:space="preserve"> of the Paper aims to </w:t>
      </w:r>
      <w:r w:rsidR="009441EE" w:rsidRPr="00001E92">
        <w:rPr>
          <w:sz w:val="22"/>
          <w:szCs w:val="22"/>
        </w:rPr>
        <w:t xml:space="preserve">provide practical </w:t>
      </w:r>
      <w:r w:rsidRPr="00001E92">
        <w:rPr>
          <w:sz w:val="22"/>
          <w:szCs w:val="22"/>
        </w:rPr>
        <w:t xml:space="preserve">guidance </w:t>
      </w:r>
      <w:r w:rsidR="009441EE" w:rsidRPr="00001E92">
        <w:rPr>
          <w:sz w:val="22"/>
          <w:szCs w:val="22"/>
        </w:rPr>
        <w:t xml:space="preserve">around </w:t>
      </w:r>
      <w:r w:rsidR="006431FB" w:rsidRPr="00001E92">
        <w:rPr>
          <w:sz w:val="22"/>
          <w:szCs w:val="22"/>
        </w:rPr>
        <w:t xml:space="preserve">how </w:t>
      </w:r>
      <w:r w:rsidR="00A62714">
        <w:rPr>
          <w:sz w:val="22"/>
          <w:szCs w:val="22"/>
        </w:rPr>
        <w:t>F</w:t>
      </w:r>
      <w:r w:rsidR="00C879EB" w:rsidRPr="00001E92">
        <w:rPr>
          <w:sz w:val="22"/>
          <w:szCs w:val="22"/>
        </w:rPr>
        <w:t xml:space="preserve">inance </w:t>
      </w:r>
      <w:r w:rsidR="00A62714">
        <w:rPr>
          <w:sz w:val="22"/>
          <w:szCs w:val="22"/>
        </w:rPr>
        <w:t>T</w:t>
      </w:r>
      <w:r w:rsidR="00C879EB" w:rsidRPr="00001E92">
        <w:rPr>
          <w:sz w:val="22"/>
          <w:szCs w:val="22"/>
        </w:rPr>
        <w:t xml:space="preserve">eams within </w:t>
      </w:r>
      <w:r w:rsidR="006431FB" w:rsidRPr="00001E92">
        <w:rPr>
          <w:sz w:val="22"/>
          <w:szCs w:val="22"/>
        </w:rPr>
        <w:t xml:space="preserve">agencies </w:t>
      </w:r>
      <w:r w:rsidR="007F000B" w:rsidRPr="00001E92">
        <w:rPr>
          <w:sz w:val="22"/>
          <w:szCs w:val="22"/>
        </w:rPr>
        <w:t xml:space="preserve">obtain information regarding </w:t>
      </w:r>
      <w:r w:rsidR="00E25875">
        <w:rPr>
          <w:sz w:val="22"/>
          <w:szCs w:val="22"/>
        </w:rPr>
        <w:t xml:space="preserve">COVID-19 and how this is shown in their </w:t>
      </w:r>
      <w:r w:rsidR="00625E31" w:rsidRPr="00001E92">
        <w:rPr>
          <w:sz w:val="22"/>
          <w:szCs w:val="22"/>
        </w:rPr>
        <w:t xml:space="preserve">financial statement </w:t>
      </w:r>
      <w:r w:rsidR="00646714" w:rsidRPr="00001E92">
        <w:rPr>
          <w:sz w:val="22"/>
          <w:szCs w:val="22"/>
        </w:rPr>
        <w:t>workpapers</w:t>
      </w:r>
      <w:r w:rsidRPr="00001E92">
        <w:rPr>
          <w:sz w:val="22"/>
          <w:szCs w:val="22"/>
        </w:rPr>
        <w:t>.</w:t>
      </w:r>
      <w:r w:rsidR="00346E13">
        <w:rPr>
          <w:sz w:val="22"/>
          <w:szCs w:val="22"/>
        </w:rPr>
        <w:t xml:space="preserve"> To assist agencies in undertaking an assessment of the COVID-19 impact a template has been included at </w:t>
      </w:r>
      <w:r w:rsidR="00346E13" w:rsidRPr="00C76FA2">
        <w:rPr>
          <w:b/>
          <w:bCs/>
          <w:sz w:val="22"/>
          <w:szCs w:val="22"/>
          <w:u w:val="single"/>
        </w:rPr>
        <w:t>Attachment A</w:t>
      </w:r>
      <w:r w:rsidR="00346E13">
        <w:rPr>
          <w:b/>
          <w:bCs/>
          <w:sz w:val="22"/>
          <w:szCs w:val="22"/>
          <w:u w:val="single"/>
        </w:rPr>
        <w:t>.</w:t>
      </w:r>
    </w:p>
    <w:p w14:paraId="22079248" w14:textId="78A45D91" w:rsidR="006A7B38" w:rsidRPr="00EF4637" w:rsidRDefault="006A7B38" w:rsidP="00344231">
      <w:pPr>
        <w:pStyle w:val="ListParagraph"/>
        <w:numPr>
          <w:ilvl w:val="0"/>
          <w:numId w:val="10"/>
        </w:numPr>
        <w:spacing w:after="120"/>
        <w:ind w:left="851"/>
        <w:contextualSpacing w:val="0"/>
        <w:jc w:val="both"/>
        <w:rPr>
          <w:sz w:val="22"/>
          <w:szCs w:val="22"/>
        </w:rPr>
      </w:pPr>
      <w:r w:rsidRPr="00EF4637">
        <w:rPr>
          <w:sz w:val="22"/>
          <w:szCs w:val="22"/>
        </w:rPr>
        <w:t>Additional Disclosure Guidance</w:t>
      </w:r>
      <w:r w:rsidR="00AF6C0B">
        <w:rPr>
          <w:sz w:val="22"/>
          <w:szCs w:val="22"/>
        </w:rPr>
        <w:t xml:space="preserve"> (Refer to Section 3)</w:t>
      </w:r>
      <w:r w:rsidRPr="00EF4637">
        <w:rPr>
          <w:sz w:val="22"/>
          <w:szCs w:val="22"/>
        </w:rPr>
        <w:t>.</w:t>
      </w:r>
    </w:p>
    <w:p w14:paraId="178390C7" w14:textId="35D51021" w:rsidR="006A7B38" w:rsidRPr="00EF4637" w:rsidRDefault="006A7B38" w:rsidP="00344231">
      <w:pPr>
        <w:pStyle w:val="ListParagraph"/>
        <w:spacing w:after="120"/>
        <w:ind w:left="851"/>
        <w:contextualSpacing w:val="0"/>
        <w:jc w:val="both"/>
        <w:rPr>
          <w:sz w:val="22"/>
          <w:szCs w:val="22"/>
        </w:rPr>
      </w:pPr>
      <w:r w:rsidRPr="00EF4637">
        <w:rPr>
          <w:sz w:val="22"/>
          <w:szCs w:val="22"/>
        </w:rPr>
        <w:t xml:space="preserve">This </w:t>
      </w:r>
      <w:r w:rsidR="009441EE" w:rsidRPr="00EF4637">
        <w:rPr>
          <w:sz w:val="22"/>
          <w:szCs w:val="22"/>
        </w:rPr>
        <w:t>section</w:t>
      </w:r>
      <w:r w:rsidRPr="00EF4637">
        <w:rPr>
          <w:sz w:val="22"/>
          <w:szCs w:val="22"/>
        </w:rPr>
        <w:t xml:space="preserve"> of the paper </w:t>
      </w:r>
      <w:r w:rsidR="00C879EB">
        <w:rPr>
          <w:sz w:val="22"/>
          <w:szCs w:val="22"/>
        </w:rPr>
        <w:t xml:space="preserve">highlights some </w:t>
      </w:r>
      <w:r w:rsidR="00E25875">
        <w:rPr>
          <w:sz w:val="22"/>
          <w:szCs w:val="22"/>
        </w:rPr>
        <w:t>COVID-19</w:t>
      </w:r>
      <w:r w:rsidR="00C879EB">
        <w:rPr>
          <w:sz w:val="22"/>
          <w:szCs w:val="22"/>
        </w:rPr>
        <w:t xml:space="preserve"> disclosure</w:t>
      </w:r>
      <w:r w:rsidR="00346E13">
        <w:rPr>
          <w:sz w:val="22"/>
          <w:szCs w:val="22"/>
        </w:rPr>
        <w:t>s</w:t>
      </w:r>
      <w:r w:rsidR="00C879EB">
        <w:rPr>
          <w:sz w:val="22"/>
          <w:szCs w:val="22"/>
        </w:rPr>
        <w:t xml:space="preserve"> </w:t>
      </w:r>
      <w:r w:rsidR="00E25875">
        <w:rPr>
          <w:sz w:val="22"/>
          <w:szCs w:val="22"/>
        </w:rPr>
        <w:t xml:space="preserve">that agencies </w:t>
      </w:r>
      <w:r w:rsidR="00346E13">
        <w:rPr>
          <w:sz w:val="22"/>
          <w:szCs w:val="22"/>
        </w:rPr>
        <w:t xml:space="preserve">can use as a guide when </w:t>
      </w:r>
      <w:r w:rsidR="00E25875">
        <w:rPr>
          <w:sz w:val="22"/>
          <w:szCs w:val="22"/>
        </w:rPr>
        <w:t xml:space="preserve">preparing </w:t>
      </w:r>
      <w:r w:rsidR="00A17526">
        <w:rPr>
          <w:sz w:val="22"/>
          <w:szCs w:val="22"/>
        </w:rPr>
        <w:t>their 2020-21 financial statement</w:t>
      </w:r>
      <w:r w:rsidR="00211746">
        <w:rPr>
          <w:sz w:val="22"/>
          <w:szCs w:val="22"/>
        </w:rPr>
        <w:t>s</w:t>
      </w:r>
      <w:r w:rsidR="00E25875">
        <w:rPr>
          <w:sz w:val="22"/>
          <w:szCs w:val="22"/>
        </w:rPr>
        <w:t>.</w:t>
      </w:r>
      <w:r w:rsidR="00346E13">
        <w:rPr>
          <w:sz w:val="22"/>
          <w:szCs w:val="22"/>
        </w:rPr>
        <w:t xml:space="preserve"> </w:t>
      </w:r>
      <w:r w:rsidR="00C879EB">
        <w:rPr>
          <w:sz w:val="22"/>
          <w:szCs w:val="22"/>
        </w:rPr>
        <w:t xml:space="preserve">These disclosures are </w:t>
      </w:r>
      <w:r w:rsidR="00372CE7" w:rsidRPr="00EF4637">
        <w:rPr>
          <w:sz w:val="22"/>
          <w:szCs w:val="22"/>
        </w:rPr>
        <w:t xml:space="preserve">in addition to those </w:t>
      </w:r>
      <w:r w:rsidR="00C879EB">
        <w:rPr>
          <w:sz w:val="22"/>
          <w:szCs w:val="22"/>
        </w:rPr>
        <w:t xml:space="preserve">already </w:t>
      </w:r>
      <w:r w:rsidR="00372CE7" w:rsidRPr="00EF4637">
        <w:rPr>
          <w:sz w:val="22"/>
          <w:szCs w:val="22"/>
        </w:rPr>
        <w:t>outlined in the 2019</w:t>
      </w:r>
      <w:r w:rsidR="00372CE7" w:rsidRPr="00EF4637">
        <w:rPr>
          <w:sz w:val="22"/>
          <w:szCs w:val="22"/>
        </w:rPr>
        <w:noBreakHyphen/>
        <w:t>20 Model Financial Statements</w:t>
      </w:r>
      <w:r w:rsidRPr="00EF4637">
        <w:rPr>
          <w:sz w:val="22"/>
          <w:szCs w:val="22"/>
        </w:rPr>
        <w:t xml:space="preserve">. The additional Model Financial Statement Disclosures are included in </w:t>
      </w:r>
      <w:r w:rsidRPr="00EF4637">
        <w:rPr>
          <w:b/>
          <w:bCs/>
          <w:sz w:val="22"/>
          <w:szCs w:val="22"/>
          <w:u w:val="single"/>
        </w:rPr>
        <w:t>A</w:t>
      </w:r>
      <w:r w:rsidR="009441EE" w:rsidRPr="00EF4637">
        <w:rPr>
          <w:b/>
          <w:bCs/>
          <w:sz w:val="22"/>
          <w:szCs w:val="22"/>
          <w:u w:val="single"/>
        </w:rPr>
        <w:t>ttachment</w:t>
      </w:r>
      <w:r w:rsidRPr="00EF4637">
        <w:rPr>
          <w:b/>
          <w:bCs/>
          <w:sz w:val="22"/>
          <w:szCs w:val="22"/>
          <w:u w:val="single"/>
        </w:rPr>
        <w:t xml:space="preserve"> </w:t>
      </w:r>
      <w:r w:rsidR="00346E13">
        <w:rPr>
          <w:b/>
          <w:bCs/>
          <w:sz w:val="22"/>
          <w:szCs w:val="22"/>
          <w:u w:val="single"/>
        </w:rPr>
        <w:t>B</w:t>
      </w:r>
      <w:r w:rsidRPr="00EF4637">
        <w:rPr>
          <w:sz w:val="22"/>
          <w:szCs w:val="22"/>
        </w:rPr>
        <w:t xml:space="preserve"> to this Paper. </w:t>
      </w:r>
      <w:r w:rsidR="00346E13">
        <w:rPr>
          <w:sz w:val="22"/>
          <w:szCs w:val="22"/>
        </w:rPr>
        <w:t xml:space="preserve">Note that a COVID-19 disclosure only needs to be included in an agency’s financial statements where </w:t>
      </w:r>
      <w:r w:rsidR="00D92EA6">
        <w:rPr>
          <w:sz w:val="22"/>
          <w:szCs w:val="22"/>
        </w:rPr>
        <w:t xml:space="preserve">it is </w:t>
      </w:r>
      <w:r w:rsidR="00346E13">
        <w:rPr>
          <w:sz w:val="22"/>
          <w:szCs w:val="22"/>
        </w:rPr>
        <w:t xml:space="preserve">material.  </w:t>
      </w:r>
    </w:p>
    <w:p w14:paraId="32878D34" w14:textId="5450794F" w:rsidR="001108D6" w:rsidRPr="00EF4637" w:rsidRDefault="006A7B38" w:rsidP="00344231">
      <w:pPr>
        <w:pStyle w:val="Footer"/>
        <w:tabs>
          <w:tab w:val="clear" w:pos="4513"/>
        </w:tabs>
        <w:spacing w:after="120" w:line="276" w:lineRule="auto"/>
        <w:ind w:left="851"/>
        <w:jc w:val="both"/>
        <w:rPr>
          <w:sz w:val="22"/>
          <w:szCs w:val="22"/>
        </w:rPr>
      </w:pPr>
      <w:r w:rsidRPr="00EF4637">
        <w:rPr>
          <w:sz w:val="22"/>
          <w:szCs w:val="22"/>
        </w:rPr>
        <w:t>The intention is that</w:t>
      </w:r>
      <w:r w:rsidR="00E25875">
        <w:rPr>
          <w:sz w:val="22"/>
          <w:szCs w:val="22"/>
        </w:rPr>
        <w:t>, where rel</w:t>
      </w:r>
      <w:r w:rsidR="00C76FA2">
        <w:rPr>
          <w:sz w:val="22"/>
          <w:szCs w:val="22"/>
        </w:rPr>
        <w:t>eva</w:t>
      </w:r>
      <w:r w:rsidR="00E25875">
        <w:rPr>
          <w:sz w:val="22"/>
          <w:szCs w:val="22"/>
        </w:rPr>
        <w:t>nt,</w:t>
      </w:r>
      <w:r w:rsidRPr="00EF4637">
        <w:rPr>
          <w:sz w:val="22"/>
          <w:szCs w:val="22"/>
        </w:rPr>
        <w:t xml:space="preserve"> these additional disclosures will be included in the 2021-22 update to the Model Financial Statements.</w:t>
      </w:r>
    </w:p>
    <w:p w14:paraId="2E331920" w14:textId="5E9177DB" w:rsidR="00C403DB" w:rsidRPr="003A6F39" w:rsidRDefault="00C403DB" w:rsidP="00344231">
      <w:pPr>
        <w:pStyle w:val="Heading3"/>
        <w:spacing w:before="360" w:line="276" w:lineRule="auto"/>
        <w:ind w:left="992" w:hanging="357"/>
        <w:rPr>
          <w:b w:val="0"/>
          <w:bCs/>
        </w:rPr>
      </w:pPr>
      <w:bookmarkStart w:id="13" w:name="_Toc58146760"/>
      <w:bookmarkStart w:id="14" w:name="_Toc76391514"/>
      <w:r w:rsidRPr="003A6F39">
        <w:rPr>
          <w:rStyle w:val="Heading3Char"/>
          <w:b/>
          <w:bCs/>
        </w:rPr>
        <w:t>Agencies Covered by this Policy</w:t>
      </w:r>
      <w:bookmarkEnd w:id="13"/>
      <w:bookmarkEnd w:id="14"/>
    </w:p>
    <w:p w14:paraId="33CD0768" w14:textId="44E38681" w:rsidR="00932354" w:rsidRPr="000362BF" w:rsidRDefault="00932354" w:rsidP="00344231">
      <w:pPr>
        <w:pStyle w:val="Footer"/>
        <w:spacing w:before="120" w:after="120"/>
        <w:jc w:val="both"/>
        <w:rPr>
          <w:sz w:val="22"/>
          <w:szCs w:val="22"/>
        </w:rPr>
      </w:pPr>
      <w:r w:rsidRPr="000362BF">
        <w:rPr>
          <w:sz w:val="22"/>
          <w:szCs w:val="22"/>
        </w:rPr>
        <w:t xml:space="preserve">This </w:t>
      </w:r>
      <w:r w:rsidR="006A7B38">
        <w:rPr>
          <w:sz w:val="22"/>
          <w:szCs w:val="22"/>
        </w:rPr>
        <w:t xml:space="preserve">guidance paper applies to </w:t>
      </w:r>
      <w:r w:rsidRPr="000362BF">
        <w:rPr>
          <w:sz w:val="22"/>
          <w:szCs w:val="22"/>
        </w:rPr>
        <w:t>ACT Government Agencies, that is directorates and territory authorities.</w:t>
      </w:r>
    </w:p>
    <w:p w14:paraId="7E27165D" w14:textId="0AE96881" w:rsidR="00C403DB" w:rsidRPr="00CF5CC6" w:rsidRDefault="00C403DB" w:rsidP="00344231">
      <w:pPr>
        <w:pStyle w:val="Heading3"/>
        <w:spacing w:before="360" w:line="276" w:lineRule="auto"/>
        <w:ind w:left="992" w:hanging="357"/>
      </w:pPr>
      <w:bookmarkStart w:id="15" w:name="_Toc58146761"/>
      <w:bookmarkStart w:id="16" w:name="_Toc76391515"/>
      <w:r w:rsidRPr="00CF5CC6">
        <w:t>Contact</w:t>
      </w:r>
      <w:bookmarkEnd w:id="15"/>
      <w:bookmarkEnd w:id="16"/>
    </w:p>
    <w:p w14:paraId="3C91D7CF" w14:textId="1B294E19" w:rsidR="00211746" w:rsidRDefault="00C403DB" w:rsidP="00344231">
      <w:pPr>
        <w:spacing w:before="120" w:after="120"/>
        <w:jc w:val="both"/>
        <w:rPr>
          <w:sz w:val="22"/>
          <w:szCs w:val="22"/>
        </w:rPr>
      </w:pPr>
      <w:r w:rsidRPr="00EF4637">
        <w:rPr>
          <w:sz w:val="22"/>
          <w:szCs w:val="22"/>
        </w:rPr>
        <w:t xml:space="preserve">If you have any questions regarding this Policy, please contact the Financial Reporting and Framework (FRF) Branch to provide further clarification. Contact details are listed on the website: </w:t>
      </w:r>
      <w:hyperlink r:id="rId13" w:history="1">
        <w:r w:rsidRPr="00EF4637">
          <w:rPr>
            <w:rStyle w:val="Hyperlink"/>
            <w:sz w:val="22"/>
            <w:szCs w:val="22"/>
          </w:rPr>
          <w:t>https://apps.treasury.act.gov.au/accounting/</w:t>
        </w:r>
      </w:hyperlink>
      <w:r w:rsidRPr="00EF4637">
        <w:rPr>
          <w:sz w:val="22"/>
          <w:szCs w:val="22"/>
        </w:rPr>
        <w:t>.</w:t>
      </w:r>
    </w:p>
    <w:p w14:paraId="1AA5D586" w14:textId="77777777" w:rsidR="00211746" w:rsidRDefault="00211746">
      <w:pPr>
        <w:rPr>
          <w:sz w:val="22"/>
          <w:szCs w:val="22"/>
        </w:rPr>
      </w:pPr>
      <w:r>
        <w:rPr>
          <w:sz w:val="22"/>
          <w:szCs w:val="22"/>
        </w:rPr>
        <w:br w:type="page"/>
      </w:r>
    </w:p>
    <w:p w14:paraId="1ED6F6A7" w14:textId="538F0095" w:rsidR="003C58A9" w:rsidRPr="00610F6E" w:rsidRDefault="00207B68" w:rsidP="00344231">
      <w:pPr>
        <w:pStyle w:val="Heading1"/>
        <w:numPr>
          <w:ilvl w:val="0"/>
          <w:numId w:val="0"/>
        </w:numPr>
        <w:spacing w:before="480" w:after="120" w:line="276" w:lineRule="auto"/>
      </w:pPr>
      <w:bookmarkStart w:id="17" w:name="_Toc76391516"/>
      <w:bookmarkStart w:id="18" w:name="_Toc58146762"/>
      <w:r>
        <w:lastRenderedPageBreak/>
        <w:t xml:space="preserve">2. </w:t>
      </w:r>
      <w:r w:rsidR="00646714">
        <w:t>D</w:t>
      </w:r>
      <w:r w:rsidR="00646714" w:rsidRPr="00646714">
        <w:t xml:space="preserve">ocumentation of </w:t>
      </w:r>
      <w:r w:rsidR="00C76FA2">
        <w:t xml:space="preserve">COVID-19 </w:t>
      </w:r>
      <w:r w:rsidR="00646714" w:rsidRPr="00646714">
        <w:t>Assessment and Working Papers</w:t>
      </w:r>
      <w:bookmarkEnd w:id="17"/>
      <w:r w:rsidR="003C58A9" w:rsidRPr="00610F6E">
        <w:t xml:space="preserve"> </w:t>
      </w:r>
      <w:bookmarkEnd w:id="18"/>
    </w:p>
    <w:p w14:paraId="6EFC58C1" w14:textId="2D94A619" w:rsidR="00C76FA2" w:rsidRDefault="00C76FA2" w:rsidP="00344231">
      <w:pPr>
        <w:spacing w:after="120"/>
        <w:jc w:val="both"/>
        <w:rPr>
          <w:sz w:val="22"/>
          <w:szCs w:val="22"/>
        </w:rPr>
      </w:pPr>
      <w:r>
        <w:rPr>
          <w:sz w:val="22"/>
          <w:szCs w:val="22"/>
        </w:rPr>
        <w:t xml:space="preserve">When an </w:t>
      </w:r>
      <w:r w:rsidR="001108D6">
        <w:rPr>
          <w:sz w:val="22"/>
          <w:szCs w:val="22"/>
        </w:rPr>
        <w:t>ACT Government A</w:t>
      </w:r>
      <w:r>
        <w:rPr>
          <w:sz w:val="22"/>
          <w:szCs w:val="22"/>
        </w:rPr>
        <w:t xml:space="preserve">gency is preparing their financial </w:t>
      </w:r>
      <w:r w:rsidR="00211746">
        <w:rPr>
          <w:sz w:val="22"/>
          <w:szCs w:val="22"/>
        </w:rPr>
        <w:t>statements,</w:t>
      </w:r>
      <w:r>
        <w:rPr>
          <w:sz w:val="22"/>
          <w:szCs w:val="22"/>
        </w:rPr>
        <w:t xml:space="preserve"> it is important that they consider the impact </w:t>
      </w:r>
      <w:r w:rsidR="007123E5">
        <w:rPr>
          <w:sz w:val="22"/>
          <w:szCs w:val="22"/>
        </w:rPr>
        <w:t xml:space="preserve">of </w:t>
      </w:r>
      <w:r>
        <w:rPr>
          <w:sz w:val="22"/>
          <w:szCs w:val="22"/>
        </w:rPr>
        <w:t>COVID-19</w:t>
      </w:r>
      <w:r w:rsidR="00D57726">
        <w:rPr>
          <w:sz w:val="22"/>
          <w:szCs w:val="22"/>
        </w:rPr>
        <w:t xml:space="preserve"> </w:t>
      </w:r>
      <w:r>
        <w:rPr>
          <w:sz w:val="22"/>
          <w:szCs w:val="22"/>
        </w:rPr>
        <w:t xml:space="preserve">and the risks that </w:t>
      </w:r>
      <w:r w:rsidR="000173BB">
        <w:rPr>
          <w:sz w:val="22"/>
          <w:szCs w:val="22"/>
        </w:rPr>
        <w:t>COVID-19</w:t>
      </w:r>
      <w:r w:rsidR="00E369F8">
        <w:rPr>
          <w:sz w:val="22"/>
          <w:szCs w:val="22"/>
        </w:rPr>
        <w:t xml:space="preserve"> </w:t>
      </w:r>
      <w:r w:rsidR="00D92EA6">
        <w:rPr>
          <w:sz w:val="22"/>
          <w:szCs w:val="22"/>
        </w:rPr>
        <w:t>present</w:t>
      </w:r>
      <w:r w:rsidR="00E369F8">
        <w:rPr>
          <w:sz w:val="22"/>
          <w:szCs w:val="22"/>
        </w:rPr>
        <w:t>s</w:t>
      </w:r>
      <w:r>
        <w:rPr>
          <w:sz w:val="22"/>
          <w:szCs w:val="22"/>
        </w:rPr>
        <w:t xml:space="preserve">. </w:t>
      </w:r>
      <w:r w:rsidR="00E369F8">
        <w:rPr>
          <w:sz w:val="22"/>
          <w:szCs w:val="22"/>
        </w:rPr>
        <w:t>This assessment should have occurred last financial year (</w:t>
      </w:r>
      <w:proofErr w:type="spellStart"/>
      <w:r w:rsidR="00E369F8">
        <w:rPr>
          <w:sz w:val="22"/>
          <w:szCs w:val="22"/>
        </w:rPr>
        <w:t>ie</w:t>
      </w:r>
      <w:proofErr w:type="spellEnd"/>
      <w:r w:rsidR="00E369F8">
        <w:rPr>
          <w:sz w:val="22"/>
          <w:szCs w:val="22"/>
        </w:rPr>
        <w:t xml:space="preserve"> in 2019-20) and should occur again for the 2020-21 financial year. </w:t>
      </w:r>
      <w:r w:rsidR="000173BB">
        <w:rPr>
          <w:sz w:val="22"/>
          <w:szCs w:val="22"/>
        </w:rPr>
        <w:t xml:space="preserve">In undertaking this assessment </w:t>
      </w:r>
      <w:r w:rsidR="00E369F8">
        <w:rPr>
          <w:sz w:val="22"/>
          <w:szCs w:val="22"/>
        </w:rPr>
        <w:t xml:space="preserve">in 2020-21 </w:t>
      </w:r>
      <w:r w:rsidR="000173BB">
        <w:rPr>
          <w:sz w:val="22"/>
          <w:szCs w:val="22"/>
        </w:rPr>
        <w:t xml:space="preserve">agencies should </w:t>
      </w:r>
      <w:r w:rsidR="007123E5">
        <w:rPr>
          <w:sz w:val="22"/>
          <w:szCs w:val="22"/>
        </w:rPr>
        <w:t>review</w:t>
      </w:r>
      <w:r w:rsidR="000173BB">
        <w:rPr>
          <w:sz w:val="22"/>
          <w:szCs w:val="22"/>
        </w:rPr>
        <w:t xml:space="preserve"> each statement and note in their financial statement</w:t>
      </w:r>
      <w:r w:rsidR="007123E5">
        <w:rPr>
          <w:sz w:val="22"/>
          <w:szCs w:val="22"/>
        </w:rPr>
        <w:t>s</w:t>
      </w:r>
      <w:r w:rsidR="002A13BA">
        <w:rPr>
          <w:sz w:val="22"/>
          <w:szCs w:val="22"/>
        </w:rPr>
        <w:t xml:space="preserve">. </w:t>
      </w:r>
      <w:r>
        <w:rPr>
          <w:sz w:val="22"/>
          <w:szCs w:val="22"/>
        </w:rPr>
        <w:t xml:space="preserve">To </w:t>
      </w:r>
      <w:r w:rsidR="001108D6">
        <w:rPr>
          <w:sz w:val="22"/>
          <w:szCs w:val="22"/>
        </w:rPr>
        <w:t>assist</w:t>
      </w:r>
      <w:r>
        <w:rPr>
          <w:sz w:val="22"/>
          <w:szCs w:val="22"/>
        </w:rPr>
        <w:t xml:space="preserve"> agenc</w:t>
      </w:r>
      <w:r w:rsidR="001108D6">
        <w:rPr>
          <w:sz w:val="22"/>
          <w:szCs w:val="22"/>
        </w:rPr>
        <w:t>ies</w:t>
      </w:r>
      <w:r>
        <w:rPr>
          <w:sz w:val="22"/>
          <w:szCs w:val="22"/>
        </w:rPr>
        <w:t xml:space="preserve"> </w:t>
      </w:r>
      <w:r w:rsidR="001108D6">
        <w:rPr>
          <w:sz w:val="22"/>
          <w:szCs w:val="22"/>
        </w:rPr>
        <w:t xml:space="preserve">in </w:t>
      </w:r>
      <w:r>
        <w:rPr>
          <w:sz w:val="22"/>
          <w:szCs w:val="22"/>
        </w:rPr>
        <w:t>undertak</w:t>
      </w:r>
      <w:r w:rsidR="001108D6">
        <w:rPr>
          <w:sz w:val="22"/>
          <w:szCs w:val="22"/>
        </w:rPr>
        <w:t>ing</w:t>
      </w:r>
      <w:r>
        <w:rPr>
          <w:sz w:val="22"/>
          <w:szCs w:val="22"/>
        </w:rPr>
        <w:t xml:space="preserve"> </w:t>
      </w:r>
      <w:r w:rsidR="001108D6">
        <w:rPr>
          <w:sz w:val="22"/>
          <w:szCs w:val="22"/>
        </w:rPr>
        <w:t>an</w:t>
      </w:r>
      <w:r>
        <w:rPr>
          <w:sz w:val="22"/>
          <w:szCs w:val="22"/>
        </w:rPr>
        <w:t xml:space="preserve"> assessment </w:t>
      </w:r>
      <w:r w:rsidR="001108D6">
        <w:rPr>
          <w:sz w:val="22"/>
          <w:szCs w:val="22"/>
        </w:rPr>
        <w:t xml:space="preserve">of </w:t>
      </w:r>
      <w:r w:rsidR="00211746">
        <w:rPr>
          <w:sz w:val="22"/>
          <w:szCs w:val="22"/>
        </w:rPr>
        <w:t>any</w:t>
      </w:r>
      <w:r w:rsidR="001108D6">
        <w:rPr>
          <w:sz w:val="22"/>
          <w:szCs w:val="22"/>
        </w:rPr>
        <w:t xml:space="preserve"> COVID-19 impact</w:t>
      </w:r>
      <w:r w:rsidR="00211746">
        <w:rPr>
          <w:sz w:val="22"/>
          <w:szCs w:val="22"/>
        </w:rPr>
        <w:t>s</w:t>
      </w:r>
      <w:r w:rsidR="001108D6">
        <w:rPr>
          <w:sz w:val="22"/>
          <w:szCs w:val="22"/>
        </w:rPr>
        <w:t xml:space="preserve"> </w:t>
      </w:r>
      <w:r>
        <w:rPr>
          <w:sz w:val="22"/>
          <w:szCs w:val="22"/>
        </w:rPr>
        <w:t>and to demonstrate to the ACT Audit</w:t>
      </w:r>
      <w:r w:rsidR="00682950">
        <w:rPr>
          <w:sz w:val="22"/>
          <w:szCs w:val="22"/>
        </w:rPr>
        <w:t xml:space="preserve"> </w:t>
      </w:r>
      <w:r>
        <w:rPr>
          <w:sz w:val="22"/>
          <w:szCs w:val="22"/>
        </w:rPr>
        <w:t>Office that the</w:t>
      </w:r>
      <w:r w:rsidR="001108D6">
        <w:rPr>
          <w:sz w:val="22"/>
          <w:szCs w:val="22"/>
        </w:rPr>
        <w:t xml:space="preserve"> agency</w:t>
      </w:r>
      <w:r>
        <w:rPr>
          <w:sz w:val="22"/>
          <w:szCs w:val="22"/>
        </w:rPr>
        <w:t xml:space="preserve"> ha</w:t>
      </w:r>
      <w:r w:rsidR="001108D6">
        <w:rPr>
          <w:sz w:val="22"/>
          <w:szCs w:val="22"/>
        </w:rPr>
        <w:t>s</w:t>
      </w:r>
      <w:r>
        <w:rPr>
          <w:sz w:val="22"/>
          <w:szCs w:val="22"/>
        </w:rPr>
        <w:t xml:space="preserve"> undertaken </w:t>
      </w:r>
      <w:r w:rsidR="001108D6">
        <w:rPr>
          <w:sz w:val="22"/>
          <w:szCs w:val="22"/>
        </w:rPr>
        <w:t>this</w:t>
      </w:r>
      <w:r>
        <w:rPr>
          <w:sz w:val="22"/>
          <w:szCs w:val="22"/>
        </w:rPr>
        <w:t xml:space="preserve"> assessment</w:t>
      </w:r>
      <w:r w:rsidR="001108D6">
        <w:rPr>
          <w:sz w:val="22"/>
          <w:szCs w:val="22"/>
        </w:rPr>
        <w:t>,</w:t>
      </w:r>
      <w:r>
        <w:rPr>
          <w:sz w:val="22"/>
          <w:szCs w:val="22"/>
        </w:rPr>
        <w:t xml:space="preserve"> it is recommended that agencies </w:t>
      </w:r>
      <w:r w:rsidR="00926C67">
        <w:rPr>
          <w:sz w:val="22"/>
          <w:szCs w:val="22"/>
        </w:rPr>
        <w:t>complete</w:t>
      </w:r>
      <w:r>
        <w:rPr>
          <w:sz w:val="22"/>
          <w:szCs w:val="22"/>
        </w:rPr>
        <w:t xml:space="preserve"> the template included at </w:t>
      </w:r>
      <w:r w:rsidRPr="00C76FA2">
        <w:rPr>
          <w:b/>
          <w:bCs/>
          <w:sz w:val="22"/>
          <w:szCs w:val="22"/>
          <w:u w:val="single"/>
        </w:rPr>
        <w:t>Attachment A</w:t>
      </w:r>
      <w:r>
        <w:rPr>
          <w:b/>
          <w:bCs/>
          <w:sz w:val="22"/>
          <w:szCs w:val="22"/>
          <w:u w:val="single"/>
        </w:rPr>
        <w:t>.</w:t>
      </w:r>
      <w:r w:rsidRPr="00C76FA2">
        <w:rPr>
          <w:sz w:val="22"/>
          <w:szCs w:val="22"/>
        </w:rPr>
        <w:t xml:space="preserve"> </w:t>
      </w:r>
      <w:r>
        <w:rPr>
          <w:sz w:val="22"/>
          <w:szCs w:val="22"/>
        </w:rPr>
        <w:t>Note th</w:t>
      </w:r>
      <w:r w:rsidR="002A13BA">
        <w:rPr>
          <w:sz w:val="22"/>
          <w:szCs w:val="22"/>
        </w:rPr>
        <w:t>e</w:t>
      </w:r>
      <w:r>
        <w:rPr>
          <w:sz w:val="22"/>
          <w:szCs w:val="22"/>
        </w:rPr>
        <w:t xml:space="preserve"> te</w:t>
      </w:r>
      <w:r w:rsidR="001108D6">
        <w:rPr>
          <w:sz w:val="22"/>
          <w:szCs w:val="22"/>
        </w:rPr>
        <w:t>mplate</w:t>
      </w:r>
      <w:r>
        <w:rPr>
          <w:sz w:val="22"/>
          <w:szCs w:val="22"/>
        </w:rPr>
        <w:t xml:space="preserve"> will need to be </w:t>
      </w:r>
      <w:r w:rsidRPr="00926C67">
        <w:rPr>
          <w:sz w:val="22"/>
          <w:szCs w:val="22"/>
          <w:u w:val="single"/>
        </w:rPr>
        <w:t>adapted</w:t>
      </w:r>
      <w:r>
        <w:rPr>
          <w:sz w:val="22"/>
          <w:szCs w:val="22"/>
        </w:rPr>
        <w:t xml:space="preserve"> for the notes contained in the</w:t>
      </w:r>
      <w:r w:rsidR="00926C67">
        <w:rPr>
          <w:sz w:val="22"/>
          <w:szCs w:val="22"/>
        </w:rPr>
        <w:t xml:space="preserve"> agency’s </w:t>
      </w:r>
      <w:r w:rsidR="007123E5">
        <w:rPr>
          <w:sz w:val="22"/>
          <w:szCs w:val="22"/>
        </w:rPr>
        <w:t xml:space="preserve">own </w:t>
      </w:r>
      <w:r>
        <w:rPr>
          <w:sz w:val="22"/>
          <w:szCs w:val="22"/>
        </w:rPr>
        <w:t>financial statements.</w:t>
      </w:r>
      <w:r w:rsidR="007B4AAC">
        <w:rPr>
          <w:sz w:val="22"/>
          <w:szCs w:val="22"/>
        </w:rPr>
        <w:t xml:space="preserve">  </w:t>
      </w:r>
    </w:p>
    <w:p w14:paraId="7AB7D651" w14:textId="3AB4CF78" w:rsidR="007B4AAC" w:rsidRDefault="007B4AAC" w:rsidP="00344231">
      <w:pPr>
        <w:spacing w:after="120"/>
        <w:jc w:val="both"/>
        <w:rPr>
          <w:sz w:val="22"/>
          <w:szCs w:val="22"/>
        </w:rPr>
      </w:pPr>
      <w:r>
        <w:rPr>
          <w:sz w:val="22"/>
          <w:szCs w:val="22"/>
        </w:rPr>
        <w:t xml:space="preserve">In order to make it easy to track revenue and expenses related to COVID-19 it is suggested that agencies create a separate project code in Oracle. This will greatly assist when completing </w:t>
      </w:r>
      <w:r w:rsidR="007123E5">
        <w:rPr>
          <w:sz w:val="22"/>
          <w:szCs w:val="22"/>
        </w:rPr>
        <w:t>their</w:t>
      </w:r>
      <w:r>
        <w:rPr>
          <w:sz w:val="22"/>
          <w:szCs w:val="22"/>
        </w:rPr>
        <w:t xml:space="preserve"> COVID-19 template. </w:t>
      </w:r>
    </w:p>
    <w:p w14:paraId="0BEC21C4" w14:textId="3AA71506" w:rsidR="00D57726" w:rsidRDefault="000173BB" w:rsidP="00344231">
      <w:pPr>
        <w:pStyle w:val="Normal1"/>
        <w:spacing w:after="120" w:line="276" w:lineRule="auto"/>
        <w:jc w:val="both"/>
        <w:rPr>
          <w:b/>
          <w:caps/>
        </w:rPr>
      </w:pPr>
      <w:r>
        <w:t xml:space="preserve">While all items in an agency’s financial statements should be assessed, examples of </w:t>
      </w:r>
      <w:r w:rsidR="00D57726" w:rsidRPr="001108D6">
        <w:t xml:space="preserve">things that an agency might </w:t>
      </w:r>
      <w:r>
        <w:t xml:space="preserve">specifically </w:t>
      </w:r>
      <w:r w:rsidR="00D57726" w:rsidRPr="001108D6">
        <w:t xml:space="preserve">consider </w:t>
      </w:r>
      <w:r>
        <w:t xml:space="preserve">when undertaking their </w:t>
      </w:r>
      <w:r w:rsidR="00D57726" w:rsidRPr="001108D6">
        <w:t xml:space="preserve">COVID-19 </w:t>
      </w:r>
      <w:r>
        <w:t xml:space="preserve">assessment </w:t>
      </w:r>
      <w:r w:rsidR="00D57726" w:rsidRPr="001108D6">
        <w:t>are as follows:</w:t>
      </w:r>
    </w:p>
    <w:p w14:paraId="65047F76" w14:textId="0E56A066" w:rsidR="00D57726" w:rsidRPr="00F97F67" w:rsidRDefault="00211746" w:rsidP="00344231">
      <w:pPr>
        <w:pStyle w:val="Normal1"/>
        <w:numPr>
          <w:ilvl w:val="0"/>
          <w:numId w:val="10"/>
        </w:numPr>
        <w:spacing w:after="120" w:line="276" w:lineRule="auto"/>
        <w:ind w:left="709"/>
        <w:jc w:val="both"/>
      </w:pPr>
      <w:r>
        <w:t>b</w:t>
      </w:r>
      <w:r w:rsidR="00D57726" w:rsidRPr="00F97F67">
        <w:t>udget initiatives and additional appropriation</w:t>
      </w:r>
      <w:r w:rsidR="007123E5">
        <w:t xml:space="preserve"> related to COVID-19</w:t>
      </w:r>
      <w:r w:rsidR="00926C67" w:rsidRPr="00F97F67">
        <w:t>;</w:t>
      </w:r>
    </w:p>
    <w:p w14:paraId="73BF0245" w14:textId="3BACC28D" w:rsidR="00F97F67" w:rsidRDefault="00D57726" w:rsidP="00344231">
      <w:pPr>
        <w:pStyle w:val="Normal1"/>
        <w:numPr>
          <w:ilvl w:val="0"/>
          <w:numId w:val="10"/>
        </w:numPr>
        <w:spacing w:after="120" w:line="276" w:lineRule="auto"/>
        <w:ind w:left="709"/>
        <w:jc w:val="both"/>
      </w:pPr>
      <w:r w:rsidRPr="00F97F67">
        <w:t>Commonwealth grants</w:t>
      </w:r>
      <w:r w:rsidR="007123E5" w:rsidRPr="007123E5">
        <w:t xml:space="preserve"> </w:t>
      </w:r>
      <w:r w:rsidR="007123E5">
        <w:t>related to COVID-19</w:t>
      </w:r>
      <w:r w:rsidR="00926C67" w:rsidRPr="00F97F67">
        <w:t>;</w:t>
      </w:r>
    </w:p>
    <w:p w14:paraId="5657DF01" w14:textId="2FC676E0" w:rsidR="001843A4" w:rsidRDefault="00211746" w:rsidP="00344231">
      <w:pPr>
        <w:pStyle w:val="Normal1"/>
        <w:numPr>
          <w:ilvl w:val="0"/>
          <w:numId w:val="10"/>
        </w:numPr>
        <w:spacing w:after="120" w:line="276" w:lineRule="auto"/>
        <w:ind w:left="709"/>
        <w:jc w:val="both"/>
      </w:pPr>
      <w:r>
        <w:t>r</w:t>
      </w:r>
      <w:r w:rsidR="001843A4" w:rsidRPr="001843A4">
        <w:t>eassess variable considerations, including refund liabilities in revenue contracts</w:t>
      </w:r>
      <w:r w:rsidR="001843A4">
        <w:t xml:space="preserve"> due to COVID-19;</w:t>
      </w:r>
    </w:p>
    <w:p w14:paraId="2B2E7E09" w14:textId="6F5A64F2" w:rsidR="00F97F67" w:rsidRDefault="00211746" w:rsidP="00344231">
      <w:pPr>
        <w:pStyle w:val="Normal1"/>
        <w:numPr>
          <w:ilvl w:val="0"/>
          <w:numId w:val="10"/>
        </w:numPr>
        <w:spacing w:after="120" w:line="276" w:lineRule="auto"/>
        <w:ind w:left="709"/>
        <w:jc w:val="both"/>
      </w:pPr>
      <w:r>
        <w:t>i</w:t>
      </w:r>
      <w:r w:rsidR="00D57726" w:rsidRPr="00D57726">
        <w:t>ncreases in expenses</w:t>
      </w:r>
      <w:r w:rsidR="007123E5" w:rsidRPr="007123E5">
        <w:t xml:space="preserve"> </w:t>
      </w:r>
      <w:r w:rsidR="007123E5">
        <w:t>related to COVID-19</w:t>
      </w:r>
      <w:r w:rsidR="00504CBF">
        <w:t xml:space="preserve"> for</w:t>
      </w:r>
      <w:r w:rsidR="00E369F8">
        <w:t xml:space="preserve"> example</w:t>
      </w:r>
      <w:r w:rsidR="00926C67">
        <w:t>;</w:t>
      </w:r>
    </w:p>
    <w:p w14:paraId="52F7DB83" w14:textId="77777777" w:rsidR="00F97F67" w:rsidRDefault="00D57726" w:rsidP="00344231">
      <w:pPr>
        <w:pStyle w:val="Normal1"/>
        <w:numPr>
          <w:ilvl w:val="1"/>
          <w:numId w:val="10"/>
        </w:numPr>
        <w:spacing w:after="120" w:line="276" w:lineRule="auto"/>
        <w:jc w:val="both"/>
      </w:pPr>
      <w:r w:rsidRPr="00D57726">
        <w:t>Employee expenses</w:t>
      </w:r>
      <w:r w:rsidR="00926C67">
        <w:t>;</w:t>
      </w:r>
    </w:p>
    <w:p w14:paraId="7E645CE3" w14:textId="77777777" w:rsidR="00F97F67" w:rsidRDefault="00D57726" w:rsidP="00344231">
      <w:pPr>
        <w:pStyle w:val="Normal1"/>
        <w:numPr>
          <w:ilvl w:val="1"/>
          <w:numId w:val="10"/>
        </w:numPr>
        <w:spacing w:after="120" w:line="276" w:lineRule="auto"/>
        <w:jc w:val="both"/>
      </w:pPr>
      <w:r w:rsidRPr="00D57726">
        <w:t>Supplies and services (contractor</w:t>
      </w:r>
      <w:r w:rsidR="000173BB">
        <w:t>s</w:t>
      </w:r>
      <w:r w:rsidRPr="00D57726">
        <w:t>, cleaning services etc)</w:t>
      </w:r>
      <w:r w:rsidR="00926C67">
        <w:t>;</w:t>
      </w:r>
    </w:p>
    <w:p w14:paraId="6B6C6656" w14:textId="6FEB3340" w:rsidR="007123E5" w:rsidRDefault="00211746" w:rsidP="00344231">
      <w:pPr>
        <w:pStyle w:val="Normal1"/>
        <w:numPr>
          <w:ilvl w:val="0"/>
          <w:numId w:val="10"/>
        </w:numPr>
        <w:spacing w:after="120" w:line="276" w:lineRule="auto"/>
        <w:ind w:left="709"/>
        <w:jc w:val="both"/>
      </w:pPr>
      <w:r>
        <w:t>c</w:t>
      </w:r>
      <w:r w:rsidR="007123E5">
        <w:t xml:space="preserve">hange in the fair value of </w:t>
      </w:r>
      <w:r>
        <w:t>a</w:t>
      </w:r>
      <w:r w:rsidR="007123E5">
        <w:t>ssets related to COVID-19;</w:t>
      </w:r>
    </w:p>
    <w:p w14:paraId="31A39611" w14:textId="5D098594" w:rsidR="00F97F67" w:rsidRDefault="00211746" w:rsidP="00344231">
      <w:pPr>
        <w:pStyle w:val="Normal1"/>
        <w:numPr>
          <w:ilvl w:val="0"/>
          <w:numId w:val="10"/>
        </w:numPr>
        <w:spacing w:after="120" w:line="276" w:lineRule="auto"/>
        <w:ind w:left="709"/>
        <w:jc w:val="both"/>
      </w:pPr>
      <w:r>
        <w:t>i</w:t>
      </w:r>
      <w:r w:rsidR="00D57726" w:rsidRPr="00D57726">
        <w:t xml:space="preserve">mpairment of </w:t>
      </w:r>
      <w:r>
        <w:t>a</w:t>
      </w:r>
      <w:r w:rsidR="00D57726" w:rsidRPr="00D57726">
        <w:t>ssets</w:t>
      </w:r>
      <w:r w:rsidR="007123E5" w:rsidRPr="007123E5">
        <w:t xml:space="preserve"> </w:t>
      </w:r>
      <w:r w:rsidR="007123E5">
        <w:t>related to COVID-19</w:t>
      </w:r>
      <w:r w:rsidR="00926C67">
        <w:t>;</w:t>
      </w:r>
    </w:p>
    <w:p w14:paraId="291886F1" w14:textId="4A3FF117" w:rsidR="00F97F67" w:rsidRDefault="00211746" w:rsidP="00344231">
      <w:pPr>
        <w:pStyle w:val="Normal1"/>
        <w:numPr>
          <w:ilvl w:val="0"/>
          <w:numId w:val="10"/>
        </w:numPr>
        <w:spacing w:after="120" w:line="276" w:lineRule="auto"/>
        <w:ind w:left="709"/>
        <w:jc w:val="both"/>
      </w:pPr>
      <w:r>
        <w:t>e</w:t>
      </w:r>
      <w:r w:rsidR="00D57726" w:rsidRPr="00D57726">
        <w:t xml:space="preserve">vents </w:t>
      </w:r>
      <w:r>
        <w:t>a</w:t>
      </w:r>
      <w:r w:rsidR="00D57726" w:rsidRPr="00D57726">
        <w:t xml:space="preserve">fter </w:t>
      </w:r>
      <w:r>
        <w:t>b</w:t>
      </w:r>
      <w:r w:rsidR="00D57726" w:rsidRPr="00D57726">
        <w:t xml:space="preserve">alance </w:t>
      </w:r>
      <w:r>
        <w:t>date</w:t>
      </w:r>
      <w:r w:rsidR="007123E5" w:rsidRPr="007123E5">
        <w:t xml:space="preserve"> </w:t>
      </w:r>
      <w:r w:rsidR="007123E5">
        <w:t>related to COVID-19</w:t>
      </w:r>
      <w:r w:rsidR="00926C67">
        <w:t>;</w:t>
      </w:r>
    </w:p>
    <w:p w14:paraId="274FE64C" w14:textId="4B45E641" w:rsidR="00F97F67" w:rsidRDefault="00211746" w:rsidP="00344231">
      <w:pPr>
        <w:pStyle w:val="Normal1"/>
        <w:numPr>
          <w:ilvl w:val="0"/>
          <w:numId w:val="10"/>
        </w:numPr>
        <w:spacing w:after="120" w:line="276" w:lineRule="auto"/>
        <w:ind w:left="709"/>
        <w:jc w:val="both"/>
      </w:pPr>
      <w:r>
        <w:t>s</w:t>
      </w:r>
      <w:r w:rsidR="00926C67">
        <w:t xml:space="preserve">ignificant </w:t>
      </w:r>
      <w:r>
        <w:t>a</w:t>
      </w:r>
      <w:r w:rsidR="00926C67">
        <w:t xml:space="preserve">ccounting </w:t>
      </w:r>
      <w:r>
        <w:t>p</w:t>
      </w:r>
      <w:r w:rsidR="00926C67">
        <w:t>olicies</w:t>
      </w:r>
      <w:r w:rsidR="007123E5">
        <w:t xml:space="preserve"> related to COVID-19</w:t>
      </w:r>
      <w:r w:rsidR="00926C67">
        <w:t>;</w:t>
      </w:r>
    </w:p>
    <w:p w14:paraId="589D02DB" w14:textId="745D7ADF" w:rsidR="00F97F67" w:rsidRDefault="00211746" w:rsidP="00344231">
      <w:pPr>
        <w:pStyle w:val="Normal1"/>
        <w:numPr>
          <w:ilvl w:val="0"/>
          <w:numId w:val="10"/>
        </w:numPr>
        <w:spacing w:after="120" w:line="276" w:lineRule="auto"/>
        <w:ind w:left="709"/>
        <w:jc w:val="both"/>
      </w:pPr>
      <w:r>
        <w:t>g</w:t>
      </w:r>
      <w:r w:rsidR="00D57726" w:rsidRPr="00D57726">
        <w:t>oing Concern</w:t>
      </w:r>
      <w:r>
        <w:t xml:space="preserve"> considerations</w:t>
      </w:r>
      <w:r w:rsidR="007123E5">
        <w:t xml:space="preserve"> due to COVID-19</w:t>
      </w:r>
      <w:r w:rsidR="00926C67">
        <w:t>;</w:t>
      </w:r>
    </w:p>
    <w:p w14:paraId="55D6B02B" w14:textId="1DC9F860" w:rsidR="00F97F67" w:rsidRDefault="00211746" w:rsidP="00344231">
      <w:pPr>
        <w:pStyle w:val="Normal1"/>
        <w:numPr>
          <w:ilvl w:val="0"/>
          <w:numId w:val="10"/>
        </w:numPr>
        <w:spacing w:after="120" w:line="276" w:lineRule="auto"/>
        <w:ind w:left="709"/>
        <w:jc w:val="both"/>
      </w:pPr>
      <w:r>
        <w:t>e</w:t>
      </w:r>
      <w:r w:rsidR="00D57726" w:rsidRPr="00D57726">
        <w:t xml:space="preserve">xpected </w:t>
      </w:r>
      <w:r>
        <w:t>c</w:t>
      </w:r>
      <w:r w:rsidR="00D57726" w:rsidRPr="00D57726">
        <w:t xml:space="preserve">redit </w:t>
      </w:r>
      <w:r>
        <w:t>l</w:t>
      </w:r>
      <w:r w:rsidR="00D57726" w:rsidRPr="00D57726">
        <w:t xml:space="preserve">osses for </w:t>
      </w:r>
      <w:r>
        <w:t>l</w:t>
      </w:r>
      <w:r w:rsidR="00D57726" w:rsidRPr="00D57726">
        <w:t>oans and other financial assets</w:t>
      </w:r>
      <w:r w:rsidR="007123E5" w:rsidRPr="007123E5">
        <w:t xml:space="preserve"> </w:t>
      </w:r>
      <w:r w:rsidR="007123E5">
        <w:t>due to COVID-19</w:t>
      </w:r>
      <w:r w:rsidR="00926C67">
        <w:t>;</w:t>
      </w:r>
      <w:r w:rsidR="00F97F67">
        <w:t xml:space="preserve"> and</w:t>
      </w:r>
    </w:p>
    <w:p w14:paraId="488A6BBD" w14:textId="013FE01B" w:rsidR="00D57726" w:rsidRPr="00D57726" w:rsidRDefault="00211746" w:rsidP="00344231">
      <w:pPr>
        <w:pStyle w:val="Normal1"/>
        <w:numPr>
          <w:ilvl w:val="0"/>
          <w:numId w:val="10"/>
        </w:numPr>
        <w:spacing w:after="120" w:line="276" w:lineRule="auto"/>
        <w:ind w:left="709"/>
        <w:jc w:val="both"/>
      </w:pPr>
      <w:r>
        <w:t>j</w:t>
      </w:r>
      <w:r w:rsidR="00D57726" w:rsidRPr="00D57726">
        <w:t>udgement</w:t>
      </w:r>
      <w:r w:rsidR="007123E5" w:rsidRPr="007123E5">
        <w:t xml:space="preserve"> </w:t>
      </w:r>
      <w:r w:rsidR="007123E5">
        <w:t xml:space="preserve">relating to </w:t>
      </w:r>
      <w:r w:rsidR="007123E5" w:rsidRPr="007123E5">
        <w:t xml:space="preserve">making significant accounting estimates and related disclosures due </w:t>
      </w:r>
      <w:r w:rsidR="007123E5">
        <w:t>to COVID-19</w:t>
      </w:r>
      <w:r w:rsidR="00926C67">
        <w:t>.</w:t>
      </w:r>
    </w:p>
    <w:p w14:paraId="7B194293" w14:textId="23B8808A" w:rsidR="00502663" w:rsidRPr="00344231" w:rsidRDefault="00E436BE" w:rsidP="00344231">
      <w:pPr>
        <w:spacing w:after="120"/>
        <w:jc w:val="both"/>
        <w:rPr>
          <w:sz w:val="22"/>
          <w:szCs w:val="22"/>
        </w:rPr>
      </w:pPr>
      <w:r>
        <w:rPr>
          <w:sz w:val="22"/>
          <w:szCs w:val="22"/>
        </w:rPr>
        <w:t xml:space="preserve">For further guidance in relation to the impact of COVID-19 on financial reporting please see </w:t>
      </w:r>
      <w:r>
        <w:t xml:space="preserve">the AASB/AUSB’s COVID guidance paper from last year at </w:t>
      </w:r>
      <w:hyperlink r:id="rId14" w:history="1">
        <w:r>
          <w:rPr>
            <w:rStyle w:val="Hyperlink"/>
          </w:rPr>
          <w:t>AASB19009_COVID19_FA.pdf (auasb.gov.au)</w:t>
        </w:r>
      </w:hyperlink>
      <w:r>
        <w:rPr>
          <w:rStyle w:val="Hyperlink"/>
        </w:rPr>
        <w:t>.</w:t>
      </w:r>
      <w:r w:rsidR="00D57726" w:rsidRPr="00D57726">
        <w:rPr>
          <w:sz w:val="22"/>
          <w:szCs w:val="22"/>
        </w:rPr>
        <w:t xml:space="preserve"> </w:t>
      </w:r>
    </w:p>
    <w:p w14:paraId="1FD4E5FA" w14:textId="50C082CB" w:rsidR="003C58A9" w:rsidRDefault="00E70895" w:rsidP="00344231">
      <w:pPr>
        <w:pStyle w:val="Heading1"/>
        <w:numPr>
          <w:ilvl w:val="0"/>
          <w:numId w:val="9"/>
        </w:numPr>
        <w:spacing w:before="480" w:after="120" w:line="276" w:lineRule="auto"/>
        <w:ind w:left="283" w:hanging="357"/>
      </w:pPr>
      <w:bookmarkStart w:id="19" w:name="_Toc58146764"/>
      <w:bookmarkStart w:id="20" w:name="_Toc76391517"/>
      <w:r>
        <w:lastRenderedPageBreak/>
        <w:t>A</w:t>
      </w:r>
      <w:r w:rsidR="007D649B">
        <w:t>dditional Disclosure Guidance</w:t>
      </w:r>
      <w:bookmarkEnd w:id="19"/>
      <w:bookmarkEnd w:id="20"/>
    </w:p>
    <w:p w14:paraId="6FCC401F" w14:textId="60862ADA" w:rsidR="00E21EA3" w:rsidRDefault="001108D6" w:rsidP="00344231">
      <w:pPr>
        <w:spacing w:after="120"/>
        <w:jc w:val="both"/>
        <w:rPr>
          <w:rFonts w:ascii="Calibri" w:eastAsia="Times New Roman" w:hAnsi="Calibri" w:cs="Cambria"/>
          <w:sz w:val="22"/>
          <w:szCs w:val="22"/>
        </w:rPr>
      </w:pPr>
      <w:r w:rsidRPr="007B6DB4">
        <w:rPr>
          <w:rFonts w:ascii="Calibri" w:eastAsia="Times New Roman" w:hAnsi="Calibri" w:cs="Cambria"/>
          <w:sz w:val="22"/>
          <w:szCs w:val="22"/>
          <w:u w:val="single"/>
        </w:rPr>
        <w:t xml:space="preserve">Agencies should only make COVID-19 disclosures in their financial </w:t>
      </w:r>
      <w:r w:rsidR="00B87AEA" w:rsidRPr="007B6DB4">
        <w:rPr>
          <w:rFonts w:ascii="Calibri" w:eastAsia="Times New Roman" w:hAnsi="Calibri" w:cs="Cambria"/>
          <w:sz w:val="22"/>
          <w:szCs w:val="22"/>
          <w:u w:val="single"/>
        </w:rPr>
        <w:t>s</w:t>
      </w:r>
      <w:r w:rsidRPr="007B6DB4">
        <w:rPr>
          <w:rFonts w:ascii="Calibri" w:eastAsia="Times New Roman" w:hAnsi="Calibri" w:cs="Cambria"/>
          <w:sz w:val="22"/>
          <w:szCs w:val="22"/>
          <w:u w:val="single"/>
        </w:rPr>
        <w:t>tatements if they are material</w:t>
      </w:r>
      <w:r w:rsidR="005B37DA">
        <w:rPr>
          <w:rStyle w:val="FootnoteReference"/>
          <w:rFonts w:ascii="Calibri" w:eastAsia="Times New Roman" w:hAnsi="Calibri" w:cs="Cambria"/>
          <w:sz w:val="22"/>
          <w:szCs w:val="22"/>
        </w:rPr>
        <w:footnoteReference w:id="1"/>
      </w:r>
      <w:r>
        <w:rPr>
          <w:rFonts w:ascii="Calibri" w:eastAsia="Times New Roman" w:hAnsi="Calibri" w:cs="Cambria"/>
          <w:sz w:val="22"/>
          <w:szCs w:val="22"/>
        </w:rPr>
        <w:t>.</w:t>
      </w:r>
      <w:r w:rsidR="005B37DA">
        <w:rPr>
          <w:rFonts w:ascii="Calibri" w:eastAsia="Times New Roman" w:hAnsi="Calibri" w:cs="Cambria"/>
          <w:iCs/>
          <w:sz w:val="22"/>
          <w:szCs w:val="22"/>
        </w:rPr>
        <w:t xml:space="preserve">  </w:t>
      </w:r>
      <w:r w:rsidR="004D582F">
        <w:rPr>
          <w:rFonts w:ascii="Calibri" w:eastAsia="Times New Roman" w:hAnsi="Calibri" w:cs="Cambria"/>
          <w:iCs/>
          <w:sz w:val="22"/>
          <w:szCs w:val="22"/>
        </w:rPr>
        <w:t xml:space="preserve">Where there is a material amount relating to COVID-19 included in a 2020-21 </w:t>
      </w:r>
      <w:r w:rsidR="00B87AEA">
        <w:rPr>
          <w:rFonts w:ascii="Calibri" w:eastAsia="Times New Roman" w:hAnsi="Calibri" w:cs="Cambria"/>
          <w:iCs/>
          <w:sz w:val="22"/>
          <w:szCs w:val="22"/>
        </w:rPr>
        <w:t xml:space="preserve">line item </w:t>
      </w:r>
      <w:r w:rsidR="004D582F">
        <w:rPr>
          <w:rFonts w:ascii="Calibri" w:eastAsia="Times New Roman" w:hAnsi="Calibri" w:cs="Cambria"/>
          <w:iCs/>
          <w:sz w:val="22"/>
          <w:szCs w:val="22"/>
        </w:rPr>
        <w:t>balance</w:t>
      </w:r>
      <w:r w:rsidR="00B87AEA">
        <w:rPr>
          <w:rFonts w:ascii="Calibri" w:eastAsia="Times New Roman" w:hAnsi="Calibri" w:cs="Cambria"/>
          <w:iCs/>
          <w:sz w:val="22"/>
          <w:szCs w:val="22"/>
        </w:rPr>
        <w:t xml:space="preserve"> or total</w:t>
      </w:r>
      <w:r w:rsidR="004D582F">
        <w:rPr>
          <w:rFonts w:ascii="Calibri" w:eastAsia="Times New Roman" w:hAnsi="Calibri" w:cs="Cambria"/>
          <w:iCs/>
          <w:sz w:val="22"/>
          <w:szCs w:val="22"/>
        </w:rPr>
        <w:t xml:space="preserve">, agencies should </w:t>
      </w:r>
      <w:r w:rsidR="00B87AEA">
        <w:rPr>
          <w:rFonts w:ascii="Calibri" w:eastAsia="Times New Roman" w:hAnsi="Calibri" w:cs="Cambria"/>
          <w:iCs/>
          <w:sz w:val="22"/>
          <w:szCs w:val="22"/>
        </w:rPr>
        <w:t>include</w:t>
      </w:r>
      <w:r w:rsidR="004D582F">
        <w:rPr>
          <w:rFonts w:ascii="Calibri" w:eastAsia="Times New Roman" w:hAnsi="Calibri" w:cs="Cambria"/>
          <w:iCs/>
          <w:sz w:val="22"/>
          <w:szCs w:val="22"/>
        </w:rPr>
        <w:t xml:space="preserve"> a disclosure in the</w:t>
      </w:r>
      <w:r w:rsidR="00E21EA3">
        <w:rPr>
          <w:rFonts w:ascii="Calibri" w:eastAsia="Times New Roman" w:hAnsi="Calibri" w:cs="Cambria"/>
          <w:iCs/>
          <w:sz w:val="22"/>
          <w:szCs w:val="22"/>
        </w:rPr>
        <w:t>ir</w:t>
      </w:r>
      <w:r w:rsidR="004D582F">
        <w:rPr>
          <w:rFonts w:ascii="Calibri" w:eastAsia="Times New Roman" w:hAnsi="Calibri" w:cs="Cambria"/>
          <w:iCs/>
          <w:sz w:val="22"/>
          <w:szCs w:val="22"/>
        </w:rPr>
        <w:t xml:space="preserve"> financial statements outlining this fact and providing relevant details. </w:t>
      </w:r>
      <w:r w:rsidR="00D77856">
        <w:rPr>
          <w:rFonts w:ascii="Calibri" w:eastAsia="Times New Roman" w:hAnsi="Calibri" w:cs="Cambria"/>
          <w:sz w:val="22"/>
          <w:szCs w:val="22"/>
        </w:rPr>
        <w:t>For example, where an agency received $</w:t>
      </w:r>
      <w:r w:rsidR="001843A4">
        <w:rPr>
          <w:rFonts w:ascii="Calibri" w:eastAsia="Times New Roman" w:hAnsi="Calibri" w:cs="Cambria"/>
          <w:sz w:val="22"/>
          <w:szCs w:val="22"/>
        </w:rPr>
        <w:t>6</w:t>
      </w:r>
      <w:r w:rsidR="00D77856">
        <w:rPr>
          <w:rFonts w:ascii="Calibri" w:eastAsia="Times New Roman" w:hAnsi="Calibri" w:cs="Cambria"/>
          <w:sz w:val="22"/>
          <w:szCs w:val="22"/>
        </w:rPr>
        <w:t xml:space="preserve"> million in </w:t>
      </w:r>
      <w:r w:rsidR="004D582F">
        <w:rPr>
          <w:rFonts w:ascii="Calibri" w:eastAsia="Times New Roman" w:hAnsi="Calibri" w:cs="Cambria"/>
          <w:sz w:val="22"/>
          <w:szCs w:val="22"/>
        </w:rPr>
        <w:t xml:space="preserve">COVID-19 related </w:t>
      </w:r>
      <w:r w:rsidR="00D77856">
        <w:rPr>
          <w:rFonts w:ascii="Calibri" w:eastAsia="Times New Roman" w:hAnsi="Calibri" w:cs="Cambria"/>
          <w:sz w:val="22"/>
          <w:szCs w:val="22"/>
        </w:rPr>
        <w:t xml:space="preserve">appropriation </w:t>
      </w:r>
      <w:r w:rsidR="004D582F">
        <w:rPr>
          <w:rFonts w:ascii="Calibri" w:eastAsia="Times New Roman" w:hAnsi="Calibri" w:cs="Cambria"/>
          <w:sz w:val="22"/>
          <w:szCs w:val="22"/>
        </w:rPr>
        <w:t xml:space="preserve">in 2020-21 </w:t>
      </w:r>
      <w:r w:rsidR="00D77856">
        <w:rPr>
          <w:rFonts w:ascii="Calibri" w:eastAsia="Times New Roman" w:hAnsi="Calibri" w:cs="Cambria"/>
          <w:sz w:val="22"/>
          <w:szCs w:val="22"/>
        </w:rPr>
        <w:t xml:space="preserve">and they received a total appropriation </w:t>
      </w:r>
      <w:r w:rsidR="004D582F">
        <w:rPr>
          <w:rFonts w:ascii="Calibri" w:eastAsia="Times New Roman" w:hAnsi="Calibri" w:cs="Cambria"/>
          <w:sz w:val="22"/>
          <w:szCs w:val="22"/>
        </w:rPr>
        <w:t xml:space="preserve">in 2020-21 </w:t>
      </w:r>
      <w:r w:rsidR="00D77856">
        <w:rPr>
          <w:rFonts w:ascii="Calibri" w:eastAsia="Times New Roman" w:hAnsi="Calibri" w:cs="Cambria"/>
          <w:sz w:val="22"/>
          <w:szCs w:val="22"/>
        </w:rPr>
        <w:t>of $75 million, then details of the COVID-19 related appr</w:t>
      </w:r>
      <w:r w:rsidR="001843A4">
        <w:rPr>
          <w:rFonts w:ascii="Calibri" w:eastAsia="Times New Roman" w:hAnsi="Calibri" w:cs="Cambria"/>
          <w:sz w:val="22"/>
          <w:szCs w:val="22"/>
        </w:rPr>
        <w:t xml:space="preserve">opriation </w:t>
      </w:r>
      <w:r w:rsidR="00D77856">
        <w:rPr>
          <w:rFonts w:ascii="Calibri" w:eastAsia="Times New Roman" w:hAnsi="Calibri" w:cs="Cambria"/>
          <w:sz w:val="22"/>
          <w:szCs w:val="22"/>
        </w:rPr>
        <w:t xml:space="preserve">should be separately disclosed in the financial statements. </w:t>
      </w:r>
      <w:r w:rsidR="00E21EA3">
        <w:rPr>
          <w:rFonts w:ascii="Calibri" w:eastAsia="Times New Roman" w:hAnsi="Calibri" w:cs="Cambria"/>
          <w:sz w:val="22"/>
          <w:szCs w:val="22"/>
        </w:rPr>
        <w:t>Also, agencies need to disclose a variance explanation w</w:t>
      </w:r>
      <w:r w:rsidR="00B87AEA">
        <w:rPr>
          <w:rFonts w:ascii="Calibri" w:eastAsia="Times New Roman" w:hAnsi="Calibri" w:cs="Cambria"/>
          <w:sz w:val="22"/>
          <w:szCs w:val="22"/>
        </w:rPr>
        <w:t xml:space="preserve">here </w:t>
      </w:r>
      <w:r w:rsidR="00E21EA3">
        <w:rPr>
          <w:rFonts w:ascii="Calibri" w:eastAsia="Times New Roman" w:hAnsi="Calibri" w:cs="Cambria"/>
          <w:sz w:val="22"/>
          <w:szCs w:val="22"/>
        </w:rPr>
        <w:t xml:space="preserve">the COVID-19 pandemic has caused </w:t>
      </w:r>
      <w:r w:rsidR="00B87AEA">
        <w:rPr>
          <w:rFonts w:ascii="Calibri" w:eastAsia="Times New Roman" w:hAnsi="Calibri" w:cs="Cambria"/>
          <w:sz w:val="22"/>
          <w:szCs w:val="22"/>
        </w:rPr>
        <w:t xml:space="preserve">a </w:t>
      </w:r>
      <w:r w:rsidR="00E21EA3">
        <w:rPr>
          <w:rFonts w:ascii="Calibri" w:eastAsia="Times New Roman" w:hAnsi="Calibri" w:cs="Cambria"/>
          <w:sz w:val="22"/>
          <w:szCs w:val="22"/>
        </w:rPr>
        <w:t xml:space="preserve">material </w:t>
      </w:r>
      <w:r w:rsidR="00B87AEA">
        <w:rPr>
          <w:rFonts w:ascii="Calibri" w:eastAsia="Times New Roman" w:hAnsi="Calibri" w:cs="Cambria"/>
          <w:sz w:val="22"/>
          <w:szCs w:val="22"/>
        </w:rPr>
        <w:t xml:space="preserve">variance </w:t>
      </w:r>
      <w:r w:rsidR="00E21EA3">
        <w:rPr>
          <w:rFonts w:ascii="Calibri" w:eastAsia="Times New Roman" w:hAnsi="Calibri" w:cs="Cambria"/>
          <w:sz w:val="22"/>
          <w:szCs w:val="22"/>
        </w:rPr>
        <w:t xml:space="preserve">in a line item </w:t>
      </w:r>
      <w:r w:rsidR="00B87AEA">
        <w:rPr>
          <w:rFonts w:ascii="Calibri" w:eastAsia="Times New Roman" w:hAnsi="Calibri" w:cs="Cambria"/>
          <w:sz w:val="22"/>
          <w:szCs w:val="22"/>
        </w:rPr>
        <w:t>between the 2020</w:t>
      </w:r>
      <w:r w:rsidR="00E21EA3">
        <w:rPr>
          <w:rFonts w:ascii="Calibri" w:eastAsia="Times New Roman" w:hAnsi="Calibri" w:cs="Cambria"/>
          <w:sz w:val="22"/>
          <w:szCs w:val="22"/>
        </w:rPr>
        <w:noBreakHyphen/>
      </w:r>
      <w:r w:rsidR="00B87AEA">
        <w:rPr>
          <w:rFonts w:ascii="Calibri" w:eastAsia="Times New Roman" w:hAnsi="Calibri" w:cs="Cambria"/>
          <w:sz w:val="22"/>
          <w:szCs w:val="22"/>
        </w:rPr>
        <w:t>21 financial year and the 2019-20 financial year</w:t>
      </w:r>
      <w:r w:rsidR="00E21EA3">
        <w:rPr>
          <w:rFonts w:ascii="Calibri" w:eastAsia="Times New Roman" w:hAnsi="Calibri" w:cs="Cambria"/>
          <w:sz w:val="22"/>
          <w:szCs w:val="22"/>
        </w:rPr>
        <w:t>.</w:t>
      </w:r>
      <w:r w:rsidR="00B87AEA">
        <w:rPr>
          <w:rFonts w:ascii="Calibri" w:eastAsia="Times New Roman" w:hAnsi="Calibri" w:cs="Cambria"/>
          <w:sz w:val="22"/>
          <w:szCs w:val="22"/>
        </w:rPr>
        <w:t xml:space="preserve"> </w:t>
      </w:r>
      <w:r w:rsidR="002655BF">
        <w:rPr>
          <w:rFonts w:ascii="Calibri" w:eastAsia="Times New Roman" w:hAnsi="Calibri" w:cs="Cambria"/>
          <w:sz w:val="22"/>
          <w:szCs w:val="22"/>
        </w:rPr>
        <w:t xml:space="preserve">Similar to </w:t>
      </w:r>
      <w:r w:rsidR="00E92C5A">
        <w:rPr>
          <w:rFonts w:ascii="Calibri" w:eastAsia="Times New Roman" w:hAnsi="Calibri" w:cs="Cambria"/>
          <w:sz w:val="22"/>
          <w:szCs w:val="22"/>
        </w:rPr>
        <w:t xml:space="preserve">all </w:t>
      </w:r>
      <w:r w:rsidR="002655BF">
        <w:rPr>
          <w:rFonts w:ascii="Calibri" w:eastAsia="Times New Roman" w:hAnsi="Calibri" w:cs="Cambria"/>
          <w:sz w:val="22"/>
          <w:szCs w:val="22"/>
        </w:rPr>
        <w:t>other variance explanations</w:t>
      </w:r>
      <w:r w:rsidR="009E0518">
        <w:rPr>
          <w:rFonts w:ascii="Calibri" w:eastAsia="Times New Roman" w:hAnsi="Calibri" w:cs="Cambria"/>
          <w:sz w:val="22"/>
          <w:szCs w:val="22"/>
        </w:rPr>
        <w:t xml:space="preserve"> included in the financial statements</w:t>
      </w:r>
      <w:r w:rsidR="000A344C">
        <w:rPr>
          <w:rFonts w:ascii="Calibri" w:eastAsia="Times New Roman" w:hAnsi="Calibri" w:cs="Cambria"/>
          <w:sz w:val="22"/>
          <w:szCs w:val="22"/>
        </w:rPr>
        <w:t>,</w:t>
      </w:r>
      <w:r w:rsidR="002655BF">
        <w:rPr>
          <w:rFonts w:ascii="Calibri" w:eastAsia="Times New Roman" w:hAnsi="Calibri" w:cs="Cambria"/>
          <w:sz w:val="22"/>
          <w:szCs w:val="22"/>
        </w:rPr>
        <w:t xml:space="preserve"> any COVID-19 related variance explanations will need to be independently verifiable for audit purposes</w:t>
      </w:r>
      <w:r w:rsidR="000A344C">
        <w:rPr>
          <w:rFonts w:ascii="Calibri" w:eastAsia="Times New Roman" w:hAnsi="Calibri" w:cs="Cambria"/>
          <w:sz w:val="22"/>
          <w:szCs w:val="22"/>
        </w:rPr>
        <w:t>.</w:t>
      </w:r>
      <w:r w:rsidR="009E0518">
        <w:rPr>
          <w:rFonts w:ascii="Calibri" w:eastAsia="Times New Roman" w:hAnsi="Calibri" w:cs="Cambria"/>
          <w:sz w:val="22"/>
          <w:szCs w:val="22"/>
        </w:rPr>
        <w:t xml:space="preserve"> </w:t>
      </w:r>
      <w:r w:rsidR="000A344C">
        <w:rPr>
          <w:rFonts w:ascii="Calibri" w:eastAsia="Times New Roman" w:hAnsi="Calibri" w:cs="Cambria"/>
          <w:sz w:val="22"/>
          <w:szCs w:val="22"/>
        </w:rPr>
        <w:t>A</w:t>
      </w:r>
      <w:r w:rsidR="00E92C5A">
        <w:rPr>
          <w:rFonts w:ascii="Calibri" w:eastAsia="Times New Roman" w:hAnsi="Calibri" w:cs="Cambria"/>
          <w:sz w:val="22"/>
          <w:szCs w:val="22"/>
        </w:rPr>
        <w:t>gencies should</w:t>
      </w:r>
      <w:r w:rsidR="000A344C">
        <w:rPr>
          <w:rFonts w:ascii="Calibri" w:eastAsia="Times New Roman" w:hAnsi="Calibri" w:cs="Cambria"/>
          <w:sz w:val="22"/>
          <w:szCs w:val="22"/>
        </w:rPr>
        <w:t xml:space="preserve"> therefore</w:t>
      </w:r>
      <w:r w:rsidR="00E92C5A">
        <w:rPr>
          <w:rFonts w:ascii="Calibri" w:eastAsia="Times New Roman" w:hAnsi="Calibri" w:cs="Cambria"/>
          <w:sz w:val="22"/>
          <w:szCs w:val="22"/>
        </w:rPr>
        <w:t xml:space="preserve"> ensure they have workpapers supporting how the</w:t>
      </w:r>
      <w:r w:rsidR="00DA2398">
        <w:rPr>
          <w:rFonts w:ascii="Calibri" w:eastAsia="Times New Roman" w:hAnsi="Calibri" w:cs="Cambria"/>
          <w:sz w:val="22"/>
          <w:szCs w:val="22"/>
        </w:rPr>
        <w:t xml:space="preserve"> related amounts have been calculated and how they </w:t>
      </w:r>
      <w:r w:rsidR="00E92C5A">
        <w:rPr>
          <w:rFonts w:ascii="Calibri" w:eastAsia="Times New Roman" w:hAnsi="Calibri" w:cs="Cambria"/>
          <w:sz w:val="22"/>
          <w:szCs w:val="22"/>
        </w:rPr>
        <w:t>are attributable to COVID-19</w:t>
      </w:r>
      <w:r w:rsidR="002655BF">
        <w:rPr>
          <w:rFonts w:ascii="Calibri" w:eastAsia="Times New Roman" w:hAnsi="Calibri" w:cs="Cambria"/>
          <w:sz w:val="22"/>
          <w:szCs w:val="22"/>
        </w:rPr>
        <w:t>.</w:t>
      </w:r>
    </w:p>
    <w:p w14:paraId="3B030F21" w14:textId="4A9C9250" w:rsidR="007F1370" w:rsidRPr="001843A4" w:rsidRDefault="00B87AEA" w:rsidP="00344231">
      <w:pPr>
        <w:spacing w:after="120"/>
        <w:jc w:val="both"/>
        <w:rPr>
          <w:rFonts w:ascii="Calibri" w:eastAsia="Times New Roman" w:hAnsi="Calibri" w:cs="Cambria"/>
          <w:sz w:val="22"/>
          <w:szCs w:val="22"/>
        </w:rPr>
      </w:pPr>
      <w:r w:rsidRPr="007B6DB4">
        <w:rPr>
          <w:rFonts w:ascii="Calibri" w:eastAsia="Times New Roman" w:hAnsi="Calibri" w:cs="Cambria"/>
          <w:sz w:val="22"/>
          <w:szCs w:val="22"/>
          <w:u w:val="single"/>
        </w:rPr>
        <w:t>A</w:t>
      </w:r>
      <w:r w:rsidR="00D77856" w:rsidRPr="007B6DB4">
        <w:rPr>
          <w:rFonts w:ascii="Calibri" w:eastAsia="Times New Roman" w:hAnsi="Calibri" w:cs="Cambria"/>
          <w:sz w:val="22"/>
          <w:szCs w:val="22"/>
          <w:u w:val="single"/>
        </w:rPr>
        <w:t>ny COVID-19 related item that is immaterial does not require separate disclosure</w:t>
      </w:r>
      <w:r w:rsidR="007B6DB4" w:rsidRPr="007B6DB4">
        <w:rPr>
          <w:rFonts w:ascii="Calibri" w:eastAsia="Times New Roman" w:hAnsi="Calibri" w:cs="Cambria"/>
          <w:sz w:val="22"/>
          <w:szCs w:val="22"/>
          <w:u w:val="single"/>
        </w:rPr>
        <w:t xml:space="preserve"> </w:t>
      </w:r>
      <w:r w:rsidR="007B6DB4">
        <w:rPr>
          <w:rFonts w:ascii="Calibri" w:eastAsia="Times New Roman" w:hAnsi="Calibri" w:cs="Cambria"/>
          <w:sz w:val="22"/>
          <w:szCs w:val="22"/>
          <w:u w:val="single"/>
        </w:rPr>
        <w:t>in an agency’s financial statements</w:t>
      </w:r>
      <w:r w:rsidR="00D77856">
        <w:rPr>
          <w:rFonts w:ascii="Calibri" w:eastAsia="Times New Roman" w:hAnsi="Calibri" w:cs="Cambria"/>
          <w:sz w:val="22"/>
          <w:szCs w:val="22"/>
        </w:rPr>
        <w:t xml:space="preserve">. </w:t>
      </w:r>
      <w:r w:rsidR="001108D6">
        <w:rPr>
          <w:rFonts w:ascii="Calibri" w:eastAsia="Times New Roman" w:hAnsi="Calibri" w:cs="Cambria"/>
          <w:sz w:val="22"/>
          <w:szCs w:val="22"/>
        </w:rPr>
        <w:t xml:space="preserve">For example, an agency may have received a Commonwealth Grant relating to COVID-19 for $20,000, however if the total </w:t>
      </w:r>
      <w:r w:rsidR="001843A4">
        <w:rPr>
          <w:rFonts w:ascii="Calibri" w:eastAsia="Times New Roman" w:hAnsi="Calibri" w:cs="Cambria"/>
          <w:sz w:val="22"/>
          <w:szCs w:val="22"/>
        </w:rPr>
        <w:t>C</w:t>
      </w:r>
      <w:r w:rsidR="001108D6">
        <w:rPr>
          <w:rFonts w:ascii="Calibri" w:eastAsia="Times New Roman" w:hAnsi="Calibri" w:cs="Cambria"/>
          <w:sz w:val="22"/>
          <w:szCs w:val="22"/>
        </w:rPr>
        <w:t xml:space="preserve">ommonwealth Grants received by the agency is </w:t>
      </w:r>
      <w:r w:rsidR="002E31A5">
        <w:rPr>
          <w:rFonts w:ascii="Calibri" w:eastAsia="Times New Roman" w:hAnsi="Calibri" w:cs="Cambria"/>
          <w:sz w:val="22"/>
          <w:szCs w:val="22"/>
        </w:rPr>
        <w:t>$10</w:t>
      </w:r>
      <w:r w:rsidR="00211746">
        <w:rPr>
          <w:rFonts w:ascii="Calibri" w:eastAsia="Times New Roman" w:hAnsi="Calibri" w:cs="Cambria"/>
          <w:sz w:val="22"/>
          <w:szCs w:val="22"/>
        </w:rPr>
        <w:t> </w:t>
      </w:r>
      <w:r w:rsidR="002E31A5">
        <w:rPr>
          <w:rFonts w:ascii="Calibri" w:eastAsia="Times New Roman" w:hAnsi="Calibri" w:cs="Cambria"/>
          <w:sz w:val="22"/>
          <w:szCs w:val="22"/>
        </w:rPr>
        <w:t xml:space="preserve">million then the COVID-19 related Commonwealth Grant would not need to be separately disclosed.  </w:t>
      </w:r>
      <w:r w:rsidR="00D57726">
        <w:rPr>
          <w:rFonts w:ascii="Calibri" w:eastAsia="Times New Roman" w:hAnsi="Calibri" w:cs="Cambria"/>
          <w:sz w:val="22"/>
          <w:szCs w:val="22"/>
        </w:rPr>
        <w:t xml:space="preserve"> </w:t>
      </w:r>
    </w:p>
    <w:p w14:paraId="4CA8D9BE" w14:textId="0A0295E7" w:rsidR="002E31A5" w:rsidRDefault="002E31A5" w:rsidP="00344231">
      <w:pPr>
        <w:spacing w:after="120"/>
        <w:jc w:val="both"/>
        <w:rPr>
          <w:rFonts w:cs="Arial"/>
          <w:color w:val="101010"/>
          <w:sz w:val="22"/>
          <w:szCs w:val="22"/>
          <w:lang w:val="en"/>
        </w:rPr>
      </w:pPr>
      <w:r>
        <w:rPr>
          <w:rFonts w:cs="Arial"/>
          <w:color w:val="101010"/>
          <w:sz w:val="22"/>
          <w:szCs w:val="22"/>
          <w:lang w:val="en"/>
        </w:rPr>
        <w:t xml:space="preserve">Where an agency has one or more COVID-19 related disclosures to make, the </w:t>
      </w:r>
      <w:r w:rsidR="007F1370">
        <w:rPr>
          <w:rFonts w:cs="Arial"/>
          <w:color w:val="101010"/>
          <w:sz w:val="22"/>
          <w:szCs w:val="22"/>
          <w:lang w:val="en"/>
        </w:rPr>
        <w:t xml:space="preserve">agency can </w:t>
      </w:r>
      <w:r>
        <w:rPr>
          <w:rFonts w:cs="Arial"/>
          <w:color w:val="101010"/>
          <w:sz w:val="22"/>
          <w:szCs w:val="22"/>
          <w:lang w:val="en"/>
        </w:rPr>
        <w:t>choose to either make those disclosures</w:t>
      </w:r>
      <w:r w:rsidR="007F1370">
        <w:rPr>
          <w:rFonts w:cs="Arial"/>
          <w:color w:val="101010"/>
          <w:sz w:val="22"/>
          <w:szCs w:val="22"/>
          <w:lang w:val="en"/>
        </w:rPr>
        <w:t xml:space="preserve"> in the note to which </w:t>
      </w:r>
      <w:r>
        <w:rPr>
          <w:rFonts w:cs="Arial"/>
          <w:color w:val="101010"/>
          <w:sz w:val="22"/>
          <w:szCs w:val="22"/>
          <w:lang w:val="en"/>
        </w:rPr>
        <w:t xml:space="preserve">the item </w:t>
      </w:r>
      <w:r w:rsidR="007F1370">
        <w:rPr>
          <w:rFonts w:cs="Arial"/>
          <w:color w:val="101010"/>
          <w:sz w:val="22"/>
          <w:szCs w:val="22"/>
          <w:lang w:val="en"/>
        </w:rPr>
        <w:t>relates or in a separate COVID-19</w:t>
      </w:r>
      <w:r w:rsidR="001843A4">
        <w:rPr>
          <w:rFonts w:cs="Arial"/>
          <w:color w:val="101010"/>
          <w:sz w:val="22"/>
          <w:szCs w:val="22"/>
          <w:lang w:val="en"/>
        </w:rPr>
        <w:t xml:space="preserve"> note</w:t>
      </w:r>
      <w:r w:rsidR="007F1370">
        <w:rPr>
          <w:rFonts w:cs="Arial"/>
          <w:color w:val="101010"/>
          <w:sz w:val="22"/>
          <w:szCs w:val="22"/>
          <w:lang w:val="en"/>
        </w:rPr>
        <w:t>.</w:t>
      </w:r>
      <w:r>
        <w:rPr>
          <w:rFonts w:cs="Arial"/>
          <w:color w:val="101010"/>
          <w:sz w:val="22"/>
          <w:szCs w:val="22"/>
          <w:lang w:val="en"/>
        </w:rPr>
        <w:t xml:space="preserve">  For example, where an agency has received a material amount of appropriation to employ additional staff due to COVID-19, the agency could disclose this separately in their ‘</w:t>
      </w:r>
      <w:r w:rsidR="001843A4">
        <w:rPr>
          <w:rFonts w:cs="Arial"/>
          <w:color w:val="101010"/>
          <w:sz w:val="22"/>
          <w:szCs w:val="22"/>
          <w:lang w:val="en"/>
        </w:rPr>
        <w:t>Statement of Appropriation</w:t>
      </w:r>
      <w:r>
        <w:rPr>
          <w:rFonts w:cs="Arial"/>
          <w:color w:val="101010"/>
          <w:sz w:val="22"/>
          <w:szCs w:val="22"/>
          <w:lang w:val="en"/>
        </w:rPr>
        <w:t xml:space="preserve">’ and in their ‘Employee Expenses’ note or they could disclose information about both these amounts in a separate COVID-19 note.     </w:t>
      </w:r>
    </w:p>
    <w:p w14:paraId="1474F062" w14:textId="314CAE1F" w:rsidR="002E31A5" w:rsidRDefault="00D77856" w:rsidP="00344231">
      <w:pPr>
        <w:spacing w:after="120"/>
        <w:jc w:val="both"/>
        <w:rPr>
          <w:rFonts w:cs="Arial"/>
          <w:color w:val="101010"/>
          <w:sz w:val="22"/>
          <w:szCs w:val="22"/>
          <w:lang w:val="en"/>
        </w:rPr>
      </w:pPr>
      <w:r>
        <w:rPr>
          <w:rFonts w:cs="Arial"/>
          <w:color w:val="101010"/>
          <w:sz w:val="22"/>
          <w:szCs w:val="22"/>
          <w:lang w:val="en"/>
        </w:rPr>
        <w:t xml:space="preserve">Although agencies do have the choice, it is recommended that the COVID-19 disclosures be made in the note to which they relate rather than in a separate note. </w:t>
      </w:r>
      <w:r w:rsidR="002E31A5">
        <w:rPr>
          <w:rFonts w:cs="Arial"/>
          <w:color w:val="101010"/>
          <w:sz w:val="22"/>
          <w:szCs w:val="22"/>
          <w:lang w:val="en"/>
        </w:rPr>
        <w:t xml:space="preserve">A couple of </w:t>
      </w:r>
      <w:r>
        <w:rPr>
          <w:rFonts w:cs="Arial"/>
          <w:color w:val="101010"/>
          <w:sz w:val="22"/>
          <w:szCs w:val="22"/>
          <w:lang w:val="en"/>
        </w:rPr>
        <w:t xml:space="preserve">COVID-19 </w:t>
      </w:r>
      <w:r w:rsidR="002E31A5">
        <w:rPr>
          <w:rFonts w:cs="Arial"/>
          <w:color w:val="101010"/>
          <w:sz w:val="22"/>
          <w:szCs w:val="22"/>
          <w:lang w:val="en"/>
        </w:rPr>
        <w:t xml:space="preserve">example </w:t>
      </w:r>
      <w:r>
        <w:rPr>
          <w:rFonts w:cs="Arial"/>
          <w:color w:val="101010"/>
          <w:sz w:val="22"/>
          <w:szCs w:val="22"/>
          <w:lang w:val="en"/>
        </w:rPr>
        <w:t>disclosures</w:t>
      </w:r>
      <w:r w:rsidR="002E31A5">
        <w:rPr>
          <w:rFonts w:cs="Arial"/>
          <w:color w:val="101010"/>
          <w:sz w:val="22"/>
          <w:szCs w:val="22"/>
          <w:lang w:val="en"/>
        </w:rPr>
        <w:t xml:space="preserve"> have been included in </w:t>
      </w:r>
      <w:r w:rsidR="002E31A5" w:rsidRPr="001843A4">
        <w:rPr>
          <w:rFonts w:cs="Arial"/>
          <w:b/>
          <w:bCs/>
          <w:color w:val="101010"/>
          <w:sz w:val="22"/>
          <w:szCs w:val="22"/>
          <w:u w:val="single"/>
          <w:lang w:val="en"/>
        </w:rPr>
        <w:t xml:space="preserve">Attachment </w:t>
      </w:r>
      <w:r w:rsidR="001843A4">
        <w:rPr>
          <w:rFonts w:cs="Arial"/>
          <w:b/>
          <w:bCs/>
          <w:color w:val="101010"/>
          <w:sz w:val="22"/>
          <w:szCs w:val="22"/>
          <w:u w:val="single"/>
          <w:lang w:val="en"/>
        </w:rPr>
        <w:t>B</w:t>
      </w:r>
      <w:r w:rsidR="002E31A5">
        <w:rPr>
          <w:rFonts w:cs="Arial"/>
          <w:color w:val="101010"/>
          <w:sz w:val="22"/>
          <w:szCs w:val="22"/>
          <w:lang w:val="en"/>
        </w:rPr>
        <w:t xml:space="preserve"> in order to</w:t>
      </w:r>
      <w:r>
        <w:rPr>
          <w:rFonts w:cs="Arial"/>
          <w:color w:val="101010"/>
          <w:sz w:val="22"/>
          <w:szCs w:val="22"/>
          <w:lang w:val="en"/>
        </w:rPr>
        <w:t xml:space="preserve"> give agencies an idea of the length of the disclosure and the types of information that could be included.</w:t>
      </w:r>
      <w:r w:rsidR="002E31A5">
        <w:rPr>
          <w:rFonts w:cs="Arial"/>
          <w:color w:val="101010"/>
          <w:sz w:val="22"/>
          <w:szCs w:val="22"/>
          <w:lang w:val="en"/>
        </w:rPr>
        <w:t xml:space="preserve"> </w:t>
      </w:r>
      <w:r w:rsidR="007B6DB4">
        <w:rPr>
          <w:sz w:val="22"/>
          <w:szCs w:val="22"/>
        </w:rPr>
        <w:t xml:space="preserve">Where a specific COVID-19 example disclosure has been included and it happens that this example specifically relates to a particular agency, then it is not anticipated that the example disclosure </w:t>
      </w:r>
      <w:r w:rsidR="002F084E">
        <w:rPr>
          <w:sz w:val="22"/>
          <w:szCs w:val="22"/>
        </w:rPr>
        <w:t>must</w:t>
      </w:r>
      <w:r w:rsidR="007B6DB4">
        <w:rPr>
          <w:sz w:val="22"/>
          <w:szCs w:val="22"/>
        </w:rPr>
        <w:t xml:space="preserve"> be followed word for word.  For example, the paper includes a disclosure regarding the impact of COVID-19 on Fare revenue in Note</w:t>
      </w:r>
      <w:r w:rsidR="002F084E">
        <w:rPr>
          <w:sz w:val="22"/>
          <w:szCs w:val="22"/>
        </w:rPr>
        <w:t> </w:t>
      </w:r>
      <w:r w:rsidR="007B6DB4">
        <w:rPr>
          <w:sz w:val="22"/>
          <w:szCs w:val="22"/>
        </w:rPr>
        <w:t>5.  So, if it is the case that an agency (</w:t>
      </w:r>
      <w:proofErr w:type="spellStart"/>
      <w:r w:rsidR="007B6DB4">
        <w:rPr>
          <w:sz w:val="22"/>
          <w:szCs w:val="22"/>
        </w:rPr>
        <w:t>eg</w:t>
      </w:r>
      <w:proofErr w:type="spellEnd"/>
      <w:r w:rsidR="007B6DB4">
        <w:rPr>
          <w:sz w:val="22"/>
          <w:szCs w:val="22"/>
        </w:rPr>
        <w:t xml:space="preserve"> Transport Canberra Operations) also has a material decrease in fare revenue due to COVID-19, it is not expected that they will necessarily copy the model disclosure word for word but will use the example disclosure as a guide as to the type and length of information to include.</w:t>
      </w:r>
    </w:p>
    <w:p w14:paraId="78D22227" w14:textId="77777777" w:rsidR="002E31A5" w:rsidRDefault="002E31A5" w:rsidP="007F1370">
      <w:pPr>
        <w:spacing w:after="120"/>
        <w:rPr>
          <w:rFonts w:cs="Arial"/>
          <w:color w:val="101010"/>
          <w:sz w:val="22"/>
          <w:szCs w:val="22"/>
          <w:lang w:val="en"/>
        </w:rPr>
      </w:pPr>
    </w:p>
    <w:p w14:paraId="59EB14E7" w14:textId="703F3A80" w:rsidR="009B0E16" w:rsidRPr="007F1370" w:rsidRDefault="009B0E16" w:rsidP="007F1370">
      <w:pPr>
        <w:spacing w:after="120"/>
        <w:rPr>
          <w:rFonts w:cs="Arial"/>
          <w:color w:val="101010"/>
          <w:sz w:val="22"/>
          <w:szCs w:val="22"/>
          <w:lang w:val="en"/>
        </w:rPr>
      </w:pPr>
    </w:p>
    <w:p w14:paraId="2A8DBB16" w14:textId="01CC7BB3" w:rsidR="009B0E16" w:rsidRPr="006858D3" w:rsidRDefault="009B0E16" w:rsidP="00125BB4">
      <w:pPr>
        <w:spacing w:after="160" w:line="259" w:lineRule="auto"/>
        <w:rPr>
          <w:rFonts w:cs="Arial"/>
          <w:color w:val="101010"/>
          <w:sz w:val="22"/>
          <w:szCs w:val="22"/>
          <w:lang w:val="en"/>
        </w:rPr>
      </w:pPr>
    </w:p>
    <w:p w14:paraId="42BC44CD" w14:textId="763E4DD5" w:rsidR="000715C4" w:rsidRPr="003A6F39" w:rsidRDefault="000715C4" w:rsidP="00344231">
      <w:pPr>
        <w:pStyle w:val="Heading1"/>
        <w:numPr>
          <w:ilvl w:val="0"/>
          <w:numId w:val="0"/>
        </w:numPr>
        <w:spacing w:before="480" w:after="120" w:line="276" w:lineRule="auto"/>
      </w:pPr>
      <w:bookmarkStart w:id="21" w:name="_Toc76391518"/>
      <w:bookmarkStart w:id="22" w:name="_Hlk70420261"/>
      <w:r w:rsidRPr="003A6F39">
        <w:lastRenderedPageBreak/>
        <w:t xml:space="preserve">ATTACHMENT </w:t>
      </w:r>
      <w:r w:rsidR="00C979DA">
        <w:t>B</w:t>
      </w:r>
      <w:r w:rsidR="003A6F39" w:rsidRPr="003A6F39">
        <w:t xml:space="preserve"> </w:t>
      </w:r>
      <w:r w:rsidR="005D1F71">
        <w:t>–</w:t>
      </w:r>
      <w:r w:rsidR="003A6F39">
        <w:t xml:space="preserve"> </w:t>
      </w:r>
      <w:r w:rsidR="005D1F71">
        <w:t>2020-21</w:t>
      </w:r>
      <w:r w:rsidR="005D1F71" w:rsidRPr="005D1F71">
        <w:t xml:space="preserve"> Model Financial Statement Disclosures for </w:t>
      </w:r>
      <w:r w:rsidR="007F1370">
        <w:t>COVID-19</w:t>
      </w:r>
      <w:bookmarkEnd w:id="21"/>
      <w:r w:rsidR="005D1F71" w:rsidRPr="003A6F39">
        <w:t xml:space="preserve"> </w:t>
      </w:r>
    </w:p>
    <w:p w14:paraId="7610E14C" w14:textId="427B672D" w:rsidR="005D1F71" w:rsidRPr="005D1F71" w:rsidRDefault="005D1F71" w:rsidP="00344231">
      <w:pPr>
        <w:spacing w:after="120"/>
        <w:jc w:val="both"/>
        <w:rPr>
          <w:sz w:val="22"/>
          <w:szCs w:val="22"/>
        </w:rPr>
      </w:pPr>
      <w:r w:rsidRPr="005D1F71">
        <w:rPr>
          <w:sz w:val="22"/>
          <w:szCs w:val="22"/>
        </w:rPr>
        <w:t xml:space="preserve">The Financial Reporting and Framework (FRF) Branch has </w:t>
      </w:r>
      <w:r w:rsidR="00504CBF">
        <w:rPr>
          <w:sz w:val="22"/>
          <w:szCs w:val="22"/>
        </w:rPr>
        <w:t xml:space="preserve">developed </w:t>
      </w:r>
      <w:r w:rsidRPr="005D1F71">
        <w:rPr>
          <w:sz w:val="22"/>
          <w:szCs w:val="22"/>
        </w:rPr>
        <w:t xml:space="preserve">some Model Financial Statement disclosures regarding </w:t>
      </w:r>
      <w:r w:rsidR="007F1370">
        <w:rPr>
          <w:sz w:val="22"/>
          <w:szCs w:val="22"/>
        </w:rPr>
        <w:t>COVID-19</w:t>
      </w:r>
      <w:r w:rsidRPr="005D1F71">
        <w:rPr>
          <w:sz w:val="22"/>
          <w:szCs w:val="22"/>
        </w:rPr>
        <w:t xml:space="preserve"> to assist agencies with the production of their 2020-21 Financial Statements. These disclosures have been provided in light of the fact the FRF Branch will not be producing a 2020-21 Model Set of Financial Statements.   </w:t>
      </w:r>
    </w:p>
    <w:p w14:paraId="3B83E572" w14:textId="77777777" w:rsidR="00E436BE" w:rsidRDefault="005D1F71" w:rsidP="00344231">
      <w:pPr>
        <w:spacing w:after="120"/>
        <w:jc w:val="both"/>
        <w:rPr>
          <w:sz w:val="22"/>
          <w:szCs w:val="22"/>
        </w:rPr>
      </w:pPr>
      <w:r w:rsidRPr="005D1F71">
        <w:rPr>
          <w:sz w:val="22"/>
          <w:szCs w:val="22"/>
        </w:rPr>
        <w:t xml:space="preserve">The below disclosures have been taken from the 2019-20 Model and additional text has been added in </w:t>
      </w:r>
      <w:r w:rsidRPr="005D1F71">
        <w:rPr>
          <w:color w:val="C54B0A" w:themeColor="accent5" w:themeShade="BF"/>
          <w:sz w:val="22"/>
          <w:szCs w:val="22"/>
        </w:rPr>
        <w:t>orange</w:t>
      </w:r>
      <w:r w:rsidRPr="005D1F71">
        <w:rPr>
          <w:sz w:val="22"/>
          <w:szCs w:val="22"/>
        </w:rPr>
        <w:t xml:space="preserve"> text to assist </w:t>
      </w:r>
      <w:r w:rsidR="00504CBF" w:rsidRPr="005D1F71">
        <w:rPr>
          <w:sz w:val="22"/>
          <w:szCs w:val="22"/>
        </w:rPr>
        <w:t>agencies</w:t>
      </w:r>
      <w:r w:rsidRPr="005D1F71">
        <w:rPr>
          <w:sz w:val="22"/>
          <w:szCs w:val="22"/>
        </w:rPr>
        <w:t xml:space="preserve"> </w:t>
      </w:r>
      <w:r w:rsidR="00373BBE">
        <w:rPr>
          <w:sz w:val="22"/>
          <w:szCs w:val="22"/>
        </w:rPr>
        <w:t xml:space="preserve">with </w:t>
      </w:r>
      <w:r w:rsidRPr="005D1F71">
        <w:rPr>
          <w:sz w:val="22"/>
          <w:szCs w:val="22"/>
        </w:rPr>
        <w:t xml:space="preserve">their </w:t>
      </w:r>
      <w:r w:rsidR="007F1370">
        <w:rPr>
          <w:sz w:val="22"/>
          <w:szCs w:val="22"/>
        </w:rPr>
        <w:t>COVID-19</w:t>
      </w:r>
      <w:r w:rsidRPr="005D1F71">
        <w:rPr>
          <w:sz w:val="22"/>
          <w:szCs w:val="22"/>
        </w:rPr>
        <w:t xml:space="preserve"> disclosures in their 2020-21 Financial Statements.  Any deleted text is shown in </w:t>
      </w:r>
      <w:r w:rsidRPr="005D1F71">
        <w:rPr>
          <w:strike/>
          <w:color w:val="C54B0A" w:themeColor="accent5" w:themeShade="BF"/>
          <w:sz w:val="22"/>
          <w:szCs w:val="22"/>
        </w:rPr>
        <w:t>orange strikethrough</w:t>
      </w:r>
      <w:r w:rsidRPr="005D1F71">
        <w:rPr>
          <w:sz w:val="22"/>
          <w:szCs w:val="22"/>
        </w:rPr>
        <w:t xml:space="preserve">.  </w:t>
      </w:r>
      <w:r w:rsidR="00373BBE">
        <w:rPr>
          <w:sz w:val="22"/>
          <w:szCs w:val="22"/>
        </w:rPr>
        <w:t>The disclosures provide</w:t>
      </w:r>
      <w:r w:rsidR="00AF5C9D">
        <w:rPr>
          <w:sz w:val="22"/>
          <w:szCs w:val="22"/>
        </w:rPr>
        <w:t xml:space="preserve"> </w:t>
      </w:r>
      <w:r w:rsidR="00373BBE">
        <w:rPr>
          <w:sz w:val="22"/>
          <w:szCs w:val="22"/>
        </w:rPr>
        <w:t>example</w:t>
      </w:r>
      <w:r w:rsidR="00AF5C9D">
        <w:rPr>
          <w:sz w:val="22"/>
          <w:szCs w:val="22"/>
        </w:rPr>
        <w:t xml:space="preserve">s of the type of disclosures an agency could make where there is a material impact </w:t>
      </w:r>
      <w:r w:rsidR="00023942">
        <w:rPr>
          <w:sz w:val="22"/>
          <w:szCs w:val="22"/>
        </w:rPr>
        <w:t>from</w:t>
      </w:r>
      <w:r w:rsidR="00AF5C9D">
        <w:rPr>
          <w:sz w:val="22"/>
          <w:szCs w:val="22"/>
        </w:rPr>
        <w:t xml:space="preserve"> COVID-19</w:t>
      </w:r>
      <w:r w:rsidR="00023942">
        <w:rPr>
          <w:sz w:val="22"/>
          <w:szCs w:val="22"/>
        </w:rPr>
        <w:t>.</w:t>
      </w:r>
      <w:r w:rsidR="00E436BE">
        <w:rPr>
          <w:sz w:val="22"/>
          <w:szCs w:val="22"/>
        </w:rPr>
        <w:t xml:space="preserve">  </w:t>
      </w:r>
    </w:p>
    <w:p w14:paraId="134FD6B4" w14:textId="1331F8DA" w:rsidR="00AF5C9D" w:rsidRPr="00730066" w:rsidRDefault="00E436BE" w:rsidP="00344231">
      <w:pPr>
        <w:spacing w:after="120"/>
        <w:jc w:val="both"/>
        <w:rPr>
          <w:color w:val="C54B0A" w:themeColor="accent5" w:themeShade="BF"/>
        </w:rPr>
      </w:pPr>
      <w:r w:rsidRPr="002F084E">
        <w:rPr>
          <w:sz w:val="22"/>
          <w:szCs w:val="22"/>
          <w:u w:val="single"/>
        </w:rPr>
        <w:t>Where an agency has no material COVID-19 related items then it does not need to make any COVID</w:t>
      </w:r>
      <w:r w:rsidRPr="002F084E">
        <w:rPr>
          <w:sz w:val="22"/>
          <w:szCs w:val="22"/>
          <w:u w:val="single"/>
        </w:rPr>
        <w:noBreakHyphen/>
        <w:t>19 disclosures in their financial statements</w:t>
      </w:r>
      <w:r>
        <w:rPr>
          <w:sz w:val="22"/>
          <w:szCs w:val="22"/>
        </w:rPr>
        <w:t xml:space="preserve">. However, it is </w:t>
      </w:r>
      <w:r w:rsidRPr="00E436BE">
        <w:rPr>
          <w:sz w:val="22"/>
          <w:szCs w:val="22"/>
        </w:rPr>
        <w:t>recommend</w:t>
      </w:r>
      <w:r>
        <w:rPr>
          <w:sz w:val="22"/>
          <w:szCs w:val="22"/>
        </w:rPr>
        <w:t>ed</w:t>
      </w:r>
      <w:r w:rsidRPr="00E436BE">
        <w:rPr>
          <w:sz w:val="22"/>
          <w:szCs w:val="22"/>
        </w:rPr>
        <w:t xml:space="preserve"> that this be documented in a </w:t>
      </w:r>
      <w:r>
        <w:rPr>
          <w:sz w:val="22"/>
          <w:szCs w:val="22"/>
        </w:rPr>
        <w:t xml:space="preserve">financial statement </w:t>
      </w:r>
      <w:r w:rsidRPr="00E436BE">
        <w:rPr>
          <w:sz w:val="22"/>
          <w:szCs w:val="22"/>
        </w:rPr>
        <w:t>workpaper including an assessment of the key areas considered</w:t>
      </w:r>
      <w:r w:rsidR="00AF5C9D" w:rsidRPr="00730066">
        <w:rPr>
          <w:color w:val="C54B0A" w:themeColor="accent5" w:themeShade="BF"/>
        </w:rPr>
        <w:t>.</w:t>
      </w:r>
    </w:p>
    <w:p w14:paraId="74E0B8DD" w14:textId="334E68A7" w:rsidR="00730066" w:rsidRDefault="00730066" w:rsidP="00344231">
      <w:pPr>
        <w:spacing w:after="120"/>
        <w:jc w:val="both"/>
        <w:rPr>
          <w:sz w:val="22"/>
          <w:szCs w:val="22"/>
        </w:rPr>
      </w:pPr>
      <w:r>
        <w:rPr>
          <w:sz w:val="22"/>
          <w:szCs w:val="22"/>
        </w:rPr>
        <w:t xml:space="preserve">The </w:t>
      </w:r>
      <w:r w:rsidR="005D1F71" w:rsidRPr="005D1F71">
        <w:rPr>
          <w:sz w:val="22"/>
          <w:szCs w:val="22"/>
        </w:rPr>
        <w:t>table</w:t>
      </w:r>
      <w:r w:rsidR="00023942">
        <w:rPr>
          <w:sz w:val="22"/>
          <w:szCs w:val="22"/>
        </w:rPr>
        <w:t>s</w:t>
      </w:r>
      <w:r w:rsidR="005D1F71" w:rsidRPr="005D1F71">
        <w:rPr>
          <w:sz w:val="22"/>
          <w:szCs w:val="22"/>
        </w:rPr>
        <w:t xml:space="preserve"> below </w:t>
      </w:r>
      <w:r>
        <w:rPr>
          <w:sz w:val="22"/>
          <w:szCs w:val="22"/>
        </w:rPr>
        <w:t xml:space="preserve">show the sort of Statement and Note disclosures that an agency could use if it is determined that there is a material impact on an </w:t>
      </w:r>
      <w:r w:rsidR="00C25316">
        <w:rPr>
          <w:sz w:val="22"/>
          <w:szCs w:val="22"/>
        </w:rPr>
        <w:t>agency’s</w:t>
      </w:r>
      <w:r>
        <w:rPr>
          <w:sz w:val="22"/>
          <w:szCs w:val="22"/>
        </w:rPr>
        <w:t xml:space="preserve"> financial statements due to the COVID-19 pandemic</w:t>
      </w:r>
      <w:r w:rsidR="005D1F71" w:rsidRPr="005D1F71">
        <w:rPr>
          <w:sz w:val="22"/>
          <w:szCs w:val="22"/>
        </w:rPr>
        <w:t>.</w:t>
      </w:r>
      <w:r w:rsidR="00E436BE">
        <w:rPr>
          <w:sz w:val="22"/>
          <w:szCs w:val="22"/>
        </w:rPr>
        <w:t xml:space="preserve">  </w:t>
      </w:r>
      <w:r w:rsidRPr="00C43531">
        <w:rPr>
          <w:b/>
          <w:bCs/>
          <w:sz w:val="22"/>
          <w:szCs w:val="22"/>
        </w:rPr>
        <w:t>It is important to note that agencies need to assess the</w:t>
      </w:r>
      <w:r>
        <w:rPr>
          <w:b/>
          <w:bCs/>
          <w:sz w:val="22"/>
          <w:szCs w:val="22"/>
        </w:rPr>
        <w:t>ir own</w:t>
      </w:r>
      <w:r w:rsidRPr="00C43531">
        <w:rPr>
          <w:b/>
          <w:bCs/>
          <w:sz w:val="22"/>
          <w:szCs w:val="22"/>
        </w:rPr>
        <w:t xml:space="preserve"> disclosure requirements as these Model </w:t>
      </w:r>
      <w:r>
        <w:rPr>
          <w:b/>
          <w:bCs/>
          <w:sz w:val="22"/>
          <w:szCs w:val="22"/>
        </w:rPr>
        <w:t xml:space="preserve">COVID-19 </w:t>
      </w:r>
      <w:r w:rsidRPr="00C43531">
        <w:rPr>
          <w:b/>
          <w:bCs/>
          <w:sz w:val="22"/>
          <w:szCs w:val="22"/>
        </w:rPr>
        <w:t xml:space="preserve">disclosures are indicative </w:t>
      </w:r>
      <w:r>
        <w:rPr>
          <w:b/>
          <w:bCs/>
          <w:sz w:val="22"/>
          <w:szCs w:val="22"/>
        </w:rPr>
        <w:t xml:space="preserve">only </w:t>
      </w:r>
      <w:r w:rsidRPr="00C43531">
        <w:rPr>
          <w:b/>
          <w:bCs/>
          <w:sz w:val="22"/>
          <w:szCs w:val="22"/>
        </w:rPr>
        <w:t>and agencies need to make their own assessment.</w:t>
      </w:r>
      <w:r w:rsidRPr="005D1F71">
        <w:rPr>
          <w:sz w:val="22"/>
          <w:szCs w:val="22"/>
        </w:rPr>
        <w:t xml:space="preserve">  </w:t>
      </w:r>
      <w:r>
        <w:rPr>
          <w:sz w:val="22"/>
          <w:szCs w:val="22"/>
        </w:rPr>
        <w:t xml:space="preserve">Model COVID-19 </w:t>
      </w:r>
      <w:r w:rsidRPr="005D1F71">
        <w:rPr>
          <w:sz w:val="22"/>
          <w:szCs w:val="22"/>
        </w:rPr>
        <w:t xml:space="preserve">disclosures should only be included in an agency’s financial statements if they are </w:t>
      </w:r>
      <w:r w:rsidRPr="00E436BE">
        <w:rPr>
          <w:sz w:val="22"/>
          <w:szCs w:val="22"/>
          <w:u w:val="single"/>
        </w:rPr>
        <w:t>applicable and material</w:t>
      </w:r>
      <w:r w:rsidRPr="005D1F71">
        <w:rPr>
          <w:sz w:val="22"/>
          <w:szCs w:val="22"/>
        </w:rPr>
        <w:t xml:space="preserve">. </w:t>
      </w:r>
      <w:r w:rsidR="005F65FD">
        <w:rPr>
          <w:sz w:val="22"/>
          <w:szCs w:val="22"/>
        </w:rPr>
        <w:t xml:space="preserve"> </w:t>
      </w:r>
      <w:r w:rsidRPr="005D1F71">
        <w:rPr>
          <w:sz w:val="22"/>
          <w:szCs w:val="22"/>
        </w:rPr>
        <w:t xml:space="preserve">For example, </w:t>
      </w:r>
      <w:r>
        <w:rPr>
          <w:sz w:val="22"/>
          <w:szCs w:val="22"/>
        </w:rPr>
        <w:t>Employee Expenses have</w:t>
      </w:r>
      <w:r w:rsidRPr="005D1F71">
        <w:rPr>
          <w:sz w:val="22"/>
          <w:szCs w:val="22"/>
        </w:rPr>
        <w:t xml:space="preserve"> been included in this Model disclosure, however where an agency does not have </w:t>
      </w:r>
      <w:r>
        <w:rPr>
          <w:sz w:val="22"/>
          <w:szCs w:val="22"/>
        </w:rPr>
        <w:t>any specific COVID-19 employee expenses th</w:t>
      </w:r>
      <w:r w:rsidRPr="005D1F71">
        <w:rPr>
          <w:sz w:val="22"/>
          <w:szCs w:val="22"/>
        </w:rPr>
        <w:t xml:space="preserve">is type of </w:t>
      </w:r>
      <w:r w:rsidR="00B41841">
        <w:rPr>
          <w:sz w:val="22"/>
          <w:szCs w:val="22"/>
        </w:rPr>
        <w:t>COVID-19 disclosure</w:t>
      </w:r>
      <w:r w:rsidRPr="005D1F71">
        <w:rPr>
          <w:sz w:val="22"/>
          <w:szCs w:val="22"/>
        </w:rPr>
        <w:t xml:space="preserve"> should </w:t>
      </w:r>
      <w:r w:rsidRPr="007B4AAC">
        <w:rPr>
          <w:sz w:val="22"/>
          <w:szCs w:val="22"/>
          <w:u w:val="single"/>
        </w:rPr>
        <w:t>not</w:t>
      </w:r>
      <w:r w:rsidRPr="005D1F71">
        <w:rPr>
          <w:sz w:val="22"/>
          <w:szCs w:val="22"/>
        </w:rPr>
        <w:t xml:space="preserve"> be included in the agency’s financial statement disclosures.  These Model disclosures are fictitious and ha</w:t>
      </w:r>
      <w:r>
        <w:rPr>
          <w:sz w:val="22"/>
          <w:szCs w:val="22"/>
        </w:rPr>
        <w:t>ve</w:t>
      </w:r>
      <w:r w:rsidRPr="005D1F71">
        <w:rPr>
          <w:sz w:val="22"/>
          <w:szCs w:val="22"/>
        </w:rPr>
        <w:t xml:space="preserve"> only been used for the purposes of illustrating the financial reporting requirements for ACT Government agencies.</w:t>
      </w:r>
    </w:p>
    <w:p w14:paraId="11031CF9" w14:textId="77C1C943" w:rsidR="00E436BE" w:rsidRDefault="00E436BE" w:rsidP="00344231">
      <w:pPr>
        <w:spacing w:after="120"/>
        <w:jc w:val="both"/>
        <w:rPr>
          <w:sz w:val="22"/>
          <w:szCs w:val="22"/>
        </w:rPr>
      </w:pPr>
      <w:r w:rsidRPr="005D1F71">
        <w:rPr>
          <w:sz w:val="22"/>
          <w:szCs w:val="22"/>
        </w:rPr>
        <w:t xml:space="preserve">It is anticipated that </w:t>
      </w:r>
      <w:r>
        <w:rPr>
          <w:sz w:val="22"/>
          <w:szCs w:val="22"/>
        </w:rPr>
        <w:t xml:space="preserve">relevant </w:t>
      </w:r>
      <w:r w:rsidRPr="005D1F71">
        <w:rPr>
          <w:sz w:val="22"/>
          <w:szCs w:val="22"/>
        </w:rPr>
        <w:t>disclosures will be incorporated into the ACT 2021-22 Model Financial Statements.</w:t>
      </w:r>
    </w:p>
    <w:p w14:paraId="54D7236F" w14:textId="7D6D601D" w:rsidR="001623F0" w:rsidRPr="00E7305D" w:rsidRDefault="005F65FD" w:rsidP="001623F0">
      <w:pPr>
        <w:spacing w:after="120"/>
        <w:rPr>
          <w:b/>
          <w:bCs/>
          <w:sz w:val="22"/>
          <w:szCs w:val="22"/>
        </w:rPr>
      </w:pPr>
      <w:r>
        <w:rPr>
          <w:b/>
          <w:bCs/>
          <w:sz w:val="22"/>
          <w:szCs w:val="22"/>
        </w:rPr>
        <w:t>Controlled</w:t>
      </w:r>
      <w:r w:rsidR="001623F0" w:rsidRPr="00E7305D">
        <w:rPr>
          <w:b/>
          <w:bCs/>
          <w:sz w:val="22"/>
          <w:szCs w:val="22"/>
        </w:rPr>
        <w:t xml:space="preserve"> Statements</w:t>
      </w:r>
    </w:p>
    <w:tbl>
      <w:tblPr>
        <w:tblStyle w:val="TableGrid"/>
        <w:tblW w:w="0" w:type="auto"/>
        <w:tblLook w:val="04A0" w:firstRow="1" w:lastRow="0" w:firstColumn="1" w:lastColumn="0" w:noHBand="0" w:noVBand="1"/>
      </w:tblPr>
      <w:tblGrid>
        <w:gridCol w:w="8926"/>
      </w:tblGrid>
      <w:tr w:rsidR="001623F0" w:rsidRPr="005D1F71" w14:paraId="747AA141" w14:textId="77777777" w:rsidTr="001623F0">
        <w:tc>
          <w:tcPr>
            <w:tcW w:w="8926" w:type="dxa"/>
            <w:shd w:val="clear" w:color="auto" w:fill="D9D9D9" w:themeFill="background1" w:themeFillShade="D9"/>
          </w:tcPr>
          <w:p w14:paraId="5C773183" w14:textId="77777777" w:rsidR="001623F0" w:rsidRPr="005D1F71" w:rsidRDefault="001623F0" w:rsidP="00844A14">
            <w:pPr>
              <w:rPr>
                <w:b/>
                <w:bCs/>
                <w:sz w:val="22"/>
                <w:szCs w:val="22"/>
                <w:lang w:val="en-AU"/>
              </w:rPr>
            </w:pPr>
            <w:r>
              <w:rPr>
                <w:b/>
                <w:bCs/>
                <w:sz w:val="22"/>
                <w:szCs w:val="22"/>
                <w:lang w:val="en-AU"/>
              </w:rPr>
              <w:t>Statement</w:t>
            </w:r>
          </w:p>
        </w:tc>
      </w:tr>
      <w:tr w:rsidR="001623F0" w:rsidRPr="005D1F71" w14:paraId="1AC6D9B1" w14:textId="77777777" w:rsidTr="001623F0">
        <w:tc>
          <w:tcPr>
            <w:tcW w:w="8926" w:type="dxa"/>
          </w:tcPr>
          <w:p w14:paraId="1F8926F6" w14:textId="77777777" w:rsidR="001623F0" w:rsidRPr="005D1F71" w:rsidRDefault="001623F0" w:rsidP="00844A14">
            <w:pPr>
              <w:spacing w:after="120" w:line="276" w:lineRule="auto"/>
              <w:rPr>
                <w:sz w:val="22"/>
                <w:szCs w:val="22"/>
                <w:lang w:val="en-AU"/>
              </w:rPr>
            </w:pPr>
            <w:r>
              <w:rPr>
                <w:sz w:val="22"/>
                <w:szCs w:val="22"/>
                <w:lang w:val="en-AU"/>
              </w:rPr>
              <w:t>Statement of Appropriation</w:t>
            </w:r>
          </w:p>
        </w:tc>
      </w:tr>
    </w:tbl>
    <w:p w14:paraId="2EE63A94" w14:textId="77777777" w:rsidR="005F65FD" w:rsidRDefault="005F65FD">
      <w:pPr>
        <w:rPr>
          <w:b/>
          <w:bCs/>
        </w:rPr>
      </w:pPr>
    </w:p>
    <w:p w14:paraId="4FA6ADB5" w14:textId="5493385D" w:rsidR="00E7305D" w:rsidRPr="00E7305D" w:rsidRDefault="005F65FD">
      <w:pPr>
        <w:rPr>
          <w:b/>
          <w:bCs/>
        </w:rPr>
      </w:pPr>
      <w:r>
        <w:rPr>
          <w:b/>
          <w:bCs/>
        </w:rPr>
        <w:t>Controlled</w:t>
      </w:r>
      <w:r w:rsidR="00E7305D" w:rsidRPr="00E7305D">
        <w:rPr>
          <w:b/>
          <w:bCs/>
        </w:rPr>
        <w:t xml:space="preserve"> Notes</w:t>
      </w:r>
    </w:p>
    <w:tbl>
      <w:tblPr>
        <w:tblStyle w:val="TableGrid"/>
        <w:tblW w:w="0" w:type="auto"/>
        <w:tblLook w:val="04A0" w:firstRow="1" w:lastRow="0" w:firstColumn="1" w:lastColumn="0" w:noHBand="0" w:noVBand="1"/>
      </w:tblPr>
      <w:tblGrid>
        <w:gridCol w:w="1696"/>
        <w:gridCol w:w="7230"/>
      </w:tblGrid>
      <w:tr w:rsidR="003638AF" w:rsidRPr="005D1F71" w14:paraId="76CBABCE" w14:textId="77777777" w:rsidTr="003638AF">
        <w:tc>
          <w:tcPr>
            <w:tcW w:w="1696" w:type="dxa"/>
            <w:shd w:val="clear" w:color="auto" w:fill="D9D9D9" w:themeFill="background1" w:themeFillShade="D9"/>
          </w:tcPr>
          <w:p w14:paraId="1620EB0A" w14:textId="77777777" w:rsidR="003638AF" w:rsidRPr="005D1F71" w:rsidRDefault="003638AF" w:rsidP="00B0598D">
            <w:pPr>
              <w:rPr>
                <w:b/>
                <w:bCs/>
                <w:sz w:val="22"/>
                <w:szCs w:val="22"/>
                <w:lang w:val="en-AU"/>
              </w:rPr>
            </w:pPr>
            <w:r w:rsidRPr="005D1F71">
              <w:rPr>
                <w:b/>
                <w:bCs/>
                <w:sz w:val="22"/>
                <w:szCs w:val="22"/>
                <w:lang w:val="en-AU"/>
              </w:rPr>
              <w:t>Note No.</w:t>
            </w:r>
          </w:p>
        </w:tc>
        <w:tc>
          <w:tcPr>
            <w:tcW w:w="7230" w:type="dxa"/>
            <w:shd w:val="clear" w:color="auto" w:fill="D9D9D9" w:themeFill="background1" w:themeFillShade="D9"/>
          </w:tcPr>
          <w:p w14:paraId="07E59C87" w14:textId="77777777" w:rsidR="003638AF" w:rsidRPr="005D1F71" w:rsidRDefault="003638AF" w:rsidP="00B0598D">
            <w:pPr>
              <w:rPr>
                <w:b/>
                <w:bCs/>
                <w:sz w:val="22"/>
                <w:szCs w:val="22"/>
                <w:lang w:val="en-AU"/>
              </w:rPr>
            </w:pPr>
            <w:r w:rsidRPr="005D1F71">
              <w:rPr>
                <w:b/>
                <w:bCs/>
                <w:sz w:val="22"/>
                <w:szCs w:val="22"/>
                <w:lang w:val="en-AU"/>
              </w:rPr>
              <w:t>Note Name</w:t>
            </w:r>
          </w:p>
        </w:tc>
      </w:tr>
      <w:tr w:rsidR="00A0224F" w:rsidRPr="005D1F71" w14:paraId="5381FA65" w14:textId="77777777" w:rsidTr="00A0224F">
        <w:tc>
          <w:tcPr>
            <w:tcW w:w="1696" w:type="dxa"/>
            <w:shd w:val="clear" w:color="auto" w:fill="auto"/>
          </w:tcPr>
          <w:p w14:paraId="5229A78B" w14:textId="78F31A3B" w:rsidR="00A0224F" w:rsidRPr="00635023" w:rsidRDefault="00A0224F" w:rsidP="00B0598D">
            <w:pPr>
              <w:rPr>
                <w:sz w:val="22"/>
                <w:szCs w:val="22"/>
              </w:rPr>
            </w:pPr>
            <w:r w:rsidRPr="00635023">
              <w:rPr>
                <w:sz w:val="22"/>
                <w:szCs w:val="22"/>
              </w:rPr>
              <w:t>Note 5</w:t>
            </w:r>
          </w:p>
        </w:tc>
        <w:tc>
          <w:tcPr>
            <w:tcW w:w="7230" w:type="dxa"/>
            <w:shd w:val="clear" w:color="auto" w:fill="auto"/>
          </w:tcPr>
          <w:p w14:paraId="230D6254" w14:textId="67FF279E" w:rsidR="00A0224F" w:rsidRPr="005D1F71" w:rsidRDefault="00635023" w:rsidP="00635023">
            <w:pPr>
              <w:spacing w:after="120" w:line="276" w:lineRule="auto"/>
              <w:rPr>
                <w:b/>
                <w:bCs/>
                <w:sz w:val="22"/>
                <w:szCs w:val="22"/>
              </w:rPr>
            </w:pPr>
            <w:r w:rsidRPr="00635023">
              <w:rPr>
                <w:sz w:val="22"/>
                <w:szCs w:val="22"/>
              </w:rPr>
              <w:t>Sales of Goods and Services from Contracts with Customers</w:t>
            </w:r>
          </w:p>
        </w:tc>
      </w:tr>
      <w:tr w:rsidR="0057659D" w:rsidRPr="005D1F71" w14:paraId="791C65FB" w14:textId="77777777" w:rsidTr="00844A14">
        <w:tc>
          <w:tcPr>
            <w:tcW w:w="1696" w:type="dxa"/>
          </w:tcPr>
          <w:p w14:paraId="46E4ED1C" w14:textId="3E8FEC59" w:rsidR="0057659D" w:rsidRPr="007804BF" w:rsidRDefault="00023942" w:rsidP="00844A14">
            <w:pPr>
              <w:spacing w:after="120" w:line="276" w:lineRule="auto"/>
              <w:rPr>
                <w:sz w:val="22"/>
                <w:szCs w:val="22"/>
              </w:rPr>
            </w:pPr>
            <w:r w:rsidRPr="007804BF">
              <w:rPr>
                <w:sz w:val="22"/>
                <w:szCs w:val="22"/>
              </w:rPr>
              <w:t>Note 11</w:t>
            </w:r>
          </w:p>
        </w:tc>
        <w:tc>
          <w:tcPr>
            <w:tcW w:w="7230" w:type="dxa"/>
          </w:tcPr>
          <w:p w14:paraId="57692E27" w14:textId="1D07A982" w:rsidR="0057659D" w:rsidRPr="007804BF" w:rsidRDefault="00023942" w:rsidP="00844A14">
            <w:pPr>
              <w:spacing w:after="120" w:line="276" w:lineRule="auto"/>
              <w:rPr>
                <w:sz w:val="22"/>
                <w:szCs w:val="22"/>
              </w:rPr>
            </w:pPr>
            <w:r w:rsidRPr="007804BF">
              <w:rPr>
                <w:sz w:val="22"/>
                <w:szCs w:val="22"/>
              </w:rPr>
              <w:t>Employee Expenses</w:t>
            </w:r>
          </w:p>
        </w:tc>
      </w:tr>
      <w:tr w:rsidR="00023942" w:rsidRPr="005D1F71" w14:paraId="21F01010" w14:textId="77777777" w:rsidTr="003638AF">
        <w:tc>
          <w:tcPr>
            <w:tcW w:w="1696" w:type="dxa"/>
          </w:tcPr>
          <w:p w14:paraId="02994549" w14:textId="030B5A80" w:rsidR="00023942" w:rsidRPr="007804BF" w:rsidRDefault="00023942" w:rsidP="00023942">
            <w:pPr>
              <w:spacing w:after="120" w:line="276" w:lineRule="auto"/>
              <w:rPr>
                <w:sz w:val="22"/>
                <w:szCs w:val="22"/>
              </w:rPr>
            </w:pPr>
            <w:r w:rsidRPr="007804BF">
              <w:rPr>
                <w:rFonts w:cs="Calibri"/>
                <w:snapToGrid w:val="0"/>
                <w:sz w:val="22"/>
                <w:szCs w:val="22"/>
              </w:rPr>
              <w:t>Note 18</w:t>
            </w:r>
          </w:p>
        </w:tc>
        <w:tc>
          <w:tcPr>
            <w:tcW w:w="7230" w:type="dxa"/>
          </w:tcPr>
          <w:p w14:paraId="4D03B2D2" w14:textId="659B8151" w:rsidR="00023942" w:rsidRPr="007804BF" w:rsidRDefault="00023942" w:rsidP="00023942">
            <w:pPr>
              <w:spacing w:after="120" w:line="276" w:lineRule="auto"/>
              <w:rPr>
                <w:sz w:val="22"/>
                <w:szCs w:val="22"/>
              </w:rPr>
            </w:pPr>
            <w:r w:rsidRPr="007804BF">
              <w:rPr>
                <w:rFonts w:cs="Calibri"/>
                <w:snapToGrid w:val="0"/>
                <w:sz w:val="22"/>
                <w:szCs w:val="22"/>
              </w:rPr>
              <w:t>Waivers, Impairment Losses and Write-Offs</w:t>
            </w:r>
          </w:p>
        </w:tc>
      </w:tr>
      <w:tr w:rsidR="00023942" w:rsidRPr="005D1F71" w14:paraId="0912957D" w14:textId="77777777" w:rsidTr="003638AF">
        <w:tc>
          <w:tcPr>
            <w:tcW w:w="1696" w:type="dxa"/>
          </w:tcPr>
          <w:p w14:paraId="58366637" w14:textId="045B601A" w:rsidR="00023942" w:rsidRPr="007804BF" w:rsidRDefault="00023942" w:rsidP="00023942">
            <w:pPr>
              <w:spacing w:after="120" w:line="276" w:lineRule="auto"/>
              <w:rPr>
                <w:rFonts w:cs="Calibri"/>
                <w:snapToGrid w:val="0"/>
                <w:sz w:val="22"/>
                <w:szCs w:val="22"/>
              </w:rPr>
            </w:pPr>
            <w:r w:rsidRPr="007804BF">
              <w:rPr>
                <w:rFonts w:cs="Calibri"/>
                <w:snapToGrid w:val="0"/>
                <w:sz w:val="22"/>
                <w:szCs w:val="22"/>
              </w:rPr>
              <w:t>Note 46</w:t>
            </w:r>
          </w:p>
        </w:tc>
        <w:tc>
          <w:tcPr>
            <w:tcW w:w="7230" w:type="dxa"/>
          </w:tcPr>
          <w:p w14:paraId="39FC3B40" w14:textId="6351FDE5" w:rsidR="00023942" w:rsidRPr="007804BF" w:rsidRDefault="00023942" w:rsidP="00023942">
            <w:pPr>
              <w:spacing w:after="120" w:line="276" w:lineRule="auto"/>
              <w:rPr>
                <w:sz w:val="22"/>
                <w:szCs w:val="22"/>
              </w:rPr>
            </w:pPr>
            <w:r w:rsidRPr="007804BF">
              <w:rPr>
                <w:rFonts w:cs="Calibri"/>
                <w:sz w:val="22"/>
                <w:szCs w:val="22"/>
              </w:rPr>
              <w:t>Events after the Reporting Period</w:t>
            </w:r>
          </w:p>
        </w:tc>
      </w:tr>
      <w:tr w:rsidR="00023942" w:rsidRPr="005D1F71" w14:paraId="2D261096" w14:textId="77777777" w:rsidTr="003638AF">
        <w:tc>
          <w:tcPr>
            <w:tcW w:w="1696" w:type="dxa"/>
          </w:tcPr>
          <w:p w14:paraId="0860DA06" w14:textId="4A99EBC6" w:rsidR="00023942" w:rsidRPr="007804BF" w:rsidRDefault="00023942" w:rsidP="00023942">
            <w:pPr>
              <w:spacing w:after="120" w:line="276" w:lineRule="auto"/>
              <w:rPr>
                <w:rFonts w:cs="Calibri"/>
                <w:snapToGrid w:val="0"/>
                <w:sz w:val="22"/>
                <w:szCs w:val="22"/>
              </w:rPr>
            </w:pPr>
            <w:r w:rsidRPr="007804BF">
              <w:rPr>
                <w:rFonts w:cs="Calibri"/>
                <w:snapToGrid w:val="0"/>
                <w:sz w:val="22"/>
                <w:szCs w:val="22"/>
              </w:rPr>
              <w:t>Appendix A</w:t>
            </w:r>
          </w:p>
        </w:tc>
        <w:tc>
          <w:tcPr>
            <w:tcW w:w="7230" w:type="dxa"/>
          </w:tcPr>
          <w:p w14:paraId="0698C0B8" w14:textId="5507CBE0" w:rsidR="00023942" w:rsidRPr="007804BF" w:rsidRDefault="00023942" w:rsidP="00023942">
            <w:pPr>
              <w:spacing w:after="120" w:line="276" w:lineRule="auto"/>
              <w:rPr>
                <w:rFonts w:cs="Calibri"/>
                <w:sz w:val="22"/>
                <w:szCs w:val="22"/>
              </w:rPr>
            </w:pPr>
            <w:r w:rsidRPr="007804BF">
              <w:rPr>
                <w:rFonts w:cs="Calibri"/>
                <w:sz w:val="22"/>
                <w:szCs w:val="22"/>
              </w:rPr>
              <w:t>Basis of Preparation of the Financial Statements</w:t>
            </w:r>
          </w:p>
        </w:tc>
      </w:tr>
      <w:tr w:rsidR="007804BF" w:rsidRPr="005D1F71" w14:paraId="25BB175F" w14:textId="77777777" w:rsidTr="003638AF">
        <w:tc>
          <w:tcPr>
            <w:tcW w:w="1696" w:type="dxa"/>
          </w:tcPr>
          <w:p w14:paraId="700C234E" w14:textId="64AE5291" w:rsidR="007804BF" w:rsidRPr="007804BF" w:rsidRDefault="007804BF" w:rsidP="00023942">
            <w:pPr>
              <w:spacing w:after="120" w:line="276" w:lineRule="auto"/>
              <w:rPr>
                <w:rFonts w:cs="Calibri"/>
                <w:snapToGrid w:val="0"/>
                <w:sz w:val="22"/>
                <w:szCs w:val="22"/>
              </w:rPr>
            </w:pPr>
            <w:r w:rsidRPr="007804BF">
              <w:rPr>
                <w:rFonts w:cs="Calibri"/>
                <w:snapToGrid w:val="0"/>
                <w:sz w:val="22"/>
                <w:szCs w:val="22"/>
              </w:rPr>
              <w:t>Appendix B</w:t>
            </w:r>
          </w:p>
        </w:tc>
        <w:tc>
          <w:tcPr>
            <w:tcW w:w="7230" w:type="dxa"/>
          </w:tcPr>
          <w:p w14:paraId="1CB34DC4" w14:textId="210D3636" w:rsidR="007804BF" w:rsidRPr="007804BF" w:rsidRDefault="007804BF" w:rsidP="00023942">
            <w:pPr>
              <w:spacing w:after="120" w:line="276" w:lineRule="auto"/>
              <w:rPr>
                <w:rFonts w:cs="Calibri"/>
                <w:sz w:val="22"/>
                <w:szCs w:val="22"/>
              </w:rPr>
            </w:pPr>
            <w:r w:rsidRPr="007804BF">
              <w:rPr>
                <w:rFonts w:cs="Calibri"/>
                <w:sz w:val="22"/>
                <w:szCs w:val="22"/>
              </w:rPr>
              <w:t>Significant Accounting Policies</w:t>
            </w:r>
          </w:p>
        </w:tc>
      </w:tr>
    </w:tbl>
    <w:p w14:paraId="307B6478" w14:textId="77777777" w:rsidR="009F0619" w:rsidRDefault="009F0619" w:rsidP="0062060D">
      <w:pPr>
        <w:spacing w:before="120" w:after="120"/>
        <w:rPr>
          <w:sz w:val="22"/>
          <w:szCs w:val="22"/>
        </w:rPr>
        <w:sectPr w:rsidR="009F0619" w:rsidSect="000715C4">
          <w:headerReference w:type="default" r:id="rId15"/>
          <w:pgSz w:w="11906" w:h="16838" w:code="9"/>
          <w:pgMar w:top="1276" w:right="1418" w:bottom="993" w:left="1418" w:header="567" w:footer="184" w:gutter="0"/>
          <w:cols w:space="708"/>
          <w:docGrid w:linePitch="360"/>
        </w:sectPr>
      </w:pPr>
    </w:p>
    <w:p w14:paraId="07F37883" w14:textId="77777777" w:rsidR="00C9295B" w:rsidRPr="00F97F67" w:rsidRDefault="00C9295B" w:rsidP="00F97F67">
      <w:pPr>
        <w:pStyle w:val="Normal1"/>
        <w:jc w:val="center"/>
        <w:rPr>
          <w:rFonts w:asciiTheme="majorHAnsi" w:hAnsiTheme="majorHAnsi" w:cstheme="majorHAnsi"/>
          <w:b/>
          <w:bCs/>
          <w:sz w:val="40"/>
          <w:szCs w:val="40"/>
        </w:rPr>
      </w:pPr>
      <w:r w:rsidRPr="00F97F67">
        <w:rPr>
          <w:rFonts w:asciiTheme="majorHAnsi" w:hAnsiTheme="majorHAnsi" w:cstheme="majorHAnsi"/>
          <w:b/>
          <w:bCs/>
          <w:sz w:val="40"/>
          <w:szCs w:val="40"/>
        </w:rPr>
        <w:lastRenderedPageBreak/>
        <w:t>‘Example Agency’</w:t>
      </w:r>
    </w:p>
    <w:p w14:paraId="2262DDB5" w14:textId="77777777" w:rsidR="00C9295B" w:rsidRPr="00F97F67" w:rsidRDefault="00C9295B" w:rsidP="00F97F67">
      <w:pPr>
        <w:pStyle w:val="Normal1"/>
        <w:jc w:val="center"/>
        <w:rPr>
          <w:rFonts w:asciiTheme="majorHAnsi" w:hAnsiTheme="majorHAnsi" w:cstheme="majorHAnsi"/>
          <w:b/>
          <w:bCs/>
          <w:sz w:val="40"/>
          <w:szCs w:val="40"/>
        </w:rPr>
      </w:pPr>
      <w:bookmarkStart w:id="23" w:name="_Toc48468264"/>
      <w:bookmarkStart w:id="24" w:name="_Toc49155443"/>
      <w:bookmarkStart w:id="25" w:name="_Toc49223907"/>
      <w:bookmarkStart w:id="26" w:name="_Toc50440323"/>
      <w:bookmarkStart w:id="27" w:name="_Toc400627316"/>
      <w:bookmarkStart w:id="28" w:name="_Toc43898962"/>
      <w:r w:rsidRPr="00F97F67">
        <w:rPr>
          <w:rFonts w:asciiTheme="majorHAnsi" w:hAnsiTheme="majorHAnsi" w:cstheme="majorHAnsi"/>
          <w:b/>
          <w:bCs/>
          <w:sz w:val="40"/>
          <w:szCs w:val="40"/>
        </w:rPr>
        <w:t>Controlled Statement of Appropriation</w:t>
      </w:r>
      <w:bookmarkEnd w:id="23"/>
      <w:bookmarkEnd w:id="24"/>
      <w:bookmarkEnd w:id="25"/>
      <w:bookmarkEnd w:id="26"/>
      <w:bookmarkEnd w:id="27"/>
      <w:bookmarkEnd w:id="28"/>
    </w:p>
    <w:p w14:paraId="45E0315C" w14:textId="0FA2F3B8" w:rsidR="00C9295B" w:rsidRPr="00F97F67" w:rsidRDefault="00C9295B" w:rsidP="00344231">
      <w:pPr>
        <w:pStyle w:val="Normal1"/>
        <w:spacing w:after="120"/>
        <w:jc w:val="center"/>
        <w:rPr>
          <w:rFonts w:asciiTheme="majorHAnsi" w:hAnsiTheme="majorHAnsi" w:cstheme="majorHAnsi"/>
          <w:b/>
          <w:bCs/>
          <w:sz w:val="40"/>
          <w:szCs w:val="40"/>
        </w:rPr>
      </w:pPr>
      <w:bookmarkStart w:id="29" w:name="_Toc48468265"/>
      <w:bookmarkStart w:id="30" w:name="_Toc49155444"/>
      <w:r w:rsidRPr="00F97F67">
        <w:rPr>
          <w:rFonts w:asciiTheme="majorHAnsi" w:hAnsiTheme="majorHAnsi" w:cstheme="majorHAnsi"/>
          <w:b/>
          <w:bCs/>
          <w:sz w:val="40"/>
          <w:szCs w:val="40"/>
        </w:rPr>
        <w:t xml:space="preserve">For the Year Ended 30 June </w:t>
      </w:r>
      <w:bookmarkEnd w:id="29"/>
      <w:bookmarkEnd w:id="30"/>
      <w:r w:rsidRPr="00F97F67">
        <w:rPr>
          <w:rFonts w:asciiTheme="majorHAnsi" w:hAnsiTheme="majorHAnsi" w:cstheme="majorHAnsi"/>
          <w:b/>
          <w:bCs/>
          <w:sz w:val="40"/>
          <w:szCs w:val="40"/>
        </w:rPr>
        <w:t>202</w:t>
      </w:r>
      <w:r w:rsidR="00DF62B2" w:rsidRPr="00F97F67">
        <w:rPr>
          <w:rFonts w:asciiTheme="majorHAnsi" w:hAnsiTheme="majorHAnsi" w:cstheme="majorHAnsi"/>
          <w:b/>
          <w:bCs/>
          <w:sz w:val="40"/>
          <w:szCs w:val="40"/>
        </w:rPr>
        <w:t>1</w:t>
      </w:r>
    </w:p>
    <w:tbl>
      <w:tblPr>
        <w:tblW w:w="5086" w:type="pct"/>
        <w:tblInd w:w="-570" w:type="dxa"/>
        <w:tblLayout w:type="fixed"/>
        <w:tblLook w:val="00A0" w:firstRow="1" w:lastRow="0" w:firstColumn="1" w:lastColumn="0" w:noHBand="0" w:noVBand="0"/>
      </w:tblPr>
      <w:tblGrid>
        <w:gridCol w:w="1563"/>
        <w:gridCol w:w="2088"/>
        <w:gridCol w:w="322"/>
        <w:gridCol w:w="1277"/>
        <w:gridCol w:w="1349"/>
        <w:gridCol w:w="1346"/>
        <w:gridCol w:w="1278"/>
      </w:tblGrid>
      <w:tr w:rsidR="00C9295B" w:rsidRPr="00D37A89" w14:paraId="461A5290" w14:textId="77777777" w:rsidTr="000A07A1">
        <w:trPr>
          <w:cantSplit/>
        </w:trPr>
        <w:tc>
          <w:tcPr>
            <w:tcW w:w="1563" w:type="dxa"/>
            <w:tcBorders>
              <w:left w:val="single" w:sz="2" w:space="0" w:color="003366"/>
              <w:right w:val="single" w:sz="2" w:space="0" w:color="003366"/>
            </w:tcBorders>
            <w:tcMar>
              <w:left w:w="108" w:type="dxa"/>
              <w:right w:w="108" w:type="dxa"/>
            </w:tcMar>
          </w:tcPr>
          <w:p w14:paraId="44D270A3" w14:textId="77777777" w:rsidR="00C9295B" w:rsidRPr="00D37A89" w:rsidRDefault="00C9295B" w:rsidP="00844A14">
            <w:pPr>
              <w:tabs>
                <w:tab w:val="left" w:pos="3306"/>
              </w:tabs>
              <w:spacing w:before="240"/>
              <w:rPr>
                <w:rFonts w:cs="Calibri"/>
                <w:b/>
                <w:color w:val="000000"/>
                <w:sz w:val="20"/>
                <w:szCs w:val="20"/>
              </w:rPr>
            </w:pPr>
            <w:bookmarkStart w:id="31" w:name="_Toc48468266"/>
            <w:bookmarkStart w:id="32" w:name="_Toc49155445"/>
            <w:bookmarkStart w:id="33" w:name="_Toc49223908"/>
            <w:r w:rsidRPr="00D37A89">
              <w:rPr>
                <w:rFonts w:cs="Calibri"/>
                <w:b/>
                <w:color w:val="000000"/>
                <w:sz w:val="20"/>
                <w:szCs w:val="20"/>
              </w:rPr>
              <w:t>Reference</w:t>
            </w:r>
            <w:bookmarkEnd w:id="31"/>
            <w:bookmarkEnd w:id="32"/>
            <w:bookmarkEnd w:id="33"/>
          </w:p>
        </w:tc>
        <w:tc>
          <w:tcPr>
            <w:tcW w:w="2088" w:type="dxa"/>
            <w:tcBorders>
              <w:left w:val="single" w:sz="2" w:space="0" w:color="003366"/>
              <w:right w:val="nil"/>
            </w:tcBorders>
            <w:tcMar>
              <w:left w:w="108" w:type="dxa"/>
              <w:right w:w="108" w:type="dxa"/>
            </w:tcMar>
            <w:vAlign w:val="bottom"/>
          </w:tcPr>
          <w:p w14:paraId="5837EB5D" w14:textId="77777777" w:rsidR="00C9295B" w:rsidRPr="00D37A89" w:rsidRDefault="00C9295B" w:rsidP="00844A14">
            <w:pPr>
              <w:tabs>
                <w:tab w:val="left" w:pos="3306"/>
              </w:tabs>
              <w:spacing w:before="40"/>
              <w:rPr>
                <w:rFonts w:cs="Calibri"/>
                <w:b/>
                <w:bCs/>
                <w:sz w:val="18"/>
                <w:szCs w:val="18"/>
              </w:rPr>
            </w:pPr>
          </w:p>
        </w:tc>
        <w:tc>
          <w:tcPr>
            <w:tcW w:w="322" w:type="dxa"/>
            <w:tcBorders>
              <w:left w:val="nil"/>
              <w:right w:val="nil"/>
            </w:tcBorders>
            <w:tcMar>
              <w:left w:w="108" w:type="dxa"/>
              <w:right w:w="108" w:type="dxa"/>
            </w:tcMar>
            <w:vAlign w:val="bottom"/>
          </w:tcPr>
          <w:p w14:paraId="744D39EE" w14:textId="77777777" w:rsidR="00C9295B" w:rsidRPr="00D37A89" w:rsidRDefault="00C9295B" w:rsidP="00844A14">
            <w:pPr>
              <w:tabs>
                <w:tab w:val="left" w:pos="3306"/>
              </w:tabs>
              <w:spacing w:before="40"/>
              <w:jc w:val="center"/>
              <w:rPr>
                <w:rFonts w:cs="Calibri"/>
                <w:sz w:val="18"/>
                <w:szCs w:val="18"/>
              </w:rPr>
            </w:pPr>
          </w:p>
        </w:tc>
        <w:tc>
          <w:tcPr>
            <w:tcW w:w="1277" w:type="dxa"/>
            <w:tcBorders>
              <w:left w:val="nil"/>
              <w:right w:val="nil"/>
            </w:tcBorders>
            <w:tcMar>
              <w:left w:w="108" w:type="dxa"/>
              <w:right w:w="108" w:type="dxa"/>
            </w:tcMar>
            <w:vAlign w:val="bottom"/>
          </w:tcPr>
          <w:p w14:paraId="51B455EC" w14:textId="77777777" w:rsidR="00C9295B" w:rsidRPr="00D37A89" w:rsidRDefault="00C9295B" w:rsidP="00C9295B">
            <w:pPr>
              <w:tabs>
                <w:tab w:val="left" w:pos="3306"/>
              </w:tabs>
              <w:spacing w:after="0"/>
              <w:jc w:val="right"/>
              <w:rPr>
                <w:rFonts w:cs="Calibri"/>
                <w:b/>
                <w:bCs/>
                <w:sz w:val="18"/>
                <w:szCs w:val="18"/>
              </w:rPr>
            </w:pPr>
            <w:r w:rsidRPr="00D37A89">
              <w:rPr>
                <w:rFonts w:cs="Calibri"/>
                <w:b/>
                <w:bCs/>
                <w:sz w:val="18"/>
                <w:szCs w:val="18"/>
              </w:rPr>
              <w:t>Original</w:t>
            </w:r>
          </w:p>
          <w:p w14:paraId="0E511F52" w14:textId="77777777" w:rsidR="00C9295B" w:rsidRPr="00D37A89" w:rsidRDefault="00C9295B" w:rsidP="00C9295B">
            <w:pPr>
              <w:tabs>
                <w:tab w:val="left" w:pos="3306"/>
              </w:tabs>
              <w:spacing w:after="0"/>
              <w:jc w:val="right"/>
              <w:rPr>
                <w:rFonts w:cs="Calibri"/>
                <w:b/>
                <w:bCs/>
                <w:sz w:val="18"/>
                <w:szCs w:val="18"/>
              </w:rPr>
            </w:pPr>
            <w:r w:rsidRPr="00D37A89">
              <w:rPr>
                <w:rFonts w:cs="Calibri"/>
                <w:b/>
                <w:bCs/>
                <w:sz w:val="18"/>
                <w:szCs w:val="18"/>
              </w:rPr>
              <w:t>Budget</w:t>
            </w:r>
          </w:p>
          <w:p w14:paraId="592B456F" w14:textId="2546B374" w:rsidR="00C9295B" w:rsidRPr="00D37A89" w:rsidRDefault="00C9295B" w:rsidP="00C9295B">
            <w:pPr>
              <w:spacing w:after="0"/>
              <w:jc w:val="right"/>
              <w:rPr>
                <w:rFonts w:cs="Calibri"/>
                <w:b/>
                <w:bCs/>
                <w:sz w:val="18"/>
                <w:szCs w:val="18"/>
              </w:rPr>
            </w:pPr>
            <w:r w:rsidRPr="00D37A89">
              <w:rPr>
                <w:rFonts w:cs="Calibri"/>
                <w:b/>
                <w:bCs/>
                <w:sz w:val="18"/>
                <w:szCs w:val="18"/>
              </w:rPr>
              <w:t>202</w:t>
            </w:r>
            <w:r w:rsidR="00DF62B2">
              <w:rPr>
                <w:rFonts w:cs="Calibri"/>
                <w:b/>
                <w:bCs/>
                <w:sz w:val="18"/>
                <w:szCs w:val="18"/>
              </w:rPr>
              <w:t>1</w:t>
            </w:r>
          </w:p>
          <w:p w14:paraId="6C139973" w14:textId="77777777" w:rsidR="00C9295B" w:rsidRPr="00D37A89" w:rsidRDefault="00C9295B" w:rsidP="00C9295B">
            <w:pPr>
              <w:tabs>
                <w:tab w:val="left" w:pos="3306"/>
              </w:tabs>
              <w:spacing w:after="0"/>
              <w:jc w:val="right"/>
              <w:rPr>
                <w:rFonts w:cs="Calibri"/>
                <w:b/>
                <w:bCs/>
                <w:sz w:val="18"/>
                <w:szCs w:val="18"/>
              </w:rPr>
            </w:pPr>
            <w:r w:rsidRPr="00D37A89">
              <w:rPr>
                <w:rFonts w:cs="Calibri"/>
                <w:b/>
                <w:bCs/>
                <w:sz w:val="18"/>
                <w:szCs w:val="18"/>
              </w:rPr>
              <w:t>$’000</w:t>
            </w:r>
          </w:p>
        </w:tc>
        <w:tc>
          <w:tcPr>
            <w:tcW w:w="1349" w:type="dxa"/>
            <w:tcBorders>
              <w:left w:val="nil"/>
              <w:right w:val="nil"/>
            </w:tcBorders>
            <w:tcMar>
              <w:left w:w="108" w:type="dxa"/>
              <w:right w:w="108" w:type="dxa"/>
            </w:tcMar>
            <w:vAlign w:val="bottom"/>
          </w:tcPr>
          <w:p w14:paraId="46F2C0B8" w14:textId="77777777" w:rsidR="00C9295B" w:rsidRPr="00D37A89" w:rsidRDefault="00C9295B" w:rsidP="00C9295B">
            <w:pPr>
              <w:tabs>
                <w:tab w:val="left" w:pos="3306"/>
              </w:tabs>
              <w:spacing w:after="0"/>
              <w:jc w:val="right"/>
              <w:rPr>
                <w:rFonts w:cs="Calibri"/>
                <w:b/>
                <w:bCs/>
                <w:sz w:val="18"/>
                <w:szCs w:val="18"/>
              </w:rPr>
            </w:pPr>
            <w:r w:rsidRPr="00D37A89">
              <w:rPr>
                <w:rFonts w:cs="Calibri"/>
                <w:b/>
                <w:bCs/>
                <w:sz w:val="18"/>
                <w:szCs w:val="18"/>
              </w:rPr>
              <w:t>Total</w:t>
            </w:r>
          </w:p>
          <w:p w14:paraId="69D83B11" w14:textId="77777777" w:rsidR="00C9295B" w:rsidRPr="00D37A89" w:rsidRDefault="00C9295B" w:rsidP="00C9295B">
            <w:pPr>
              <w:tabs>
                <w:tab w:val="left" w:pos="3306"/>
              </w:tabs>
              <w:spacing w:after="0"/>
              <w:jc w:val="right"/>
              <w:rPr>
                <w:rFonts w:cs="Calibri"/>
                <w:b/>
                <w:bCs/>
                <w:sz w:val="18"/>
                <w:szCs w:val="18"/>
              </w:rPr>
            </w:pPr>
            <w:r w:rsidRPr="00D37A89">
              <w:rPr>
                <w:rFonts w:cs="Calibri"/>
                <w:b/>
                <w:bCs/>
                <w:sz w:val="18"/>
                <w:szCs w:val="18"/>
              </w:rPr>
              <w:t>Appropriated</w:t>
            </w:r>
          </w:p>
          <w:p w14:paraId="275EEE6B" w14:textId="728E6BE6" w:rsidR="00C9295B" w:rsidRPr="00D37A89" w:rsidRDefault="00C9295B" w:rsidP="00C9295B">
            <w:pPr>
              <w:spacing w:after="0"/>
              <w:jc w:val="right"/>
              <w:rPr>
                <w:rFonts w:cs="Calibri"/>
                <w:b/>
                <w:bCs/>
                <w:sz w:val="18"/>
                <w:szCs w:val="18"/>
              </w:rPr>
            </w:pPr>
            <w:r w:rsidRPr="00D37A89">
              <w:rPr>
                <w:rFonts w:cs="Calibri"/>
                <w:b/>
                <w:bCs/>
                <w:sz w:val="18"/>
                <w:szCs w:val="18"/>
              </w:rPr>
              <w:t>202</w:t>
            </w:r>
            <w:r w:rsidR="00DF62B2">
              <w:rPr>
                <w:rFonts w:cs="Calibri"/>
                <w:b/>
                <w:bCs/>
                <w:sz w:val="18"/>
                <w:szCs w:val="18"/>
              </w:rPr>
              <w:t>1</w:t>
            </w:r>
          </w:p>
          <w:p w14:paraId="7FED4048" w14:textId="77777777" w:rsidR="00C9295B" w:rsidRPr="00D37A89" w:rsidRDefault="00C9295B" w:rsidP="00C9295B">
            <w:pPr>
              <w:tabs>
                <w:tab w:val="left" w:pos="3306"/>
              </w:tabs>
              <w:spacing w:after="0"/>
              <w:jc w:val="right"/>
              <w:rPr>
                <w:rFonts w:cs="Calibri"/>
                <w:b/>
                <w:bCs/>
                <w:sz w:val="18"/>
                <w:szCs w:val="18"/>
              </w:rPr>
            </w:pPr>
            <w:r w:rsidRPr="00D37A89">
              <w:rPr>
                <w:rFonts w:cs="Calibri"/>
                <w:b/>
                <w:bCs/>
                <w:sz w:val="18"/>
                <w:szCs w:val="18"/>
              </w:rPr>
              <w:t>$’000</w:t>
            </w:r>
          </w:p>
        </w:tc>
        <w:tc>
          <w:tcPr>
            <w:tcW w:w="1346" w:type="dxa"/>
            <w:tcBorders>
              <w:left w:val="nil"/>
              <w:right w:val="nil"/>
            </w:tcBorders>
            <w:tcMar>
              <w:left w:w="108" w:type="dxa"/>
              <w:right w:w="108" w:type="dxa"/>
            </w:tcMar>
            <w:vAlign w:val="bottom"/>
          </w:tcPr>
          <w:p w14:paraId="4BC7F9F3" w14:textId="77777777" w:rsidR="00C9295B" w:rsidRPr="00D37A89" w:rsidRDefault="00C9295B" w:rsidP="00C9295B">
            <w:pPr>
              <w:tabs>
                <w:tab w:val="left" w:pos="3306"/>
              </w:tabs>
              <w:spacing w:after="0"/>
              <w:jc w:val="right"/>
              <w:rPr>
                <w:rFonts w:cs="Calibri"/>
                <w:b/>
                <w:bCs/>
                <w:sz w:val="18"/>
                <w:szCs w:val="18"/>
              </w:rPr>
            </w:pPr>
            <w:r w:rsidRPr="00D37A89">
              <w:rPr>
                <w:rFonts w:cs="Calibri"/>
                <w:b/>
                <w:bCs/>
                <w:sz w:val="18"/>
                <w:szCs w:val="18"/>
              </w:rPr>
              <w:t>Appropriation</w:t>
            </w:r>
          </w:p>
          <w:p w14:paraId="51CCB96A" w14:textId="77777777" w:rsidR="00C9295B" w:rsidRPr="00D37A89" w:rsidRDefault="00C9295B" w:rsidP="00C9295B">
            <w:pPr>
              <w:tabs>
                <w:tab w:val="left" w:pos="3306"/>
              </w:tabs>
              <w:spacing w:after="0"/>
              <w:jc w:val="right"/>
              <w:rPr>
                <w:rFonts w:cs="Calibri"/>
                <w:b/>
                <w:bCs/>
                <w:sz w:val="18"/>
                <w:szCs w:val="18"/>
              </w:rPr>
            </w:pPr>
            <w:r w:rsidRPr="00D37A89">
              <w:rPr>
                <w:rFonts w:cs="Calibri"/>
                <w:b/>
                <w:bCs/>
                <w:sz w:val="18"/>
                <w:szCs w:val="18"/>
              </w:rPr>
              <w:t>Drawn</w:t>
            </w:r>
          </w:p>
          <w:p w14:paraId="35F2050E" w14:textId="7375BBB3" w:rsidR="00C9295B" w:rsidRPr="00D37A89" w:rsidRDefault="00C9295B" w:rsidP="00C9295B">
            <w:pPr>
              <w:spacing w:after="0"/>
              <w:jc w:val="right"/>
              <w:rPr>
                <w:rFonts w:cs="Calibri"/>
                <w:b/>
                <w:bCs/>
                <w:sz w:val="18"/>
                <w:szCs w:val="18"/>
              </w:rPr>
            </w:pPr>
            <w:r w:rsidRPr="00D37A89">
              <w:rPr>
                <w:rFonts w:cs="Calibri"/>
                <w:b/>
                <w:bCs/>
                <w:sz w:val="18"/>
                <w:szCs w:val="18"/>
              </w:rPr>
              <w:t>202</w:t>
            </w:r>
            <w:r w:rsidR="00DF62B2">
              <w:rPr>
                <w:rFonts w:cs="Calibri"/>
                <w:b/>
                <w:bCs/>
                <w:sz w:val="18"/>
                <w:szCs w:val="18"/>
              </w:rPr>
              <w:t>1</w:t>
            </w:r>
          </w:p>
          <w:p w14:paraId="20B8B2FE" w14:textId="77777777" w:rsidR="00C9295B" w:rsidRPr="00D37A89" w:rsidRDefault="00C9295B" w:rsidP="00C9295B">
            <w:pPr>
              <w:tabs>
                <w:tab w:val="left" w:pos="3306"/>
              </w:tabs>
              <w:spacing w:after="0"/>
              <w:jc w:val="right"/>
              <w:rPr>
                <w:rFonts w:cs="Calibri"/>
                <w:b/>
                <w:bCs/>
                <w:sz w:val="18"/>
                <w:szCs w:val="18"/>
              </w:rPr>
            </w:pPr>
            <w:r w:rsidRPr="00D37A89">
              <w:rPr>
                <w:rFonts w:cs="Calibri"/>
                <w:b/>
                <w:bCs/>
                <w:sz w:val="18"/>
                <w:szCs w:val="18"/>
              </w:rPr>
              <w:t>$’000</w:t>
            </w:r>
          </w:p>
        </w:tc>
        <w:tc>
          <w:tcPr>
            <w:tcW w:w="1278" w:type="dxa"/>
            <w:tcBorders>
              <w:left w:val="nil"/>
            </w:tcBorders>
            <w:tcMar>
              <w:left w:w="108" w:type="dxa"/>
              <w:right w:w="108" w:type="dxa"/>
            </w:tcMar>
            <w:vAlign w:val="bottom"/>
          </w:tcPr>
          <w:p w14:paraId="68B789FF" w14:textId="77777777" w:rsidR="00C9295B" w:rsidRPr="00D37A89" w:rsidRDefault="00C9295B" w:rsidP="00C9295B">
            <w:pPr>
              <w:tabs>
                <w:tab w:val="left" w:pos="3306"/>
              </w:tabs>
              <w:spacing w:after="0"/>
              <w:jc w:val="right"/>
              <w:rPr>
                <w:rFonts w:cs="Calibri"/>
                <w:b/>
                <w:bCs/>
                <w:sz w:val="18"/>
                <w:szCs w:val="18"/>
              </w:rPr>
            </w:pPr>
            <w:r w:rsidRPr="00D37A89">
              <w:rPr>
                <w:rFonts w:cs="Calibri"/>
                <w:b/>
                <w:bCs/>
                <w:sz w:val="18"/>
                <w:szCs w:val="18"/>
              </w:rPr>
              <w:t>Appropriation</w:t>
            </w:r>
          </w:p>
          <w:p w14:paraId="6435DFAA" w14:textId="77777777" w:rsidR="00C9295B" w:rsidRPr="00D37A89" w:rsidRDefault="00C9295B" w:rsidP="00C9295B">
            <w:pPr>
              <w:tabs>
                <w:tab w:val="left" w:pos="3306"/>
              </w:tabs>
              <w:spacing w:after="0"/>
              <w:jc w:val="right"/>
              <w:rPr>
                <w:rFonts w:cs="Calibri"/>
                <w:b/>
                <w:bCs/>
                <w:sz w:val="18"/>
                <w:szCs w:val="18"/>
              </w:rPr>
            </w:pPr>
            <w:r w:rsidRPr="00D37A89">
              <w:rPr>
                <w:rFonts w:cs="Calibri"/>
                <w:b/>
                <w:bCs/>
                <w:sz w:val="18"/>
                <w:szCs w:val="18"/>
              </w:rPr>
              <w:t>Drawn</w:t>
            </w:r>
          </w:p>
          <w:p w14:paraId="01D26968" w14:textId="60229581" w:rsidR="00C9295B" w:rsidRPr="00D37A89" w:rsidRDefault="00C9295B" w:rsidP="00C9295B">
            <w:pPr>
              <w:tabs>
                <w:tab w:val="left" w:pos="3306"/>
              </w:tabs>
              <w:spacing w:after="0"/>
              <w:jc w:val="right"/>
              <w:rPr>
                <w:rFonts w:cs="Calibri"/>
                <w:b/>
                <w:bCs/>
                <w:sz w:val="18"/>
                <w:szCs w:val="18"/>
              </w:rPr>
            </w:pPr>
            <w:r w:rsidRPr="00D37A89">
              <w:rPr>
                <w:rFonts w:cs="Calibri"/>
                <w:b/>
                <w:bCs/>
                <w:sz w:val="18"/>
                <w:szCs w:val="18"/>
              </w:rPr>
              <w:t>20</w:t>
            </w:r>
            <w:r w:rsidR="00DF62B2">
              <w:rPr>
                <w:rFonts w:cs="Calibri"/>
                <w:b/>
                <w:bCs/>
                <w:sz w:val="18"/>
                <w:szCs w:val="18"/>
              </w:rPr>
              <w:t>20</w:t>
            </w:r>
          </w:p>
          <w:p w14:paraId="00227CCC" w14:textId="77777777" w:rsidR="00C9295B" w:rsidRPr="00D37A89" w:rsidRDefault="00C9295B" w:rsidP="00C9295B">
            <w:pPr>
              <w:tabs>
                <w:tab w:val="left" w:pos="3306"/>
              </w:tabs>
              <w:spacing w:after="0"/>
              <w:jc w:val="right"/>
              <w:rPr>
                <w:rFonts w:cs="Calibri"/>
                <w:b/>
                <w:bCs/>
                <w:sz w:val="18"/>
                <w:szCs w:val="18"/>
              </w:rPr>
            </w:pPr>
            <w:r w:rsidRPr="00D37A89">
              <w:rPr>
                <w:rFonts w:cs="Calibri"/>
                <w:b/>
                <w:bCs/>
                <w:sz w:val="18"/>
                <w:szCs w:val="18"/>
              </w:rPr>
              <w:t>$’000</w:t>
            </w:r>
          </w:p>
        </w:tc>
      </w:tr>
      <w:tr w:rsidR="00C9295B" w:rsidRPr="00D37A89" w14:paraId="099A1E56" w14:textId="77777777" w:rsidTr="000A07A1">
        <w:trPr>
          <w:cantSplit/>
        </w:trPr>
        <w:tc>
          <w:tcPr>
            <w:tcW w:w="1563" w:type="dxa"/>
            <w:tcBorders>
              <w:left w:val="single" w:sz="2" w:space="0" w:color="003366"/>
              <w:bottom w:val="nil"/>
              <w:right w:val="single" w:sz="2" w:space="0" w:color="003366"/>
            </w:tcBorders>
            <w:tcMar>
              <w:left w:w="108" w:type="dxa"/>
              <w:right w:w="108" w:type="dxa"/>
            </w:tcMar>
          </w:tcPr>
          <w:p w14:paraId="7ADE2E7A" w14:textId="77777777" w:rsidR="00C9295B" w:rsidRPr="00D37A89" w:rsidRDefault="00C9295B" w:rsidP="00844A14">
            <w:pPr>
              <w:tabs>
                <w:tab w:val="left" w:pos="3306"/>
              </w:tabs>
              <w:spacing w:before="40"/>
              <w:rPr>
                <w:rFonts w:cs="Calibri"/>
                <w:sz w:val="16"/>
              </w:rPr>
            </w:pPr>
          </w:p>
        </w:tc>
        <w:tc>
          <w:tcPr>
            <w:tcW w:w="2088" w:type="dxa"/>
            <w:tcBorders>
              <w:left w:val="single" w:sz="2" w:space="0" w:color="003366"/>
              <w:bottom w:val="nil"/>
              <w:right w:val="nil"/>
            </w:tcBorders>
            <w:tcMar>
              <w:left w:w="108" w:type="dxa"/>
              <w:right w:w="108" w:type="dxa"/>
            </w:tcMar>
            <w:vAlign w:val="bottom"/>
          </w:tcPr>
          <w:p w14:paraId="38A9FBE7" w14:textId="77777777" w:rsidR="00C9295B" w:rsidRPr="00D37A89" w:rsidRDefault="00C9295B" w:rsidP="00CE4288">
            <w:pPr>
              <w:tabs>
                <w:tab w:val="left" w:pos="3306"/>
              </w:tabs>
              <w:spacing w:before="40" w:after="0"/>
              <w:rPr>
                <w:rFonts w:cs="Calibri"/>
                <w:b/>
                <w:bCs/>
                <w:strike/>
                <w:sz w:val="18"/>
                <w:szCs w:val="18"/>
              </w:rPr>
            </w:pPr>
            <w:r w:rsidRPr="00D37A89">
              <w:rPr>
                <w:rFonts w:cs="Calibri"/>
                <w:b/>
                <w:bCs/>
                <w:sz w:val="18"/>
                <w:szCs w:val="18"/>
              </w:rPr>
              <w:t>Controlled</w:t>
            </w:r>
          </w:p>
        </w:tc>
        <w:tc>
          <w:tcPr>
            <w:tcW w:w="322" w:type="dxa"/>
            <w:tcBorders>
              <w:left w:val="nil"/>
              <w:bottom w:val="nil"/>
              <w:right w:val="nil"/>
            </w:tcBorders>
            <w:tcMar>
              <w:left w:w="108" w:type="dxa"/>
              <w:right w:w="108" w:type="dxa"/>
            </w:tcMar>
            <w:vAlign w:val="bottom"/>
          </w:tcPr>
          <w:p w14:paraId="6C3190E0" w14:textId="77777777" w:rsidR="00C9295B" w:rsidRPr="00D37A89" w:rsidRDefault="00C9295B" w:rsidP="00CE4288">
            <w:pPr>
              <w:tabs>
                <w:tab w:val="left" w:pos="3306"/>
              </w:tabs>
              <w:spacing w:before="40" w:after="0"/>
              <w:jc w:val="center"/>
              <w:rPr>
                <w:rFonts w:cs="Calibri"/>
                <w:sz w:val="18"/>
                <w:szCs w:val="18"/>
              </w:rPr>
            </w:pPr>
          </w:p>
        </w:tc>
        <w:tc>
          <w:tcPr>
            <w:tcW w:w="1277" w:type="dxa"/>
            <w:tcBorders>
              <w:left w:val="nil"/>
              <w:bottom w:val="nil"/>
              <w:right w:val="nil"/>
            </w:tcBorders>
            <w:tcMar>
              <w:left w:w="108" w:type="dxa"/>
              <w:right w:w="108" w:type="dxa"/>
            </w:tcMar>
            <w:vAlign w:val="bottom"/>
          </w:tcPr>
          <w:p w14:paraId="448FD7E9" w14:textId="77777777" w:rsidR="00C9295B" w:rsidRPr="00D37A89" w:rsidRDefault="00C9295B" w:rsidP="00CE4288">
            <w:pPr>
              <w:tabs>
                <w:tab w:val="left" w:pos="3306"/>
              </w:tabs>
              <w:spacing w:before="40" w:after="0"/>
              <w:jc w:val="right"/>
              <w:rPr>
                <w:rFonts w:cs="Calibri"/>
                <w:sz w:val="18"/>
                <w:szCs w:val="18"/>
              </w:rPr>
            </w:pPr>
          </w:p>
        </w:tc>
        <w:tc>
          <w:tcPr>
            <w:tcW w:w="1349" w:type="dxa"/>
            <w:tcBorders>
              <w:left w:val="nil"/>
              <w:bottom w:val="nil"/>
              <w:right w:val="nil"/>
            </w:tcBorders>
            <w:tcMar>
              <w:left w:w="108" w:type="dxa"/>
              <w:right w:w="108" w:type="dxa"/>
            </w:tcMar>
            <w:vAlign w:val="bottom"/>
          </w:tcPr>
          <w:p w14:paraId="5D5AED45" w14:textId="77777777" w:rsidR="00C9295B" w:rsidRPr="00D37A89" w:rsidRDefault="00C9295B" w:rsidP="00CE4288">
            <w:pPr>
              <w:tabs>
                <w:tab w:val="left" w:pos="3306"/>
              </w:tabs>
              <w:spacing w:before="40" w:after="0"/>
              <w:jc w:val="right"/>
              <w:rPr>
                <w:rFonts w:cs="Calibri"/>
                <w:sz w:val="18"/>
                <w:szCs w:val="18"/>
              </w:rPr>
            </w:pPr>
          </w:p>
        </w:tc>
        <w:tc>
          <w:tcPr>
            <w:tcW w:w="1346" w:type="dxa"/>
            <w:tcBorders>
              <w:left w:val="nil"/>
              <w:bottom w:val="nil"/>
              <w:right w:val="nil"/>
            </w:tcBorders>
            <w:tcMar>
              <w:left w:w="108" w:type="dxa"/>
              <w:right w:w="108" w:type="dxa"/>
            </w:tcMar>
            <w:vAlign w:val="bottom"/>
          </w:tcPr>
          <w:p w14:paraId="044D51ED" w14:textId="77777777" w:rsidR="00C9295B" w:rsidRPr="00D37A89" w:rsidRDefault="00C9295B" w:rsidP="00CE4288">
            <w:pPr>
              <w:tabs>
                <w:tab w:val="left" w:pos="3306"/>
              </w:tabs>
              <w:spacing w:before="40" w:after="0"/>
              <w:jc w:val="right"/>
              <w:rPr>
                <w:rFonts w:cs="Calibri"/>
                <w:sz w:val="18"/>
                <w:szCs w:val="18"/>
              </w:rPr>
            </w:pPr>
          </w:p>
        </w:tc>
        <w:tc>
          <w:tcPr>
            <w:tcW w:w="1278" w:type="dxa"/>
            <w:tcBorders>
              <w:left w:val="nil"/>
              <w:bottom w:val="nil"/>
            </w:tcBorders>
            <w:tcMar>
              <w:left w:w="108" w:type="dxa"/>
              <w:right w:w="108" w:type="dxa"/>
            </w:tcMar>
            <w:vAlign w:val="bottom"/>
          </w:tcPr>
          <w:p w14:paraId="254CAD1E" w14:textId="77777777" w:rsidR="00C9295B" w:rsidRPr="00D37A89" w:rsidRDefault="00C9295B" w:rsidP="00CE4288">
            <w:pPr>
              <w:tabs>
                <w:tab w:val="left" w:pos="3306"/>
              </w:tabs>
              <w:spacing w:before="40" w:after="0"/>
              <w:jc w:val="right"/>
              <w:rPr>
                <w:rFonts w:cs="Calibri"/>
                <w:sz w:val="18"/>
                <w:szCs w:val="18"/>
              </w:rPr>
            </w:pPr>
          </w:p>
        </w:tc>
      </w:tr>
      <w:tr w:rsidR="00C9295B" w:rsidRPr="007E0503" w14:paraId="505B51FC" w14:textId="77777777" w:rsidTr="000A07A1">
        <w:trPr>
          <w:cantSplit/>
        </w:trPr>
        <w:tc>
          <w:tcPr>
            <w:tcW w:w="1563" w:type="dxa"/>
            <w:tcBorders>
              <w:top w:val="nil"/>
              <w:left w:val="single" w:sz="2" w:space="0" w:color="003366"/>
              <w:bottom w:val="nil"/>
              <w:right w:val="single" w:sz="2" w:space="0" w:color="003366"/>
            </w:tcBorders>
            <w:tcMar>
              <w:left w:w="108" w:type="dxa"/>
              <w:right w:w="108" w:type="dxa"/>
            </w:tcMar>
          </w:tcPr>
          <w:p w14:paraId="788A72D3" w14:textId="6E7B5F95" w:rsidR="00C9295B" w:rsidRPr="007E0503" w:rsidRDefault="00C9295B" w:rsidP="00844A14">
            <w:pPr>
              <w:tabs>
                <w:tab w:val="left" w:pos="3306"/>
              </w:tabs>
              <w:spacing w:before="60"/>
              <w:rPr>
                <w:rFonts w:cs="Calibri"/>
                <w:strike/>
                <w:sz w:val="16"/>
                <w:highlight w:val="cyan"/>
              </w:rPr>
            </w:pPr>
            <w:bookmarkStart w:id="34" w:name="_Toc48468268"/>
            <w:bookmarkStart w:id="35" w:name="_Toc49155447"/>
            <w:bookmarkStart w:id="36" w:name="_Toc49223910"/>
            <w:r w:rsidRPr="007E0503">
              <w:rPr>
                <w:rFonts w:cs="Calibri"/>
                <w:sz w:val="16"/>
              </w:rPr>
              <w:t>AAS</w:t>
            </w:r>
            <w:bookmarkEnd w:id="34"/>
            <w:bookmarkEnd w:id="35"/>
            <w:bookmarkEnd w:id="36"/>
            <w:r w:rsidRPr="007E0503">
              <w:rPr>
                <w:rFonts w:cs="Calibri"/>
                <w:sz w:val="16"/>
              </w:rPr>
              <w:t>B 1004.64(a)</w:t>
            </w:r>
            <w:r w:rsidRPr="007E0503">
              <w:rPr>
                <w:rFonts w:cs="Calibri"/>
                <w:strike/>
                <w:sz w:val="16"/>
              </w:rPr>
              <w:t xml:space="preserve"> </w:t>
            </w:r>
            <w:r w:rsidRPr="007E0503">
              <w:rPr>
                <w:rFonts w:cs="Calibri"/>
                <w:sz w:val="16"/>
              </w:rPr>
              <w:t>1058.26 (c)</w:t>
            </w:r>
          </w:p>
        </w:tc>
        <w:tc>
          <w:tcPr>
            <w:tcW w:w="2088" w:type="dxa"/>
            <w:tcBorders>
              <w:top w:val="nil"/>
              <w:left w:val="single" w:sz="2" w:space="0" w:color="003366"/>
              <w:bottom w:val="nil"/>
              <w:right w:val="nil"/>
            </w:tcBorders>
            <w:tcMar>
              <w:left w:w="108" w:type="dxa"/>
              <w:right w:w="108" w:type="dxa"/>
            </w:tcMar>
          </w:tcPr>
          <w:p w14:paraId="72640195" w14:textId="77777777" w:rsidR="00C9295B" w:rsidRPr="007E0503" w:rsidRDefault="00C9295B" w:rsidP="00CE4288">
            <w:pPr>
              <w:tabs>
                <w:tab w:val="left" w:pos="3306"/>
              </w:tabs>
              <w:spacing w:before="40" w:after="0"/>
              <w:rPr>
                <w:rFonts w:cs="Calibri"/>
                <w:strike/>
                <w:sz w:val="18"/>
                <w:szCs w:val="18"/>
              </w:rPr>
            </w:pPr>
            <w:r w:rsidRPr="007E0503">
              <w:rPr>
                <w:rFonts w:cs="Calibri"/>
                <w:sz w:val="18"/>
                <w:szCs w:val="18"/>
              </w:rPr>
              <w:t>Controlled Recurrent Payments</w:t>
            </w:r>
          </w:p>
        </w:tc>
        <w:tc>
          <w:tcPr>
            <w:tcW w:w="322" w:type="dxa"/>
            <w:tcBorders>
              <w:top w:val="nil"/>
              <w:left w:val="nil"/>
              <w:bottom w:val="nil"/>
              <w:right w:val="nil"/>
            </w:tcBorders>
            <w:tcMar>
              <w:left w:w="108" w:type="dxa"/>
              <w:right w:w="108" w:type="dxa"/>
            </w:tcMar>
            <w:vAlign w:val="bottom"/>
          </w:tcPr>
          <w:p w14:paraId="019DB7EE" w14:textId="77777777" w:rsidR="00C9295B" w:rsidRPr="007E0503" w:rsidRDefault="00C9295B" w:rsidP="00CE4288">
            <w:pPr>
              <w:tabs>
                <w:tab w:val="left" w:pos="3306"/>
              </w:tabs>
              <w:spacing w:before="40" w:after="0"/>
              <w:jc w:val="center"/>
              <w:rPr>
                <w:rFonts w:cs="Calibri"/>
                <w:sz w:val="18"/>
                <w:szCs w:val="18"/>
              </w:rPr>
            </w:pPr>
          </w:p>
        </w:tc>
        <w:tc>
          <w:tcPr>
            <w:tcW w:w="1277" w:type="dxa"/>
            <w:tcBorders>
              <w:top w:val="nil"/>
              <w:left w:val="nil"/>
              <w:right w:val="nil"/>
            </w:tcBorders>
            <w:tcMar>
              <w:left w:w="108" w:type="dxa"/>
              <w:right w:w="108" w:type="dxa"/>
            </w:tcMar>
            <w:vAlign w:val="bottom"/>
          </w:tcPr>
          <w:p w14:paraId="1AA5D03F" w14:textId="77777777" w:rsidR="00C9295B" w:rsidRPr="007E0503" w:rsidRDefault="00C9295B" w:rsidP="00CE4288">
            <w:pPr>
              <w:tabs>
                <w:tab w:val="left" w:pos="3306"/>
              </w:tabs>
              <w:spacing w:before="40" w:after="0"/>
              <w:jc w:val="right"/>
              <w:rPr>
                <w:rFonts w:cs="Calibri"/>
                <w:sz w:val="18"/>
                <w:szCs w:val="18"/>
              </w:rPr>
            </w:pPr>
          </w:p>
        </w:tc>
        <w:tc>
          <w:tcPr>
            <w:tcW w:w="1349" w:type="dxa"/>
            <w:tcBorders>
              <w:top w:val="nil"/>
              <w:left w:val="nil"/>
              <w:right w:val="nil"/>
            </w:tcBorders>
            <w:tcMar>
              <w:left w:w="108" w:type="dxa"/>
              <w:right w:w="108" w:type="dxa"/>
            </w:tcMar>
            <w:vAlign w:val="bottom"/>
          </w:tcPr>
          <w:p w14:paraId="6632CFDC" w14:textId="77777777" w:rsidR="00C9295B" w:rsidRPr="007E0503" w:rsidRDefault="00C9295B" w:rsidP="00CE4288">
            <w:pPr>
              <w:tabs>
                <w:tab w:val="left" w:pos="3306"/>
              </w:tabs>
              <w:spacing w:before="40" w:after="0"/>
              <w:jc w:val="right"/>
              <w:rPr>
                <w:rFonts w:cs="Calibri"/>
                <w:sz w:val="18"/>
                <w:szCs w:val="18"/>
              </w:rPr>
            </w:pPr>
          </w:p>
        </w:tc>
        <w:tc>
          <w:tcPr>
            <w:tcW w:w="1346" w:type="dxa"/>
            <w:tcBorders>
              <w:top w:val="nil"/>
              <w:left w:val="nil"/>
              <w:right w:val="nil"/>
            </w:tcBorders>
            <w:tcMar>
              <w:left w:w="108" w:type="dxa"/>
              <w:right w:w="108" w:type="dxa"/>
            </w:tcMar>
            <w:vAlign w:val="bottom"/>
          </w:tcPr>
          <w:p w14:paraId="465D217F" w14:textId="77777777" w:rsidR="00C9295B" w:rsidRPr="007E0503" w:rsidRDefault="00C9295B" w:rsidP="00CE4288">
            <w:pPr>
              <w:tabs>
                <w:tab w:val="left" w:pos="3306"/>
              </w:tabs>
              <w:spacing w:before="40" w:after="0"/>
              <w:jc w:val="right"/>
              <w:rPr>
                <w:rFonts w:cs="Calibri"/>
                <w:sz w:val="18"/>
                <w:szCs w:val="18"/>
              </w:rPr>
            </w:pPr>
          </w:p>
        </w:tc>
        <w:tc>
          <w:tcPr>
            <w:tcW w:w="1278" w:type="dxa"/>
            <w:tcBorders>
              <w:top w:val="nil"/>
              <w:left w:val="nil"/>
            </w:tcBorders>
            <w:tcMar>
              <w:left w:w="108" w:type="dxa"/>
              <w:right w:w="108" w:type="dxa"/>
            </w:tcMar>
            <w:vAlign w:val="bottom"/>
          </w:tcPr>
          <w:p w14:paraId="7DDADCF3" w14:textId="77777777" w:rsidR="00C9295B" w:rsidRPr="007E0503" w:rsidRDefault="00C9295B" w:rsidP="00CE4288">
            <w:pPr>
              <w:tabs>
                <w:tab w:val="left" w:pos="3306"/>
              </w:tabs>
              <w:spacing w:before="40" w:after="0"/>
              <w:jc w:val="right"/>
              <w:rPr>
                <w:rFonts w:cs="Calibri"/>
                <w:sz w:val="18"/>
                <w:szCs w:val="18"/>
              </w:rPr>
            </w:pPr>
          </w:p>
        </w:tc>
      </w:tr>
      <w:tr w:rsidR="00C9295B" w:rsidRPr="007E0503" w14:paraId="1D6DE868" w14:textId="77777777" w:rsidTr="000A07A1">
        <w:trPr>
          <w:cantSplit/>
        </w:trPr>
        <w:tc>
          <w:tcPr>
            <w:tcW w:w="1563" w:type="dxa"/>
            <w:tcBorders>
              <w:top w:val="nil"/>
              <w:left w:val="single" w:sz="2" w:space="0" w:color="003366"/>
              <w:bottom w:val="nil"/>
              <w:right w:val="single" w:sz="2" w:space="0" w:color="003366"/>
            </w:tcBorders>
            <w:tcMar>
              <w:left w:w="108" w:type="dxa"/>
              <w:right w:w="108" w:type="dxa"/>
            </w:tcMar>
          </w:tcPr>
          <w:p w14:paraId="5A650630" w14:textId="748E309C" w:rsidR="00C9295B" w:rsidRPr="007E0503" w:rsidRDefault="00C9295B" w:rsidP="00CE4288">
            <w:pPr>
              <w:tabs>
                <w:tab w:val="left" w:pos="3306"/>
              </w:tabs>
              <w:spacing w:after="0"/>
              <w:rPr>
                <w:rFonts w:cs="Calibri"/>
                <w:strike/>
                <w:sz w:val="16"/>
                <w:highlight w:val="cyan"/>
              </w:rPr>
            </w:pPr>
            <w:r w:rsidRPr="007E0503">
              <w:rPr>
                <w:rFonts w:cs="Calibri"/>
                <w:sz w:val="16"/>
              </w:rPr>
              <w:t>AASB 1004.64(a), 48</w:t>
            </w:r>
          </w:p>
        </w:tc>
        <w:tc>
          <w:tcPr>
            <w:tcW w:w="2088" w:type="dxa"/>
            <w:tcBorders>
              <w:top w:val="nil"/>
              <w:left w:val="single" w:sz="2" w:space="0" w:color="003366"/>
              <w:bottom w:val="nil"/>
              <w:right w:val="nil"/>
            </w:tcBorders>
            <w:tcMar>
              <w:left w:w="108" w:type="dxa"/>
              <w:right w:w="108" w:type="dxa"/>
            </w:tcMar>
            <w:vAlign w:val="bottom"/>
          </w:tcPr>
          <w:p w14:paraId="70AB50E0" w14:textId="77777777" w:rsidR="00C9295B" w:rsidRPr="007E0503" w:rsidRDefault="00C9295B" w:rsidP="00CE4288">
            <w:pPr>
              <w:tabs>
                <w:tab w:val="left" w:pos="3306"/>
              </w:tabs>
              <w:spacing w:after="0"/>
              <w:rPr>
                <w:rFonts w:cs="Calibri"/>
                <w:sz w:val="18"/>
                <w:szCs w:val="18"/>
              </w:rPr>
            </w:pPr>
            <w:bookmarkStart w:id="37" w:name="_Toc48468271"/>
            <w:bookmarkStart w:id="38" w:name="_Toc49155450"/>
            <w:bookmarkStart w:id="39" w:name="_Toc49223913"/>
            <w:r w:rsidRPr="007E0503">
              <w:rPr>
                <w:rFonts w:cs="Calibri"/>
                <w:sz w:val="18"/>
                <w:szCs w:val="18"/>
              </w:rPr>
              <w:t xml:space="preserve">Capital </w:t>
            </w:r>
            <w:bookmarkEnd w:id="37"/>
            <w:bookmarkEnd w:id="38"/>
            <w:bookmarkEnd w:id="39"/>
            <w:r w:rsidRPr="007E0503">
              <w:rPr>
                <w:rFonts w:cs="Calibri"/>
                <w:sz w:val="18"/>
                <w:szCs w:val="18"/>
              </w:rPr>
              <w:t>Injections</w:t>
            </w:r>
          </w:p>
        </w:tc>
        <w:tc>
          <w:tcPr>
            <w:tcW w:w="322" w:type="dxa"/>
            <w:tcBorders>
              <w:top w:val="nil"/>
              <w:left w:val="nil"/>
              <w:bottom w:val="nil"/>
              <w:right w:val="nil"/>
            </w:tcBorders>
            <w:tcMar>
              <w:left w:w="108" w:type="dxa"/>
              <w:right w:w="108" w:type="dxa"/>
            </w:tcMar>
            <w:vAlign w:val="bottom"/>
          </w:tcPr>
          <w:p w14:paraId="774AA1B9" w14:textId="77777777" w:rsidR="00C9295B" w:rsidRPr="007E0503" w:rsidRDefault="00C9295B" w:rsidP="00CE4288">
            <w:pPr>
              <w:tabs>
                <w:tab w:val="left" w:pos="3306"/>
              </w:tabs>
              <w:spacing w:after="0"/>
              <w:jc w:val="center"/>
              <w:rPr>
                <w:rFonts w:cs="Calibri"/>
                <w:sz w:val="18"/>
                <w:szCs w:val="18"/>
              </w:rPr>
            </w:pPr>
          </w:p>
        </w:tc>
        <w:tc>
          <w:tcPr>
            <w:tcW w:w="1277" w:type="dxa"/>
            <w:tcBorders>
              <w:top w:val="nil"/>
              <w:left w:val="nil"/>
              <w:right w:val="nil"/>
            </w:tcBorders>
            <w:tcMar>
              <w:left w:w="108" w:type="dxa"/>
              <w:right w:w="108" w:type="dxa"/>
            </w:tcMar>
            <w:vAlign w:val="bottom"/>
          </w:tcPr>
          <w:p w14:paraId="052B3C42" w14:textId="77777777" w:rsidR="00C9295B" w:rsidRPr="007E0503" w:rsidRDefault="00C9295B" w:rsidP="00CE4288">
            <w:pPr>
              <w:tabs>
                <w:tab w:val="left" w:pos="3306"/>
              </w:tabs>
              <w:spacing w:after="0"/>
              <w:jc w:val="right"/>
              <w:rPr>
                <w:rFonts w:cs="Calibri"/>
                <w:sz w:val="18"/>
                <w:szCs w:val="18"/>
              </w:rPr>
            </w:pPr>
          </w:p>
        </w:tc>
        <w:tc>
          <w:tcPr>
            <w:tcW w:w="1349" w:type="dxa"/>
            <w:tcBorders>
              <w:top w:val="nil"/>
              <w:left w:val="nil"/>
              <w:right w:val="nil"/>
            </w:tcBorders>
            <w:tcMar>
              <w:left w:w="108" w:type="dxa"/>
              <w:right w:w="108" w:type="dxa"/>
            </w:tcMar>
            <w:vAlign w:val="bottom"/>
          </w:tcPr>
          <w:p w14:paraId="66B361CD" w14:textId="77777777" w:rsidR="00C9295B" w:rsidRPr="007E0503" w:rsidRDefault="00C9295B" w:rsidP="00CE4288">
            <w:pPr>
              <w:tabs>
                <w:tab w:val="left" w:pos="3306"/>
              </w:tabs>
              <w:spacing w:after="0"/>
              <w:jc w:val="right"/>
              <w:rPr>
                <w:rFonts w:cs="Calibri"/>
                <w:sz w:val="18"/>
                <w:szCs w:val="18"/>
              </w:rPr>
            </w:pPr>
          </w:p>
        </w:tc>
        <w:tc>
          <w:tcPr>
            <w:tcW w:w="1346" w:type="dxa"/>
            <w:tcBorders>
              <w:top w:val="nil"/>
              <w:left w:val="nil"/>
              <w:right w:val="nil"/>
            </w:tcBorders>
            <w:tcMar>
              <w:left w:w="108" w:type="dxa"/>
              <w:right w:w="108" w:type="dxa"/>
            </w:tcMar>
            <w:vAlign w:val="bottom"/>
          </w:tcPr>
          <w:p w14:paraId="0ABBEDA9" w14:textId="77777777" w:rsidR="00C9295B" w:rsidRPr="007E0503" w:rsidRDefault="00C9295B" w:rsidP="00CE4288">
            <w:pPr>
              <w:tabs>
                <w:tab w:val="left" w:pos="3306"/>
              </w:tabs>
              <w:spacing w:after="0"/>
              <w:jc w:val="right"/>
              <w:rPr>
                <w:rFonts w:cs="Calibri"/>
                <w:sz w:val="18"/>
                <w:szCs w:val="18"/>
              </w:rPr>
            </w:pPr>
          </w:p>
        </w:tc>
        <w:tc>
          <w:tcPr>
            <w:tcW w:w="1278" w:type="dxa"/>
            <w:tcBorders>
              <w:top w:val="nil"/>
              <w:left w:val="nil"/>
            </w:tcBorders>
            <w:tcMar>
              <w:left w:w="108" w:type="dxa"/>
              <w:right w:w="108" w:type="dxa"/>
            </w:tcMar>
            <w:vAlign w:val="bottom"/>
          </w:tcPr>
          <w:p w14:paraId="66992D5B" w14:textId="77777777" w:rsidR="00C9295B" w:rsidRPr="007E0503" w:rsidRDefault="00C9295B" w:rsidP="00CE4288">
            <w:pPr>
              <w:tabs>
                <w:tab w:val="left" w:pos="3306"/>
              </w:tabs>
              <w:spacing w:after="0"/>
              <w:jc w:val="right"/>
              <w:rPr>
                <w:rFonts w:cs="Calibri"/>
                <w:sz w:val="18"/>
                <w:szCs w:val="18"/>
              </w:rPr>
            </w:pPr>
          </w:p>
        </w:tc>
      </w:tr>
      <w:tr w:rsidR="00C9295B" w:rsidRPr="007E0503" w14:paraId="3B46FA7B" w14:textId="77777777" w:rsidTr="000A07A1">
        <w:trPr>
          <w:cantSplit/>
        </w:trPr>
        <w:tc>
          <w:tcPr>
            <w:tcW w:w="1563" w:type="dxa"/>
            <w:tcBorders>
              <w:top w:val="nil"/>
              <w:left w:val="single" w:sz="2" w:space="0" w:color="003366"/>
              <w:bottom w:val="nil"/>
              <w:right w:val="single" w:sz="2" w:space="0" w:color="003366"/>
            </w:tcBorders>
            <w:tcMar>
              <w:left w:w="108" w:type="dxa"/>
              <w:right w:w="108" w:type="dxa"/>
            </w:tcMar>
          </w:tcPr>
          <w:p w14:paraId="1C79AA49" w14:textId="66D3F625" w:rsidR="00C9295B" w:rsidRPr="007E0503" w:rsidRDefault="00C9295B" w:rsidP="00844A14">
            <w:pPr>
              <w:tabs>
                <w:tab w:val="left" w:pos="3306"/>
              </w:tabs>
              <w:spacing w:before="40"/>
              <w:rPr>
                <w:rFonts w:cs="Calibri"/>
                <w:sz w:val="16"/>
              </w:rPr>
            </w:pPr>
          </w:p>
        </w:tc>
        <w:tc>
          <w:tcPr>
            <w:tcW w:w="2088" w:type="dxa"/>
            <w:tcBorders>
              <w:left w:val="single" w:sz="2" w:space="0" w:color="003366"/>
              <w:right w:val="nil"/>
            </w:tcBorders>
            <w:tcMar>
              <w:left w:w="108" w:type="dxa"/>
              <w:right w:w="108" w:type="dxa"/>
            </w:tcMar>
            <w:vAlign w:val="bottom"/>
          </w:tcPr>
          <w:p w14:paraId="02867775" w14:textId="77777777" w:rsidR="00C9295B" w:rsidRPr="007E0503" w:rsidRDefault="00C9295B" w:rsidP="00CE4288">
            <w:pPr>
              <w:tabs>
                <w:tab w:val="left" w:pos="3306"/>
              </w:tabs>
              <w:spacing w:before="40" w:after="0"/>
              <w:rPr>
                <w:rFonts w:cs="Calibri"/>
                <w:b/>
                <w:bCs/>
                <w:sz w:val="18"/>
                <w:szCs w:val="18"/>
              </w:rPr>
            </w:pPr>
            <w:r w:rsidRPr="007E0503">
              <w:rPr>
                <w:rFonts w:cs="Calibri"/>
                <w:b/>
                <w:bCs/>
                <w:sz w:val="18"/>
                <w:szCs w:val="18"/>
              </w:rPr>
              <w:t>Total Controlled Appropriation</w:t>
            </w:r>
          </w:p>
        </w:tc>
        <w:tc>
          <w:tcPr>
            <w:tcW w:w="322" w:type="dxa"/>
            <w:tcBorders>
              <w:left w:val="nil"/>
              <w:right w:val="nil"/>
            </w:tcBorders>
            <w:tcMar>
              <w:left w:w="108" w:type="dxa"/>
              <w:right w:w="108" w:type="dxa"/>
            </w:tcMar>
            <w:vAlign w:val="bottom"/>
          </w:tcPr>
          <w:p w14:paraId="7BA17B2C" w14:textId="77777777" w:rsidR="00C9295B" w:rsidRPr="007E0503" w:rsidRDefault="00C9295B" w:rsidP="00CE4288">
            <w:pPr>
              <w:tabs>
                <w:tab w:val="left" w:pos="3306"/>
              </w:tabs>
              <w:spacing w:before="40" w:after="0"/>
              <w:jc w:val="center"/>
              <w:rPr>
                <w:rFonts w:cs="Calibri"/>
                <w:sz w:val="18"/>
                <w:szCs w:val="18"/>
              </w:rPr>
            </w:pPr>
          </w:p>
        </w:tc>
        <w:tc>
          <w:tcPr>
            <w:tcW w:w="1277" w:type="dxa"/>
            <w:tcBorders>
              <w:top w:val="single" w:sz="4" w:space="0" w:color="003366"/>
              <w:left w:val="nil"/>
              <w:bottom w:val="double" w:sz="4" w:space="0" w:color="003366"/>
              <w:right w:val="nil"/>
            </w:tcBorders>
            <w:tcMar>
              <w:left w:w="108" w:type="dxa"/>
              <w:right w:w="108" w:type="dxa"/>
            </w:tcMar>
            <w:vAlign w:val="bottom"/>
          </w:tcPr>
          <w:p w14:paraId="7CFF459D" w14:textId="77777777" w:rsidR="00C9295B" w:rsidRPr="007E0503" w:rsidRDefault="00C9295B" w:rsidP="00CE4288">
            <w:pPr>
              <w:tabs>
                <w:tab w:val="left" w:pos="3306"/>
              </w:tabs>
              <w:spacing w:before="40" w:after="0"/>
              <w:jc w:val="right"/>
              <w:rPr>
                <w:rFonts w:cs="Calibri"/>
                <w:b/>
                <w:bCs/>
                <w:sz w:val="18"/>
                <w:szCs w:val="18"/>
              </w:rPr>
            </w:pPr>
          </w:p>
        </w:tc>
        <w:tc>
          <w:tcPr>
            <w:tcW w:w="1349" w:type="dxa"/>
            <w:tcBorders>
              <w:top w:val="single" w:sz="4" w:space="0" w:color="003366"/>
              <w:left w:val="nil"/>
              <w:bottom w:val="double" w:sz="4" w:space="0" w:color="003366"/>
              <w:right w:val="nil"/>
            </w:tcBorders>
            <w:tcMar>
              <w:left w:w="108" w:type="dxa"/>
              <w:right w:w="108" w:type="dxa"/>
            </w:tcMar>
            <w:vAlign w:val="bottom"/>
          </w:tcPr>
          <w:p w14:paraId="681E87E7" w14:textId="77777777" w:rsidR="00C9295B" w:rsidRPr="007E0503" w:rsidRDefault="00C9295B" w:rsidP="00CE4288">
            <w:pPr>
              <w:tabs>
                <w:tab w:val="left" w:pos="3306"/>
              </w:tabs>
              <w:spacing w:before="40" w:after="0"/>
              <w:jc w:val="right"/>
              <w:rPr>
                <w:rFonts w:cs="Calibri"/>
                <w:b/>
                <w:bCs/>
                <w:sz w:val="18"/>
                <w:szCs w:val="18"/>
              </w:rPr>
            </w:pPr>
          </w:p>
        </w:tc>
        <w:tc>
          <w:tcPr>
            <w:tcW w:w="1346" w:type="dxa"/>
            <w:tcBorders>
              <w:top w:val="single" w:sz="4" w:space="0" w:color="003366"/>
              <w:left w:val="nil"/>
              <w:bottom w:val="double" w:sz="4" w:space="0" w:color="003366"/>
              <w:right w:val="nil"/>
            </w:tcBorders>
            <w:tcMar>
              <w:left w:w="108" w:type="dxa"/>
              <w:right w:w="108" w:type="dxa"/>
            </w:tcMar>
            <w:vAlign w:val="bottom"/>
          </w:tcPr>
          <w:p w14:paraId="76508A19" w14:textId="77777777" w:rsidR="00C9295B" w:rsidRPr="007E0503" w:rsidRDefault="00C9295B" w:rsidP="00CE4288">
            <w:pPr>
              <w:tabs>
                <w:tab w:val="left" w:pos="3306"/>
              </w:tabs>
              <w:spacing w:before="40" w:after="0"/>
              <w:jc w:val="right"/>
              <w:rPr>
                <w:rFonts w:cs="Calibri"/>
                <w:b/>
                <w:bCs/>
                <w:sz w:val="18"/>
                <w:szCs w:val="18"/>
              </w:rPr>
            </w:pPr>
          </w:p>
        </w:tc>
        <w:tc>
          <w:tcPr>
            <w:tcW w:w="1278" w:type="dxa"/>
            <w:tcBorders>
              <w:top w:val="single" w:sz="4" w:space="0" w:color="003366"/>
              <w:left w:val="nil"/>
              <w:bottom w:val="double" w:sz="4" w:space="0" w:color="003366"/>
            </w:tcBorders>
            <w:tcMar>
              <w:left w:w="108" w:type="dxa"/>
              <w:right w:w="108" w:type="dxa"/>
            </w:tcMar>
            <w:vAlign w:val="bottom"/>
          </w:tcPr>
          <w:p w14:paraId="0ACED17A" w14:textId="77777777" w:rsidR="00C9295B" w:rsidRPr="007E0503" w:rsidRDefault="00C9295B" w:rsidP="00CE4288">
            <w:pPr>
              <w:tabs>
                <w:tab w:val="left" w:pos="3306"/>
              </w:tabs>
              <w:spacing w:before="40" w:after="0"/>
              <w:jc w:val="right"/>
              <w:rPr>
                <w:rFonts w:cs="Calibri"/>
                <w:b/>
                <w:bCs/>
                <w:sz w:val="18"/>
                <w:szCs w:val="18"/>
              </w:rPr>
            </w:pPr>
          </w:p>
        </w:tc>
      </w:tr>
      <w:tr w:rsidR="00C9295B" w:rsidRPr="007E0503" w14:paraId="229F2503" w14:textId="77777777" w:rsidTr="000A07A1">
        <w:trPr>
          <w:cantSplit/>
        </w:trPr>
        <w:tc>
          <w:tcPr>
            <w:tcW w:w="1563" w:type="dxa"/>
            <w:tcBorders>
              <w:top w:val="nil"/>
              <w:left w:val="single" w:sz="2" w:space="0" w:color="003366"/>
              <w:bottom w:val="nil"/>
              <w:right w:val="single" w:sz="2" w:space="0" w:color="003366"/>
            </w:tcBorders>
            <w:tcMar>
              <w:left w:w="108" w:type="dxa"/>
              <w:right w:w="108" w:type="dxa"/>
            </w:tcMar>
          </w:tcPr>
          <w:p w14:paraId="2D040D43" w14:textId="77777777" w:rsidR="00C9295B" w:rsidRPr="007E0503" w:rsidRDefault="00C9295B" w:rsidP="00844A14">
            <w:pPr>
              <w:tabs>
                <w:tab w:val="left" w:pos="3306"/>
              </w:tabs>
              <w:spacing w:before="40"/>
              <w:rPr>
                <w:rFonts w:cs="Calibri"/>
                <w:sz w:val="16"/>
              </w:rPr>
            </w:pPr>
          </w:p>
        </w:tc>
        <w:tc>
          <w:tcPr>
            <w:tcW w:w="2088" w:type="dxa"/>
            <w:tcBorders>
              <w:left w:val="single" w:sz="2" w:space="0" w:color="003366"/>
              <w:right w:val="nil"/>
            </w:tcBorders>
            <w:tcMar>
              <w:left w:w="108" w:type="dxa"/>
              <w:right w:w="108" w:type="dxa"/>
            </w:tcMar>
            <w:vAlign w:val="bottom"/>
          </w:tcPr>
          <w:p w14:paraId="0F7D8F3F" w14:textId="77777777" w:rsidR="00C9295B" w:rsidRPr="007E0503" w:rsidRDefault="00C9295B" w:rsidP="00844A14">
            <w:pPr>
              <w:tabs>
                <w:tab w:val="left" w:pos="3306"/>
              </w:tabs>
              <w:spacing w:before="40"/>
              <w:rPr>
                <w:rFonts w:cs="Calibri"/>
                <w:sz w:val="18"/>
                <w:szCs w:val="18"/>
              </w:rPr>
            </w:pPr>
          </w:p>
        </w:tc>
        <w:tc>
          <w:tcPr>
            <w:tcW w:w="322" w:type="dxa"/>
            <w:tcBorders>
              <w:left w:val="nil"/>
              <w:right w:val="nil"/>
            </w:tcBorders>
            <w:tcMar>
              <w:left w:w="108" w:type="dxa"/>
              <w:right w:w="108" w:type="dxa"/>
            </w:tcMar>
            <w:vAlign w:val="bottom"/>
          </w:tcPr>
          <w:p w14:paraId="5EED1770" w14:textId="77777777" w:rsidR="00C9295B" w:rsidRPr="007E0503" w:rsidRDefault="00C9295B" w:rsidP="00844A14">
            <w:pPr>
              <w:tabs>
                <w:tab w:val="left" w:pos="3306"/>
              </w:tabs>
              <w:spacing w:before="40"/>
              <w:jc w:val="center"/>
              <w:rPr>
                <w:rFonts w:cs="Calibri"/>
                <w:sz w:val="18"/>
                <w:szCs w:val="18"/>
              </w:rPr>
            </w:pPr>
          </w:p>
        </w:tc>
        <w:tc>
          <w:tcPr>
            <w:tcW w:w="1277" w:type="dxa"/>
            <w:tcBorders>
              <w:top w:val="double" w:sz="4" w:space="0" w:color="003366"/>
              <w:left w:val="nil"/>
              <w:right w:val="nil"/>
            </w:tcBorders>
            <w:tcMar>
              <w:left w:w="108" w:type="dxa"/>
              <w:right w:w="108" w:type="dxa"/>
            </w:tcMar>
            <w:vAlign w:val="bottom"/>
          </w:tcPr>
          <w:p w14:paraId="48A8FC54" w14:textId="77777777" w:rsidR="00C9295B" w:rsidRPr="007E0503" w:rsidRDefault="00C9295B" w:rsidP="00844A14">
            <w:pPr>
              <w:tabs>
                <w:tab w:val="left" w:pos="3306"/>
              </w:tabs>
              <w:spacing w:before="40"/>
              <w:jc w:val="right"/>
              <w:rPr>
                <w:rFonts w:cs="Calibri"/>
                <w:sz w:val="18"/>
                <w:szCs w:val="18"/>
              </w:rPr>
            </w:pPr>
          </w:p>
        </w:tc>
        <w:tc>
          <w:tcPr>
            <w:tcW w:w="1349" w:type="dxa"/>
            <w:tcBorders>
              <w:top w:val="double" w:sz="4" w:space="0" w:color="003366"/>
              <w:left w:val="nil"/>
              <w:right w:val="nil"/>
            </w:tcBorders>
            <w:tcMar>
              <w:left w:w="108" w:type="dxa"/>
              <w:right w:w="108" w:type="dxa"/>
            </w:tcMar>
            <w:vAlign w:val="bottom"/>
          </w:tcPr>
          <w:p w14:paraId="15E4F7C9" w14:textId="77777777" w:rsidR="00C9295B" w:rsidRPr="007E0503" w:rsidRDefault="00C9295B" w:rsidP="00844A14">
            <w:pPr>
              <w:tabs>
                <w:tab w:val="left" w:pos="3306"/>
              </w:tabs>
              <w:spacing w:before="40"/>
              <w:jc w:val="right"/>
              <w:rPr>
                <w:rFonts w:cs="Calibri"/>
                <w:sz w:val="18"/>
                <w:szCs w:val="18"/>
              </w:rPr>
            </w:pPr>
          </w:p>
        </w:tc>
        <w:tc>
          <w:tcPr>
            <w:tcW w:w="1346" w:type="dxa"/>
            <w:tcBorders>
              <w:top w:val="double" w:sz="4" w:space="0" w:color="003366"/>
              <w:left w:val="nil"/>
              <w:right w:val="nil"/>
            </w:tcBorders>
            <w:tcMar>
              <w:left w:w="108" w:type="dxa"/>
              <w:right w:w="108" w:type="dxa"/>
            </w:tcMar>
            <w:vAlign w:val="bottom"/>
          </w:tcPr>
          <w:p w14:paraId="0C02A89F" w14:textId="77777777" w:rsidR="00C9295B" w:rsidRPr="007E0503" w:rsidRDefault="00C9295B" w:rsidP="00844A14">
            <w:pPr>
              <w:tabs>
                <w:tab w:val="left" w:pos="3306"/>
              </w:tabs>
              <w:spacing w:before="40"/>
              <w:jc w:val="right"/>
              <w:rPr>
                <w:rFonts w:cs="Calibri"/>
                <w:sz w:val="18"/>
                <w:szCs w:val="18"/>
              </w:rPr>
            </w:pPr>
          </w:p>
        </w:tc>
        <w:tc>
          <w:tcPr>
            <w:tcW w:w="1278" w:type="dxa"/>
            <w:tcBorders>
              <w:top w:val="double" w:sz="4" w:space="0" w:color="003366"/>
              <w:left w:val="nil"/>
            </w:tcBorders>
            <w:tcMar>
              <w:left w:w="108" w:type="dxa"/>
              <w:right w:w="108" w:type="dxa"/>
            </w:tcMar>
            <w:vAlign w:val="bottom"/>
          </w:tcPr>
          <w:p w14:paraId="5D0BA3FE" w14:textId="77777777" w:rsidR="00C9295B" w:rsidRPr="007E0503" w:rsidRDefault="00C9295B" w:rsidP="00844A14">
            <w:pPr>
              <w:tabs>
                <w:tab w:val="left" w:pos="3306"/>
              </w:tabs>
              <w:spacing w:before="40"/>
              <w:jc w:val="right"/>
              <w:rPr>
                <w:rFonts w:cs="Calibri"/>
                <w:sz w:val="18"/>
                <w:szCs w:val="18"/>
              </w:rPr>
            </w:pPr>
          </w:p>
        </w:tc>
      </w:tr>
      <w:tr w:rsidR="00C9295B" w:rsidRPr="007E0503" w14:paraId="278ED3B6" w14:textId="77777777" w:rsidTr="000A07A1">
        <w:trPr>
          <w:cantSplit/>
        </w:trPr>
        <w:tc>
          <w:tcPr>
            <w:tcW w:w="1563" w:type="dxa"/>
            <w:tcBorders>
              <w:top w:val="nil"/>
              <w:left w:val="single" w:sz="2" w:space="0" w:color="003366"/>
              <w:bottom w:val="nil"/>
              <w:right w:val="single" w:sz="2" w:space="0" w:color="003366"/>
            </w:tcBorders>
            <w:tcMar>
              <w:left w:w="108" w:type="dxa"/>
              <w:right w:w="108" w:type="dxa"/>
            </w:tcMar>
          </w:tcPr>
          <w:p w14:paraId="4E5BA07B" w14:textId="77777777" w:rsidR="00C9295B" w:rsidRPr="007E0503" w:rsidRDefault="00C9295B" w:rsidP="00844A14">
            <w:pPr>
              <w:tabs>
                <w:tab w:val="left" w:pos="3306"/>
              </w:tabs>
              <w:spacing w:before="40"/>
              <w:rPr>
                <w:rFonts w:cs="Calibri"/>
                <w:sz w:val="16"/>
              </w:rPr>
            </w:pPr>
          </w:p>
        </w:tc>
        <w:tc>
          <w:tcPr>
            <w:tcW w:w="7660" w:type="dxa"/>
            <w:gridSpan w:val="6"/>
            <w:tcBorders>
              <w:left w:val="single" w:sz="2" w:space="0" w:color="003366"/>
            </w:tcBorders>
            <w:tcMar>
              <w:left w:w="108" w:type="dxa"/>
              <w:right w:w="108" w:type="dxa"/>
            </w:tcMar>
            <w:vAlign w:val="bottom"/>
          </w:tcPr>
          <w:p w14:paraId="2C2877F6" w14:textId="77777777" w:rsidR="00C9295B" w:rsidRPr="007E0503" w:rsidRDefault="00C9295B" w:rsidP="00844A14">
            <w:pPr>
              <w:rPr>
                <w:sz w:val="18"/>
                <w:szCs w:val="18"/>
              </w:rPr>
            </w:pPr>
            <w:r w:rsidRPr="007E0503">
              <w:rPr>
                <w:sz w:val="18"/>
                <w:szCs w:val="18"/>
              </w:rPr>
              <w:t>The above Controlled Statement of Appropriation should be read in conjunction with the accompanying notes.</w:t>
            </w:r>
          </w:p>
        </w:tc>
      </w:tr>
      <w:tr w:rsidR="00DF62B2" w:rsidRPr="007E0503" w14:paraId="163504E1" w14:textId="77777777" w:rsidTr="000A07A1">
        <w:trPr>
          <w:cantSplit/>
        </w:trPr>
        <w:tc>
          <w:tcPr>
            <w:tcW w:w="1563" w:type="dxa"/>
            <w:tcBorders>
              <w:top w:val="nil"/>
              <w:left w:val="single" w:sz="2" w:space="0" w:color="003366"/>
              <w:bottom w:val="nil"/>
              <w:right w:val="single" w:sz="2" w:space="0" w:color="003366"/>
            </w:tcBorders>
            <w:tcMar>
              <w:left w:w="108" w:type="dxa"/>
              <w:right w:w="108" w:type="dxa"/>
            </w:tcMar>
          </w:tcPr>
          <w:p w14:paraId="7F0D6337" w14:textId="77777777" w:rsidR="00DF62B2" w:rsidRPr="007E0503" w:rsidRDefault="00DF62B2" w:rsidP="00844A14">
            <w:pPr>
              <w:tabs>
                <w:tab w:val="left" w:pos="3306"/>
              </w:tabs>
              <w:spacing w:before="40"/>
              <w:rPr>
                <w:rFonts w:cs="Calibri"/>
                <w:sz w:val="16"/>
              </w:rPr>
            </w:pPr>
          </w:p>
        </w:tc>
        <w:tc>
          <w:tcPr>
            <w:tcW w:w="7660" w:type="dxa"/>
            <w:gridSpan w:val="6"/>
            <w:tcBorders>
              <w:left w:val="single" w:sz="2" w:space="0" w:color="003366"/>
            </w:tcBorders>
            <w:tcMar>
              <w:left w:w="108" w:type="dxa"/>
              <w:right w:w="108" w:type="dxa"/>
            </w:tcMar>
            <w:vAlign w:val="bottom"/>
          </w:tcPr>
          <w:p w14:paraId="31BC60E7" w14:textId="55870CA5" w:rsidR="008520E6" w:rsidRPr="008520E6" w:rsidRDefault="008520E6" w:rsidP="00DF62B2">
            <w:pPr>
              <w:spacing w:after="120"/>
              <w:rPr>
                <w:b/>
                <w:bCs/>
                <w:color w:val="C54B0A" w:themeColor="accent5" w:themeShade="BF"/>
                <w:sz w:val="18"/>
                <w:szCs w:val="18"/>
              </w:rPr>
            </w:pPr>
            <w:r w:rsidRPr="008520E6">
              <w:rPr>
                <w:b/>
                <w:bCs/>
                <w:color w:val="C54B0A" w:themeColor="accent5" w:themeShade="BF"/>
                <w:sz w:val="18"/>
                <w:szCs w:val="18"/>
              </w:rPr>
              <w:t>COVID-19 Disclosure</w:t>
            </w:r>
          </w:p>
          <w:p w14:paraId="1DFE5908" w14:textId="59FAE5A9" w:rsidR="00DF62B2" w:rsidRPr="00DF62B2" w:rsidRDefault="00DF62B2" w:rsidP="00DF62B2">
            <w:pPr>
              <w:spacing w:after="120"/>
              <w:rPr>
                <w:color w:val="C54B0A" w:themeColor="accent5" w:themeShade="BF"/>
                <w:sz w:val="18"/>
                <w:szCs w:val="18"/>
              </w:rPr>
            </w:pPr>
            <w:r w:rsidRPr="00DF62B2">
              <w:rPr>
                <w:color w:val="C54B0A" w:themeColor="accent5" w:themeShade="BF"/>
                <w:sz w:val="18"/>
                <w:szCs w:val="18"/>
              </w:rPr>
              <w:t xml:space="preserve">In response to </w:t>
            </w:r>
            <w:r w:rsidR="007804BF">
              <w:rPr>
                <w:color w:val="C54B0A" w:themeColor="accent5" w:themeShade="BF"/>
                <w:sz w:val="18"/>
                <w:szCs w:val="18"/>
              </w:rPr>
              <w:t xml:space="preserve">the </w:t>
            </w:r>
            <w:r w:rsidRPr="00DF62B2">
              <w:rPr>
                <w:color w:val="C54B0A" w:themeColor="accent5" w:themeShade="BF"/>
                <w:sz w:val="18"/>
                <w:szCs w:val="18"/>
              </w:rPr>
              <w:t xml:space="preserve">COVID-19 pandemic, ‘Example Agency’ received </w:t>
            </w:r>
            <w:r w:rsidR="00701E1F">
              <w:rPr>
                <w:color w:val="C54B0A" w:themeColor="accent5" w:themeShade="BF"/>
                <w:sz w:val="18"/>
                <w:szCs w:val="18"/>
              </w:rPr>
              <w:t xml:space="preserve">additional appropriation funding through </w:t>
            </w:r>
            <w:r w:rsidRPr="00DF62B2">
              <w:rPr>
                <w:color w:val="C54B0A" w:themeColor="accent5" w:themeShade="BF"/>
                <w:sz w:val="18"/>
                <w:szCs w:val="18"/>
              </w:rPr>
              <w:t>a number of budget initiatives to support the local economy</w:t>
            </w:r>
            <w:r w:rsidR="00A87BEB">
              <w:rPr>
                <w:color w:val="C54B0A" w:themeColor="accent5" w:themeShade="BF"/>
                <w:sz w:val="18"/>
                <w:szCs w:val="18"/>
              </w:rPr>
              <w:t xml:space="preserve">.  This additional appropriation </w:t>
            </w:r>
            <w:r w:rsidR="00635023">
              <w:rPr>
                <w:color w:val="C54B0A" w:themeColor="accent5" w:themeShade="BF"/>
                <w:sz w:val="18"/>
                <w:szCs w:val="18"/>
              </w:rPr>
              <w:t xml:space="preserve">was </w:t>
            </w:r>
            <w:r w:rsidR="00A87BEB">
              <w:rPr>
                <w:color w:val="C54B0A" w:themeColor="accent5" w:themeShade="BF"/>
                <w:sz w:val="18"/>
                <w:szCs w:val="18"/>
              </w:rPr>
              <w:t>material as outlined below:</w:t>
            </w:r>
          </w:p>
          <w:p w14:paraId="0DC66DB1" w14:textId="60A62FA9" w:rsidR="006C27F8" w:rsidRPr="006C27F8" w:rsidRDefault="00844A14" w:rsidP="008520E6">
            <w:pPr>
              <w:pStyle w:val="ListParagraph"/>
              <w:numPr>
                <w:ilvl w:val="0"/>
                <w:numId w:val="27"/>
              </w:numPr>
              <w:spacing w:after="120"/>
              <w:ind w:left="391" w:hanging="357"/>
              <w:contextualSpacing w:val="0"/>
              <w:rPr>
                <w:color w:val="C54B0A" w:themeColor="accent5" w:themeShade="BF"/>
                <w:sz w:val="18"/>
                <w:szCs w:val="18"/>
              </w:rPr>
            </w:pPr>
            <w:r>
              <w:rPr>
                <w:i/>
                <w:iCs/>
                <w:color w:val="C54B0A" w:themeColor="accent5" w:themeShade="BF"/>
                <w:sz w:val="18"/>
                <w:szCs w:val="18"/>
              </w:rPr>
              <w:t xml:space="preserve">Phase 2 </w:t>
            </w:r>
            <w:r w:rsidR="00C25316">
              <w:rPr>
                <w:i/>
                <w:iCs/>
                <w:color w:val="C54B0A" w:themeColor="accent5" w:themeShade="BF"/>
                <w:sz w:val="18"/>
                <w:szCs w:val="18"/>
              </w:rPr>
              <w:t>o</w:t>
            </w:r>
            <w:r>
              <w:rPr>
                <w:i/>
                <w:iCs/>
                <w:color w:val="C54B0A" w:themeColor="accent5" w:themeShade="BF"/>
                <w:sz w:val="18"/>
                <w:szCs w:val="18"/>
              </w:rPr>
              <w:t xml:space="preserve">f the </w:t>
            </w:r>
            <w:r w:rsidR="00DF62B2" w:rsidRPr="007804BF">
              <w:rPr>
                <w:i/>
                <w:iCs/>
                <w:color w:val="C54B0A" w:themeColor="accent5" w:themeShade="BF"/>
                <w:sz w:val="18"/>
                <w:szCs w:val="18"/>
              </w:rPr>
              <w:t xml:space="preserve">Fast Tracked </w:t>
            </w:r>
            <w:r>
              <w:rPr>
                <w:i/>
                <w:iCs/>
                <w:color w:val="C54B0A" w:themeColor="accent5" w:themeShade="BF"/>
                <w:sz w:val="18"/>
                <w:szCs w:val="18"/>
              </w:rPr>
              <w:t>S</w:t>
            </w:r>
            <w:r w:rsidR="00DF62B2" w:rsidRPr="007804BF">
              <w:rPr>
                <w:i/>
                <w:iCs/>
                <w:color w:val="C54B0A" w:themeColor="accent5" w:themeShade="BF"/>
                <w:sz w:val="18"/>
                <w:szCs w:val="18"/>
              </w:rPr>
              <w:t xml:space="preserve">uburban </w:t>
            </w:r>
            <w:r>
              <w:rPr>
                <w:i/>
                <w:iCs/>
                <w:color w:val="C54B0A" w:themeColor="accent5" w:themeShade="BF"/>
                <w:sz w:val="18"/>
                <w:szCs w:val="18"/>
              </w:rPr>
              <w:t>I</w:t>
            </w:r>
            <w:r w:rsidR="00DF62B2" w:rsidRPr="007804BF">
              <w:rPr>
                <w:i/>
                <w:iCs/>
                <w:color w:val="C54B0A" w:themeColor="accent5" w:themeShade="BF"/>
                <w:sz w:val="18"/>
                <w:szCs w:val="18"/>
              </w:rPr>
              <w:t xml:space="preserve">nfrastructure </w:t>
            </w:r>
            <w:r>
              <w:rPr>
                <w:i/>
                <w:iCs/>
                <w:color w:val="C54B0A" w:themeColor="accent5" w:themeShade="BF"/>
                <w:sz w:val="18"/>
                <w:szCs w:val="18"/>
              </w:rPr>
              <w:t>P</w:t>
            </w:r>
            <w:r w:rsidR="00DF62B2" w:rsidRPr="007804BF">
              <w:rPr>
                <w:i/>
                <w:iCs/>
                <w:color w:val="C54B0A" w:themeColor="accent5" w:themeShade="BF"/>
                <w:sz w:val="18"/>
                <w:szCs w:val="18"/>
              </w:rPr>
              <w:t>rogram</w:t>
            </w:r>
            <w:r w:rsidR="00DF62B2" w:rsidRPr="006C27F8">
              <w:rPr>
                <w:color w:val="C54B0A" w:themeColor="accent5" w:themeShade="BF"/>
                <w:sz w:val="18"/>
                <w:szCs w:val="18"/>
              </w:rPr>
              <w:t xml:space="preserve"> (‘Screwdriver 2’ ready projects)</w:t>
            </w:r>
            <w:r w:rsidR="006C27F8" w:rsidRPr="006C27F8">
              <w:rPr>
                <w:color w:val="C54B0A" w:themeColor="accent5" w:themeShade="BF"/>
                <w:sz w:val="18"/>
                <w:szCs w:val="18"/>
              </w:rPr>
              <w:t xml:space="preserve">.  </w:t>
            </w:r>
            <w:r w:rsidR="00DF62B2" w:rsidRPr="006C27F8">
              <w:rPr>
                <w:color w:val="C54B0A" w:themeColor="accent5" w:themeShade="BF"/>
                <w:sz w:val="18"/>
                <w:szCs w:val="18"/>
              </w:rPr>
              <w:t xml:space="preserve"> As part of the ACT Government’s economic package,</w:t>
            </w:r>
            <w:r w:rsidR="006C27F8">
              <w:rPr>
                <w:color w:val="C54B0A" w:themeColor="accent5" w:themeShade="BF"/>
                <w:sz w:val="18"/>
                <w:szCs w:val="18"/>
              </w:rPr>
              <w:t xml:space="preserve"> </w:t>
            </w:r>
            <w:r w:rsidR="008520E6">
              <w:rPr>
                <w:color w:val="C54B0A" w:themeColor="accent5" w:themeShade="BF"/>
                <w:sz w:val="18"/>
                <w:szCs w:val="18"/>
              </w:rPr>
              <w:t>t</w:t>
            </w:r>
            <w:r w:rsidR="006C27F8" w:rsidRPr="006C27F8">
              <w:rPr>
                <w:color w:val="C54B0A" w:themeColor="accent5" w:themeShade="BF"/>
                <w:sz w:val="18"/>
                <w:szCs w:val="18"/>
              </w:rPr>
              <w:t>he second phase of the Fast-Track program has played an important role in Canberra’s Recovery Plan.  Similar to Phase 1, Phase 2 of this project has been designed to stimulate the ACT economy and renew local infrastructure across Canberra by providing more jobs and supporting more businesses.  ‘Example Agency’ has received $2.1</w:t>
            </w:r>
            <w:r w:rsidR="008520E6">
              <w:rPr>
                <w:color w:val="C54B0A" w:themeColor="accent5" w:themeShade="BF"/>
                <w:sz w:val="18"/>
                <w:szCs w:val="18"/>
              </w:rPr>
              <w:t> </w:t>
            </w:r>
            <w:r w:rsidR="006C27F8" w:rsidRPr="006C27F8">
              <w:rPr>
                <w:color w:val="C54B0A" w:themeColor="accent5" w:themeShade="BF"/>
                <w:sz w:val="18"/>
                <w:szCs w:val="18"/>
              </w:rPr>
              <w:t>million in funding for upgrades to public buildings, various maintenance works and urban renewal projects</w:t>
            </w:r>
            <w:r w:rsidR="008520E6">
              <w:rPr>
                <w:color w:val="C54B0A" w:themeColor="accent5" w:themeShade="BF"/>
                <w:sz w:val="18"/>
                <w:szCs w:val="18"/>
              </w:rPr>
              <w:t>;</w:t>
            </w:r>
          </w:p>
          <w:p w14:paraId="5D204E37" w14:textId="5A9CC695" w:rsidR="00A745AF" w:rsidRDefault="00DF62B2" w:rsidP="008520E6">
            <w:pPr>
              <w:pStyle w:val="ListParagraph"/>
              <w:numPr>
                <w:ilvl w:val="0"/>
                <w:numId w:val="27"/>
              </w:numPr>
              <w:spacing w:after="120"/>
              <w:ind w:left="391" w:hanging="357"/>
              <w:contextualSpacing w:val="0"/>
              <w:rPr>
                <w:color w:val="C54B0A" w:themeColor="accent5" w:themeShade="BF"/>
                <w:sz w:val="18"/>
                <w:szCs w:val="18"/>
              </w:rPr>
            </w:pPr>
            <w:r w:rsidRPr="00DF62B2">
              <w:rPr>
                <w:i/>
                <w:iCs/>
                <w:color w:val="C54B0A" w:themeColor="accent5" w:themeShade="BF"/>
                <w:sz w:val="18"/>
                <w:szCs w:val="18"/>
              </w:rPr>
              <w:t>Jobs for Canberra</w:t>
            </w:r>
            <w:r w:rsidRPr="00DF62B2">
              <w:rPr>
                <w:color w:val="C54B0A" w:themeColor="accent5" w:themeShade="BF"/>
                <w:sz w:val="18"/>
                <w:szCs w:val="18"/>
              </w:rPr>
              <w:t xml:space="preserve"> - The ACT Government established a ‘Jobs for Canberrans’ fund to allow ACT Government Directorates to provide secure work opportunities for Canberrans who have relied on casual work and are not eligible for the Australian Government’s wage subsidy scheme. Throughout 2020-21, the Directorate had 27 staff employed under </w:t>
            </w:r>
            <w:r w:rsidR="00F21677">
              <w:rPr>
                <w:color w:val="C54B0A" w:themeColor="accent5" w:themeShade="BF"/>
                <w:sz w:val="18"/>
                <w:szCs w:val="18"/>
              </w:rPr>
              <w:t xml:space="preserve">the </w:t>
            </w:r>
            <w:r w:rsidRPr="00DF62B2">
              <w:rPr>
                <w:color w:val="C54B0A" w:themeColor="accent5" w:themeShade="BF"/>
                <w:sz w:val="18"/>
                <w:szCs w:val="18"/>
              </w:rPr>
              <w:t>‘Jobs for Canberrans’ program</w:t>
            </w:r>
            <w:r w:rsidR="00F21677">
              <w:rPr>
                <w:color w:val="C54B0A" w:themeColor="accent5" w:themeShade="BF"/>
                <w:sz w:val="18"/>
                <w:szCs w:val="18"/>
              </w:rPr>
              <w:t xml:space="preserve"> and received $2.3 million in funding</w:t>
            </w:r>
            <w:r w:rsidRPr="00DF62B2">
              <w:rPr>
                <w:color w:val="C54B0A" w:themeColor="accent5" w:themeShade="BF"/>
                <w:sz w:val="18"/>
                <w:szCs w:val="18"/>
              </w:rPr>
              <w:t xml:space="preserve">. </w:t>
            </w:r>
          </w:p>
          <w:p w14:paraId="3FA41E8E" w14:textId="08074842" w:rsidR="00DF62B2" w:rsidRPr="008520E6" w:rsidRDefault="00A745AF" w:rsidP="00DF62B2">
            <w:pPr>
              <w:pStyle w:val="ListParagraph"/>
              <w:numPr>
                <w:ilvl w:val="0"/>
                <w:numId w:val="27"/>
              </w:numPr>
              <w:spacing w:after="120"/>
              <w:ind w:left="391" w:hanging="357"/>
              <w:contextualSpacing w:val="0"/>
              <w:rPr>
                <w:color w:val="C54B0A" w:themeColor="accent5" w:themeShade="BF"/>
                <w:sz w:val="18"/>
                <w:szCs w:val="18"/>
              </w:rPr>
            </w:pPr>
            <w:r w:rsidRPr="003250E4">
              <w:rPr>
                <w:i/>
                <w:iCs/>
                <w:color w:val="C54B0A" w:themeColor="accent5" w:themeShade="BF"/>
                <w:sz w:val="18"/>
                <w:szCs w:val="18"/>
              </w:rPr>
              <w:t>‘Improving the Look and Feel of the City’</w:t>
            </w:r>
            <w:r w:rsidRPr="003250E4">
              <w:rPr>
                <w:color w:val="C54B0A" w:themeColor="accent5" w:themeShade="BF"/>
                <w:sz w:val="18"/>
                <w:szCs w:val="18"/>
              </w:rPr>
              <w:t xml:space="preserve"> - Canberra’s public spaces and recreation areas </w:t>
            </w:r>
            <w:r>
              <w:rPr>
                <w:color w:val="C54B0A" w:themeColor="accent5" w:themeShade="BF"/>
                <w:sz w:val="18"/>
                <w:szCs w:val="18"/>
              </w:rPr>
              <w:t xml:space="preserve">were upgraded through the ACT Governments </w:t>
            </w:r>
            <w:r w:rsidRPr="003250E4">
              <w:rPr>
                <w:color w:val="C54B0A" w:themeColor="accent5" w:themeShade="BF"/>
                <w:sz w:val="18"/>
                <w:szCs w:val="18"/>
              </w:rPr>
              <w:t>second stimulus package</w:t>
            </w:r>
            <w:r>
              <w:rPr>
                <w:color w:val="C54B0A" w:themeColor="accent5" w:themeShade="BF"/>
                <w:sz w:val="18"/>
                <w:szCs w:val="18"/>
              </w:rPr>
              <w:t xml:space="preserve"> titled ‘</w:t>
            </w:r>
            <w:r w:rsidRPr="00A745AF">
              <w:rPr>
                <w:color w:val="C54B0A" w:themeColor="accent5" w:themeShade="BF"/>
                <w:sz w:val="18"/>
                <w:szCs w:val="18"/>
              </w:rPr>
              <w:t>Improving the Look and Feel of the City’.</w:t>
            </w:r>
            <w:r>
              <w:rPr>
                <w:color w:val="C54B0A" w:themeColor="accent5" w:themeShade="BF"/>
                <w:sz w:val="18"/>
                <w:szCs w:val="18"/>
              </w:rPr>
              <w:t xml:space="preserve">  </w:t>
            </w:r>
            <w:r w:rsidRPr="00A745AF">
              <w:rPr>
                <w:color w:val="C54B0A" w:themeColor="accent5" w:themeShade="BF"/>
                <w:sz w:val="18"/>
                <w:szCs w:val="18"/>
              </w:rPr>
              <w:t xml:space="preserve">This broad package of work is designed to improve Canberra’s public spaces, </w:t>
            </w:r>
            <w:r>
              <w:rPr>
                <w:color w:val="C54B0A" w:themeColor="accent5" w:themeShade="BF"/>
                <w:sz w:val="18"/>
                <w:szCs w:val="18"/>
              </w:rPr>
              <w:t xml:space="preserve">and </w:t>
            </w:r>
            <w:r w:rsidRPr="00A745AF">
              <w:rPr>
                <w:color w:val="C54B0A" w:themeColor="accent5" w:themeShade="BF"/>
                <w:sz w:val="18"/>
                <w:szCs w:val="18"/>
              </w:rPr>
              <w:t>to create employment w</w:t>
            </w:r>
            <w:r>
              <w:rPr>
                <w:color w:val="C54B0A" w:themeColor="accent5" w:themeShade="BF"/>
                <w:sz w:val="18"/>
                <w:szCs w:val="18"/>
              </w:rPr>
              <w:t>ithin the ACT</w:t>
            </w:r>
            <w:r w:rsidR="00701E1F">
              <w:rPr>
                <w:color w:val="C54B0A" w:themeColor="accent5" w:themeShade="BF"/>
                <w:sz w:val="18"/>
                <w:szCs w:val="18"/>
              </w:rPr>
              <w:t xml:space="preserve"> due to the economic impact of the COVID-19 pandemic</w:t>
            </w:r>
            <w:r w:rsidRPr="00A745AF">
              <w:rPr>
                <w:color w:val="C54B0A" w:themeColor="accent5" w:themeShade="BF"/>
                <w:sz w:val="18"/>
                <w:szCs w:val="18"/>
              </w:rPr>
              <w:t>.</w:t>
            </w:r>
            <w:r>
              <w:rPr>
                <w:color w:val="C54B0A" w:themeColor="accent5" w:themeShade="BF"/>
                <w:sz w:val="18"/>
                <w:szCs w:val="18"/>
              </w:rPr>
              <w:t xml:space="preserve">  ‘Example Agency’ received $4.5 million through this package </w:t>
            </w:r>
            <w:r w:rsidRPr="00A745AF">
              <w:rPr>
                <w:color w:val="C54B0A" w:themeColor="accent5" w:themeShade="BF"/>
                <w:sz w:val="18"/>
                <w:szCs w:val="18"/>
              </w:rPr>
              <w:t xml:space="preserve">to </w:t>
            </w:r>
            <w:r>
              <w:rPr>
                <w:color w:val="C54B0A" w:themeColor="accent5" w:themeShade="BF"/>
                <w:sz w:val="18"/>
                <w:szCs w:val="18"/>
              </w:rPr>
              <w:t xml:space="preserve">undertake </w:t>
            </w:r>
            <w:r w:rsidRPr="00A745AF">
              <w:rPr>
                <w:color w:val="C54B0A" w:themeColor="accent5" w:themeShade="BF"/>
                <w:sz w:val="18"/>
                <w:szCs w:val="18"/>
              </w:rPr>
              <w:t>refresh works to local shopping centres and the city centre, new public toilets and increased maintenance activities</w:t>
            </w:r>
            <w:r>
              <w:rPr>
                <w:color w:val="C54B0A" w:themeColor="accent5" w:themeShade="BF"/>
                <w:sz w:val="18"/>
                <w:szCs w:val="18"/>
              </w:rPr>
              <w:t>.</w:t>
            </w:r>
            <w:r w:rsidRPr="00A745AF">
              <w:rPr>
                <w:color w:val="C54B0A" w:themeColor="accent5" w:themeShade="BF"/>
                <w:sz w:val="18"/>
                <w:szCs w:val="18"/>
              </w:rPr>
              <w:t> </w:t>
            </w:r>
          </w:p>
        </w:tc>
      </w:tr>
      <w:tr w:rsidR="00C9295B" w:rsidRPr="007E0503" w14:paraId="111F408F" w14:textId="77777777" w:rsidTr="000A07A1">
        <w:tblPrEx>
          <w:tblBorders>
            <w:top w:val="single" w:sz="2" w:space="0" w:color="003366"/>
            <w:left w:val="single" w:sz="2" w:space="0" w:color="003366"/>
            <w:bottom w:val="single" w:sz="2" w:space="0" w:color="003366"/>
            <w:right w:val="single" w:sz="2" w:space="0" w:color="003366"/>
          </w:tblBorders>
        </w:tblPrEx>
        <w:trPr>
          <w:cantSplit/>
          <w:trHeight w:val="288"/>
        </w:trPr>
        <w:tc>
          <w:tcPr>
            <w:tcW w:w="1563" w:type="dxa"/>
            <w:tcBorders>
              <w:top w:val="nil"/>
              <w:left w:val="single" w:sz="2" w:space="0" w:color="003366"/>
              <w:bottom w:val="nil"/>
              <w:right w:val="single" w:sz="2" w:space="0" w:color="003366"/>
            </w:tcBorders>
          </w:tcPr>
          <w:p w14:paraId="2D5CC190" w14:textId="77777777" w:rsidR="00C9295B" w:rsidRPr="007E0503" w:rsidRDefault="00C9295B" w:rsidP="00844A14">
            <w:pPr>
              <w:tabs>
                <w:tab w:val="left" w:pos="3306"/>
              </w:tabs>
              <w:spacing w:before="40"/>
              <w:rPr>
                <w:rFonts w:cs="Calibri"/>
                <w:sz w:val="16"/>
              </w:rPr>
            </w:pPr>
          </w:p>
        </w:tc>
        <w:tc>
          <w:tcPr>
            <w:tcW w:w="7660" w:type="dxa"/>
            <w:gridSpan w:val="6"/>
            <w:tcBorders>
              <w:top w:val="nil"/>
              <w:left w:val="single" w:sz="2" w:space="0" w:color="003366"/>
              <w:bottom w:val="nil"/>
              <w:right w:val="nil"/>
            </w:tcBorders>
            <w:vAlign w:val="bottom"/>
          </w:tcPr>
          <w:p w14:paraId="5A7A7FFC" w14:textId="77777777" w:rsidR="00C9295B" w:rsidRPr="007E0503" w:rsidRDefault="00C9295B" w:rsidP="00CE4288">
            <w:pPr>
              <w:spacing w:after="0"/>
              <w:rPr>
                <w:b/>
                <w:sz w:val="18"/>
                <w:szCs w:val="18"/>
              </w:rPr>
            </w:pPr>
            <w:bookmarkStart w:id="40" w:name="_Toc48468272"/>
            <w:bookmarkStart w:id="41" w:name="_Toc49155451"/>
            <w:r w:rsidRPr="007E0503">
              <w:rPr>
                <w:b/>
                <w:sz w:val="18"/>
                <w:szCs w:val="18"/>
              </w:rPr>
              <w:t>Column Heading Explanations</w:t>
            </w:r>
            <w:bookmarkEnd w:id="40"/>
            <w:bookmarkEnd w:id="41"/>
            <w:r w:rsidRPr="007E0503">
              <w:rPr>
                <w:b/>
                <w:sz w:val="18"/>
                <w:szCs w:val="18"/>
              </w:rPr>
              <w:t>:</w:t>
            </w:r>
          </w:p>
          <w:p w14:paraId="288CDC1C" w14:textId="77777777" w:rsidR="00C9295B" w:rsidRPr="007E0503" w:rsidRDefault="00C9295B" w:rsidP="00CE4288">
            <w:pPr>
              <w:spacing w:after="0"/>
              <w:jc w:val="both"/>
              <w:rPr>
                <w:sz w:val="18"/>
                <w:szCs w:val="18"/>
              </w:rPr>
            </w:pPr>
            <w:r w:rsidRPr="007E0503">
              <w:rPr>
                <w:sz w:val="18"/>
                <w:szCs w:val="18"/>
              </w:rPr>
              <w:t xml:space="preserve">The </w:t>
            </w:r>
            <w:r w:rsidRPr="007E0503">
              <w:rPr>
                <w:iCs/>
                <w:sz w:val="18"/>
                <w:szCs w:val="18"/>
              </w:rPr>
              <w:t>Original Budget</w:t>
            </w:r>
            <w:r w:rsidRPr="007E0503">
              <w:rPr>
                <w:sz w:val="18"/>
                <w:szCs w:val="18"/>
              </w:rPr>
              <w:t xml:space="preserve"> column shows the amounts that appear in the </w:t>
            </w:r>
            <w:r w:rsidRPr="007E0503">
              <w:rPr>
                <w:rFonts w:cs="Calibri"/>
                <w:sz w:val="18"/>
                <w:szCs w:val="18"/>
              </w:rPr>
              <w:t xml:space="preserve">Statement of Cash Flows </w:t>
            </w:r>
            <w:r w:rsidRPr="007E0503">
              <w:rPr>
                <w:sz w:val="18"/>
                <w:szCs w:val="18"/>
              </w:rPr>
              <w:t xml:space="preserve">in the Budget Papers. This amount also appears in the </w:t>
            </w:r>
            <w:r w:rsidRPr="007E0503">
              <w:rPr>
                <w:rFonts w:cs="Calibri"/>
                <w:sz w:val="18"/>
                <w:szCs w:val="18"/>
              </w:rPr>
              <w:t>Statement of Cash Flows.</w:t>
            </w:r>
          </w:p>
          <w:p w14:paraId="3EE4F7C9" w14:textId="77777777" w:rsidR="00C9295B" w:rsidRPr="007E0503" w:rsidRDefault="00C9295B" w:rsidP="00CE4288">
            <w:pPr>
              <w:spacing w:after="0"/>
              <w:jc w:val="both"/>
              <w:rPr>
                <w:sz w:val="18"/>
                <w:szCs w:val="18"/>
              </w:rPr>
            </w:pPr>
            <w:r w:rsidRPr="007E0503">
              <w:rPr>
                <w:sz w:val="18"/>
                <w:szCs w:val="18"/>
              </w:rPr>
              <w:t xml:space="preserve">The </w:t>
            </w:r>
            <w:r w:rsidRPr="007E0503">
              <w:rPr>
                <w:iCs/>
                <w:sz w:val="18"/>
                <w:szCs w:val="18"/>
              </w:rPr>
              <w:t>Total Appropriated</w:t>
            </w:r>
            <w:r w:rsidRPr="007E0503">
              <w:rPr>
                <w:sz w:val="18"/>
                <w:szCs w:val="18"/>
              </w:rPr>
              <w:t xml:space="preserve"> column is inclusive of all appropriation variations occurring after the Original Budget.      </w:t>
            </w:r>
          </w:p>
          <w:p w14:paraId="7102BD26" w14:textId="77777777" w:rsidR="00C9295B" w:rsidRPr="007E0503" w:rsidRDefault="00C9295B" w:rsidP="00CE4288">
            <w:pPr>
              <w:spacing w:after="0"/>
              <w:jc w:val="both"/>
              <w:rPr>
                <w:sz w:val="18"/>
                <w:szCs w:val="18"/>
              </w:rPr>
            </w:pPr>
            <w:r w:rsidRPr="007E0503">
              <w:rPr>
                <w:sz w:val="18"/>
                <w:szCs w:val="18"/>
              </w:rPr>
              <w:t xml:space="preserve">The </w:t>
            </w:r>
            <w:r w:rsidRPr="007E0503">
              <w:rPr>
                <w:iCs/>
                <w:sz w:val="18"/>
                <w:szCs w:val="18"/>
              </w:rPr>
              <w:t>Appropriation Drawn</w:t>
            </w:r>
            <w:r w:rsidRPr="007E0503">
              <w:rPr>
                <w:sz w:val="18"/>
                <w:szCs w:val="18"/>
              </w:rPr>
              <w:t xml:space="preserve"> is the total amount of appropriation received by the Agency during the year. This amount appears in the </w:t>
            </w:r>
            <w:r w:rsidRPr="007E0503">
              <w:rPr>
                <w:rFonts w:cs="Calibri"/>
                <w:sz w:val="18"/>
                <w:szCs w:val="18"/>
              </w:rPr>
              <w:t>Statement of Cash Flows.</w:t>
            </w:r>
          </w:p>
        </w:tc>
      </w:tr>
      <w:tr w:rsidR="00C9295B" w:rsidRPr="007E0503" w14:paraId="15DBCEFF" w14:textId="77777777" w:rsidTr="000A07A1">
        <w:tblPrEx>
          <w:tblBorders>
            <w:top w:val="single" w:sz="2" w:space="0" w:color="003366"/>
            <w:left w:val="single" w:sz="2" w:space="0" w:color="003366"/>
            <w:bottom w:val="single" w:sz="2" w:space="0" w:color="003366"/>
            <w:right w:val="single" w:sz="2" w:space="0" w:color="003366"/>
          </w:tblBorders>
        </w:tblPrEx>
        <w:trPr>
          <w:cantSplit/>
          <w:trHeight w:val="284"/>
        </w:trPr>
        <w:tc>
          <w:tcPr>
            <w:tcW w:w="1563" w:type="dxa"/>
            <w:tcBorders>
              <w:top w:val="nil"/>
              <w:left w:val="single" w:sz="2" w:space="0" w:color="003366"/>
              <w:bottom w:val="nil"/>
              <w:right w:val="single" w:sz="2" w:space="0" w:color="003366"/>
            </w:tcBorders>
          </w:tcPr>
          <w:p w14:paraId="76FC7B32" w14:textId="77777777" w:rsidR="00C9295B" w:rsidRPr="007E0503" w:rsidRDefault="00C9295B" w:rsidP="00844A14">
            <w:pPr>
              <w:rPr>
                <w:rFonts w:cs="Calibri"/>
                <w:sz w:val="16"/>
              </w:rPr>
            </w:pPr>
          </w:p>
        </w:tc>
        <w:tc>
          <w:tcPr>
            <w:tcW w:w="7660" w:type="dxa"/>
            <w:gridSpan w:val="6"/>
            <w:tcBorders>
              <w:top w:val="nil"/>
              <w:left w:val="single" w:sz="2" w:space="0" w:color="003366"/>
              <w:bottom w:val="nil"/>
              <w:right w:val="nil"/>
            </w:tcBorders>
            <w:vAlign w:val="bottom"/>
          </w:tcPr>
          <w:p w14:paraId="4F0F37C8" w14:textId="77777777" w:rsidR="00C9295B" w:rsidRPr="007E0503" w:rsidRDefault="00C9295B" w:rsidP="00CE4288">
            <w:pPr>
              <w:spacing w:after="0"/>
              <w:rPr>
                <w:sz w:val="18"/>
                <w:szCs w:val="18"/>
              </w:rPr>
            </w:pPr>
            <w:r w:rsidRPr="007E0503">
              <w:rPr>
                <w:sz w:val="18"/>
                <w:szCs w:val="18"/>
              </w:rPr>
              <w:t>Variances between ‘Original Budget’, ‘Total Appropriated’ and ‘Appropriation Drawn ‘.</w:t>
            </w:r>
          </w:p>
        </w:tc>
      </w:tr>
      <w:tr w:rsidR="00C9295B" w:rsidRPr="007E0503" w14:paraId="2ABF2044" w14:textId="77777777" w:rsidTr="000A07A1">
        <w:tblPrEx>
          <w:tblBorders>
            <w:top w:val="single" w:sz="2" w:space="0" w:color="003366"/>
            <w:left w:val="single" w:sz="2" w:space="0" w:color="003366"/>
            <w:bottom w:val="single" w:sz="2" w:space="0" w:color="003366"/>
            <w:right w:val="single" w:sz="2" w:space="0" w:color="003366"/>
          </w:tblBorders>
        </w:tblPrEx>
        <w:trPr>
          <w:cantSplit/>
          <w:trHeight w:val="284"/>
        </w:trPr>
        <w:tc>
          <w:tcPr>
            <w:tcW w:w="1563" w:type="dxa"/>
            <w:tcBorders>
              <w:top w:val="nil"/>
              <w:left w:val="single" w:sz="2" w:space="0" w:color="003366"/>
              <w:bottom w:val="nil"/>
              <w:right w:val="single" w:sz="2" w:space="0" w:color="003366"/>
            </w:tcBorders>
          </w:tcPr>
          <w:p w14:paraId="2CA0D039" w14:textId="77777777" w:rsidR="00C9295B" w:rsidRPr="007E0503" w:rsidRDefault="00C9295B" w:rsidP="00844A14">
            <w:pPr>
              <w:rPr>
                <w:rFonts w:cs="Calibri"/>
                <w:sz w:val="16"/>
              </w:rPr>
            </w:pPr>
          </w:p>
        </w:tc>
        <w:tc>
          <w:tcPr>
            <w:tcW w:w="7660" w:type="dxa"/>
            <w:gridSpan w:val="6"/>
            <w:tcBorders>
              <w:top w:val="nil"/>
              <w:left w:val="single" w:sz="2" w:space="0" w:color="003366"/>
              <w:bottom w:val="nil"/>
              <w:right w:val="nil"/>
            </w:tcBorders>
            <w:vAlign w:val="bottom"/>
          </w:tcPr>
          <w:p w14:paraId="3060EE67" w14:textId="77777777" w:rsidR="00C9295B" w:rsidRPr="007E0503" w:rsidRDefault="00C9295B" w:rsidP="00844A14">
            <w:pPr>
              <w:rPr>
                <w:sz w:val="18"/>
                <w:szCs w:val="18"/>
              </w:rPr>
            </w:pPr>
          </w:p>
          <w:tbl>
            <w:tblPr>
              <w:tblW w:w="7675" w:type="dxa"/>
              <w:tblInd w:w="13" w:type="dxa"/>
              <w:tblLayout w:type="fixed"/>
              <w:tblLook w:val="04A0" w:firstRow="1" w:lastRow="0" w:firstColumn="1" w:lastColumn="0" w:noHBand="0" w:noVBand="1"/>
            </w:tblPr>
            <w:tblGrid>
              <w:gridCol w:w="4003"/>
              <w:gridCol w:w="1546"/>
              <w:gridCol w:w="728"/>
              <w:gridCol w:w="1398"/>
            </w:tblGrid>
            <w:tr w:rsidR="00C9295B" w:rsidRPr="007E0503" w14:paraId="5C131D40" w14:textId="77777777" w:rsidTr="00844A14">
              <w:trPr>
                <w:trHeight w:val="508"/>
              </w:trPr>
              <w:tc>
                <w:tcPr>
                  <w:tcW w:w="4003" w:type="dxa"/>
                  <w:tcBorders>
                    <w:top w:val="single" w:sz="4" w:space="0" w:color="auto"/>
                    <w:left w:val="nil"/>
                    <w:bottom w:val="single" w:sz="8" w:space="0" w:color="auto"/>
                    <w:right w:val="nil"/>
                  </w:tcBorders>
                  <w:shd w:val="clear" w:color="auto" w:fill="auto"/>
                  <w:noWrap/>
                  <w:vAlign w:val="center"/>
                  <w:hideMark/>
                </w:tcPr>
                <w:p w14:paraId="11A6BB24" w14:textId="50E1DF07" w:rsidR="00C9295B" w:rsidRPr="007E0503" w:rsidRDefault="00C9295B" w:rsidP="00844A14">
                  <w:pPr>
                    <w:rPr>
                      <w:b/>
                      <w:bCs/>
                      <w:sz w:val="18"/>
                      <w:szCs w:val="18"/>
                    </w:rPr>
                  </w:pPr>
                  <w:r w:rsidRPr="007E0503">
                    <w:rPr>
                      <w:b/>
                      <w:bCs/>
                      <w:sz w:val="18"/>
                      <w:szCs w:val="18"/>
                    </w:rPr>
                    <w:t>Reconciliation of Appropriation for 20</w:t>
                  </w:r>
                  <w:r w:rsidR="00F21677">
                    <w:rPr>
                      <w:b/>
                      <w:bCs/>
                      <w:sz w:val="18"/>
                      <w:szCs w:val="18"/>
                    </w:rPr>
                    <w:t>20</w:t>
                  </w:r>
                  <w:r w:rsidRPr="007E0503">
                    <w:rPr>
                      <w:b/>
                      <w:bCs/>
                      <w:sz w:val="18"/>
                      <w:szCs w:val="18"/>
                    </w:rPr>
                    <w:t>-2</w:t>
                  </w:r>
                  <w:r w:rsidR="00F21677">
                    <w:rPr>
                      <w:b/>
                      <w:bCs/>
                      <w:sz w:val="18"/>
                      <w:szCs w:val="18"/>
                    </w:rPr>
                    <w:t>1</w:t>
                  </w:r>
                </w:p>
              </w:tc>
              <w:tc>
                <w:tcPr>
                  <w:tcW w:w="2274" w:type="dxa"/>
                  <w:gridSpan w:val="2"/>
                  <w:tcBorders>
                    <w:top w:val="single" w:sz="4" w:space="0" w:color="auto"/>
                    <w:left w:val="nil"/>
                    <w:bottom w:val="single" w:sz="8" w:space="0" w:color="auto"/>
                    <w:right w:val="nil"/>
                  </w:tcBorders>
                  <w:shd w:val="clear" w:color="auto" w:fill="auto"/>
                  <w:noWrap/>
                  <w:vAlign w:val="bottom"/>
                  <w:hideMark/>
                </w:tcPr>
                <w:p w14:paraId="4465FFC3" w14:textId="77777777" w:rsidR="00C9295B" w:rsidRPr="007E0503" w:rsidRDefault="00C9295B" w:rsidP="00C9295B">
                  <w:pPr>
                    <w:spacing w:after="0"/>
                    <w:jc w:val="center"/>
                    <w:rPr>
                      <w:b/>
                      <w:bCs/>
                      <w:sz w:val="18"/>
                      <w:szCs w:val="18"/>
                    </w:rPr>
                  </w:pPr>
                  <w:r w:rsidRPr="007E0503">
                    <w:rPr>
                      <w:b/>
                      <w:bCs/>
                      <w:sz w:val="18"/>
                      <w:szCs w:val="18"/>
                    </w:rPr>
                    <w:t>Controlled Recurrent Payments</w:t>
                  </w:r>
                </w:p>
                <w:p w14:paraId="1811B1B6" w14:textId="44215AAB" w:rsidR="00C9295B" w:rsidRPr="007E0503" w:rsidRDefault="00C9295B" w:rsidP="00C9295B">
                  <w:pPr>
                    <w:spacing w:after="0"/>
                    <w:jc w:val="center"/>
                    <w:rPr>
                      <w:b/>
                      <w:bCs/>
                      <w:sz w:val="18"/>
                      <w:szCs w:val="18"/>
                    </w:rPr>
                  </w:pPr>
                  <w:r w:rsidRPr="007E0503">
                    <w:rPr>
                      <w:b/>
                      <w:bCs/>
                      <w:sz w:val="18"/>
                      <w:szCs w:val="18"/>
                    </w:rPr>
                    <w:t>$</w:t>
                  </w:r>
                  <w:r w:rsidR="00CE4288">
                    <w:rPr>
                      <w:b/>
                      <w:bCs/>
                      <w:sz w:val="18"/>
                      <w:szCs w:val="18"/>
                    </w:rPr>
                    <w:t>’</w:t>
                  </w:r>
                  <w:r w:rsidRPr="007E0503">
                    <w:rPr>
                      <w:b/>
                      <w:bCs/>
                      <w:sz w:val="18"/>
                      <w:szCs w:val="18"/>
                    </w:rPr>
                    <w:t>000</w:t>
                  </w:r>
                </w:p>
              </w:tc>
              <w:tc>
                <w:tcPr>
                  <w:tcW w:w="1398" w:type="dxa"/>
                  <w:tcBorders>
                    <w:top w:val="single" w:sz="4" w:space="0" w:color="auto"/>
                    <w:left w:val="nil"/>
                    <w:bottom w:val="single" w:sz="8" w:space="0" w:color="auto"/>
                    <w:right w:val="nil"/>
                  </w:tcBorders>
                  <w:shd w:val="clear" w:color="auto" w:fill="auto"/>
                  <w:vAlign w:val="bottom"/>
                  <w:hideMark/>
                </w:tcPr>
                <w:p w14:paraId="79DB4CBC" w14:textId="77777777" w:rsidR="00C9295B" w:rsidRPr="007E0503" w:rsidRDefault="00C9295B" w:rsidP="00C9295B">
                  <w:pPr>
                    <w:spacing w:after="0"/>
                    <w:jc w:val="center"/>
                    <w:rPr>
                      <w:b/>
                      <w:bCs/>
                      <w:sz w:val="18"/>
                      <w:szCs w:val="18"/>
                    </w:rPr>
                  </w:pPr>
                  <w:r w:rsidRPr="007E0503">
                    <w:rPr>
                      <w:b/>
                      <w:bCs/>
                      <w:sz w:val="18"/>
                      <w:szCs w:val="18"/>
                    </w:rPr>
                    <w:t>Capital Injections</w:t>
                  </w:r>
                </w:p>
                <w:p w14:paraId="6D1BBC49" w14:textId="04DDABE8" w:rsidR="00C9295B" w:rsidRPr="007E0503" w:rsidRDefault="00C9295B" w:rsidP="00C9295B">
                  <w:pPr>
                    <w:spacing w:after="0"/>
                    <w:ind w:left="298" w:right="317"/>
                    <w:jc w:val="center"/>
                    <w:rPr>
                      <w:b/>
                      <w:bCs/>
                      <w:sz w:val="18"/>
                      <w:szCs w:val="18"/>
                    </w:rPr>
                  </w:pPr>
                  <w:r w:rsidRPr="007E0503">
                    <w:rPr>
                      <w:b/>
                      <w:bCs/>
                      <w:sz w:val="18"/>
                      <w:szCs w:val="18"/>
                    </w:rPr>
                    <w:t>$</w:t>
                  </w:r>
                  <w:r w:rsidR="00CE4288">
                    <w:rPr>
                      <w:b/>
                      <w:bCs/>
                      <w:sz w:val="18"/>
                      <w:szCs w:val="18"/>
                    </w:rPr>
                    <w:t>’</w:t>
                  </w:r>
                  <w:r w:rsidRPr="007E0503">
                    <w:rPr>
                      <w:b/>
                      <w:bCs/>
                      <w:sz w:val="18"/>
                      <w:szCs w:val="18"/>
                    </w:rPr>
                    <w:t>000</w:t>
                  </w:r>
                </w:p>
              </w:tc>
            </w:tr>
            <w:tr w:rsidR="00C9295B" w:rsidRPr="007E0503" w14:paraId="788249F4" w14:textId="77777777" w:rsidTr="00844A14">
              <w:trPr>
                <w:trHeight w:val="288"/>
              </w:trPr>
              <w:tc>
                <w:tcPr>
                  <w:tcW w:w="4003" w:type="dxa"/>
                  <w:tcBorders>
                    <w:top w:val="nil"/>
                    <w:left w:val="nil"/>
                    <w:bottom w:val="nil"/>
                    <w:right w:val="nil"/>
                  </w:tcBorders>
                  <w:shd w:val="clear" w:color="auto" w:fill="auto"/>
                  <w:noWrap/>
                  <w:vAlign w:val="bottom"/>
                  <w:hideMark/>
                </w:tcPr>
                <w:p w14:paraId="64560D45" w14:textId="77777777" w:rsidR="00C9295B" w:rsidRPr="007E0503" w:rsidRDefault="00C9295B" w:rsidP="002133F0">
                  <w:pPr>
                    <w:spacing w:after="0"/>
                    <w:rPr>
                      <w:sz w:val="18"/>
                      <w:szCs w:val="18"/>
                    </w:rPr>
                  </w:pPr>
                  <w:r w:rsidRPr="007E0503">
                    <w:rPr>
                      <w:sz w:val="18"/>
                      <w:szCs w:val="18"/>
                    </w:rPr>
                    <w:t xml:space="preserve">Original Appropriation </w:t>
                  </w:r>
                </w:p>
              </w:tc>
              <w:tc>
                <w:tcPr>
                  <w:tcW w:w="1546" w:type="dxa"/>
                  <w:tcBorders>
                    <w:top w:val="nil"/>
                    <w:left w:val="nil"/>
                    <w:bottom w:val="nil"/>
                    <w:right w:val="nil"/>
                  </w:tcBorders>
                  <w:shd w:val="clear" w:color="auto" w:fill="auto"/>
                  <w:noWrap/>
                  <w:vAlign w:val="bottom"/>
                </w:tcPr>
                <w:p w14:paraId="5447F4EB" w14:textId="77777777" w:rsidR="00C9295B" w:rsidRPr="007E0503" w:rsidRDefault="00C9295B" w:rsidP="002133F0">
                  <w:pPr>
                    <w:spacing w:after="0"/>
                    <w:jc w:val="right"/>
                    <w:rPr>
                      <w:sz w:val="18"/>
                      <w:szCs w:val="18"/>
                    </w:rPr>
                  </w:pPr>
                </w:p>
              </w:tc>
              <w:tc>
                <w:tcPr>
                  <w:tcW w:w="2126" w:type="dxa"/>
                  <w:gridSpan w:val="2"/>
                  <w:tcBorders>
                    <w:top w:val="nil"/>
                    <w:left w:val="nil"/>
                    <w:bottom w:val="nil"/>
                    <w:right w:val="nil"/>
                  </w:tcBorders>
                  <w:shd w:val="clear" w:color="auto" w:fill="auto"/>
                  <w:noWrap/>
                  <w:vAlign w:val="bottom"/>
                </w:tcPr>
                <w:p w14:paraId="678BC7F1" w14:textId="77777777" w:rsidR="00C9295B" w:rsidRPr="007E0503" w:rsidRDefault="00C9295B" w:rsidP="002133F0">
                  <w:pPr>
                    <w:spacing w:after="0"/>
                    <w:ind w:right="317"/>
                    <w:jc w:val="right"/>
                    <w:rPr>
                      <w:sz w:val="18"/>
                      <w:szCs w:val="18"/>
                    </w:rPr>
                  </w:pPr>
                </w:p>
              </w:tc>
            </w:tr>
            <w:tr w:rsidR="00C9295B" w:rsidRPr="007E0503" w14:paraId="559E207F" w14:textId="77777777" w:rsidTr="00844A14">
              <w:trPr>
                <w:trHeight w:val="288"/>
              </w:trPr>
              <w:tc>
                <w:tcPr>
                  <w:tcW w:w="4003" w:type="dxa"/>
                  <w:tcBorders>
                    <w:top w:val="nil"/>
                    <w:left w:val="nil"/>
                    <w:bottom w:val="nil"/>
                    <w:right w:val="nil"/>
                  </w:tcBorders>
                  <w:shd w:val="clear" w:color="auto" w:fill="auto"/>
                  <w:noWrap/>
                  <w:vAlign w:val="bottom"/>
                </w:tcPr>
                <w:p w14:paraId="395C1AF0" w14:textId="77777777" w:rsidR="00C9295B" w:rsidRPr="007E0503" w:rsidRDefault="00C9295B" w:rsidP="002133F0">
                  <w:pPr>
                    <w:spacing w:after="0"/>
                    <w:rPr>
                      <w:sz w:val="18"/>
                      <w:szCs w:val="18"/>
                    </w:rPr>
                  </w:pPr>
                  <w:r w:rsidRPr="007E0503">
                    <w:rPr>
                      <w:sz w:val="18"/>
                      <w:szCs w:val="18"/>
                    </w:rPr>
                    <w:t>Supplementary Appropriation (FMA s.13)</w:t>
                  </w:r>
                </w:p>
              </w:tc>
              <w:tc>
                <w:tcPr>
                  <w:tcW w:w="1546" w:type="dxa"/>
                  <w:tcBorders>
                    <w:top w:val="nil"/>
                    <w:left w:val="nil"/>
                    <w:bottom w:val="nil"/>
                    <w:right w:val="nil"/>
                  </w:tcBorders>
                  <w:shd w:val="clear" w:color="auto" w:fill="auto"/>
                  <w:noWrap/>
                  <w:vAlign w:val="bottom"/>
                </w:tcPr>
                <w:p w14:paraId="1D82486C" w14:textId="77777777" w:rsidR="00C9295B" w:rsidRPr="007E0503" w:rsidRDefault="00C9295B" w:rsidP="002133F0">
                  <w:pPr>
                    <w:spacing w:after="0"/>
                    <w:jc w:val="right"/>
                    <w:rPr>
                      <w:sz w:val="18"/>
                      <w:szCs w:val="18"/>
                    </w:rPr>
                  </w:pPr>
                </w:p>
              </w:tc>
              <w:tc>
                <w:tcPr>
                  <w:tcW w:w="2126" w:type="dxa"/>
                  <w:gridSpan w:val="2"/>
                  <w:tcBorders>
                    <w:top w:val="nil"/>
                    <w:left w:val="nil"/>
                    <w:bottom w:val="nil"/>
                    <w:right w:val="nil"/>
                  </w:tcBorders>
                  <w:shd w:val="clear" w:color="auto" w:fill="auto"/>
                  <w:noWrap/>
                  <w:vAlign w:val="bottom"/>
                </w:tcPr>
                <w:p w14:paraId="2A212BE8" w14:textId="77777777" w:rsidR="00C9295B" w:rsidRPr="007E0503" w:rsidRDefault="00C9295B" w:rsidP="002133F0">
                  <w:pPr>
                    <w:spacing w:after="0"/>
                    <w:ind w:right="317"/>
                    <w:jc w:val="right"/>
                    <w:rPr>
                      <w:sz w:val="18"/>
                      <w:szCs w:val="18"/>
                    </w:rPr>
                  </w:pPr>
                </w:p>
              </w:tc>
            </w:tr>
            <w:tr w:rsidR="00C9295B" w:rsidRPr="007E0503" w14:paraId="687A4F0C" w14:textId="77777777" w:rsidTr="00844A14">
              <w:trPr>
                <w:trHeight w:val="288"/>
              </w:trPr>
              <w:tc>
                <w:tcPr>
                  <w:tcW w:w="4003" w:type="dxa"/>
                  <w:tcBorders>
                    <w:top w:val="nil"/>
                    <w:left w:val="nil"/>
                    <w:bottom w:val="nil"/>
                    <w:right w:val="nil"/>
                  </w:tcBorders>
                  <w:shd w:val="clear" w:color="auto" w:fill="auto"/>
                  <w:noWrap/>
                  <w:vAlign w:val="bottom"/>
                  <w:hideMark/>
                </w:tcPr>
                <w:p w14:paraId="2E519156" w14:textId="77777777" w:rsidR="00C9295B" w:rsidRPr="007E0503" w:rsidRDefault="00C9295B" w:rsidP="002133F0">
                  <w:pPr>
                    <w:spacing w:after="0"/>
                    <w:rPr>
                      <w:sz w:val="18"/>
                      <w:szCs w:val="18"/>
                    </w:rPr>
                  </w:pPr>
                  <w:r w:rsidRPr="007E0503">
                    <w:rPr>
                      <w:sz w:val="18"/>
                      <w:szCs w:val="18"/>
                    </w:rPr>
                    <w:t xml:space="preserve">Administrative Arrangements Transfer (FMA s.16) </w:t>
                  </w:r>
                  <w:r w:rsidRPr="007E0503">
                    <w:rPr>
                      <w:sz w:val="18"/>
                      <w:szCs w:val="18"/>
                      <w:vertAlign w:val="superscript"/>
                    </w:rPr>
                    <w:footnoteReference w:id="2"/>
                  </w:r>
                </w:p>
              </w:tc>
              <w:tc>
                <w:tcPr>
                  <w:tcW w:w="1546" w:type="dxa"/>
                  <w:tcBorders>
                    <w:top w:val="nil"/>
                    <w:left w:val="nil"/>
                    <w:bottom w:val="nil"/>
                    <w:right w:val="nil"/>
                  </w:tcBorders>
                  <w:shd w:val="clear" w:color="auto" w:fill="auto"/>
                  <w:noWrap/>
                  <w:vAlign w:val="bottom"/>
                </w:tcPr>
                <w:p w14:paraId="0A416AFC" w14:textId="77777777" w:rsidR="00C9295B" w:rsidRPr="007E0503" w:rsidRDefault="00C9295B" w:rsidP="002133F0">
                  <w:pPr>
                    <w:spacing w:after="0"/>
                    <w:jc w:val="right"/>
                    <w:rPr>
                      <w:sz w:val="18"/>
                      <w:szCs w:val="18"/>
                    </w:rPr>
                  </w:pPr>
                </w:p>
              </w:tc>
              <w:tc>
                <w:tcPr>
                  <w:tcW w:w="2126" w:type="dxa"/>
                  <w:gridSpan w:val="2"/>
                  <w:tcBorders>
                    <w:top w:val="nil"/>
                    <w:left w:val="nil"/>
                    <w:bottom w:val="nil"/>
                    <w:right w:val="nil"/>
                  </w:tcBorders>
                  <w:shd w:val="clear" w:color="auto" w:fill="auto"/>
                  <w:noWrap/>
                  <w:vAlign w:val="bottom"/>
                </w:tcPr>
                <w:p w14:paraId="0AB1F7C1" w14:textId="77777777" w:rsidR="00C9295B" w:rsidRPr="007E0503" w:rsidRDefault="00C9295B" w:rsidP="002133F0">
                  <w:pPr>
                    <w:spacing w:after="0"/>
                    <w:ind w:left="478" w:hanging="478"/>
                    <w:rPr>
                      <w:sz w:val="18"/>
                      <w:szCs w:val="18"/>
                    </w:rPr>
                  </w:pPr>
                </w:p>
              </w:tc>
            </w:tr>
            <w:tr w:rsidR="00C9295B" w:rsidRPr="007E0503" w14:paraId="70497626" w14:textId="77777777" w:rsidTr="00844A14">
              <w:trPr>
                <w:trHeight w:val="288"/>
              </w:trPr>
              <w:tc>
                <w:tcPr>
                  <w:tcW w:w="4003" w:type="dxa"/>
                  <w:tcBorders>
                    <w:top w:val="nil"/>
                    <w:left w:val="nil"/>
                    <w:right w:val="nil"/>
                  </w:tcBorders>
                  <w:shd w:val="clear" w:color="auto" w:fill="auto"/>
                  <w:noWrap/>
                  <w:vAlign w:val="bottom"/>
                  <w:hideMark/>
                </w:tcPr>
                <w:p w14:paraId="37377872" w14:textId="77777777" w:rsidR="00C9295B" w:rsidRPr="007E0503" w:rsidRDefault="00C9295B" w:rsidP="002133F0">
                  <w:pPr>
                    <w:spacing w:after="0"/>
                    <w:rPr>
                      <w:sz w:val="18"/>
                      <w:szCs w:val="18"/>
                    </w:rPr>
                  </w:pPr>
                  <w:r w:rsidRPr="007E0503">
                    <w:rPr>
                      <w:sz w:val="18"/>
                      <w:szCs w:val="18"/>
                    </w:rPr>
                    <w:t xml:space="preserve">Rollover of Undisbursed Appropriation (FMA s.16B)                   </w:t>
                  </w:r>
                </w:p>
              </w:tc>
              <w:tc>
                <w:tcPr>
                  <w:tcW w:w="1546" w:type="dxa"/>
                  <w:tcBorders>
                    <w:top w:val="nil"/>
                    <w:left w:val="nil"/>
                    <w:right w:val="nil"/>
                  </w:tcBorders>
                  <w:shd w:val="clear" w:color="auto" w:fill="auto"/>
                  <w:noWrap/>
                  <w:vAlign w:val="bottom"/>
                </w:tcPr>
                <w:p w14:paraId="66147545" w14:textId="77777777" w:rsidR="00C9295B" w:rsidRPr="007E0503" w:rsidRDefault="00C9295B" w:rsidP="002133F0">
                  <w:pPr>
                    <w:spacing w:after="0"/>
                    <w:rPr>
                      <w:sz w:val="18"/>
                      <w:szCs w:val="18"/>
                    </w:rPr>
                  </w:pPr>
                </w:p>
              </w:tc>
              <w:tc>
                <w:tcPr>
                  <w:tcW w:w="2126" w:type="dxa"/>
                  <w:gridSpan w:val="2"/>
                  <w:tcBorders>
                    <w:top w:val="nil"/>
                    <w:left w:val="nil"/>
                    <w:right w:val="nil"/>
                  </w:tcBorders>
                  <w:shd w:val="clear" w:color="auto" w:fill="auto"/>
                  <w:noWrap/>
                  <w:vAlign w:val="bottom"/>
                </w:tcPr>
                <w:p w14:paraId="39E3B953" w14:textId="77777777" w:rsidR="00C9295B" w:rsidRPr="007E0503" w:rsidRDefault="00C9295B" w:rsidP="002133F0">
                  <w:pPr>
                    <w:spacing w:after="0"/>
                    <w:ind w:right="317"/>
                    <w:jc w:val="right"/>
                    <w:rPr>
                      <w:sz w:val="18"/>
                      <w:szCs w:val="18"/>
                    </w:rPr>
                  </w:pPr>
                </w:p>
              </w:tc>
            </w:tr>
            <w:tr w:rsidR="00C9295B" w:rsidRPr="007E0503" w14:paraId="7F09E885" w14:textId="77777777" w:rsidTr="00844A14">
              <w:trPr>
                <w:trHeight w:val="288"/>
              </w:trPr>
              <w:tc>
                <w:tcPr>
                  <w:tcW w:w="4003" w:type="dxa"/>
                  <w:tcBorders>
                    <w:top w:val="nil"/>
                    <w:left w:val="nil"/>
                    <w:right w:val="nil"/>
                  </w:tcBorders>
                  <w:shd w:val="clear" w:color="auto" w:fill="auto"/>
                  <w:noWrap/>
                  <w:vAlign w:val="bottom"/>
                  <w:hideMark/>
                </w:tcPr>
                <w:p w14:paraId="4D467735" w14:textId="77777777" w:rsidR="00C9295B" w:rsidRPr="007E0503" w:rsidRDefault="00C9295B" w:rsidP="002133F0">
                  <w:pPr>
                    <w:spacing w:after="0"/>
                    <w:rPr>
                      <w:sz w:val="18"/>
                      <w:szCs w:val="18"/>
                    </w:rPr>
                  </w:pPr>
                  <w:r w:rsidRPr="007E0503">
                    <w:rPr>
                      <w:sz w:val="18"/>
                      <w:szCs w:val="18"/>
                    </w:rPr>
                    <w:t>Treasurer's Advance (FMA s.18)</w:t>
                  </w:r>
                </w:p>
              </w:tc>
              <w:tc>
                <w:tcPr>
                  <w:tcW w:w="1546" w:type="dxa"/>
                  <w:tcBorders>
                    <w:top w:val="nil"/>
                    <w:left w:val="nil"/>
                    <w:bottom w:val="single" w:sz="4" w:space="0" w:color="auto"/>
                    <w:right w:val="nil"/>
                  </w:tcBorders>
                  <w:shd w:val="clear" w:color="auto" w:fill="auto"/>
                  <w:noWrap/>
                  <w:vAlign w:val="bottom"/>
                </w:tcPr>
                <w:p w14:paraId="2357F935" w14:textId="77777777" w:rsidR="00C9295B" w:rsidRPr="007E0503" w:rsidRDefault="00C9295B" w:rsidP="002133F0">
                  <w:pPr>
                    <w:spacing w:after="0"/>
                    <w:jc w:val="right"/>
                    <w:rPr>
                      <w:sz w:val="18"/>
                      <w:szCs w:val="18"/>
                    </w:rPr>
                  </w:pPr>
                </w:p>
              </w:tc>
              <w:tc>
                <w:tcPr>
                  <w:tcW w:w="2126" w:type="dxa"/>
                  <w:gridSpan w:val="2"/>
                  <w:tcBorders>
                    <w:top w:val="nil"/>
                    <w:left w:val="nil"/>
                    <w:bottom w:val="single" w:sz="4" w:space="0" w:color="auto"/>
                    <w:right w:val="nil"/>
                  </w:tcBorders>
                  <w:shd w:val="clear" w:color="auto" w:fill="auto"/>
                  <w:noWrap/>
                  <w:vAlign w:val="bottom"/>
                </w:tcPr>
                <w:p w14:paraId="01002EA4" w14:textId="77777777" w:rsidR="00C9295B" w:rsidRPr="007E0503" w:rsidRDefault="00C9295B" w:rsidP="002133F0">
                  <w:pPr>
                    <w:spacing w:after="0"/>
                    <w:rPr>
                      <w:sz w:val="18"/>
                      <w:szCs w:val="18"/>
                    </w:rPr>
                  </w:pPr>
                </w:p>
              </w:tc>
            </w:tr>
            <w:tr w:rsidR="00C9295B" w:rsidRPr="007E0503" w14:paraId="1341B930" w14:textId="77777777" w:rsidTr="00844A14">
              <w:trPr>
                <w:trHeight w:val="300"/>
              </w:trPr>
              <w:tc>
                <w:tcPr>
                  <w:tcW w:w="4003" w:type="dxa"/>
                  <w:tcBorders>
                    <w:left w:val="nil"/>
                    <w:right w:val="nil"/>
                  </w:tcBorders>
                  <w:shd w:val="clear" w:color="auto" w:fill="auto"/>
                  <w:noWrap/>
                  <w:vAlign w:val="bottom"/>
                  <w:hideMark/>
                </w:tcPr>
                <w:p w14:paraId="3A2A3732" w14:textId="77777777" w:rsidR="00C9295B" w:rsidRPr="007E0503" w:rsidRDefault="00C9295B" w:rsidP="002133F0">
                  <w:pPr>
                    <w:spacing w:after="0"/>
                    <w:rPr>
                      <w:sz w:val="18"/>
                      <w:szCs w:val="18"/>
                    </w:rPr>
                  </w:pPr>
                  <w:r w:rsidRPr="007E0503">
                    <w:rPr>
                      <w:sz w:val="18"/>
                      <w:szCs w:val="18"/>
                    </w:rPr>
                    <w:t>Total Appropriated</w:t>
                  </w:r>
                </w:p>
              </w:tc>
              <w:tc>
                <w:tcPr>
                  <w:tcW w:w="1546" w:type="dxa"/>
                  <w:tcBorders>
                    <w:top w:val="single" w:sz="4" w:space="0" w:color="auto"/>
                    <w:left w:val="nil"/>
                    <w:bottom w:val="single" w:sz="4" w:space="0" w:color="auto"/>
                    <w:right w:val="nil"/>
                  </w:tcBorders>
                  <w:shd w:val="clear" w:color="auto" w:fill="auto"/>
                  <w:noWrap/>
                  <w:vAlign w:val="bottom"/>
                </w:tcPr>
                <w:p w14:paraId="0094485E" w14:textId="77777777" w:rsidR="00C9295B" w:rsidRPr="007E0503" w:rsidRDefault="00C9295B" w:rsidP="002133F0">
                  <w:pPr>
                    <w:spacing w:after="0"/>
                    <w:jc w:val="right"/>
                    <w:rPr>
                      <w:sz w:val="18"/>
                      <w:szCs w:val="18"/>
                    </w:rPr>
                  </w:pPr>
                </w:p>
              </w:tc>
              <w:tc>
                <w:tcPr>
                  <w:tcW w:w="2126" w:type="dxa"/>
                  <w:gridSpan w:val="2"/>
                  <w:tcBorders>
                    <w:top w:val="single" w:sz="4" w:space="0" w:color="auto"/>
                    <w:left w:val="nil"/>
                    <w:bottom w:val="single" w:sz="4" w:space="0" w:color="auto"/>
                    <w:right w:val="nil"/>
                  </w:tcBorders>
                  <w:shd w:val="clear" w:color="auto" w:fill="auto"/>
                  <w:noWrap/>
                  <w:vAlign w:val="bottom"/>
                </w:tcPr>
                <w:p w14:paraId="53A8F166" w14:textId="77777777" w:rsidR="00C9295B" w:rsidRPr="007E0503" w:rsidRDefault="00C9295B" w:rsidP="002133F0">
                  <w:pPr>
                    <w:spacing w:after="0"/>
                    <w:ind w:right="317"/>
                    <w:jc w:val="right"/>
                    <w:rPr>
                      <w:sz w:val="18"/>
                      <w:szCs w:val="18"/>
                    </w:rPr>
                  </w:pPr>
                </w:p>
              </w:tc>
            </w:tr>
            <w:tr w:rsidR="00C9295B" w:rsidRPr="007E0503" w14:paraId="5C5E4C6F" w14:textId="77777777" w:rsidTr="00844A14">
              <w:trPr>
                <w:trHeight w:val="300"/>
              </w:trPr>
              <w:tc>
                <w:tcPr>
                  <w:tcW w:w="4003" w:type="dxa"/>
                  <w:tcBorders>
                    <w:left w:val="nil"/>
                    <w:right w:val="nil"/>
                  </w:tcBorders>
                  <w:shd w:val="clear" w:color="auto" w:fill="auto"/>
                  <w:noWrap/>
                  <w:vAlign w:val="bottom"/>
                  <w:hideMark/>
                </w:tcPr>
                <w:p w14:paraId="5B6A314A" w14:textId="77777777" w:rsidR="00C9295B" w:rsidRPr="007E0503" w:rsidRDefault="00C9295B" w:rsidP="002133F0">
                  <w:pPr>
                    <w:spacing w:after="0"/>
                    <w:rPr>
                      <w:sz w:val="18"/>
                      <w:szCs w:val="18"/>
                    </w:rPr>
                  </w:pPr>
                  <w:r w:rsidRPr="007E0503">
                    <w:rPr>
                      <w:sz w:val="18"/>
                      <w:szCs w:val="18"/>
                    </w:rPr>
                    <w:t xml:space="preserve">Budget Rollovers </w:t>
                  </w:r>
                  <w:r w:rsidRPr="007E0503">
                    <w:rPr>
                      <w:sz w:val="18"/>
                      <w:szCs w:val="18"/>
                      <w:vertAlign w:val="superscript"/>
                    </w:rPr>
                    <w:footnoteReference w:id="3"/>
                  </w:r>
                </w:p>
              </w:tc>
              <w:tc>
                <w:tcPr>
                  <w:tcW w:w="1546" w:type="dxa"/>
                  <w:tcBorders>
                    <w:top w:val="single" w:sz="4" w:space="0" w:color="auto"/>
                    <w:left w:val="nil"/>
                    <w:right w:val="nil"/>
                  </w:tcBorders>
                  <w:shd w:val="clear" w:color="auto" w:fill="auto"/>
                  <w:noWrap/>
                  <w:vAlign w:val="bottom"/>
                </w:tcPr>
                <w:p w14:paraId="13F1CF55" w14:textId="77777777" w:rsidR="00C9295B" w:rsidRPr="007E0503" w:rsidRDefault="00C9295B" w:rsidP="002133F0">
                  <w:pPr>
                    <w:spacing w:after="0"/>
                    <w:jc w:val="right"/>
                    <w:rPr>
                      <w:sz w:val="18"/>
                      <w:szCs w:val="18"/>
                    </w:rPr>
                  </w:pPr>
                </w:p>
              </w:tc>
              <w:tc>
                <w:tcPr>
                  <w:tcW w:w="2126" w:type="dxa"/>
                  <w:gridSpan w:val="2"/>
                  <w:tcBorders>
                    <w:top w:val="single" w:sz="4" w:space="0" w:color="auto"/>
                    <w:left w:val="nil"/>
                    <w:right w:val="nil"/>
                  </w:tcBorders>
                  <w:shd w:val="clear" w:color="auto" w:fill="auto"/>
                  <w:noWrap/>
                  <w:vAlign w:val="bottom"/>
                </w:tcPr>
                <w:p w14:paraId="3EABB57D" w14:textId="77777777" w:rsidR="00C9295B" w:rsidRPr="007E0503" w:rsidRDefault="00C9295B" w:rsidP="002133F0">
                  <w:pPr>
                    <w:spacing w:after="0"/>
                    <w:ind w:right="175"/>
                    <w:jc w:val="right"/>
                    <w:rPr>
                      <w:sz w:val="18"/>
                      <w:szCs w:val="18"/>
                    </w:rPr>
                  </w:pPr>
                </w:p>
              </w:tc>
            </w:tr>
            <w:tr w:rsidR="00C9295B" w:rsidRPr="007E0503" w14:paraId="01BE439D" w14:textId="77777777" w:rsidTr="00844A14">
              <w:trPr>
                <w:trHeight w:val="300"/>
              </w:trPr>
              <w:tc>
                <w:tcPr>
                  <w:tcW w:w="4003" w:type="dxa"/>
                  <w:tcBorders>
                    <w:left w:val="nil"/>
                    <w:right w:val="nil"/>
                  </w:tcBorders>
                  <w:shd w:val="clear" w:color="auto" w:fill="auto"/>
                  <w:noWrap/>
                  <w:vAlign w:val="bottom"/>
                  <w:hideMark/>
                </w:tcPr>
                <w:p w14:paraId="28A717DE" w14:textId="77777777" w:rsidR="00C9295B" w:rsidRPr="007E0503" w:rsidRDefault="00C9295B" w:rsidP="002133F0">
                  <w:pPr>
                    <w:spacing w:after="0"/>
                    <w:rPr>
                      <w:sz w:val="18"/>
                      <w:szCs w:val="18"/>
                    </w:rPr>
                  </w:pPr>
                  <w:r w:rsidRPr="007E0503">
                    <w:rPr>
                      <w:sz w:val="18"/>
                      <w:szCs w:val="18"/>
                    </w:rPr>
                    <w:t>Controlled Appropriation Drawn</w:t>
                  </w:r>
                </w:p>
              </w:tc>
              <w:tc>
                <w:tcPr>
                  <w:tcW w:w="1546" w:type="dxa"/>
                  <w:tcBorders>
                    <w:top w:val="single" w:sz="4" w:space="0" w:color="auto"/>
                    <w:left w:val="nil"/>
                    <w:bottom w:val="double" w:sz="4" w:space="0" w:color="auto"/>
                    <w:right w:val="nil"/>
                  </w:tcBorders>
                  <w:shd w:val="clear" w:color="auto" w:fill="auto"/>
                  <w:noWrap/>
                  <w:vAlign w:val="bottom"/>
                </w:tcPr>
                <w:p w14:paraId="2D4B5573" w14:textId="77777777" w:rsidR="00C9295B" w:rsidRPr="007E0503" w:rsidRDefault="00C9295B" w:rsidP="002133F0">
                  <w:pPr>
                    <w:spacing w:after="0"/>
                    <w:jc w:val="right"/>
                    <w:rPr>
                      <w:sz w:val="18"/>
                      <w:szCs w:val="18"/>
                    </w:rPr>
                  </w:pPr>
                </w:p>
              </w:tc>
              <w:tc>
                <w:tcPr>
                  <w:tcW w:w="2126" w:type="dxa"/>
                  <w:gridSpan w:val="2"/>
                  <w:tcBorders>
                    <w:top w:val="single" w:sz="4" w:space="0" w:color="auto"/>
                    <w:left w:val="nil"/>
                    <w:bottom w:val="double" w:sz="4" w:space="0" w:color="auto"/>
                    <w:right w:val="nil"/>
                  </w:tcBorders>
                  <w:shd w:val="clear" w:color="auto" w:fill="auto"/>
                  <w:noWrap/>
                  <w:vAlign w:val="bottom"/>
                </w:tcPr>
                <w:p w14:paraId="3E19E04A" w14:textId="77777777" w:rsidR="00C9295B" w:rsidRPr="007E0503" w:rsidRDefault="00C9295B" w:rsidP="002133F0">
                  <w:pPr>
                    <w:spacing w:after="0"/>
                    <w:ind w:right="176"/>
                    <w:jc w:val="right"/>
                    <w:rPr>
                      <w:sz w:val="18"/>
                      <w:szCs w:val="18"/>
                    </w:rPr>
                  </w:pPr>
                </w:p>
              </w:tc>
            </w:tr>
          </w:tbl>
          <w:p w14:paraId="7B349182" w14:textId="77777777" w:rsidR="00C9295B" w:rsidRPr="007E0503" w:rsidRDefault="00C9295B" w:rsidP="00844A14">
            <w:pPr>
              <w:rPr>
                <w:sz w:val="18"/>
                <w:szCs w:val="18"/>
              </w:rPr>
            </w:pPr>
          </w:p>
        </w:tc>
      </w:tr>
      <w:tr w:rsidR="00C9295B" w:rsidRPr="00D37A89" w14:paraId="627997E7" w14:textId="77777777" w:rsidTr="000A07A1">
        <w:tblPrEx>
          <w:tblBorders>
            <w:top w:val="single" w:sz="2" w:space="0" w:color="003366"/>
            <w:left w:val="single" w:sz="2" w:space="0" w:color="003366"/>
            <w:bottom w:val="single" w:sz="2" w:space="0" w:color="003366"/>
            <w:right w:val="single" w:sz="2" w:space="0" w:color="003366"/>
          </w:tblBorders>
        </w:tblPrEx>
        <w:trPr>
          <w:cantSplit/>
          <w:trHeight w:val="284"/>
        </w:trPr>
        <w:tc>
          <w:tcPr>
            <w:tcW w:w="1563" w:type="dxa"/>
            <w:tcBorders>
              <w:top w:val="nil"/>
              <w:left w:val="single" w:sz="2" w:space="0" w:color="003366"/>
              <w:bottom w:val="nil"/>
              <w:right w:val="single" w:sz="2" w:space="0" w:color="003366"/>
            </w:tcBorders>
          </w:tcPr>
          <w:p w14:paraId="01459AD0" w14:textId="77777777" w:rsidR="00C9295B" w:rsidRPr="00D37A89" w:rsidRDefault="00C9295B" w:rsidP="00844A14">
            <w:pPr>
              <w:rPr>
                <w:rFonts w:cs="Calibri"/>
                <w:sz w:val="16"/>
              </w:rPr>
            </w:pPr>
          </w:p>
        </w:tc>
        <w:tc>
          <w:tcPr>
            <w:tcW w:w="7660" w:type="dxa"/>
            <w:gridSpan w:val="6"/>
            <w:tcBorders>
              <w:top w:val="nil"/>
              <w:left w:val="single" w:sz="2" w:space="0" w:color="003366"/>
              <w:bottom w:val="nil"/>
              <w:right w:val="nil"/>
            </w:tcBorders>
            <w:vAlign w:val="bottom"/>
          </w:tcPr>
          <w:p w14:paraId="6650C353" w14:textId="77777777" w:rsidR="00C9295B" w:rsidRPr="00D37A89" w:rsidRDefault="00C9295B" w:rsidP="002133F0">
            <w:pPr>
              <w:spacing w:before="240"/>
              <w:jc w:val="both"/>
              <w:rPr>
                <w:sz w:val="18"/>
                <w:szCs w:val="18"/>
              </w:rPr>
            </w:pPr>
            <w:r w:rsidRPr="00D37A89">
              <w:rPr>
                <w:color w:val="000000"/>
                <w:sz w:val="18"/>
                <w:szCs w:val="18"/>
              </w:rPr>
              <w:t>1</w:t>
            </w:r>
            <w:r w:rsidRPr="00D37A89">
              <w:rPr>
                <w:sz w:val="18"/>
                <w:szCs w:val="18"/>
              </w:rPr>
              <w:t>. The difference between the Original Budget and the Total Appropriated is mainly due to an Administrative Arrangement that occurred on 7 January 20XX, where the Agency gained the Heritage and Environment Division from the ABC Directorate.</w:t>
            </w:r>
          </w:p>
          <w:p w14:paraId="436235F9" w14:textId="77777777" w:rsidR="00C9295B" w:rsidRPr="00D37A89" w:rsidRDefault="00C9295B" w:rsidP="00844A14">
            <w:pPr>
              <w:jc w:val="both"/>
              <w:rPr>
                <w:sz w:val="18"/>
                <w:szCs w:val="18"/>
              </w:rPr>
            </w:pPr>
            <w:r w:rsidRPr="00D37A89">
              <w:rPr>
                <w:sz w:val="18"/>
                <w:szCs w:val="18"/>
              </w:rPr>
              <w:t xml:space="preserve">The heritage function is responsible for the development of heritage policy as well as the maintenance of a number of large heritage assets. </w:t>
            </w:r>
          </w:p>
          <w:p w14:paraId="29BD6933" w14:textId="77777777" w:rsidR="00C9295B" w:rsidRPr="00D37A89" w:rsidRDefault="00C9295B" w:rsidP="00844A14">
            <w:pPr>
              <w:jc w:val="both"/>
              <w:rPr>
                <w:sz w:val="18"/>
                <w:szCs w:val="18"/>
              </w:rPr>
            </w:pPr>
            <w:r w:rsidRPr="00D37A89">
              <w:rPr>
                <w:sz w:val="18"/>
                <w:szCs w:val="18"/>
              </w:rPr>
              <w:t>The environment function is responsible for the development of policy frameworks and providing advice on the management and protection of the environment. For further details see Note 3</w:t>
            </w:r>
            <w:r>
              <w:rPr>
                <w:sz w:val="18"/>
                <w:szCs w:val="18"/>
              </w:rPr>
              <w:t>9</w:t>
            </w:r>
            <w:r w:rsidRPr="00D37A89">
              <w:rPr>
                <w:sz w:val="18"/>
                <w:szCs w:val="18"/>
              </w:rPr>
              <w:t xml:space="preserve"> </w:t>
            </w:r>
            <w:r w:rsidRPr="00D37A89">
              <w:rPr>
                <w:i/>
                <w:sz w:val="18"/>
                <w:szCs w:val="18"/>
              </w:rPr>
              <w:t>Restructure of Administrative Arrangements</w:t>
            </w:r>
            <w:r w:rsidRPr="00D37A89">
              <w:rPr>
                <w:sz w:val="18"/>
                <w:szCs w:val="18"/>
              </w:rPr>
              <w:t xml:space="preserve">.  </w:t>
            </w:r>
          </w:p>
        </w:tc>
      </w:tr>
      <w:tr w:rsidR="00C9295B" w:rsidRPr="00D37A89" w14:paraId="56DF84DE" w14:textId="77777777" w:rsidTr="000A07A1">
        <w:tblPrEx>
          <w:tblBorders>
            <w:top w:val="single" w:sz="2" w:space="0" w:color="003366"/>
            <w:left w:val="single" w:sz="2" w:space="0" w:color="003366"/>
            <w:bottom w:val="single" w:sz="2" w:space="0" w:color="003366"/>
            <w:right w:val="single" w:sz="2" w:space="0" w:color="003366"/>
          </w:tblBorders>
        </w:tblPrEx>
        <w:trPr>
          <w:cantSplit/>
          <w:trHeight w:val="284"/>
        </w:trPr>
        <w:tc>
          <w:tcPr>
            <w:tcW w:w="1563" w:type="dxa"/>
            <w:tcBorders>
              <w:top w:val="nil"/>
              <w:left w:val="single" w:sz="2" w:space="0" w:color="003366"/>
              <w:bottom w:val="nil"/>
              <w:right w:val="single" w:sz="2" w:space="0" w:color="003366"/>
            </w:tcBorders>
          </w:tcPr>
          <w:p w14:paraId="6AFCC8FB" w14:textId="77777777" w:rsidR="00C9295B" w:rsidRPr="00D37A89" w:rsidRDefault="00C9295B" w:rsidP="00844A14">
            <w:pPr>
              <w:rPr>
                <w:rFonts w:cs="Calibri"/>
                <w:sz w:val="16"/>
              </w:rPr>
            </w:pPr>
          </w:p>
        </w:tc>
        <w:tc>
          <w:tcPr>
            <w:tcW w:w="7660" w:type="dxa"/>
            <w:gridSpan w:val="6"/>
            <w:tcBorders>
              <w:top w:val="nil"/>
              <w:left w:val="single" w:sz="2" w:space="0" w:color="003366"/>
              <w:bottom w:val="nil"/>
              <w:right w:val="nil"/>
            </w:tcBorders>
            <w:vAlign w:val="bottom"/>
          </w:tcPr>
          <w:p w14:paraId="7EB73E57" w14:textId="77777777" w:rsidR="00C9295B" w:rsidRPr="00D37A89" w:rsidRDefault="00C9295B" w:rsidP="00844A14">
            <w:pPr>
              <w:jc w:val="both"/>
              <w:rPr>
                <w:sz w:val="18"/>
                <w:szCs w:val="18"/>
              </w:rPr>
            </w:pPr>
            <w:r w:rsidRPr="00D37A89">
              <w:rPr>
                <w:bCs/>
                <w:sz w:val="18"/>
                <w:szCs w:val="18"/>
              </w:rPr>
              <w:t xml:space="preserve">2. The difference between the Total Appropriated and the Appropriation Drawn down is largely due to design delays associated with a major project scheduled to commence in 20XX. Appropriation was not drawn down for this project and has been rolled over to the following </w:t>
            </w:r>
            <w:r w:rsidRPr="00D37A89">
              <w:rPr>
                <w:sz w:val="18"/>
                <w:szCs w:val="18"/>
              </w:rPr>
              <w:t>reporting period</w:t>
            </w:r>
            <w:r w:rsidRPr="00D37A89">
              <w:rPr>
                <w:bCs/>
                <w:sz w:val="18"/>
                <w:szCs w:val="18"/>
              </w:rPr>
              <w:t>. ‘Project X’</w:t>
            </w:r>
            <w:r w:rsidRPr="00D37A89">
              <w:rPr>
                <w:bCs/>
                <w:strike/>
                <w:sz w:val="18"/>
                <w:szCs w:val="18"/>
              </w:rPr>
              <w:t xml:space="preserve"> </w:t>
            </w:r>
            <w:r w:rsidRPr="00D37A89">
              <w:rPr>
                <w:bCs/>
                <w:sz w:val="18"/>
                <w:szCs w:val="18"/>
              </w:rPr>
              <w:t>($</w:t>
            </w:r>
            <w:r>
              <w:rPr>
                <w:bCs/>
                <w:sz w:val="18"/>
                <w:szCs w:val="18"/>
              </w:rPr>
              <w:t>0</w:t>
            </w:r>
            <w:r w:rsidRPr="00D37A89">
              <w:rPr>
                <w:bCs/>
                <w:sz w:val="18"/>
                <w:szCs w:val="18"/>
              </w:rPr>
              <w:t>,</w:t>
            </w:r>
            <w:r>
              <w:rPr>
                <w:bCs/>
                <w:sz w:val="18"/>
                <w:szCs w:val="18"/>
              </w:rPr>
              <w:t>000</w:t>
            </w:r>
            <w:r w:rsidRPr="00D37A89">
              <w:rPr>
                <w:bCs/>
                <w:sz w:val="18"/>
                <w:szCs w:val="18"/>
              </w:rPr>
              <w:t xml:space="preserve">,000) was due to start in February 20XX, however, it is expected that it will not commence until August 20XX. </w:t>
            </w:r>
            <w:r w:rsidRPr="00D37A89">
              <w:rPr>
                <w:bCs/>
                <w:color w:val="000000"/>
                <w:sz w:val="18"/>
                <w:szCs w:val="18"/>
              </w:rPr>
              <w:t xml:space="preserve">This project has both recurrent and capital injection </w:t>
            </w:r>
            <w:r w:rsidRPr="00D37A89">
              <w:rPr>
                <w:bCs/>
                <w:sz w:val="18"/>
                <w:szCs w:val="18"/>
              </w:rPr>
              <w:t>elements.</w:t>
            </w:r>
          </w:p>
        </w:tc>
      </w:tr>
    </w:tbl>
    <w:p w14:paraId="4DEB9B4D" w14:textId="77777777" w:rsidR="009F0619" w:rsidRDefault="009F0619" w:rsidP="00844A14">
      <w:pPr>
        <w:tabs>
          <w:tab w:val="left" w:pos="1668"/>
        </w:tabs>
        <w:ind w:left="105"/>
        <w:rPr>
          <w:rFonts w:cs="Calibri"/>
          <w:sz w:val="16"/>
        </w:rPr>
      </w:pPr>
    </w:p>
    <w:p w14:paraId="58CEE895" w14:textId="77777777" w:rsidR="009F0619" w:rsidRDefault="009F0619" w:rsidP="00844A14">
      <w:pPr>
        <w:tabs>
          <w:tab w:val="left" w:pos="1668"/>
        </w:tabs>
        <w:ind w:left="105"/>
        <w:rPr>
          <w:rFonts w:cs="Calibri"/>
          <w:sz w:val="16"/>
        </w:rPr>
      </w:pPr>
    </w:p>
    <w:p w14:paraId="466E79B8" w14:textId="38E68558" w:rsidR="009F0619" w:rsidRDefault="009F0619" w:rsidP="00844A14">
      <w:pPr>
        <w:tabs>
          <w:tab w:val="left" w:pos="1668"/>
        </w:tabs>
        <w:ind w:left="105"/>
        <w:rPr>
          <w:rFonts w:cs="Calibri"/>
          <w:sz w:val="16"/>
        </w:rPr>
      </w:pPr>
    </w:p>
    <w:p w14:paraId="7E9661A0" w14:textId="6A2C341A" w:rsidR="00A0224F" w:rsidRDefault="00A0224F" w:rsidP="00844A14">
      <w:pPr>
        <w:tabs>
          <w:tab w:val="left" w:pos="1668"/>
        </w:tabs>
        <w:ind w:left="105"/>
        <w:rPr>
          <w:rFonts w:cs="Calibri"/>
          <w:sz w:val="16"/>
        </w:rPr>
      </w:pPr>
    </w:p>
    <w:p w14:paraId="3CD7C8C0" w14:textId="3D3D3887" w:rsidR="00A0224F" w:rsidRDefault="00A0224F" w:rsidP="00844A14">
      <w:pPr>
        <w:tabs>
          <w:tab w:val="left" w:pos="1668"/>
        </w:tabs>
        <w:ind w:left="105"/>
        <w:rPr>
          <w:rFonts w:cs="Calibri"/>
          <w:sz w:val="16"/>
        </w:rPr>
      </w:pPr>
    </w:p>
    <w:p w14:paraId="70AE7785" w14:textId="702C1968" w:rsidR="00A0224F" w:rsidRDefault="00A0224F" w:rsidP="00844A14">
      <w:pPr>
        <w:tabs>
          <w:tab w:val="left" w:pos="1668"/>
        </w:tabs>
        <w:ind w:left="105"/>
        <w:rPr>
          <w:rFonts w:cs="Calibri"/>
          <w:sz w:val="16"/>
        </w:rPr>
      </w:pPr>
    </w:p>
    <w:p w14:paraId="66D7A0CB" w14:textId="77777777" w:rsidR="00A0224F" w:rsidRDefault="00A0224F" w:rsidP="00844A14">
      <w:pPr>
        <w:tabs>
          <w:tab w:val="left" w:pos="1668"/>
        </w:tabs>
        <w:ind w:left="105"/>
        <w:rPr>
          <w:rFonts w:cs="Calibri"/>
          <w:sz w:val="16"/>
        </w:rPr>
      </w:pPr>
    </w:p>
    <w:p w14:paraId="1B3B3065" w14:textId="77777777" w:rsidR="009F0619" w:rsidRDefault="009F0619" w:rsidP="00844A14">
      <w:pPr>
        <w:tabs>
          <w:tab w:val="left" w:pos="1668"/>
        </w:tabs>
        <w:ind w:left="105"/>
        <w:rPr>
          <w:rFonts w:cs="Calibri"/>
          <w:sz w:val="16"/>
        </w:rPr>
      </w:pPr>
    </w:p>
    <w:p w14:paraId="7E351F3E" w14:textId="77777777" w:rsidR="009F0619" w:rsidRDefault="009F0619" w:rsidP="00844A14">
      <w:pPr>
        <w:tabs>
          <w:tab w:val="left" w:pos="1668"/>
        </w:tabs>
        <w:ind w:left="105"/>
        <w:rPr>
          <w:rFonts w:cs="Calibri"/>
          <w:sz w:val="16"/>
        </w:rPr>
      </w:pPr>
    </w:p>
    <w:p w14:paraId="2E7A70E9" w14:textId="77777777" w:rsidR="009F0619" w:rsidRDefault="009F0619" w:rsidP="00844A14">
      <w:pPr>
        <w:tabs>
          <w:tab w:val="left" w:pos="1668"/>
        </w:tabs>
        <w:ind w:left="105"/>
        <w:rPr>
          <w:rFonts w:cs="Calibri"/>
          <w:sz w:val="16"/>
        </w:rPr>
      </w:pPr>
    </w:p>
    <w:p w14:paraId="0601A39C" w14:textId="77777777" w:rsidR="009F0619" w:rsidRDefault="009F0619" w:rsidP="00844A14">
      <w:pPr>
        <w:tabs>
          <w:tab w:val="left" w:pos="1668"/>
        </w:tabs>
        <w:ind w:left="105"/>
        <w:rPr>
          <w:rFonts w:cs="Calibri"/>
          <w:sz w:val="16"/>
        </w:rPr>
      </w:pPr>
    </w:p>
    <w:p w14:paraId="5C3B9D2C" w14:textId="77777777" w:rsidR="009F0619" w:rsidRDefault="009F0619" w:rsidP="00844A14">
      <w:pPr>
        <w:tabs>
          <w:tab w:val="left" w:pos="1668"/>
        </w:tabs>
        <w:ind w:left="105"/>
        <w:rPr>
          <w:rFonts w:cs="Calibri"/>
          <w:sz w:val="16"/>
        </w:rPr>
      </w:pPr>
    </w:p>
    <w:p w14:paraId="68153BA7" w14:textId="77777777" w:rsidR="009F0619" w:rsidRDefault="009F0619" w:rsidP="00844A14">
      <w:pPr>
        <w:tabs>
          <w:tab w:val="left" w:pos="1668"/>
        </w:tabs>
        <w:ind w:left="105"/>
        <w:rPr>
          <w:rFonts w:cs="Calibri"/>
          <w:sz w:val="16"/>
        </w:rPr>
      </w:pPr>
    </w:p>
    <w:tbl>
      <w:tblPr>
        <w:tblW w:w="5033"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236"/>
        <w:gridCol w:w="725"/>
        <w:gridCol w:w="606"/>
      </w:tblGrid>
      <w:tr w:rsidR="00A0224F" w:rsidRPr="007E0503" w14:paraId="416840FD" w14:textId="77777777" w:rsidTr="000A07A1">
        <w:trPr>
          <w:cantSplit/>
        </w:trPr>
        <w:tc>
          <w:tcPr>
            <w:tcW w:w="855" w:type="pct"/>
            <w:tcBorders>
              <w:top w:val="nil"/>
              <w:left w:val="single" w:sz="2" w:space="0" w:color="003366"/>
              <w:bottom w:val="nil"/>
              <w:right w:val="single" w:sz="2" w:space="0" w:color="003366"/>
            </w:tcBorders>
          </w:tcPr>
          <w:p w14:paraId="794068E1" w14:textId="77777777" w:rsidR="00A0224F" w:rsidRPr="007E0503" w:rsidRDefault="00A0224F" w:rsidP="00FE110B">
            <w:pPr>
              <w:pStyle w:val="TableText0"/>
              <w:tabs>
                <w:tab w:val="left" w:pos="3306"/>
              </w:tabs>
              <w:spacing w:before="120"/>
              <w:rPr>
                <w:rFonts w:cs="Calibri"/>
                <w:sz w:val="16"/>
                <w:szCs w:val="16"/>
              </w:rPr>
            </w:pPr>
            <w:bookmarkStart w:id="42" w:name="UserChg" w:colFirst="1" w:colLast="1"/>
            <w:r w:rsidRPr="007E0503">
              <w:rPr>
                <w:rFonts w:cs="Calibri"/>
                <w:b/>
                <w:bCs/>
                <w:sz w:val="20"/>
                <w:szCs w:val="20"/>
              </w:rPr>
              <w:t>Reference</w:t>
            </w:r>
          </w:p>
        </w:tc>
        <w:tc>
          <w:tcPr>
            <w:tcW w:w="4145" w:type="pct"/>
            <w:gridSpan w:val="3"/>
            <w:tcBorders>
              <w:top w:val="nil"/>
              <w:left w:val="single" w:sz="2" w:space="0" w:color="003366"/>
              <w:bottom w:val="nil"/>
              <w:right w:val="nil"/>
            </w:tcBorders>
          </w:tcPr>
          <w:p w14:paraId="37047779" w14:textId="36CD26D1" w:rsidR="00A0224F" w:rsidRPr="007E0503" w:rsidRDefault="00A0224F" w:rsidP="00A0224F">
            <w:pPr>
              <w:pStyle w:val="Normal1"/>
              <w:spacing w:before="240" w:after="240"/>
            </w:pPr>
            <w:bookmarkStart w:id="43" w:name="_Toc48468421"/>
            <w:bookmarkStart w:id="44" w:name="_Toc49155540"/>
            <w:bookmarkStart w:id="45" w:name="_Toc49223996"/>
            <w:bookmarkStart w:id="46" w:name="_Ref50257799"/>
            <w:bookmarkStart w:id="47" w:name="_Toc50440340"/>
            <w:bookmarkStart w:id="48" w:name="_Ref50523876"/>
            <w:bookmarkStart w:id="49" w:name="_Toc400627322"/>
            <w:bookmarkStart w:id="50" w:name="_Toc43898973"/>
            <w:r w:rsidRPr="00A0224F">
              <w:rPr>
                <w:rFonts w:asciiTheme="majorHAnsi" w:hAnsiTheme="majorHAnsi" w:cstheme="majorHAnsi"/>
                <w:b/>
                <w:bCs/>
                <w:sz w:val="32"/>
                <w:szCs w:val="32"/>
              </w:rPr>
              <w:t xml:space="preserve">NOTE 5.  </w:t>
            </w:r>
            <w:bookmarkEnd w:id="43"/>
            <w:bookmarkEnd w:id="44"/>
            <w:bookmarkEnd w:id="45"/>
            <w:bookmarkEnd w:id="46"/>
            <w:bookmarkEnd w:id="47"/>
            <w:bookmarkEnd w:id="48"/>
            <w:bookmarkEnd w:id="49"/>
            <w:r w:rsidRPr="00A0224F">
              <w:rPr>
                <w:rFonts w:asciiTheme="majorHAnsi" w:hAnsiTheme="majorHAnsi" w:cstheme="majorHAnsi"/>
                <w:b/>
                <w:bCs/>
                <w:sz w:val="32"/>
                <w:szCs w:val="32"/>
              </w:rPr>
              <w:t>SALES OF GOODS AND SERVICES FROM CONTRACTS WITH CUSTOMERS</w:t>
            </w:r>
            <w:bookmarkEnd w:id="50"/>
          </w:p>
        </w:tc>
      </w:tr>
      <w:tr w:rsidR="00A0224F" w:rsidRPr="007E0503" w14:paraId="4B055EF7" w14:textId="77777777" w:rsidTr="000A07A1">
        <w:trPr>
          <w:cantSplit/>
        </w:trPr>
        <w:tc>
          <w:tcPr>
            <w:tcW w:w="855" w:type="pct"/>
            <w:tcBorders>
              <w:top w:val="nil"/>
              <w:left w:val="single" w:sz="2" w:space="0" w:color="003366"/>
              <w:bottom w:val="nil"/>
              <w:right w:val="single" w:sz="2" w:space="0" w:color="003366"/>
            </w:tcBorders>
          </w:tcPr>
          <w:p w14:paraId="3C32B5D2" w14:textId="77777777" w:rsidR="00A0224F" w:rsidRPr="007E0503" w:rsidRDefault="00A0224F" w:rsidP="00FE110B">
            <w:pPr>
              <w:pStyle w:val="TableText0"/>
              <w:tabs>
                <w:tab w:val="left" w:pos="3306"/>
              </w:tabs>
              <w:spacing w:before="120"/>
              <w:rPr>
                <w:rFonts w:cs="Calibri"/>
                <w:b/>
                <w:bCs/>
                <w:sz w:val="20"/>
                <w:szCs w:val="20"/>
              </w:rPr>
            </w:pPr>
          </w:p>
        </w:tc>
        <w:tc>
          <w:tcPr>
            <w:tcW w:w="4145" w:type="pct"/>
            <w:gridSpan w:val="3"/>
            <w:tcBorders>
              <w:top w:val="nil"/>
              <w:left w:val="single" w:sz="2" w:space="0" w:color="003366"/>
              <w:bottom w:val="nil"/>
              <w:right w:val="nil"/>
            </w:tcBorders>
          </w:tcPr>
          <w:p w14:paraId="5E011186" w14:textId="25C515D4" w:rsidR="00A0224F" w:rsidRPr="00FE110B" w:rsidRDefault="00A0224F" w:rsidP="00A0224F">
            <w:pPr>
              <w:pStyle w:val="Normal1"/>
              <w:spacing w:before="120" w:after="120"/>
              <w:rPr>
                <w:rFonts w:eastAsia="Times New Roman" w:cs="Calibri"/>
                <w:b/>
                <w:bCs/>
                <w:noProof w:val="0"/>
                <w:color w:val="C54B0A" w:themeColor="accent5" w:themeShade="BF"/>
                <w:kern w:val="0"/>
                <w:sz w:val="18"/>
                <w:szCs w:val="18"/>
                <w:lang w:eastAsia="en-US"/>
              </w:rPr>
            </w:pPr>
            <w:r w:rsidRPr="00FE110B">
              <w:rPr>
                <w:rFonts w:eastAsia="Times New Roman" w:cs="Calibri"/>
                <w:b/>
                <w:bCs/>
                <w:noProof w:val="0"/>
                <w:color w:val="C54B0A" w:themeColor="accent5" w:themeShade="BF"/>
                <w:kern w:val="0"/>
                <w:sz w:val="18"/>
                <w:szCs w:val="18"/>
                <w:lang w:eastAsia="en-US"/>
              </w:rPr>
              <w:t>COVID-19 Disclosures</w:t>
            </w:r>
          </w:p>
          <w:p w14:paraId="0076075E" w14:textId="571CEB5C" w:rsidR="000A7FB3" w:rsidRPr="00FE110B" w:rsidRDefault="006908AF" w:rsidP="00FE110B">
            <w:pPr>
              <w:rPr>
                <w:rFonts w:ascii="Calibri" w:eastAsia="Times New Roman" w:hAnsi="Calibri" w:cs="Calibri"/>
                <w:sz w:val="18"/>
                <w:szCs w:val="18"/>
                <w:lang w:eastAsia="en-US"/>
              </w:rPr>
            </w:pPr>
            <w:r w:rsidRPr="00FE110B">
              <w:rPr>
                <w:rFonts w:ascii="Calibri" w:eastAsia="Times New Roman" w:hAnsi="Calibri" w:cs="Calibri"/>
                <w:color w:val="C54B0A" w:themeColor="accent5" w:themeShade="BF"/>
                <w:sz w:val="18"/>
                <w:szCs w:val="18"/>
                <w:lang w:eastAsia="en-US"/>
              </w:rPr>
              <w:t xml:space="preserve">Since the commencement of </w:t>
            </w:r>
            <w:r w:rsidR="000A7FB3" w:rsidRPr="00FE110B">
              <w:rPr>
                <w:rFonts w:ascii="Calibri" w:eastAsia="Times New Roman" w:hAnsi="Calibri" w:cs="Calibri"/>
                <w:color w:val="C54B0A" w:themeColor="accent5" w:themeShade="BF"/>
                <w:sz w:val="18"/>
                <w:szCs w:val="18"/>
                <w:lang w:eastAsia="en-US"/>
              </w:rPr>
              <w:t xml:space="preserve">the </w:t>
            </w:r>
            <w:r w:rsidRPr="00FE110B">
              <w:rPr>
                <w:rFonts w:ascii="Calibri" w:eastAsia="Times New Roman" w:hAnsi="Calibri" w:cs="Calibri"/>
                <w:color w:val="C54B0A" w:themeColor="accent5" w:themeShade="BF"/>
                <w:sz w:val="18"/>
                <w:szCs w:val="18"/>
                <w:lang w:eastAsia="en-US"/>
              </w:rPr>
              <w:t>COVID-19</w:t>
            </w:r>
            <w:r w:rsidR="000A7FB3" w:rsidRPr="00FE110B">
              <w:rPr>
                <w:rFonts w:ascii="Calibri" w:eastAsia="Times New Roman" w:hAnsi="Calibri" w:cs="Calibri"/>
                <w:color w:val="C54B0A" w:themeColor="accent5" w:themeShade="BF"/>
                <w:sz w:val="18"/>
                <w:szCs w:val="18"/>
                <w:lang w:eastAsia="en-US"/>
              </w:rPr>
              <w:t xml:space="preserve"> pandemic ‘Example Agency’ has lost</w:t>
            </w:r>
            <w:r w:rsidR="00FE110B" w:rsidRPr="00FE110B">
              <w:rPr>
                <w:rFonts w:ascii="Calibri" w:eastAsia="Times New Roman" w:hAnsi="Calibri" w:cs="Calibri"/>
                <w:color w:val="C54B0A" w:themeColor="accent5" w:themeShade="BF"/>
                <w:sz w:val="18"/>
                <w:szCs w:val="18"/>
                <w:lang w:eastAsia="en-US"/>
              </w:rPr>
              <w:t xml:space="preserve"> a material amount of public transport fare </w:t>
            </w:r>
            <w:r w:rsidR="000A7FB3" w:rsidRPr="00FE110B">
              <w:rPr>
                <w:rFonts w:ascii="Calibri" w:eastAsia="Times New Roman" w:hAnsi="Calibri" w:cs="Calibri"/>
                <w:color w:val="C54B0A" w:themeColor="accent5" w:themeShade="BF"/>
                <w:sz w:val="18"/>
                <w:szCs w:val="18"/>
                <w:lang w:eastAsia="en-US"/>
              </w:rPr>
              <w:t>revenue</w:t>
            </w:r>
            <w:r w:rsidR="00FE110B" w:rsidRPr="00FE110B">
              <w:rPr>
                <w:rFonts w:ascii="Calibri" w:eastAsia="Times New Roman" w:hAnsi="Calibri" w:cs="Calibri"/>
                <w:color w:val="C54B0A" w:themeColor="accent5" w:themeShade="BF"/>
                <w:sz w:val="18"/>
                <w:szCs w:val="18"/>
                <w:lang w:eastAsia="en-US"/>
              </w:rPr>
              <w:t xml:space="preserve">.  Bus and light rail patronage </w:t>
            </w:r>
            <w:r w:rsidR="000A7FB3" w:rsidRPr="00FE110B">
              <w:rPr>
                <w:rFonts w:ascii="Calibri" w:eastAsia="Times New Roman" w:hAnsi="Calibri" w:cs="Calibri"/>
                <w:color w:val="C54B0A" w:themeColor="accent5" w:themeShade="BF"/>
                <w:sz w:val="18"/>
                <w:szCs w:val="18"/>
                <w:lang w:eastAsia="en-US"/>
              </w:rPr>
              <w:t xml:space="preserve">decreased </w:t>
            </w:r>
            <w:r w:rsidR="00FE110B" w:rsidRPr="00FE110B">
              <w:rPr>
                <w:rFonts w:ascii="Calibri" w:eastAsia="Times New Roman" w:hAnsi="Calibri" w:cs="Calibri"/>
                <w:color w:val="C54B0A" w:themeColor="accent5" w:themeShade="BF"/>
                <w:sz w:val="18"/>
                <w:szCs w:val="18"/>
                <w:lang w:eastAsia="en-US"/>
              </w:rPr>
              <w:t xml:space="preserve">to an estimated </w:t>
            </w:r>
            <w:r w:rsidR="00F21677">
              <w:rPr>
                <w:rFonts w:ascii="Calibri" w:eastAsia="Times New Roman" w:hAnsi="Calibri" w:cs="Calibri"/>
                <w:color w:val="C54B0A" w:themeColor="accent5" w:themeShade="BF"/>
                <w:sz w:val="18"/>
                <w:szCs w:val="18"/>
                <w:lang w:eastAsia="en-US"/>
              </w:rPr>
              <w:t>2</w:t>
            </w:r>
            <w:r w:rsidR="000A7FB3" w:rsidRPr="00FE110B">
              <w:rPr>
                <w:rFonts w:ascii="Calibri" w:eastAsia="Times New Roman" w:hAnsi="Calibri" w:cs="Calibri"/>
                <w:color w:val="C54B0A" w:themeColor="accent5" w:themeShade="BF"/>
                <w:sz w:val="18"/>
                <w:szCs w:val="18"/>
                <w:lang w:eastAsia="en-US"/>
              </w:rPr>
              <w:t>% of pre COVID</w:t>
            </w:r>
            <w:r w:rsidR="00FE110B">
              <w:rPr>
                <w:rFonts w:ascii="Calibri" w:eastAsia="Times New Roman" w:hAnsi="Calibri" w:cs="Calibri"/>
                <w:color w:val="C54B0A" w:themeColor="accent5" w:themeShade="BF"/>
                <w:sz w:val="18"/>
                <w:szCs w:val="18"/>
                <w:lang w:eastAsia="en-US"/>
              </w:rPr>
              <w:noBreakHyphen/>
            </w:r>
            <w:r w:rsidR="000A7FB3" w:rsidRPr="00FE110B">
              <w:rPr>
                <w:rFonts w:ascii="Calibri" w:eastAsia="Times New Roman" w:hAnsi="Calibri" w:cs="Calibri"/>
                <w:color w:val="C54B0A" w:themeColor="accent5" w:themeShade="BF"/>
                <w:sz w:val="18"/>
                <w:szCs w:val="18"/>
                <w:lang w:eastAsia="en-US"/>
              </w:rPr>
              <w:t>19 levels</w:t>
            </w:r>
            <w:r w:rsidR="00FE110B" w:rsidRPr="00FE110B">
              <w:rPr>
                <w:rFonts w:ascii="Calibri" w:eastAsia="Times New Roman" w:hAnsi="Calibri" w:cs="Calibri"/>
                <w:color w:val="C54B0A" w:themeColor="accent5" w:themeShade="BF"/>
                <w:sz w:val="18"/>
                <w:szCs w:val="18"/>
                <w:lang w:eastAsia="en-US"/>
              </w:rPr>
              <w:t xml:space="preserve"> in </w:t>
            </w:r>
            <w:r w:rsidR="00F21677">
              <w:rPr>
                <w:rFonts w:ascii="Calibri" w:eastAsia="Times New Roman" w:hAnsi="Calibri" w:cs="Calibri"/>
                <w:color w:val="C54B0A" w:themeColor="accent5" w:themeShade="BF"/>
                <w:sz w:val="18"/>
                <w:szCs w:val="18"/>
                <w:lang w:eastAsia="en-US"/>
              </w:rPr>
              <w:t>April</w:t>
            </w:r>
            <w:r w:rsidR="00FE110B" w:rsidRPr="00FE110B">
              <w:rPr>
                <w:rFonts w:ascii="Calibri" w:eastAsia="Times New Roman" w:hAnsi="Calibri" w:cs="Calibri"/>
                <w:color w:val="C54B0A" w:themeColor="accent5" w:themeShade="BF"/>
                <w:sz w:val="18"/>
                <w:szCs w:val="18"/>
                <w:lang w:eastAsia="en-US"/>
              </w:rPr>
              <w:t xml:space="preserve"> 2020 but has since </w:t>
            </w:r>
            <w:r w:rsidR="00FE110B">
              <w:rPr>
                <w:rFonts w:ascii="Calibri" w:eastAsia="Times New Roman" w:hAnsi="Calibri" w:cs="Calibri"/>
                <w:color w:val="C54B0A" w:themeColor="accent5" w:themeShade="BF"/>
                <w:sz w:val="18"/>
                <w:szCs w:val="18"/>
                <w:lang w:eastAsia="en-US"/>
              </w:rPr>
              <w:t xml:space="preserve">slowly </w:t>
            </w:r>
            <w:r w:rsidR="00FE110B" w:rsidRPr="00FE110B">
              <w:rPr>
                <w:rFonts w:ascii="Calibri" w:eastAsia="Times New Roman" w:hAnsi="Calibri" w:cs="Calibri"/>
                <w:color w:val="C54B0A" w:themeColor="accent5" w:themeShade="BF"/>
                <w:sz w:val="18"/>
                <w:szCs w:val="18"/>
                <w:lang w:eastAsia="en-US"/>
              </w:rPr>
              <w:t xml:space="preserve">recovered and is now estimated to be </w:t>
            </w:r>
            <w:r w:rsidR="00FE110B">
              <w:rPr>
                <w:rFonts w:ascii="Calibri" w:eastAsia="Times New Roman" w:hAnsi="Calibri" w:cs="Calibri"/>
                <w:color w:val="C54B0A" w:themeColor="accent5" w:themeShade="BF"/>
                <w:sz w:val="18"/>
                <w:szCs w:val="18"/>
                <w:lang w:eastAsia="en-US"/>
              </w:rPr>
              <w:t xml:space="preserve">at </w:t>
            </w:r>
            <w:r w:rsidR="00FE110B" w:rsidRPr="00FE110B">
              <w:rPr>
                <w:rFonts w:ascii="Calibri" w:eastAsia="Times New Roman" w:hAnsi="Calibri" w:cs="Calibri"/>
                <w:color w:val="C54B0A" w:themeColor="accent5" w:themeShade="BF"/>
                <w:sz w:val="18"/>
                <w:szCs w:val="18"/>
                <w:lang w:eastAsia="en-US"/>
              </w:rPr>
              <w:t xml:space="preserve">90% of pre COVID-19 levels.  </w:t>
            </w:r>
            <w:r w:rsidR="00FE110B">
              <w:rPr>
                <w:rFonts w:ascii="Calibri" w:eastAsia="Times New Roman" w:hAnsi="Calibri" w:cs="Calibri"/>
                <w:color w:val="C54B0A" w:themeColor="accent5" w:themeShade="BF"/>
                <w:sz w:val="18"/>
                <w:szCs w:val="18"/>
                <w:lang w:eastAsia="en-US"/>
              </w:rPr>
              <w:t xml:space="preserve">The reduction in patronage over this period of time has resulted in lost fare revenue of approximately </w:t>
            </w:r>
            <w:r w:rsidR="00FE110B" w:rsidRPr="00FE110B">
              <w:rPr>
                <w:rFonts w:ascii="Calibri" w:eastAsia="Times New Roman" w:hAnsi="Calibri" w:cs="Calibri"/>
                <w:color w:val="C54B0A" w:themeColor="accent5" w:themeShade="BF"/>
                <w:sz w:val="18"/>
                <w:szCs w:val="18"/>
                <w:lang w:eastAsia="en-US"/>
              </w:rPr>
              <w:t>$8 million</w:t>
            </w:r>
            <w:r w:rsidR="00FE110B">
              <w:rPr>
                <w:rFonts w:ascii="Calibri" w:eastAsia="Times New Roman" w:hAnsi="Calibri" w:cs="Calibri"/>
                <w:color w:val="C54B0A" w:themeColor="accent5" w:themeShade="BF"/>
                <w:sz w:val="18"/>
                <w:szCs w:val="18"/>
                <w:lang w:eastAsia="en-US"/>
              </w:rPr>
              <w:t>.</w:t>
            </w:r>
            <w:r w:rsidR="00FE110B" w:rsidRPr="00FE110B">
              <w:rPr>
                <w:rFonts w:ascii="Calibri" w:eastAsia="Times New Roman" w:hAnsi="Calibri" w:cs="Calibri"/>
                <w:color w:val="C54B0A" w:themeColor="accent5" w:themeShade="BF"/>
                <w:sz w:val="18"/>
                <w:szCs w:val="18"/>
                <w:lang w:eastAsia="en-US"/>
              </w:rPr>
              <w:t xml:space="preserve">   </w:t>
            </w:r>
            <w:r w:rsidR="000A7FB3" w:rsidRPr="00FE110B">
              <w:rPr>
                <w:rFonts w:ascii="Calibri" w:eastAsia="Times New Roman" w:hAnsi="Calibri" w:cs="Calibri"/>
                <w:color w:val="C54B0A" w:themeColor="accent5" w:themeShade="BF"/>
                <w:sz w:val="18"/>
                <w:szCs w:val="18"/>
                <w:lang w:eastAsia="en-US"/>
              </w:rPr>
              <w:t xml:space="preserve"> </w:t>
            </w:r>
          </w:p>
        </w:tc>
      </w:tr>
      <w:bookmarkEnd w:id="42"/>
      <w:tr w:rsidR="00A0224F" w:rsidRPr="007E0503" w14:paraId="562BF5FA" w14:textId="77777777" w:rsidTr="000A07A1">
        <w:trPr>
          <w:cantSplit/>
        </w:trPr>
        <w:tc>
          <w:tcPr>
            <w:tcW w:w="855" w:type="pct"/>
            <w:tcBorders>
              <w:top w:val="nil"/>
              <w:left w:val="single" w:sz="2" w:space="0" w:color="003366"/>
              <w:bottom w:val="nil"/>
              <w:right w:val="single" w:sz="2" w:space="0" w:color="003366"/>
            </w:tcBorders>
          </w:tcPr>
          <w:p w14:paraId="5791F031" w14:textId="77777777" w:rsidR="00A0224F" w:rsidRPr="007E0503" w:rsidRDefault="00A0224F" w:rsidP="00FE110B">
            <w:pPr>
              <w:pStyle w:val="TableReference"/>
              <w:tabs>
                <w:tab w:val="left" w:pos="3306"/>
              </w:tabs>
              <w:rPr>
                <w:rFonts w:cs="Calibri"/>
                <w:color w:val="auto"/>
                <w:sz w:val="16"/>
                <w:szCs w:val="16"/>
              </w:rPr>
            </w:pPr>
          </w:p>
        </w:tc>
        <w:tc>
          <w:tcPr>
            <w:tcW w:w="3416" w:type="pct"/>
            <w:tcBorders>
              <w:top w:val="nil"/>
              <w:left w:val="single" w:sz="2" w:space="0" w:color="003366"/>
              <w:bottom w:val="nil"/>
              <w:right w:val="nil"/>
            </w:tcBorders>
            <w:vAlign w:val="bottom"/>
          </w:tcPr>
          <w:p w14:paraId="14B8702E" w14:textId="77777777" w:rsidR="00A0224F" w:rsidRPr="007E0503" w:rsidRDefault="00A0224F" w:rsidP="00FE110B">
            <w:pPr>
              <w:pStyle w:val="TableTitle"/>
              <w:tabs>
                <w:tab w:val="left" w:pos="3306"/>
              </w:tabs>
              <w:rPr>
                <w:rFonts w:cs="Calibri"/>
              </w:rPr>
            </w:pPr>
          </w:p>
        </w:tc>
        <w:tc>
          <w:tcPr>
            <w:tcW w:w="397" w:type="pct"/>
            <w:tcBorders>
              <w:top w:val="nil"/>
              <w:left w:val="nil"/>
              <w:bottom w:val="nil"/>
              <w:right w:val="nil"/>
            </w:tcBorders>
            <w:vAlign w:val="bottom"/>
          </w:tcPr>
          <w:p w14:paraId="02B4492A" w14:textId="5BE72656" w:rsidR="00A0224F" w:rsidRPr="007E0503" w:rsidRDefault="00A0224F" w:rsidP="00FE110B">
            <w:pPr>
              <w:pStyle w:val="TableTitle"/>
              <w:tabs>
                <w:tab w:val="left" w:pos="3306"/>
              </w:tabs>
              <w:rPr>
                <w:rFonts w:cs="Calibri"/>
              </w:rPr>
            </w:pPr>
            <w:r w:rsidRPr="007E0503">
              <w:rPr>
                <w:rFonts w:cs="Calibri"/>
              </w:rPr>
              <w:t>202</w:t>
            </w:r>
            <w:r>
              <w:rPr>
                <w:rFonts w:cs="Calibri"/>
              </w:rPr>
              <w:t>1</w:t>
            </w:r>
          </w:p>
          <w:p w14:paraId="5967896D" w14:textId="77777777" w:rsidR="00A0224F" w:rsidRPr="007E0503" w:rsidRDefault="00A0224F" w:rsidP="00FE110B">
            <w:pPr>
              <w:pStyle w:val="TableTitle"/>
              <w:tabs>
                <w:tab w:val="left" w:pos="3306"/>
              </w:tabs>
              <w:rPr>
                <w:rFonts w:cs="Calibri"/>
              </w:rPr>
            </w:pPr>
            <w:r w:rsidRPr="007E0503">
              <w:rPr>
                <w:rFonts w:cs="Calibri"/>
              </w:rPr>
              <w:t>$’000</w:t>
            </w:r>
          </w:p>
        </w:tc>
        <w:tc>
          <w:tcPr>
            <w:tcW w:w="332" w:type="pct"/>
            <w:tcBorders>
              <w:top w:val="nil"/>
              <w:left w:val="nil"/>
              <w:bottom w:val="nil"/>
              <w:right w:val="nil"/>
            </w:tcBorders>
            <w:vAlign w:val="bottom"/>
          </w:tcPr>
          <w:p w14:paraId="74100B24" w14:textId="468DD638" w:rsidR="00A0224F" w:rsidRPr="007E0503" w:rsidRDefault="00A0224F" w:rsidP="00FE110B">
            <w:pPr>
              <w:pStyle w:val="TableTitle"/>
              <w:tabs>
                <w:tab w:val="left" w:pos="3306"/>
              </w:tabs>
              <w:rPr>
                <w:rFonts w:cs="Calibri"/>
              </w:rPr>
            </w:pPr>
            <w:r w:rsidRPr="007E0503">
              <w:rPr>
                <w:rFonts w:cs="Calibri"/>
              </w:rPr>
              <w:t>20</w:t>
            </w:r>
            <w:r>
              <w:rPr>
                <w:rFonts w:cs="Calibri"/>
              </w:rPr>
              <w:t>20</w:t>
            </w:r>
          </w:p>
          <w:p w14:paraId="26884E2E" w14:textId="77777777" w:rsidR="00A0224F" w:rsidRPr="007E0503" w:rsidRDefault="00A0224F" w:rsidP="00FE110B">
            <w:pPr>
              <w:pStyle w:val="TableTitle"/>
              <w:tabs>
                <w:tab w:val="left" w:pos="3306"/>
              </w:tabs>
              <w:rPr>
                <w:rFonts w:cs="Calibri"/>
              </w:rPr>
            </w:pPr>
            <w:r w:rsidRPr="007E0503">
              <w:rPr>
                <w:rFonts w:cs="Calibri"/>
              </w:rPr>
              <w:t>$’000</w:t>
            </w:r>
          </w:p>
        </w:tc>
      </w:tr>
      <w:tr w:rsidR="00A0224F" w:rsidRPr="007E0503" w14:paraId="53644F9A" w14:textId="77777777" w:rsidTr="000A07A1">
        <w:trPr>
          <w:cantSplit/>
        </w:trPr>
        <w:tc>
          <w:tcPr>
            <w:tcW w:w="855" w:type="pct"/>
            <w:tcBorders>
              <w:top w:val="nil"/>
              <w:left w:val="single" w:sz="2" w:space="0" w:color="003366"/>
              <w:bottom w:val="nil"/>
              <w:right w:val="single" w:sz="2" w:space="0" w:color="003366"/>
            </w:tcBorders>
          </w:tcPr>
          <w:p w14:paraId="6F886BA8" w14:textId="77777777" w:rsidR="00A0224F" w:rsidRPr="007E0503" w:rsidRDefault="00A0224F" w:rsidP="00FE110B">
            <w:pPr>
              <w:pStyle w:val="TableReference"/>
              <w:tabs>
                <w:tab w:val="left" w:pos="3306"/>
              </w:tabs>
              <w:spacing w:before="60"/>
              <w:rPr>
                <w:rFonts w:cs="Calibri"/>
                <w:strike/>
                <w:color w:val="auto"/>
                <w:sz w:val="16"/>
                <w:szCs w:val="16"/>
              </w:rPr>
            </w:pPr>
          </w:p>
        </w:tc>
        <w:tc>
          <w:tcPr>
            <w:tcW w:w="3416" w:type="pct"/>
            <w:tcBorders>
              <w:top w:val="nil"/>
              <w:left w:val="single" w:sz="2" w:space="0" w:color="003366"/>
              <w:bottom w:val="nil"/>
              <w:right w:val="nil"/>
            </w:tcBorders>
            <w:vAlign w:val="bottom"/>
          </w:tcPr>
          <w:p w14:paraId="5F970530" w14:textId="77777777" w:rsidR="00A0224F" w:rsidRPr="007E0503" w:rsidRDefault="00A0224F" w:rsidP="00FE110B">
            <w:pPr>
              <w:pStyle w:val="TableText0"/>
              <w:tabs>
                <w:tab w:val="left" w:pos="3306"/>
              </w:tabs>
              <w:rPr>
                <w:rFonts w:cs="Calibri"/>
                <w:b/>
                <w:bCs/>
              </w:rPr>
            </w:pPr>
            <w:r w:rsidRPr="007E0503">
              <w:rPr>
                <w:rFonts w:cs="Calibri"/>
                <w:b/>
                <w:bCs/>
              </w:rPr>
              <w:t>ACT Government Customers</w:t>
            </w:r>
          </w:p>
        </w:tc>
        <w:tc>
          <w:tcPr>
            <w:tcW w:w="397" w:type="pct"/>
            <w:tcBorders>
              <w:top w:val="nil"/>
              <w:left w:val="nil"/>
              <w:bottom w:val="nil"/>
              <w:right w:val="nil"/>
            </w:tcBorders>
            <w:vAlign w:val="bottom"/>
          </w:tcPr>
          <w:p w14:paraId="3FAEF7B3" w14:textId="77777777" w:rsidR="00A0224F" w:rsidRPr="007E0503" w:rsidRDefault="00A0224F" w:rsidP="00FE110B">
            <w:pPr>
              <w:pStyle w:val="TableText0"/>
              <w:tabs>
                <w:tab w:val="left" w:pos="3306"/>
              </w:tabs>
              <w:jc w:val="right"/>
              <w:rPr>
                <w:rFonts w:cs="Calibri"/>
              </w:rPr>
            </w:pPr>
          </w:p>
        </w:tc>
        <w:tc>
          <w:tcPr>
            <w:tcW w:w="332" w:type="pct"/>
            <w:tcBorders>
              <w:top w:val="nil"/>
              <w:left w:val="nil"/>
              <w:bottom w:val="nil"/>
              <w:right w:val="nil"/>
            </w:tcBorders>
            <w:vAlign w:val="bottom"/>
          </w:tcPr>
          <w:p w14:paraId="36617222" w14:textId="77777777" w:rsidR="00A0224F" w:rsidRPr="007E0503" w:rsidRDefault="00A0224F" w:rsidP="00FE110B">
            <w:pPr>
              <w:pStyle w:val="TableText0"/>
              <w:tabs>
                <w:tab w:val="left" w:pos="3306"/>
              </w:tabs>
              <w:jc w:val="right"/>
              <w:rPr>
                <w:rFonts w:cs="Calibri"/>
              </w:rPr>
            </w:pPr>
          </w:p>
        </w:tc>
      </w:tr>
      <w:tr w:rsidR="00A0224F" w:rsidRPr="007E0503" w14:paraId="5C2B6229" w14:textId="77777777" w:rsidTr="000A07A1">
        <w:trPr>
          <w:cantSplit/>
        </w:trPr>
        <w:tc>
          <w:tcPr>
            <w:tcW w:w="855" w:type="pct"/>
            <w:tcBorders>
              <w:top w:val="nil"/>
              <w:left w:val="single" w:sz="2" w:space="0" w:color="003366"/>
              <w:bottom w:val="nil"/>
              <w:right w:val="single" w:sz="2" w:space="0" w:color="003366"/>
            </w:tcBorders>
          </w:tcPr>
          <w:p w14:paraId="4A4EAB33" w14:textId="77777777" w:rsidR="00A0224F" w:rsidRPr="007E0503" w:rsidRDefault="00A0224F" w:rsidP="00FE110B">
            <w:pPr>
              <w:pStyle w:val="TableReference"/>
              <w:tabs>
                <w:tab w:val="left" w:pos="3306"/>
              </w:tabs>
              <w:spacing w:before="60"/>
              <w:rPr>
                <w:rFonts w:cs="Calibri"/>
                <w:strike/>
                <w:color w:val="auto"/>
                <w:sz w:val="16"/>
                <w:szCs w:val="16"/>
              </w:rPr>
            </w:pPr>
          </w:p>
        </w:tc>
        <w:tc>
          <w:tcPr>
            <w:tcW w:w="3416" w:type="pct"/>
            <w:tcBorders>
              <w:top w:val="nil"/>
              <w:left w:val="single" w:sz="2" w:space="0" w:color="003366"/>
              <w:bottom w:val="nil"/>
              <w:right w:val="nil"/>
            </w:tcBorders>
            <w:vAlign w:val="bottom"/>
          </w:tcPr>
          <w:p w14:paraId="470A9EB7" w14:textId="77777777" w:rsidR="00A0224F" w:rsidRPr="007E0503" w:rsidRDefault="00A0224F" w:rsidP="00FE110B">
            <w:pPr>
              <w:pStyle w:val="TableText0"/>
              <w:tabs>
                <w:tab w:val="left" w:pos="3306"/>
              </w:tabs>
              <w:rPr>
                <w:rFonts w:cs="Calibri"/>
              </w:rPr>
            </w:pPr>
            <w:bookmarkStart w:id="51" w:name="_Toc48468423"/>
            <w:bookmarkStart w:id="52" w:name="_Toc49155542"/>
            <w:bookmarkStart w:id="53" w:name="_Toc49223998"/>
            <w:r w:rsidRPr="007E0503">
              <w:rPr>
                <w:rFonts w:cs="Calibri"/>
              </w:rPr>
              <w:t xml:space="preserve">User Charges – ACT </w:t>
            </w:r>
            <w:proofErr w:type="spellStart"/>
            <w:r w:rsidRPr="007E0503">
              <w:rPr>
                <w:rFonts w:cs="Calibri"/>
              </w:rPr>
              <w:t>Government</w:t>
            </w:r>
            <w:bookmarkEnd w:id="51"/>
            <w:bookmarkEnd w:id="52"/>
            <w:bookmarkEnd w:id="53"/>
            <w:r w:rsidRPr="007E0503">
              <w:rPr>
                <w:rFonts w:cs="Calibri"/>
                <w:vertAlign w:val="superscript"/>
              </w:rPr>
              <w:t>a</w:t>
            </w:r>
            <w:proofErr w:type="spellEnd"/>
          </w:p>
        </w:tc>
        <w:tc>
          <w:tcPr>
            <w:tcW w:w="397" w:type="pct"/>
            <w:tcBorders>
              <w:top w:val="nil"/>
              <w:left w:val="nil"/>
              <w:bottom w:val="nil"/>
              <w:right w:val="nil"/>
            </w:tcBorders>
            <w:vAlign w:val="bottom"/>
          </w:tcPr>
          <w:p w14:paraId="7D77AE7D" w14:textId="77777777" w:rsidR="00A0224F" w:rsidRPr="007E0503" w:rsidRDefault="00A0224F" w:rsidP="00FE110B">
            <w:pPr>
              <w:pStyle w:val="TableText0"/>
              <w:tabs>
                <w:tab w:val="left" w:pos="3306"/>
              </w:tabs>
              <w:jc w:val="right"/>
              <w:rPr>
                <w:rFonts w:cs="Calibri"/>
              </w:rPr>
            </w:pPr>
          </w:p>
        </w:tc>
        <w:tc>
          <w:tcPr>
            <w:tcW w:w="332" w:type="pct"/>
            <w:tcBorders>
              <w:top w:val="nil"/>
              <w:left w:val="nil"/>
              <w:bottom w:val="nil"/>
              <w:right w:val="nil"/>
            </w:tcBorders>
            <w:vAlign w:val="bottom"/>
          </w:tcPr>
          <w:p w14:paraId="736DF3B5" w14:textId="77777777" w:rsidR="00A0224F" w:rsidRPr="007E0503" w:rsidRDefault="00A0224F" w:rsidP="00FE110B">
            <w:pPr>
              <w:pStyle w:val="TableText0"/>
              <w:tabs>
                <w:tab w:val="left" w:pos="3306"/>
              </w:tabs>
              <w:jc w:val="right"/>
              <w:rPr>
                <w:rFonts w:cs="Calibri"/>
              </w:rPr>
            </w:pPr>
          </w:p>
        </w:tc>
      </w:tr>
      <w:tr w:rsidR="00A0224F" w:rsidRPr="007E0503" w14:paraId="2DBC4F2E" w14:textId="77777777" w:rsidTr="000A07A1">
        <w:trPr>
          <w:cantSplit/>
          <w:trHeight w:val="289"/>
        </w:trPr>
        <w:tc>
          <w:tcPr>
            <w:tcW w:w="855" w:type="pct"/>
            <w:tcBorders>
              <w:top w:val="nil"/>
              <w:left w:val="single" w:sz="2" w:space="0" w:color="003366"/>
              <w:bottom w:val="nil"/>
              <w:right w:val="single" w:sz="2" w:space="0" w:color="003366"/>
            </w:tcBorders>
          </w:tcPr>
          <w:p w14:paraId="07619F08" w14:textId="77777777" w:rsidR="00A0224F" w:rsidRPr="007E0503" w:rsidRDefault="00A0224F" w:rsidP="00FE110B">
            <w:pPr>
              <w:pStyle w:val="TableReference"/>
              <w:tabs>
                <w:tab w:val="left" w:pos="3306"/>
              </w:tabs>
              <w:spacing w:before="40"/>
              <w:rPr>
                <w:rFonts w:cs="Calibri"/>
                <w:color w:val="auto"/>
                <w:sz w:val="16"/>
                <w:szCs w:val="16"/>
              </w:rPr>
            </w:pPr>
          </w:p>
        </w:tc>
        <w:tc>
          <w:tcPr>
            <w:tcW w:w="3416" w:type="pct"/>
            <w:tcBorders>
              <w:top w:val="nil"/>
              <w:left w:val="single" w:sz="2" w:space="0" w:color="003366"/>
              <w:bottom w:val="nil"/>
              <w:right w:val="nil"/>
            </w:tcBorders>
            <w:vAlign w:val="bottom"/>
          </w:tcPr>
          <w:p w14:paraId="471EAB1B" w14:textId="77777777" w:rsidR="00A0224F" w:rsidRPr="007E0503" w:rsidRDefault="00A0224F" w:rsidP="00FE110B">
            <w:pPr>
              <w:pStyle w:val="TableText0"/>
              <w:tabs>
                <w:tab w:val="left" w:pos="3306"/>
              </w:tabs>
              <w:rPr>
                <w:rFonts w:cs="Calibri"/>
                <w:b/>
                <w:bCs/>
              </w:rPr>
            </w:pPr>
            <w:bookmarkStart w:id="54" w:name="_Toc48468424"/>
            <w:bookmarkStart w:id="55" w:name="_Toc49155543"/>
            <w:bookmarkStart w:id="56" w:name="_Toc49223999"/>
            <w:r w:rsidRPr="007E0503">
              <w:rPr>
                <w:rFonts w:cs="Calibri"/>
                <w:b/>
                <w:bCs/>
              </w:rPr>
              <w:t xml:space="preserve">Total Sales of goods and Services from ACT Government Customers </w:t>
            </w:r>
            <w:bookmarkEnd w:id="54"/>
            <w:bookmarkEnd w:id="55"/>
            <w:bookmarkEnd w:id="56"/>
          </w:p>
        </w:tc>
        <w:tc>
          <w:tcPr>
            <w:tcW w:w="397" w:type="pct"/>
            <w:tcBorders>
              <w:top w:val="single" w:sz="2" w:space="0" w:color="003366"/>
              <w:left w:val="nil"/>
              <w:bottom w:val="single" w:sz="2" w:space="0" w:color="003366"/>
              <w:right w:val="nil"/>
            </w:tcBorders>
            <w:vAlign w:val="bottom"/>
          </w:tcPr>
          <w:p w14:paraId="7E97034C" w14:textId="77777777" w:rsidR="00A0224F" w:rsidRPr="007E0503" w:rsidRDefault="00A0224F" w:rsidP="00FE110B">
            <w:pPr>
              <w:pStyle w:val="TableText0"/>
              <w:tabs>
                <w:tab w:val="left" w:pos="3306"/>
              </w:tabs>
              <w:jc w:val="right"/>
              <w:rPr>
                <w:rFonts w:cs="Calibri"/>
                <w:b/>
                <w:bCs/>
              </w:rPr>
            </w:pPr>
          </w:p>
        </w:tc>
        <w:tc>
          <w:tcPr>
            <w:tcW w:w="332" w:type="pct"/>
            <w:tcBorders>
              <w:top w:val="single" w:sz="2" w:space="0" w:color="003366"/>
              <w:left w:val="nil"/>
              <w:bottom w:val="single" w:sz="2" w:space="0" w:color="003366"/>
              <w:right w:val="nil"/>
            </w:tcBorders>
            <w:vAlign w:val="bottom"/>
          </w:tcPr>
          <w:p w14:paraId="0266684F" w14:textId="77777777" w:rsidR="00A0224F" w:rsidRPr="007E0503" w:rsidRDefault="00A0224F" w:rsidP="00FE110B">
            <w:pPr>
              <w:pStyle w:val="TableText0"/>
              <w:tabs>
                <w:tab w:val="left" w:pos="3306"/>
              </w:tabs>
              <w:jc w:val="right"/>
              <w:rPr>
                <w:rFonts w:cs="Calibri"/>
                <w:b/>
                <w:bCs/>
              </w:rPr>
            </w:pPr>
          </w:p>
        </w:tc>
      </w:tr>
      <w:tr w:rsidR="00A0224F" w:rsidRPr="007E0503" w14:paraId="6D2CCEA7" w14:textId="77777777" w:rsidTr="000A07A1">
        <w:trPr>
          <w:cantSplit/>
        </w:trPr>
        <w:tc>
          <w:tcPr>
            <w:tcW w:w="855" w:type="pct"/>
            <w:tcBorders>
              <w:top w:val="nil"/>
              <w:left w:val="single" w:sz="2" w:space="0" w:color="003366"/>
              <w:bottom w:val="nil"/>
              <w:right w:val="single" w:sz="2" w:space="0" w:color="003366"/>
            </w:tcBorders>
          </w:tcPr>
          <w:p w14:paraId="2C365F32" w14:textId="77777777" w:rsidR="00A0224F" w:rsidRPr="007E0503" w:rsidRDefault="00A0224F" w:rsidP="00FE110B">
            <w:pPr>
              <w:pStyle w:val="TableReference"/>
              <w:tabs>
                <w:tab w:val="left" w:pos="3306"/>
              </w:tabs>
              <w:spacing w:before="40"/>
              <w:rPr>
                <w:rFonts w:cs="Calibri"/>
                <w:color w:val="auto"/>
                <w:sz w:val="16"/>
                <w:szCs w:val="16"/>
              </w:rPr>
            </w:pPr>
          </w:p>
        </w:tc>
        <w:tc>
          <w:tcPr>
            <w:tcW w:w="3416" w:type="pct"/>
            <w:tcBorders>
              <w:top w:val="nil"/>
              <w:left w:val="single" w:sz="2" w:space="0" w:color="003366"/>
              <w:bottom w:val="nil"/>
              <w:right w:val="nil"/>
            </w:tcBorders>
            <w:vAlign w:val="bottom"/>
          </w:tcPr>
          <w:p w14:paraId="3CEED695" w14:textId="77777777" w:rsidR="00A0224F" w:rsidRPr="007E0503" w:rsidRDefault="00A0224F" w:rsidP="00FE110B">
            <w:pPr>
              <w:pStyle w:val="TableText0"/>
              <w:tabs>
                <w:tab w:val="left" w:pos="3306"/>
              </w:tabs>
              <w:rPr>
                <w:rFonts w:cs="Calibri"/>
              </w:rPr>
            </w:pPr>
          </w:p>
        </w:tc>
        <w:tc>
          <w:tcPr>
            <w:tcW w:w="397" w:type="pct"/>
            <w:tcBorders>
              <w:top w:val="single" w:sz="2" w:space="0" w:color="003366"/>
              <w:left w:val="nil"/>
              <w:bottom w:val="nil"/>
              <w:right w:val="nil"/>
            </w:tcBorders>
            <w:vAlign w:val="bottom"/>
          </w:tcPr>
          <w:p w14:paraId="31AAEEAB" w14:textId="77777777" w:rsidR="00A0224F" w:rsidRPr="007E0503" w:rsidRDefault="00A0224F" w:rsidP="00FE110B">
            <w:pPr>
              <w:pStyle w:val="TableText0"/>
              <w:tabs>
                <w:tab w:val="left" w:pos="3306"/>
              </w:tabs>
              <w:jc w:val="right"/>
              <w:rPr>
                <w:rFonts w:cs="Calibri"/>
              </w:rPr>
            </w:pPr>
          </w:p>
        </w:tc>
        <w:tc>
          <w:tcPr>
            <w:tcW w:w="332" w:type="pct"/>
            <w:tcBorders>
              <w:top w:val="single" w:sz="2" w:space="0" w:color="003366"/>
              <w:left w:val="nil"/>
              <w:bottom w:val="nil"/>
              <w:right w:val="nil"/>
            </w:tcBorders>
            <w:vAlign w:val="bottom"/>
          </w:tcPr>
          <w:p w14:paraId="0592D61D" w14:textId="77777777" w:rsidR="00A0224F" w:rsidRPr="007E0503" w:rsidRDefault="00A0224F" w:rsidP="00FE110B">
            <w:pPr>
              <w:pStyle w:val="TableText0"/>
              <w:tabs>
                <w:tab w:val="left" w:pos="3306"/>
              </w:tabs>
              <w:jc w:val="right"/>
              <w:rPr>
                <w:rFonts w:cs="Calibri"/>
              </w:rPr>
            </w:pPr>
          </w:p>
        </w:tc>
      </w:tr>
      <w:tr w:rsidR="00A0224F" w:rsidRPr="007E0503" w14:paraId="5C41CBDF" w14:textId="77777777" w:rsidTr="000A07A1">
        <w:trPr>
          <w:cantSplit/>
        </w:trPr>
        <w:tc>
          <w:tcPr>
            <w:tcW w:w="855" w:type="pct"/>
            <w:tcBorders>
              <w:top w:val="nil"/>
              <w:left w:val="single" w:sz="2" w:space="0" w:color="003366"/>
              <w:bottom w:val="nil"/>
              <w:right w:val="single" w:sz="2" w:space="0" w:color="003366"/>
            </w:tcBorders>
          </w:tcPr>
          <w:p w14:paraId="6B00DEBE" w14:textId="77777777" w:rsidR="00A0224F" w:rsidRPr="007E0503" w:rsidRDefault="00A0224F" w:rsidP="00FE110B">
            <w:pPr>
              <w:pStyle w:val="TableReference"/>
              <w:tabs>
                <w:tab w:val="left" w:pos="3306"/>
              </w:tabs>
              <w:spacing w:before="60"/>
              <w:rPr>
                <w:rFonts w:cs="Calibri"/>
                <w:strike/>
                <w:color w:val="auto"/>
                <w:sz w:val="16"/>
                <w:szCs w:val="16"/>
              </w:rPr>
            </w:pPr>
          </w:p>
        </w:tc>
        <w:tc>
          <w:tcPr>
            <w:tcW w:w="3416" w:type="pct"/>
            <w:tcBorders>
              <w:top w:val="nil"/>
              <w:left w:val="single" w:sz="2" w:space="0" w:color="003366"/>
              <w:bottom w:val="nil"/>
              <w:right w:val="nil"/>
            </w:tcBorders>
            <w:vAlign w:val="bottom"/>
          </w:tcPr>
          <w:p w14:paraId="1B6E0574" w14:textId="77777777" w:rsidR="00A0224F" w:rsidRPr="007E0503" w:rsidRDefault="00A0224F" w:rsidP="00FE110B">
            <w:pPr>
              <w:pStyle w:val="TableText0"/>
              <w:tabs>
                <w:tab w:val="left" w:pos="3306"/>
              </w:tabs>
              <w:rPr>
                <w:rFonts w:cs="Calibri"/>
                <w:b/>
                <w:bCs/>
              </w:rPr>
            </w:pPr>
            <w:bookmarkStart w:id="57" w:name="_Toc48468425"/>
            <w:bookmarkStart w:id="58" w:name="_Toc49155544"/>
            <w:bookmarkStart w:id="59" w:name="_Toc49224000"/>
            <w:r w:rsidRPr="007E0503">
              <w:rPr>
                <w:rFonts w:cs="Calibri"/>
                <w:b/>
                <w:bCs/>
              </w:rPr>
              <w:t>Non–ACT Government</w:t>
            </w:r>
            <w:bookmarkEnd w:id="57"/>
            <w:bookmarkEnd w:id="58"/>
            <w:bookmarkEnd w:id="59"/>
            <w:r w:rsidRPr="007E0503">
              <w:rPr>
                <w:rFonts w:cs="Calibri"/>
                <w:b/>
                <w:bCs/>
              </w:rPr>
              <w:t xml:space="preserve"> Customers</w:t>
            </w:r>
          </w:p>
        </w:tc>
        <w:tc>
          <w:tcPr>
            <w:tcW w:w="397" w:type="pct"/>
            <w:tcBorders>
              <w:top w:val="nil"/>
              <w:left w:val="nil"/>
              <w:bottom w:val="nil"/>
              <w:right w:val="nil"/>
            </w:tcBorders>
            <w:vAlign w:val="bottom"/>
          </w:tcPr>
          <w:p w14:paraId="66D3F24E" w14:textId="77777777" w:rsidR="00A0224F" w:rsidRPr="007E0503" w:rsidRDefault="00A0224F" w:rsidP="00FE110B">
            <w:pPr>
              <w:pStyle w:val="TableText0"/>
              <w:tabs>
                <w:tab w:val="left" w:pos="3306"/>
              </w:tabs>
              <w:jc w:val="right"/>
              <w:rPr>
                <w:rFonts w:cs="Calibri"/>
              </w:rPr>
            </w:pPr>
          </w:p>
        </w:tc>
        <w:tc>
          <w:tcPr>
            <w:tcW w:w="332" w:type="pct"/>
            <w:tcBorders>
              <w:top w:val="nil"/>
              <w:left w:val="nil"/>
              <w:bottom w:val="nil"/>
              <w:right w:val="nil"/>
            </w:tcBorders>
            <w:vAlign w:val="bottom"/>
          </w:tcPr>
          <w:p w14:paraId="6C0378E5" w14:textId="77777777" w:rsidR="00A0224F" w:rsidRPr="007E0503" w:rsidRDefault="00A0224F" w:rsidP="00FE110B">
            <w:pPr>
              <w:pStyle w:val="TableText0"/>
              <w:tabs>
                <w:tab w:val="left" w:pos="3306"/>
              </w:tabs>
              <w:jc w:val="right"/>
              <w:rPr>
                <w:rFonts w:cs="Calibri"/>
              </w:rPr>
            </w:pPr>
          </w:p>
        </w:tc>
      </w:tr>
      <w:tr w:rsidR="00A0224F" w:rsidRPr="007E0503" w14:paraId="0EAB11BE" w14:textId="77777777" w:rsidTr="000A07A1">
        <w:trPr>
          <w:cantSplit/>
        </w:trPr>
        <w:tc>
          <w:tcPr>
            <w:tcW w:w="855" w:type="pct"/>
            <w:tcBorders>
              <w:top w:val="nil"/>
              <w:left w:val="single" w:sz="2" w:space="0" w:color="003366"/>
              <w:bottom w:val="nil"/>
              <w:right w:val="single" w:sz="2" w:space="0" w:color="003366"/>
            </w:tcBorders>
          </w:tcPr>
          <w:p w14:paraId="63370C64" w14:textId="77777777" w:rsidR="00A0224F" w:rsidRPr="007E0503" w:rsidRDefault="00A0224F" w:rsidP="00FE110B">
            <w:pPr>
              <w:pStyle w:val="TableReference"/>
              <w:tabs>
                <w:tab w:val="left" w:pos="3306"/>
              </w:tabs>
              <w:spacing w:before="40"/>
              <w:rPr>
                <w:rFonts w:cs="Calibri"/>
                <w:color w:val="auto"/>
                <w:sz w:val="16"/>
                <w:szCs w:val="16"/>
              </w:rPr>
            </w:pPr>
          </w:p>
        </w:tc>
        <w:tc>
          <w:tcPr>
            <w:tcW w:w="3416" w:type="pct"/>
            <w:tcBorders>
              <w:top w:val="nil"/>
              <w:left w:val="single" w:sz="2" w:space="0" w:color="003366"/>
              <w:bottom w:val="nil"/>
              <w:right w:val="nil"/>
            </w:tcBorders>
            <w:vAlign w:val="bottom"/>
          </w:tcPr>
          <w:p w14:paraId="51E34520" w14:textId="77777777" w:rsidR="00A0224F" w:rsidRPr="007E0503" w:rsidRDefault="00A0224F" w:rsidP="00FE110B">
            <w:pPr>
              <w:pStyle w:val="TableText0"/>
              <w:tabs>
                <w:tab w:val="left" w:pos="3306"/>
              </w:tabs>
              <w:rPr>
                <w:rFonts w:cs="Calibri"/>
              </w:rPr>
            </w:pPr>
            <w:r w:rsidRPr="007E0503">
              <w:rPr>
                <w:rFonts w:cs="Calibri"/>
              </w:rPr>
              <w:t xml:space="preserve">Sale of </w:t>
            </w:r>
            <w:proofErr w:type="spellStart"/>
            <w:r w:rsidRPr="007E0503">
              <w:rPr>
                <w:rFonts w:cs="Calibri"/>
              </w:rPr>
              <w:t>Goods</w:t>
            </w:r>
            <w:r w:rsidRPr="007E0503">
              <w:rPr>
                <w:rFonts w:cs="Calibri"/>
                <w:vertAlign w:val="superscript"/>
              </w:rPr>
              <w:t>b</w:t>
            </w:r>
            <w:proofErr w:type="spellEnd"/>
            <w:r w:rsidRPr="007E0503">
              <w:rPr>
                <w:rFonts w:cs="Calibri"/>
              </w:rPr>
              <w:t xml:space="preserve">   </w:t>
            </w:r>
          </w:p>
        </w:tc>
        <w:tc>
          <w:tcPr>
            <w:tcW w:w="397" w:type="pct"/>
            <w:tcBorders>
              <w:top w:val="nil"/>
              <w:left w:val="nil"/>
              <w:bottom w:val="nil"/>
              <w:right w:val="nil"/>
            </w:tcBorders>
            <w:vAlign w:val="bottom"/>
          </w:tcPr>
          <w:p w14:paraId="16DFAC94" w14:textId="77777777" w:rsidR="00A0224F" w:rsidRPr="007E0503" w:rsidRDefault="00A0224F" w:rsidP="00FE110B">
            <w:pPr>
              <w:pStyle w:val="TableText0"/>
              <w:tabs>
                <w:tab w:val="left" w:pos="3306"/>
              </w:tabs>
              <w:jc w:val="right"/>
              <w:rPr>
                <w:rFonts w:cs="Calibri"/>
              </w:rPr>
            </w:pPr>
          </w:p>
        </w:tc>
        <w:tc>
          <w:tcPr>
            <w:tcW w:w="332" w:type="pct"/>
            <w:tcBorders>
              <w:top w:val="nil"/>
              <w:left w:val="nil"/>
              <w:bottom w:val="nil"/>
              <w:right w:val="nil"/>
            </w:tcBorders>
            <w:vAlign w:val="bottom"/>
          </w:tcPr>
          <w:p w14:paraId="1DEC55FA" w14:textId="77777777" w:rsidR="00A0224F" w:rsidRPr="007E0503" w:rsidRDefault="00A0224F" w:rsidP="00FE110B">
            <w:pPr>
              <w:pStyle w:val="TableText0"/>
              <w:tabs>
                <w:tab w:val="left" w:pos="3306"/>
              </w:tabs>
              <w:jc w:val="right"/>
              <w:rPr>
                <w:rFonts w:cs="Calibri"/>
              </w:rPr>
            </w:pPr>
          </w:p>
        </w:tc>
      </w:tr>
      <w:tr w:rsidR="00A0224F" w:rsidRPr="007E0503" w14:paraId="5A03B451" w14:textId="77777777" w:rsidTr="000A07A1">
        <w:trPr>
          <w:cantSplit/>
        </w:trPr>
        <w:tc>
          <w:tcPr>
            <w:tcW w:w="855" w:type="pct"/>
            <w:tcBorders>
              <w:top w:val="nil"/>
              <w:left w:val="single" w:sz="2" w:space="0" w:color="003366"/>
              <w:bottom w:val="nil"/>
              <w:right w:val="single" w:sz="2" w:space="0" w:color="003366"/>
            </w:tcBorders>
          </w:tcPr>
          <w:p w14:paraId="53D46929" w14:textId="77777777" w:rsidR="00A0224F" w:rsidRPr="007E0503" w:rsidRDefault="00A0224F" w:rsidP="00FE110B">
            <w:pPr>
              <w:pStyle w:val="TableReference"/>
              <w:tabs>
                <w:tab w:val="left" w:pos="3306"/>
              </w:tabs>
              <w:spacing w:before="40"/>
              <w:rPr>
                <w:rFonts w:cs="Calibri"/>
                <w:color w:val="auto"/>
                <w:sz w:val="16"/>
                <w:szCs w:val="16"/>
              </w:rPr>
            </w:pPr>
          </w:p>
        </w:tc>
        <w:tc>
          <w:tcPr>
            <w:tcW w:w="3416" w:type="pct"/>
            <w:tcBorders>
              <w:top w:val="nil"/>
              <w:left w:val="single" w:sz="2" w:space="0" w:color="003366"/>
              <w:bottom w:val="nil"/>
              <w:right w:val="nil"/>
            </w:tcBorders>
            <w:vAlign w:val="bottom"/>
          </w:tcPr>
          <w:p w14:paraId="16D31A25" w14:textId="77777777" w:rsidR="00A0224F" w:rsidRPr="007E0503" w:rsidRDefault="00A0224F" w:rsidP="00FE110B">
            <w:pPr>
              <w:pStyle w:val="TableText0"/>
              <w:tabs>
                <w:tab w:val="left" w:pos="3306"/>
              </w:tabs>
              <w:rPr>
                <w:rFonts w:cs="Calibri"/>
              </w:rPr>
            </w:pPr>
            <w:r w:rsidRPr="007E0503">
              <w:rPr>
                <w:rFonts w:cs="Calibri"/>
              </w:rPr>
              <w:t xml:space="preserve">Service </w:t>
            </w:r>
            <w:proofErr w:type="spellStart"/>
            <w:r w:rsidRPr="007E0503">
              <w:rPr>
                <w:rFonts w:cs="Calibri"/>
              </w:rPr>
              <w:t>Revenue</w:t>
            </w:r>
            <w:r w:rsidRPr="007E0503">
              <w:rPr>
                <w:rFonts w:cs="Calibri"/>
                <w:vertAlign w:val="superscript"/>
              </w:rPr>
              <w:t>c</w:t>
            </w:r>
            <w:proofErr w:type="spellEnd"/>
          </w:p>
        </w:tc>
        <w:tc>
          <w:tcPr>
            <w:tcW w:w="397" w:type="pct"/>
            <w:tcBorders>
              <w:top w:val="nil"/>
              <w:left w:val="nil"/>
              <w:bottom w:val="nil"/>
              <w:right w:val="nil"/>
            </w:tcBorders>
            <w:vAlign w:val="bottom"/>
          </w:tcPr>
          <w:p w14:paraId="3B9EC586" w14:textId="77777777" w:rsidR="00A0224F" w:rsidRPr="007E0503" w:rsidRDefault="00A0224F" w:rsidP="00FE110B">
            <w:pPr>
              <w:pStyle w:val="TableText0"/>
              <w:tabs>
                <w:tab w:val="left" w:pos="3306"/>
              </w:tabs>
              <w:jc w:val="right"/>
              <w:rPr>
                <w:rFonts w:cs="Calibri"/>
              </w:rPr>
            </w:pPr>
          </w:p>
        </w:tc>
        <w:tc>
          <w:tcPr>
            <w:tcW w:w="332" w:type="pct"/>
            <w:tcBorders>
              <w:top w:val="nil"/>
              <w:left w:val="nil"/>
              <w:bottom w:val="nil"/>
              <w:right w:val="nil"/>
            </w:tcBorders>
            <w:vAlign w:val="bottom"/>
          </w:tcPr>
          <w:p w14:paraId="550C757A" w14:textId="77777777" w:rsidR="00A0224F" w:rsidRPr="007E0503" w:rsidRDefault="00A0224F" w:rsidP="00FE110B">
            <w:pPr>
              <w:pStyle w:val="TableText0"/>
              <w:tabs>
                <w:tab w:val="left" w:pos="3306"/>
              </w:tabs>
              <w:jc w:val="right"/>
              <w:rPr>
                <w:rFonts w:cs="Calibri"/>
              </w:rPr>
            </w:pPr>
          </w:p>
        </w:tc>
      </w:tr>
      <w:tr w:rsidR="00A0224F" w:rsidRPr="007E0503" w14:paraId="12B5FEE8" w14:textId="77777777" w:rsidTr="000A07A1">
        <w:trPr>
          <w:cantSplit/>
        </w:trPr>
        <w:tc>
          <w:tcPr>
            <w:tcW w:w="855" w:type="pct"/>
            <w:tcBorders>
              <w:top w:val="nil"/>
              <w:left w:val="single" w:sz="2" w:space="0" w:color="003366"/>
              <w:bottom w:val="nil"/>
              <w:right w:val="single" w:sz="2" w:space="0" w:color="003366"/>
            </w:tcBorders>
          </w:tcPr>
          <w:p w14:paraId="3ED083E9" w14:textId="77777777" w:rsidR="00A0224F" w:rsidRPr="007E0503" w:rsidRDefault="00A0224F" w:rsidP="00FE110B">
            <w:pPr>
              <w:pStyle w:val="TableReference"/>
              <w:tabs>
                <w:tab w:val="left" w:pos="3306"/>
              </w:tabs>
              <w:spacing w:before="40"/>
              <w:rPr>
                <w:rFonts w:cs="Calibri"/>
                <w:color w:val="auto"/>
                <w:sz w:val="16"/>
                <w:szCs w:val="16"/>
              </w:rPr>
            </w:pPr>
          </w:p>
        </w:tc>
        <w:tc>
          <w:tcPr>
            <w:tcW w:w="3416" w:type="pct"/>
            <w:tcBorders>
              <w:top w:val="nil"/>
              <w:left w:val="single" w:sz="2" w:space="0" w:color="003366"/>
              <w:bottom w:val="nil"/>
              <w:right w:val="nil"/>
            </w:tcBorders>
            <w:vAlign w:val="bottom"/>
          </w:tcPr>
          <w:p w14:paraId="60614D65" w14:textId="27E4DD0D" w:rsidR="00A0224F" w:rsidRPr="007E0503" w:rsidRDefault="00A0224F" w:rsidP="00FE110B">
            <w:pPr>
              <w:pStyle w:val="TableText0"/>
              <w:tabs>
                <w:tab w:val="left" w:pos="3306"/>
              </w:tabs>
              <w:rPr>
                <w:rFonts w:cs="Calibri"/>
              </w:rPr>
            </w:pPr>
            <w:r w:rsidRPr="00A0224F">
              <w:rPr>
                <w:rFonts w:cs="Calibri"/>
                <w:color w:val="C54B0A" w:themeColor="accent5" w:themeShade="BF"/>
              </w:rPr>
              <w:t xml:space="preserve">Fare </w:t>
            </w:r>
            <w:proofErr w:type="spellStart"/>
            <w:r w:rsidRPr="00A0224F">
              <w:rPr>
                <w:rFonts w:cs="Calibri"/>
                <w:color w:val="C54B0A" w:themeColor="accent5" w:themeShade="BF"/>
              </w:rPr>
              <w:t>Revenue</w:t>
            </w:r>
            <w:r w:rsidR="00FE110B" w:rsidRPr="00FE110B">
              <w:rPr>
                <w:rFonts w:cs="Calibri"/>
                <w:color w:val="C54B0A" w:themeColor="accent5" w:themeShade="BF"/>
                <w:vertAlign w:val="superscript"/>
              </w:rPr>
              <w:t>d</w:t>
            </w:r>
            <w:proofErr w:type="spellEnd"/>
          </w:p>
        </w:tc>
        <w:tc>
          <w:tcPr>
            <w:tcW w:w="397" w:type="pct"/>
            <w:tcBorders>
              <w:top w:val="nil"/>
              <w:left w:val="nil"/>
              <w:bottom w:val="nil"/>
              <w:right w:val="nil"/>
            </w:tcBorders>
            <w:vAlign w:val="bottom"/>
          </w:tcPr>
          <w:p w14:paraId="0FE30E09" w14:textId="77777777" w:rsidR="00A0224F" w:rsidRPr="007E0503" w:rsidRDefault="00A0224F" w:rsidP="00FE110B">
            <w:pPr>
              <w:pStyle w:val="TableText0"/>
              <w:tabs>
                <w:tab w:val="left" w:pos="3306"/>
              </w:tabs>
              <w:jc w:val="right"/>
              <w:rPr>
                <w:rFonts w:cs="Calibri"/>
              </w:rPr>
            </w:pPr>
          </w:p>
        </w:tc>
        <w:tc>
          <w:tcPr>
            <w:tcW w:w="332" w:type="pct"/>
            <w:tcBorders>
              <w:top w:val="nil"/>
              <w:left w:val="nil"/>
              <w:bottom w:val="nil"/>
              <w:right w:val="nil"/>
            </w:tcBorders>
            <w:vAlign w:val="bottom"/>
          </w:tcPr>
          <w:p w14:paraId="149E29CB" w14:textId="77777777" w:rsidR="00A0224F" w:rsidRPr="007E0503" w:rsidRDefault="00A0224F" w:rsidP="00FE110B">
            <w:pPr>
              <w:pStyle w:val="TableText0"/>
              <w:tabs>
                <w:tab w:val="left" w:pos="3306"/>
              </w:tabs>
              <w:jc w:val="right"/>
              <w:rPr>
                <w:rFonts w:cs="Calibri"/>
              </w:rPr>
            </w:pPr>
          </w:p>
        </w:tc>
      </w:tr>
      <w:tr w:rsidR="00A0224F" w:rsidRPr="007E0503" w14:paraId="70E3F789" w14:textId="77777777" w:rsidTr="000A07A1">
        <w:trPr>
          <w:cantSplit/>
        </w:trPr>
        <w:tc>
          <w:tcPr>
            <w:tcW w:w="855" w:type="pct"/>
            <w:tcBorders>
              <w:top w:val="nil"/>
              <w:left w:val="single" w:sz="2" w:space="0" w:color="003366"/>
              <w:bottom w:val="nil"/>
              <w:right w:val="single" w:sz="2" w:space="0" w:color="003366"/>
            </w:tcBorders>
          </w:tcPr>
          <w:p w14:paraId="5B296FF3" w14:textId="77777777" w:rsidR="00A0224F" w:rsidRPr="007E0503" w:rsidRDefault="00A0224F" w:rsidP="00FE110B">
            <w:pPr>
              <w:pStyle w:val="TableReference"/>
              <w:tabs>
                <w:tab w:val="left" w:pos="3306"/>
              </w:tabs>
              <w:spacing w:before="40"/>
              <w:rPr>
                <w:rFonts w:cs="Calibri"/>
                <w:color w:val="auto"/>
                <w:sz w:val="16"/>
                <w:szCs w:val="16"/>
              </w:rPr>
            </w:pPr>
          </w:p>
        </w:tc>
        <w:tc>
          <w:tcPr>
            <w:tcW w:w="3416" w:type="pct"/>
            <w:tcBorders>
              <w:top w:val="nil"/>
              <w:left w:val="single" w:sz="2" w:space="0" w:color="003366"/>
              <w:bottom w:val="nil"/>
              <w:right w:val="nil"/>
            </w:tcBorders>
            <w:vAlign w:val="bottom"/>
          </w:tcPr>
          <w:p w14:paraId="5FB8A607" w14:textId="77777777" w:rsidR="00A0224F" w:rsidRPr="007E0503" w:rsidRDefault="00A0224F" w:rsidP="00FE110B">
            <w:pPr>
              <w:pStyle w:val="TableText0"/>
              <w:tabs>
                <w:tab w:val="left" w:pos="3306"/>
              </w:tabs>
              <w:rPr>
                <w:rFonts w:cs="Calibri"/>
              </w:rPr>
            </w:pPr>
            <w:r w:rsidRPr="007E0503">
              <w:rPr>
                <w:rFonts w:cs="Calibri"/>
              </w:rPr>
              <w:t>Other</w:t>
            </w:r>
          </w:p>
        </w:tc>
        <w:tc>
          <w:tcPr>
            <w:tcW w:w="397" w:type="pct"/>
            <w:tcBorders>
              <w:top w:val="nil"/>
              <w:left w:val="nil"/>
              <w:bottom w:val="nil"/>
              <w:right w:val="nil"/>
            </w:tcBorders>
            <w:vAlign w:val="bottom"/>
          </w:tcPr>
          <w:p w14:paraId="49C631D6" w14:textId="77777777" w:rsidR="00A0224F" w:rsidRPr="007E0503" w:rsidRDefault="00A0224F" w:rsidP="00FE110B">
            <w:pPr>
              <w:pStyle w:val="TableText0"/>
              <w:tabs>
                <w:tab w:val="left" w:pos="3306"/>
              </w:tabs>
              <w:jc w:val="right"/>
              <w:rPr>
                <w:rFonts w:cs="Calibri"/>
              </w:rPr>
            </w:pPr>
          </w:p>
        </w:tc>
        <w:tc>
          <w:tcPr>
            <w:tcW w:w="332" w:type="pct"/>
            <w:tcBorders>
              <w:top w:val="nil"/>
              <w:left w:val="nil"/>
              <w:bottom w:val="nil"/>
              <w:right w:val="nil"/>
            </w:tcBorders>
            <w:vAlign w:val="bottom"/>
          </w:tcPr>
          <w:p w14:paraId="5372A9AB" w14:textId="77777777" w:rsidR="00A0224F" w:rsidRPr="007E0503" w:rsidRDefault="00A0224F" w:rsidP="00FE110B">
            <w:pPr>
              <w:pStyle w:val="TableText0"/>
              <w:tabs>
                <w:tab w:val="left" w:pos="3306"/>
              </w:tabs>
              <w:jc w:val="right"/>
              <w:rPr>
                <w:rFonts w:cs="Calibri"/>
              </w:rPr>
            </w:pPr>
          </w:p>
        </w:tc>
      </w:tr>
      <w:tr w:rsidR="00A0224F" w:rsidRPr="007E0503" w14:paraId="7126CA5A" w14:textId="77777777" w:rsidTr="000A07A1">
        <w:trPr>
          <w:cantSplit/>
        </w:trPr>
        <w:tc>
          <w:tcPr>
            <w:tcW w:w="855" w:type="pct"/>
            <w:tcBorders>
              <w:top w:val="nil"/>
              <w:left w:val="single" w:sz="2" w:space="0" w:color="003366"/>
              <w:bottom w:val="nil"/>
              <w:right w:val="single" w:sz="2" w:space="0" w:color="003366"/>
            </w:tcBorders>
          </w:tcPr>
          <w:p w14:paraId="749C2A9E" w14:textId="77777777" w:rsidR="00A0224F" w:rsidRPr="007E0503" w:rsidRDefault="00A0224F" w:rsidP="00FE110B">
            <w:pPr>
              <w:pStyle w:val="TableReference"/>
              <w:tabs>
                <w:tab w:val="left" w:pos="3306"/>
              </w:tabs>
              <w:spacing w:before="40"/>
              <w:rPr>
                <w:rFonts w:cs="Calibri"/>
                <w:color w:val="auto"/>
                <w:sz w:val="16"/>
                <w:szCs w:val="16"/>
              </w:rPr>
            </w:pPr>
          </w:p>
        </w:tc>
        <w:tc>
          <w:tcPr>
            <w:tcW w:w="3416" w:type="pct"/>
            <w:tcBorders>
              <w:top w:val="nil"/>
              <w:left w:val="single" w:sz="2" w:space="0" w:color="003366"/>
              <w:bottom w:val="nil"/>
              <w:right w:val="nil"/>
            </w:tcBorders>
            <w:vAlign w:val="bottom"/>
          </w:tcPr>
          <w:p w14:paraId="261BE650" w14:textId="77777777" w:rsidR="00A0224F" w:rsidRPr="007E0503" w:rsidRDefault="00A0224F" w:rsidP="00FE110B">
            <w:pPr>
              <w:pStyle w:val="TableText0"/>
              <w:tabs>
                <w:tab w:val="left" w:pos="3306"/>
              </w:tabs>
              <w:rPr>
                <w:rFonts w:cs="Calibri"/>
                <w:b/>
                <w:bCs/>
              </w:rPr>
            </w:pPr>
            <w:bookmarkStart w:id="60" w:name="_Toc48468426"/>
            <w:bookmarkStart w:id="61" w:name="_Toc49155545"/>
            <w:bookmarkStart w:id="62" w:name="_Toc49224001"/>
            <w:r w:rsidRPr="007E0503">
              <w:rPr>
                <w:rFonts w:cs="Calibri"/>
                <w:b/>
                <w:bCs/>
              </w:rPr>
              <w:t>Sales of Goods and Services from Non–ACT Government Customers</w:t>
            </w:r>
            <w:bookmarkEnd w:id="60"/>
            <w:bookmarkEnd w:id="61"/>
            <w:bookmarkEnd w:id="62"/>
          </w:p>
        </w:tc>
        <w:tc>
          <w:tcPr>
            <w:tcW w:w="397" w:type="pct"/>
            <w:tcBorders>
              <w:top w:val="single" w:sz="2" w:space="0" w:color="003366"/>
              <w:left w:val="nil"/>
              <w:bottom w:val="single" w:sz="2" w:space="0" w:color="003366"/>
              <w:right w:val="nil"/>
            </w:tcBorders>
            <w:vAlign w:val="bottom"/>
          </w:tcPr>
          <w:p w14:paraId="175F48BB" w14:textId="77777777" w:rsidR="00A0224F" w:rsidRPr="007E0503" w:rsidRDefault="00A0224F" w:rsidP="00FE110B">
            <w:pPr>
              <w:pStyle w:val="TableText0"/>
              <w:tabs>
                <w:tab w:val="left" w:pos="3306"/>
              </w:tabs>
              <w:jc w:val="right"/>
              <w:rPr>
                <w:rFonts w:cs="Calibri"/>
                <w:b/>
                <w:bCs/>
              </w:rPr>
            </w:pPr>
          </w:p>
        </w:tc>
        <w:tc>
          <w:tcPr>
            <w:tcW w:w="332" w:type="pct"/>
            <w:tcBorders>
              <w:top w:val="single" w:sz="2" w:space="0" w:color="003366"/>
              <w:left w:val="nil"/>
              <w:bottom w:val="single" w:sz="2" w:space="0" w:color="003366"/>
              <w:right w:val="nil"/>
            </w:tcBorders>
            <w:vAlign w:val="bottom"/>
          </w:tcPr>
          <w:p w14:paraId="3D75F438" w14:textId="77777777" w:rsidR="00A0224F" w:rsidRPr="007E0503" w:rsidRDefault="00A0224F" w:rsidP="00FE110B">
            <w:pPr>
              <w:pStyle w:val="TableText0"/>
              <w:tabs>
                <w:tab w:val="left" w:pos="3306"/>
              </w:tabs>
              <w:jc w:val="right"/>
              <w:rPr>
                <w:rFonts w:cs="Calibri"/>
                <w:b/>
                <w:bCs/>
              </w:rPr>
            </w:pPr>
          </w:p>
        </w:tc>
      </w:tr>
      <w:tr w:rsidR="00A0224F" w:rsidRPr="007E0503" w14:paraId="56A72C4F" w14:textId="77777777" w:rsidTr="000A07A1">
        <w:trPr>
          <w:cantSplit/>
        </w:trPr>
        <w:tc>
          <w:tcPr>
            <w:tcW w:w="855" w:type="pct"/>
            <w:tcBorders>
              <w:top w:val="nil"/>
              <w:left w:val="single" w:sz="2" w:space="0" w:color="003366"/>
              <w:bottom w:val="nil"/>
              <w:right w:val="single" w:sz="2" w:space="0" w:color="003366"/>
            </w:tcBorders>
          </w:tcPr>
          <w:p w14:paraId="782DDFDE" w14:textId="77777777" w:rsidR="00A0224F" w:rsidRPr="007E0503" w:rsidRDefault="00A0224F" w:rsidP="00FE110B">
            <w:pPr>
              <w:pStyle w:val="TableReference"/>
              <w:tabs>
                <w:tab w:val="left" w:pos="3306"/>
              </w:tabs>
              <w:spacing w:before="40"/>
              <w:rPr>
                <w:rFonts w:cs="Calibri"/>
                <w:color w:val="auto"/>
                <w:sz w:val="16"/>
                <w:szCs w:val="16"/>
              </w:rPr>
            </w:pPr>
          </w:p>
        </w:tc>
        <w:tc>
          <w:tcPr>
            <w:tcW w:w="3416" w:type="pct"/>
            <w:tcBorders>
              <w:top w:val="nil"/>
              <w:left w:val="single" w:sz="2" w:space="0" w:color="003366"/>
              <w:bottom w:val="nil"/>
              <w:right w:val="nil"/>
            </w:tcBorders>
            <w:vAlign w:val="bottom"/>
          </w:tcPr>
          <w:p w14:paraId="12F24D8C" w14:textId="77777777" w:rsidR="00A0224F" w:rsidRPr="007E0503" w:rsidRDefault="00A0224F" w:rsidP="00FE110B">
            <w:pPr>
              <w:pStyle w:val="TableText0"/>
              <w:tabs>
                <w:tab w:val="left" w:pos="3306"/>
              </w:tabs>
              <w:rPr>
                <w:rFonts w:cs="Calibri"/>
                <w:b/>
                <w:bCs/>
              </w:rPr>
            </w:pPr>
            <w:bookmarkStart w:id="63" w:name="_Toc48468427"/>
            <w:bookmarkStart w:id="64" w:name="_Toc49155546"/>
            <w:bookmarkStart w:id="65" w:name="_Toc49224002"/>
            <w:r w:rsidRPr="007E0503">
              <w:rPr>
                <w:rFonts w:cs="Calibri"/>
                <w:b/>
                <w:bCs/>
              </w:rPr>
              <w:t>Total Sales of Goods and Services</w:t>
            </w:r>
            <w:bookmarkEnd w:id="63"/>
            <w:bookmarkEnd w:id="64"/>
            <w:bookmarkEnd w:id="65"/>
            <w:r w:rsidRPr="007E0503">
              <w:rPr>
                <w:rFonts w:cs="Calibri"/>
                <w:b/>
                <w:bCs/>
              </w:rPr>
              <w:t xml:space="preserve"> from Contacts with Customers</w:t>
            </w:r>
          </w:p>
        </w:tc>
        <w:tc>
          <w:tcPr>
            <w:tcW w:w="397" w:type="pct"/>
            <w:tcBorders>
              <w:top w:val="single" w:sz="2" w:space="0" w:color="003366"/>
              <w:left w:val="nil"/>
              <w:bottom w:val="double" w:sz="4" w:space="0" w:color="003366"/>
              <w:right w:val="nil"/>
            </w:tcBorders>
            <w:vAlign w:val="bottom"/>
          </w:tcPr>
          <w:p w14:paraId="7495BE1C" w14:textId="77777777" w:rsidR="00A0224F" w:rsidRPr="007E0503" w:rsidRDefault="00A0224F" w:rsidP="00FE110B">
            <w:pPr>
              <w:pStyle w:val="TableText0"/>
              <w:tabs>
                <w:tab w:val="left" w:pos="3306"/>
              </w:tabs>
              <w:jc w:val="right"/>
              <w:rPr>
                <w:rFonts w:cs="Calibri"/>
                <w:b/>
                <w:bCs/>
              </w:rPr>
            </w:pPr>
          </w:p>
        </w:tc>
        <w:tc>
          <w:tcPr>
            <w:tcW w:w="332" w:type="pct"/>
            <w:tcBorders>
              <w:top w:val="single" w:sz="2" w:space="0" w:color="003366"/>
              <w:left w:val="nil"/>
              <w:bottom w:val="double" w:sz="4" w:space="0" w:color="003366"/>
              <w:right w:val="nil"/>
            </w:tcBorders>
            <w:vAlign w:val="bottom"/>
          </w:tcPr>
          <w:p w14:paraId="2FAB389A" w14:textId="77777777" w:rsidR="00A0224F" w:rsidRPr="007E0503" w:rsidRDefault="00A0224F" w:rsidP="00FE110B">
            <w:pPr>
              <w:pStyle w:val="TableText0"/>
              <w:tabs>
                <w:tab w:val="left" w:pos="3306"/>
              </w:tabs>
              <w:jc w:val="right"/>
              <w:rPr>
                <w:rFonts w:cs="Calibri"/>
                <w:b/>
                <w:bCs/>
              </w:rPr>
            </w:pPr>
          </w:p>
        </w:tc>
      </w:tr>
      <w:tr w:rsidR="00A0224F" w:rsidRPr="00CF7E1B" w14:paraId="3D444FE6" w14:textId="77777777" w:rsidTr="000A07A1">
        <w:trPr>
          <w:cantSplit/>
        </w:trPr>
        <w:tc>
          <w:tcPr>
            <w:tcW w:w="855" w:type="pct"/>
            <w:tcBorders>
              <w:top w:val="nil"/>
              <w:left w:val="single" w:sz="2" w:space="0" w:color="003366"/>
              <w:bottom w:val="nil"/>
              <w:right w:val="single" w:sz="2" w:space="0" w:color="003366"/>
            </w:tcBorders>
          </w:tcPr>
          <w:p w14:paraId="665BADA9" w14:textId="77777777" w:rsidR="00A0224F" w:rsidRPr="00CF7E1B" w:rsidRDefault="00A0224F" w:rsidP="00FE110B">
            <w:pPr>
              <w:pStyle w:val="TableReference"/>
              <w:tabs>
                <w:tab w:val="left" w:pos="3306"/>
              </w:tabs>
              <w:rPr>
                <w:rFonts w:cs="Calibri"/>
              </w:rPr>
            </w:pPr>
            <w:r>
              <w:br w:type="page"/>
            </w:r>
          </w:p>
        </w:tc>
        <w:tc>
          <w:tcPr>
            <w:tcW w:w="3416" w:type="pct"/>
            <w:tcBorders>
              <w:top w:val="nil"/>
              <w:left w:val="single" w:sz="2" w:space="0" w:color="003366"/>
              <w:bottom w:val="nil"/>
              <w:right w:val="nil"/>
            </w:tcBorders>
            <w:vAlign w:val="bottom"/>
          </w:tcPr>
          <w:p w14:paraId="662219DD" w14:textId="77777777" w:rsidR="00A0224F" w:rsidRPr="00CF7E1B" w:rsidRDefault="00A0224F" w:rsidP="00FE110B">
            <w:pPr>
              <w:pStyle w:val="TableText0"/>
              <w:tabs>
                <w:tab w:val="left" w:pos="3306"/>
              </w:tabs>
              <w:rPr>
                <w:rFonts w:cs="Calibri"/>
              </w:rPr>
            </w:pPr>
          </w:p>
        </w:tc>
        <w:tc>
          <w:tcPr>
            <w:tcW w:w="397" w:type="pct"/>
            <w:tcBorders>
              <w:top w:val="double" w:sz="4" w:space="0" w:color="003366"/>
              <w:left w:val="nil"/>
              <w:bottom w:val="nil"/>
              <w:right w:val="nil"/>
            </w:tcBorders>
            <w:vAlign w:val="bottom"/>
          </w:tcPr>
          <w:p w14:paraId="45471B96" w14:textId="77777777" w:rsidR="00A0224F" w:rsidRPr="00CF7E1B" w:rsidRDefault="00A0224F" w:rsidP="00FE110B">
            <w:pPr>
              <w:pStyle w:val="TableText0"/>
              <w:tabs>
                <w:tab w:val="left" w:pos="3306"/>
              </w:tabs>
              <w:jc w:val="right"/>
              <w:rPr>
                <w:rFonts w:cs="Calibri"/>
              </w:rPr>
            </w:pPr>
          </w:p>
        </w:tc>
        <w:tc>
          <w:tcPr>
            <w:tcW w:w="332" w:type="pct"/>
            <w:tcBorders>
              <w:top w:val="double" w:sz="4" w:space="0" w:color="003366"/>
              <w:left w:val="nil"/>
              <w:bottom w:val="nil"/>
              <w:right w:val="nil"/>
            </w:tcBorders>
            <w:vAlign w:val="bottom"/>
          </w:tcPr>
          <w:p w14:paraId="53FA1D56" w14:textId="77777777" w:rsidR="00A0224F" w:rsidRPr="00CF7E1B" w:rsidRDefault="00A0224F" w:rsidP="00FE110B">
            <w:pPr>
              <w:pStyle w:val="TableText0"/>
              <w:tabs>
                <w:tab w:val="left" w:pos="3306"/>
              </w:tabs>
              <w:jc w:val="right"/>
              <w:rPr>
                <w:rFonts w:cs="Calibri"/>
              </w:rPr>
            </w:pPr>
          </w:p>
        </w:tc>
      </w:tr>
      <w:tr w:rsidR="00A0224F" w:rsidRPr="00CF7E1B" w14:paraId="4E9F0C93" w14:textId="77777777" w:rsidTr="000A07A1">
        <w:trPr>
          <w:cantSplit/>
        </w:trPr>
        <w:tc>
          <w:tcPr>
            <w:tcW w:w="855" w:type="pct"/>
            <w:tcBorders>
              <w:top w:val="nil"/>
              <w:left w:val="single" w:sz="2" w:space="0" w:color="003366"/>
              <w:bottom w:val="nil"/>
              <w:right w:val="single" w:sz="2" w:space="0" w:color="003366"/>
            </w:tcBorders>
          </w:tcPr>
          <w:p w14:paraId="00B9F45D" w14:textId="77777777" w:rsidR="00A0224F" w:rsidRPr="0002201A" w:rsidRDefault="00A0224F" w:rsidP="00FE110B">
            <w:pPr>
              <w:pStyle w:val="TableReference"/>
              <w:tabs>
                <w:tab w:val="left" w:pos="3306"/>
              </w:tabs>
              <w:rPr>
                <w:rFonts w:cs="Calibri"/>
                <w:color w:val="000000"/>
                <w:sz w:val="20"/>
                <w:szCs w:val="20"/>
              </w:rPr>
            </w:pPr>
          </w:p>
        </w:tc>
        <w:tc>
          <w:tcPr>
            <w:tcW w:w="4145" w:type="pct"/>
            <w:gridSpan w:val="3"/>
            <w:tcBorders>
              <w:top w:val="nil"/>
              <w:left w:val="single" w:sz="2" w:space="0" w:color="003366"/>
              <w:bottom w:val="nil"/>
              <w:right w:val="nil"/>
            </w:tcBorders>
            <w:vAlign w:val="bottom"/>
          </w:tcPr>
          <w:p w14:paraId="78E04409" w14:textId="77777777" w:rsidR="00A0224F" w:rsidRPr="00AC1F6F" w:rsidRDefault="00A0224F" w:rsidP="00FE110B">
            <w:pPr>
              <w:pStyle w:val="TableText0"/>
              <w:tabs>
                <w:tab w:val="left" w:pos="3306"/>
              </w:tabs>
              <w:spacing w:before="0" w:after="120"/>
              <w:jc w:val="both"/>
              <w:rPr>
                <w:rFonts w:cs="Calibri"/>
              </w:rPr>
            </w:pPr>
            <w:r w:rsidRPr="00AC1F6F">
              <w:rPr>
                <w:rFonts w:cs="Calibri"/>
              </w:rPr>
              <w:t>User charges revenue is derived by providing goods and services to other ACT Government agencies and to the public.  User charges revenue is legally retained by the agency and driven by consumer demand.</w:t>
            </w:r>
          </w:p>
        </w:tc>
      </w:tr>
      <w:tr w:rsidR="00A0224F" w:rsidRPr="00CF7E1B" w14:paraId="05986196" w14:textId="77777777" w:rsidTr="000A07A1">
        <w:trPr>
          <w:cantSplit/>
        </w:trPr>
        <w:tc>
          <w:tcPr>
            <w:tcW w:w="855" w:type="pct"/>
            <w:tcBorders>
              <w:top w:val="nil"/>
              <w:left w:val="single" w:sz="2" w:space="0" w:color="003366"/>
              <w:bottom w:val="nil"/>
              <w:right w:val="single" w:sz="2" w:space="0" w:color="003366"/>
            </w:tcBorders>
          </w:tcPr>
          <w:p w14:paraId="46B239CB" w14:textId="77777777" w:rsidR="00A0224F" w:rsidRPr="0002201A" w:rsidRDefault="00A0224F" w:rsidP="00FE110B">
            <w:pPr>
              <w:pStyle w:val="TableReference"/>
              <w:tabs>
                <w:tab w:val="left" w:pos="3306"/>
              </w:tabs>
              <w:rPr>
                <w:rFonts w:cs="Calibri"/>
                <w:color w:val="000000"/>
                <w:sz w:val="20"/>
                <w:szCs w:val="20"/>
              </w:rPr>
            </w:pPr>
          </w:p>
        </w:tc>
        <w:tc>
          <w:tcPr>
            <w:tcW w:w="4145" w:type="pct"/>
            <w:gridSpan w:val="3"/>
            <w:tcBorders>
              <w:top w:val="nil"/>
              <w:left w:val="single" w:sz="2" w:space="0" w:color="003366"/>
              <w:bottom w:val="nil"/>
              <w:right w:val="nil"/>
            </w:tcBorders>
            <w:vAlign w:val="bottom"/>
          </w:tcPr>
          <w:p w14:paraId="3E600B25" w14:textId="77777777" w:rsidR="00A0224F" w:rsidRPr="007E0503" w:rsidRDefault="00A0224F" w:rsidP="00FE110B">
            <w:pPr>
              <w:pStyle w:val="TableText0"/>
              <w:tabs>
                <w:tab w:val="left" w:pos="3306"/>
              </w:tabs>
              <w:spacing w:before="0" w:after="120"/>
              <w:ind w:left="235" w:hanging="235"/>
              <w:jc w:val="both"/>
              <w:rPr>
                <w:rFonts w:cs="Calibri"/>
              </w:rPr>
            </w:pPr>
            <w:r w:rsidRPr="007E0503">
              <w:rPr>
                <w:rFonts w:cs="Calibri"/>
              </w:rPr>
              <w:t>a)</w:t>
            </w:r>
            <w:r w:rsidRPr="007E0503">
              <w:rPr>
                <w:rFonts w:cs="Calibri"/>
              </w:rPr>
              <w:tab/>
              <w:t xml:space="preserve">User Charges – ACT Government primarily relates to the performance obligation of property management where control is transferred on a systematic basis as the services as being provided and therefore the revenue is recognised over time. The increase largely reflects the rise in rental prices in the ACT and the property management fees are charged as a percentage of the rent. </w:t>
            </w:r>
          </w:p>
        </w:tc>
      </w:tr>
      <w:tr w:rsidR="00A0224F" w:rsidRPr="00CF7E1B" w14:paraId="111C29B6" w14:textId="77777777" w:rsidTr="000A07A1">
        <w:trPr>
          <w:cantSplit/>
        </w:trPr>
        <w:tc>
          <w:tcPr>
            <w:tcW w:w="855" w:type="pct"/>
            <w:tcBorders>
              <w:top w:val="nil"/>
              <w:left w:val="single" w:sz="2" w:space="0" w:color="003366"/>
              <w:bottom w:val="nil"/>
              <w:right w:val="single" w:sz="2" w:space="0" w:color="003366"/>
            </w:tcBorders>
          </w:tcPr>
          <w:p w14:paraId="41E4747C" w14:textId="77777777" w:rsidR="00A0224F" w:rsidRPr="0002201A" w:rsidRDefault="00A0224F" w:rsidP="00FE110B">
            <w:pPr>
              <w:pStyle w:val="TableReference"/>
              <w:tabs>
                <w:tab w:val="left" w:pos="3306"/>
              </w:tabs>
              <w:rPr>
                <w:rFonts w:cs="Calibri"/>
                <w:color w:val="000000"/>
                <w:sz w:val="16"/>
                <w:szCs w:val="16"/>
              </w:rPr>
            </w:pPr>
          </w:p>
        </w:tc>
        <w:tc>
          <w:tcPr>
            <w:tcW w:w="4145" w:type="pct"/>
            <w:gridSpan w:val="3"/>
            <w:tcBorders>
              <w:top w:val="nil"/>
              <w:left w:val="single" w:sz="2" w:space="0" w:color="003366"/>
              <w:bottom w:val="nil"/>
              <w:right w:val="nil"/>
            </w:tcBorders>
            <w:vAlign w:val="bottom"/>
          </w:tcPr>
          <w:p w14:paraId="74558D57" w14:textId="77777777" w:rsidR="00A0224F" w:rsidRPr="007E0503" w:rsidRDefault="00A0224F" w:rsidP="00FE110B">
            <w:pPr>
              <w:pStyle w:val="TableText0"/>
              <w:tabs>
                <w:tab w:val="left" w:pos="3306"/>
              </w:tabs>
              <w:spacing w:before="0" w:after="120"/>
              <w:ind w:left="235" w:hanging="235"/>
              <w:jc w:val="both"/>
              <w:rPr>
                <w:rFonts w:cs="Calibri"/>
              </w:rPr>
            </w:pPr>
            <w:r w:rsidRPr="007E0503">
              <w:rPr>
                <w:rFonts w:cs="Calibri"/>
              </w:rPr>
              <w:t>b) The performance obligation in the sale of goods is the supply of the goods to the customer and revenue is recognised on transfer of physical possession to the customer.</w:t>
            </w:r>
          </w:p>
        </w:tc>
      </w:tr>
      <w:tr w:rsidR="00A0224F" w:rsidRPr="00CF7E1B" w14:paraId="33AC4DB8" w14:textId="77777777" w:rsidTr="000A07A1">
        <w:trPr>
          <w:cantSplit/>
        </w:trPr>
        <w:tc>
          <w:tcPr>
            <w:tcW w:w="855" w:type="pct"/>
            <w:tcBorders>
              <w:top w:val="nil"/>
              <w:left w:val="single" w:sz="2" w:space="0" w:color="003366"/>
              <w:bottom w:val="nil"/>
              <w:right w:val="single" w:sz="2" w:space="0" w:color="003366"/>
            </w:tcBorders>
          </w:tcPr>
          <w:p w14:paraId="0078DC33" w14:textId="77777777" w:rsidR="00A0224F" w:rsidRPr="0002201A" w:rsidRDefault="00A0224F" w:rsidP="00FE110B">
            <w:pPr>
              <w:pStyle w:val="TableReference"/>
              <w:tabs>
                <w:tab w:val="left" w:pos="3306"/>
              </w:tabs>
              <w:rPr>
                <w:rFonts w:cs="Calibri"/>
                <w:color w:val="000000"/>
                <w:sz w:val="16"/>
                <w:szCs w:val="16"/>
              </w:rPr>
            </w:pPr>
          </w:p>
        </w:tc>
        <w:tc>
          <w:tcPr>
            <w:tcW w:w="4145" w:type="pct"/>
            <w:gridSpan w:val="3"/>
            <w:tcBorders>
              <w:top w:val="nil"/>
              <w:left w:val="single" w:sz="2" w:space="0" w:color="003366"/>
              <w:bottom w:val="nil"/>
              <w:right w:val="nil"/>
            </w:tcBorders>
            <w:vAlign w:val="bottom"/>
          </w:tcPr>
          <w:p w14:paraId="5CCFAE37" w14:textId="406C01D9" w:rsidR="00A0224F" w:rsidRDefault="00A0224F" w:rsidP="00FE110B">
            <w:pPr>
              <w:pStyle w:val="TableText0"/>
              <w:tabs>
                <w:tab w:val="left" w:pos="3306"/>
              </w:tabs>
              <w:spacing w:before="0" w:after="120"/>
              <w:ind w:left="235" w:hanging="235"/>
              <w:jc w:val="both"/>
              <w:rPr>
                <w:rFonts w:cs="Calibri"/>
              </w:rPr>
            </w:pPr>
            <w:r w:rsidRPr="007E0503">
              <w:rPr>
                <w:rFonts w:cs="Calibri"/>
              </w:rPr>
              <w:t>c)</w:t>
            </w:r>
            <w:r w:rsidRPr="007E0503">
              <w:rPr>
                <w:rFonts w:cs="Calibri"/>
              </w:rPr>
              <w:tab/>
              <w:t xml:space="preserve">Service Revenue (Non-ACT Government) relates to facilities management for private sector clients. The increase is largely due to an increase in the amount being charged for providing this service to the private sector. The majority of work is billed on an at-cost basis. This is a total charge determined by the recovery rates of the </w:t>
            </w:r>
            <w:r w:rsidR="00FE110B" w:rsidRPr="007E0503">
              <w:rPr>
                <w:rFonts w:cs="Calibri"/>
              </w:rPr>
              <w:t>labour</w:t>
            </w:r>
            <w:r w:rsidRPr="007E0503">
              <w:rPr>
                <w:rFonts w:cs="Calibri"/>
              </w:rPr>
              <w:t>, materials and tools used to accomplish the work.</w:t>
            </w:r>
            <w:r w:rsidRPr="007E0503">
              <w:t xml:space="preserve"> </w:t>
            </w:r>
            <w:r w:rsidRPr="007E0503">
              <w:rPr>
                <w:rFonts w:cs="Calibri"/>
              </w:rPr>
              <w:t xml:space="preserve">Control of the performance obligation is transferred at a point in time when the work is complete. </w:t>
            </w:r>
          </w:p>
          <w:p w14:paraId="37A44308" w14:textId="3FE235D3" w:rsidR="00FE110B" w:rsidRPr="00FE110B" w:rsidRDefault="00FE110B" w:rsidP="00FE110B">
            <w:pPr>
              <w:rPr>
                <w:lang w:eastAsia="en-US"/>
              </w:rPr>
            </w:pPr>
            <w:r w:rsidRPr="00FE110B">
              <w:rPr>
                <w:rFonts w:ascii="Calibri" w:eastAsia="Times New Roman" w:hAnsi="Calibri" w:cs="Calibri"/>
                <w:color w:val="C54B0A" w:themeColor="accent5" w:themeShade="BF"/>
                <w:sz w:val="18"/>
                <w:szCs w:val="18"/>
                <w:lang w:eastAsia="en-US"/>
              </w:rPr>
              <w:t xml:space="preserve">d) The decrease in Fare Revenue is mainly due to </w:t>
            </w:r>
            <w:r w:rsidR="00F21677">
              <w:rPr>
                <w:rFonts w:ascii="Calibri" w:eastAsia="Times New Roman" w:hAnsi="Calibri" w:cs="Calibri"/>
                <w:color w:val="C54B0A" w:themeColor="accent5" w:themeShade="BF"/>
                <w:sz w:val="18"/>
                <w:szCs w:val="18"/>
                <w:lang w:eastAsia="en-US"/>
              </w:rPr>
              <w:t xml:space="preserve">a lower level of </w:t>
            </w:r>
            <w:r w:rsidRPr="00FE110B">
              <w:rPr>
                <w:rFonts w:ascii="Calibri" w:eastAsia="Times New Roman" w:hAnsi="Calibri" w:cs="Calibri"/>
                <w:color w:val="C54B0A" w:themeColor="accent5" w:themeShade="BF"/>
                <w:sz w:val="18"/>
                <w:szCs w:val="18"/>
                <w:lang w:eastAsia="en-US"/>
              </w:rPr>
              <w:t>public transport patronage</w:t>
            </w:r>
            <w:r w:rsidR="00F21677">
              <w:rPr>
                <w:rFonts w:ascii="Calibri" w:eastAsia="Times New Roman" w:hAnsi="Calibri" w:cs="Calibri"/>
                <w:color w:val="C54B0A" w:themeColor="accent5" w:themeShade="BF"/>
                <w:sz w:val="18"/>
                <w:szCs w:val="18"/>
                <w:lang w:eastAsia="en-US"/>
              </w:rPr>
              <w:t xml:space="preserve"> in 2020-21 when compared to 2019-20 </w:t>
            </w:r>
            <w:r w:rsidRPr="00FE110B">
              <w:rPr>
                <w:rFonts w:ascii="Calibri" w:eastAsia="Times New Roman" w:hAnsi="Calibri" w:cs="Calibri"/>
                <w:color w:val="C54B0A" w:themeColor="accent5" w:themeShade="BF"/>
                <w:sz w:val="18"/>
                <w:szCs w:val="18"/>
                <w:lang w:eastAsia="en-US"/>
              </w:rPr>
              <w:t>due to the COVID-19 Pandemic.</w:t>
            </w:r>
            <w:r w:rsidRPr="00FE110B">
              <w:rPr>
                <w:color w:val="C54B0A" w:themeColor="accent5" w:themeShade="BF"/>
                <w:lang w:eastAsia="en-US"/>
              </w:rPr>
              <w:t xml:space="preserve"> </w:t>
            </w:r>
          </w:p>
        </w:tc>
      </w:tr>
    </w:tbl>
    <w:p w14:paraId="065F0639" w14:textId="77777777" w:rsidR="009F0619" w:rsidRDefault="009F0619" w:rsidP="00844A14">
      <w:pPr>
        <w:tabs>
          <w:tab w:val="left" w:pos="1668"/>
        </w:tabs>
        <w:ind w:left="105"/>
        <w:rPr>
          <w:rFonts w:cs="Calibri"/>
          <w:sz w:val="16"/>
        </w:rPr>
      </w:pPr>
    </w:p>
    <w:p w14:paraId="3B7C1393" w14:textId="77777777" w:rsidR="009F0619" w:rsidRDefault="009F0619" w:rsidP="00844A14">
      <w:pPr>
        <w:tabs>
          <w:tab w:val="left" w:pos="1668"/>
        </w:tabs>
        <w:ind w:left="105"/>
        <w:rPr>
          <w:rFonts w:cs="Calibri"/>
          <w:sz w:val="16"/>
        </w:rPr>
      </w:pPr>
    </w:p>
    <w:p w14:paraId="7EC514C5" w14:textId="77777777" w:rsidR="009F0619" w:rsidRDefault="009F0619" w:rsidP="009F0619">
      <w:pPr>
        <w:tabs>
          <w:tab w:val="left" w:pos="1668"/>
        </w:tabs>
        <w:rPr>
          <w:rFonts w:cs="Calibri"/>
          <w:sz w:val="16"/>
        </w:rPr>
        <w:sectPr w:rsidR="009F0619" w:rsidSect="000715C4">
          <w:headerReference w:type="default" r:id="rId16"/>
          <w:pgSz w:w="11906" w:h="16838" w:code="9"/>
          <w:pgMar w:top="1276" w:right="1418" w:bottom="993" w:left="1418" w:header="567" w:footer="184" w:gutter="0"/>
          <w:cols w:space="708"/>
          <w:docGrid w:linePitch="360"/>
        </w:sectPr>
      </w:pPr>
    </w:p>
    <w:bookmarkEnd w:id="22"/>
    <w:p w14:paraId="7CF58715" w14:textId="63FB33E8" w:rsidR="00B52FED" w:rsidRDefault="00B52FED" w:rsidP="00E70895">
      <w:pPr>
        <w:pStyle w:val="Bullet1"/>
        <w:numPr>
          <w:ilvl w:val="0"/>
          <w:numId w:val="0"/>
        </w:numPr>
        <w:ind w:left="360"/>
        <w:rPr>
          <w:sz w:val="21"/>
          <w:szCs w:val="21"/>
        </w:rPr>
      </w:pPr>
    </w:p>
    <w:tbl>
      <w:tblPr>
        <w:tblW w:w="5000"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331"/>
        <w:gridCol w:w="121"/>
        <w:gridCol w:w="1121"/>
        <w:gridCol w:w="934"/>
      </w:tblGrid>
      <w:tr w:rsidR="002C0DEE" w:rsidRPr="00CF7E1B" w14:paraId="7AAD91A1" w14:textId="77777777" w:rsidTr="000A07A1">
        <w:trPr>
          <w:cantSplit/>
          <w:trHeight w:hRule="exact" w:val="723"/>
        </w:trPr>
        <w:tc>
          <w:tcPr>
            <w:tcW w:w="860" w:type="pct"/>
            <w:tcBorders>
              <w:top w:val="nil"/>
              <w:left w:val="single" w:sz="2" w:space="0" w:color="003366"/>
              <w:bottom w:val="nil"/>
              <w:right w:val="single" w:sz="2" w:space="0" w:color="003366"/>
            </w:tcBorders>
          </w:tcPr>
          <w:p w14:paraId="77C82909" w14:textId="77777777" w:rsidR="002C0DEE" w:rsidRPr="00A7058E" w:rsidRDefault="002C0DEE" w:rsidP="00AF5C9D">
            <w:pPr>
              <w:pStyle w:val="TableReference"/>
              <w:tabs>
                <w:tab w:val="left" w:pos="3306"/>
              </w:tabs>
              <w:spacing w:before="240" w:after="240"/>
              <w:rPr>
                <w:rFonts w:cs="Calibri"/>
                <w:b/>
                <w:color w:val="000000"/>
                <w:sz w:val="20"/>
                <w:szCs w:val="20"/>
              </w:rPr>
            </w:pPr>
            <w:r>
              <w:br w:type="page"/>
            </w:r>
            <w:r w:rsidRPr="0008124A">
              <w:rPr>
                <w:rFonts w:cs="Calibri"/>
                <w:b/>
                <w:color w:val="000000"/>
                <w:sz w:val="20"/>
                <w:szCs w:val="20"/>
              </w:rPr>
              <w:br w:type="page"/>
            </w:r>
            <w:bookmarkStart w:id="66" w:name="EmplExp" w:colFirst="1" w:colLast="1"/>
            <w:r w:rsidRPr="00A7058E">
              <w:rPr>
                <w:rFonts w:cs="Calibri"/>
                <w:b/>
                <w:color w:val="000000"/>
                <w:sz w:val="20"/>
                <w:szCs w:val="20"/>
              </w:rPr>
              <w:t>Reference</w:t>
            </w:r>
          </w:p>
        </w:tc>
        <w:tc>
          <w:tcPr>
            <w:tcW w:w="4140" w:type="pct"/>
            <w:gridSpan w:val="4"/>
            <w:tcBorders>
              <w:top w:val="nil"/>
              <w:left w:val="single" w:sz="2" w:space="0" w:color="003366"/>
              <w:bottom w:val="nil"/>
              <w:right w:val="nil"/>
            </w:tcBorders>
          </w:tcPr>
          <w:p w14:paraId="54DB4331" w14:textId="37E7020B" w:rsidR="002C0DEE" w:rsidRPr="00731AD1" w:rsidRDefault="00731AD1" w:rsidP="00731AD1">
            <w:pPr>
              <w:pStyle w:val="Normal1"/>
              <w:spacing w:before="240" w:after="240"/>
              <w:rPr>
                <w:rFonts w:asciiTheme="majorHAnsi" w:hAnsiTheme="majorHAnsi" w:cstheme="majorHAnsi"/>
                <w:b/>
                <w:bCs/>
                <w:sz w:val="32"/>
                <w:szCs w:val="32"/>
              </w:rPr>
            </w:pPr>
            <w:bookmarkStart w:id="67" w:name="_Toc43898979"/>
            <w:bookmarkStart w:id="68" w:name="_Toc49224016"/>
            <w:bookmarkStart w:id="69" w:name="_Ref50365311"/>
            <w:bookmarkStart w:id="70" w:name="_Toc50440347"/>
            <w:bookmarkStart w:id="71" w:name="_Ref50523933"/>
            <w:bookmarkStart w:id="72" w:name="_Toc400627329"/>
            <w:r w:rsidRPr="00731AD1">
              <w:rPr>
                <w:rFonts w:asciiTheme="majorHAnsi" w:hAnsiTheme="majorHAnsi" w:cstheme="majorHAnsi"/>
                <w:b/>
                <w:bCs/>
                <w:sz w:val="32"/>
                <w:szCs w:val="32"/>
              </w:rPr>
              <w:t>NOTE</w:t>
            </w:r>
            <w:r w:rsidR="002C0DEE" w:rsidRPr="00731AD1">
              <w:rPr>
                <w:rFonts w:asciiTheme="majorHAnsi" w:hAnsiTheme="majorHAnsi" w:cstheme="majorHAnsi"/>
                <w:b/>
                <w:bCs/>
                <w:sz w:val="32"/>
                <w:szCs w:val="32"/>
              </w:rPr>
              <w:t xml:space="preserve"> 11.   </w:t>
            </w:r>
            <w:r w:rsidRPr="00731AD1">
              <w:rPr>
                <w:rFonts w:asciiTheme="majorHAnsi" w:hAnsiTheme="majorHAnsi" w:cstheme="majorHAnsi"/>
                <w:b/>
                <w:bCs/>
                <w:sz w:val="32"/>
                <w:szCs w:val="32"/>
              </w:rPr>
              <w:t>EMPLOYEE EXPENSES</w:t>
            </w:r>
            <w:bookmarkEnd w:id="67"/>
            <w:r w:rsidR="002C0DEE" w:rsidRPr="00731AD1">
              <w:rPr>
                <w:rFonts w:asciiTheme="majorHAnsi" w:hAnsiTheme="majorHAnsi" w:cstheme="majorHAnsi"/>
                <w:b/>
                <w:bCs/>
                <w:sz w:val="32"/>
                <w:szCs w:val="32"/>
              </w:rPr>
              <w:t xml:space="preserve"> </w:t>
            </w:r>
            <w:bookmarkEnd w:id="68"/>
            <w:bookmarkEnd w:id="69"/>
            <w:bookmarkEnd w:id="70"/>
            <w:bookmarkEnd w:id="71"/>
            <w:bookmarkEnd w:id="72"/>
          </w:p>
        </w:tc>
      </w:tr>
      <w:bookmarkEnd w:id="66"/>
      <w:tr w:rsidR="002C0DEE" w:rsidRPr="00CF7E1B" w14:paraId="303B3FFE" w14:textId="77777777" w:rsidTr="000A07A1">
        <w:trPr>
          <w:cantSplit/>
          <w:trHeight w:val="23"/>
        </w:trPr>
        <w:tc>
          <w:tcPr>
            <w:tcW w:w="860" w:type="pct"/>
            <w:tcBorders>
              <w:top w:val="nil"/>
              <w:left w:val="single" w:sz="2" w:space="0" w:color="003366"/>
              <w:bottom w:val="nil"/>
              <w:right w:val="single" w:sz="2" w:space="0" w:color="003366"/>
            </w:tcBorders>
          </w:tcPr>
          <w:p w14:paraId="11CC1EDA" w14:textId="77777777" w:rsidR="002C0DEE" w:rsidRPr="00A7058E" w:rsidRDefault="002C0DEE" w:rsidP="00AF5C9D">
            <w:pPr>
              <w:pStyle w:val="TableReference"/>
              <w:tabs>
                <w:tab w:val="left" w:pos="3306"/>
              </w:tabs>
              <w:spacing w:before="40" w:after="240"/>
              <w:rPr>
                <w:rFonts w:cs="Calibri"/>
                <w:color w:val="000000"/>
                <w:sz w:val="16"/>
                <w:szCs w:val="16"/>
              </w:rPr>
            </w:pPr>
          </w:p>
        </w:tc>
        <w:tc>
          <w:tcPr>
            <w:tcW w:w="4140" w:type="pct"/>
            <w:gridSpan w:val="4"/>
            <w:tcBorders>
              <w:top w:val="nil"/>
              <w:left w:val="single" w:sz="2" w:space="0" w:color="003366"/>
              <w:bottom w:val="nil"/>
              <w:right w:val="nil"/>
            </w:tcBorders>
            <w:vAlign w:val="bottom"/>
          </w:tcPr>
          <w:p w14:paraId="052A963A" w14:textId="3996F31F" w:rsidR="00FD256A" w:rsidRPr="00FD256A" w:rsidRDefault="00FD256A" w:rsidP="00FD256A">
            <w:pPr>
              <w:pStyle w:val="TableTitle"/>
              <w:tabs>
                <w:tab w:val="left" w:pos="3306"/>
              </w:tabs>
              <w:spacing w:before="120" w:after="120"/>
              <w:jc w:val="left"/>
              <w:rPr>
                <w:color w:val="C54B0A" w:themeColor="accent5" w:themeShade="BF"/>
              </w:rPr>
            </w:pPr>
            <w:r w:rsidRPr="00FD256A">
              <w:rPr>
                <w:color w:val="C54B0A" w:themeColor="accent5" w:themeShade="BF"/>
              </w:rPr>
              <w:t>COVID-19 Disclosure</w:t>
            </w:r>
          </w:p>
          <w:p w14:paraId="5CE3F502" w14:textId="1E46A76D" w:rsidR="002C0DEE" w:rsidRPr="00FD256A" w:rsidRDefault="00FD256A" w:rsidP="002C0DEE">
            <w:pPr>
              <w:pStyle w:val="TableTitle"/>
              <w:tabs>
                <w:tab w:val="left" w:pos="3306"/>
              </w:tabs>
              <w:jc w:val="left"/>
              <w:rPr>
                <w:rFonts w:cs="Calibri"/>
                <w:b w:val="0"/>
                <w:bCs w:val="0"/>
                <w:color w:val="C54B0A" w:themeColor="accent5" w:themeShade="BF"/>
              </w:rPr>
            </w:pPr>
            <w:r w:rsidRPr="00FD256A">
              <w:rPr>
                <w:b w:val="0"/>
                <w:bCs w:val="0"/>
                <w:color w:val="C54B0A" w:themeColor="accent5" w:themeShade="BF"/>
              </w:rPr>
              <w:t>As part of the ACT Government</w:t>
            </w:r>
            <w:r w:rsidR="00635023">
              <w:rPr>
                <w:b w:val="0"/>
                <w:bCs w:val="0"/>
                <w:color w:val="C54B0A" w:themeColor="accent5" w:themeShade="BF"/>
              </w:rPr>
              <w:t>’</w:t>
            </w:r>
            <w:r w:rsidRPr="00FD256A">
              <w:rPr>
                <w:b w:val="0"/>
                <w:bCs w:val="0"/>
                <w:color w:val="C54B0A" w:themeColor="accent5" w:themeShade="BF"/>
              </w:rPr>
              <w:t xml:space="preserve">s response to the COVID-19 pandemic a ‘Jobs for Canberrans’ program </w:t>
            </w:r>
            <w:r>
              <w:rPr>
                <w:b w:val="0"/>
                <w:bCs w:val="0"/>
                <w:color w:val="C54B0A" w:themeColor="accent5" w:themeShade="BF"/>
              </w:rPr>
              <w:t>was establish</w:t>
            </w:r>
            <w:r w:rsidR="005A3291">
              <w:rPr>
                <w:b w:val="0"/>
                <w:bCs w:val="0"/>
                <w:color w:val="C54B0A" w:themeColor="accent5" w:themeShade="BF"/>
              </w:rPr>
              <w:t>ed</w:t>
            </w:r>
            <w:r>
              <w:rPr>
                <w:b w:val="0"/>
                <w:bCs w:val="0"/>
                <w:color w:val="C54B0A" w:themeColor="accent5" w:themeShade="BF"/>
              </w:rPr>
              <w:t xml:space="preserve"> </w:t>
            </w:r>
            <w:r w:rsidRPr="00FD256A">
              <w:rPr>
                <w:b w:val="0"/>
                <w:bCs w:val="0"/>
                <w:color w:val="C54B0A" w:themeColor="accent5" w:themeShade="BF"/>
              </w:rPr>
              <w:t xml:space="preserve">to provide secure work opportunities for Canberrans who have relied on casual work and are not eligible for the Australian Government’s wage subsidy scheme.  </w:t>
            </w:r>
            <w:r w:rsidR="00844A14">
              <w:rPr>
                <w:b w:val="0"/>
                <w:bCs w:val="0"/>
                <w:color w:val="C54B0A" w:themeColor="accent5" w:themeShade="BF"/>
              </w:rPr>
              <w:t>This program has had a material impact on employee expenses with an additional 27 staff being employed throughout 2020</w:t>
            </w:r>
            <w:r w:rsidR="00844A14">
              <w:rPr>
                <w:b w:val="0"/>
                <w:bCs w:val="0"/>
                <w:color w:val="C54B0A" w:themeColor="accent5" w:themeShade="BF"/>
              </w:rPr>
              <w:noBreakHyphen/>
              <w:t>21 u</w:t>
            </w:r>
            <w:r w:rsidRPr="00FD256A">
              <w:rPr>
                <w:b w:val="0"/>
                <w:bCs w:val="0"/>
                <w:color w:val="C54B0A" w:themeColor="accent5" w:themeShade="BF"/>
              </w:rPr>
              <w:t>nder this program at a cost of $2</w:t>
            </w:r>
            <w:r>
              <w:rPr>
                <w:b w:val="0"/>
                <w:bCs w:val="0"/>
                <w:color w:val="C54B0A" w:themeColor="accent5" w:themeShade="BF"/>
              </w:rPr>
              <w:t>.</w:t>
            </w:r>
            <w:r w:rsidRPr="00FD256A">
              <w:rPr>
                <w:b w:val="0"/>
                <w:bCs w:val="0"/>
                <w:color w:val="C54B0A" w:themeColor="accent5" w:themeShade="BF"/>
              </w:rPr>
              <w:t xml:space="preserve">3 million. </w:t>
            </w:r>
          </w:p>
        </w:tc>
      </w:tr>
      <w:tr w:rsidR="002C0DEE" w:rsidRPr="00CF7E1B" w14:paraId="2874E19E" w14:textId="77777777" w:rsidTr="000A07A1">
        <w:trPr>
          <w:cantSplit/>
          <w:trHeight w:val="23"/>
        </w:trPr>
        <w:tc>
          <w:tcPr>
            <w:tcW w:w="860" w:type="pct"/>
            <w:tcBorders>
              <w:top w:val="nil"/>
              <w:left w:val="single" w:sz="2" w:space="0" w:color="003366"/>
              <w:bottom w:val="nil"/>
              <w:right w:val="single" w:sz="2" w:space="0" w:color="003366"/>
            </w:tcBorders>
          </w:tcPr>
          <w:p w14:paraId="2E17379A" w14:textId="77777777" w:rsidR="002C0DEE" w:rsidRPr="00A7058E" w:rsidRDefault="002C0DEE" w:rsidP="002C0DEE">
            <w:pPr>
              <w:pStyle w:val="TableReference"/>
              <w:tabs>
                <w:tab w:val="left" w:pos="3306"/>
              </w:tabs>
              <w:spacing w:before="40" w:after="240"/>
              <w:rPr>
                <w:rFonts w:cs="Calibri"/>
                <w:color w:val="000000"/>
                <w:sz w:val="16"/>
                <w:szCs w:val="16"/>
              </w:rPr>
            </w:pPr>
          </w:p>
        </w:tc>
        <w:tc>
          <w:tcPr>
            <w:tcW w:w="2940" w:type="pct"/>
            <w:tcBorders>
              <w:top w:val="nil"/>
              <w:left w:val="single" w:sz="2" w:space="0" w:color="003366"/>
              <w:bottom w:val="nil"/>
              <w:right w:val="nil"/>
            </w:tcBorders>
            <w:vAlign w:val="bottom"/>
          </w:tcPr>
          <w:p w14:paraId="57333588" w14:textId="77777777" w:rsidR="002C0DEE" w:rsidRPr="00CF7E1B" w:rsidRDefault="002C0DEE" w:rsidP="002C0DEE">
            <w:pPr>
              <w:pStyle w:val="TableTitle"/>
              <w:tabs>
                <w:tab w:val="left" w:pos="3306"/>
              </w:tabs>
              <w:rPr>
                <w:rFonts w:cs="Calibri"/>
              </w:rPr>
            </w:pPr>
          </w:p>
        </w:tc>
        <w:tc>
          <w:tcPr>
            <w:tcW w:w="684" w:type="pct"/>
            <w:gridSpan w:val="2"/>
            <w:tcBorders>
              <w:top w:val="nil"/>
              <w:left w:val="nil"/>
              <w:bottom w:val="nil"/>
              <w:right w:val="nil"/>
            </w:tcBorders>
            <w:vAlign w:val="bottom"/>
          </w:tcPr>
          <w:p w14:paraId="2C111CB8" w14:textId="77777777" w:rsidR="002C0DEE" w:rsidRPr="00CF7E1B" w:rsidRDefault="002C0DEE" w:rsidP="002C0DEE">
            <w:pPr>
              <w:pStyle w:val="TableTitle"/>
              <w:tabs>
                <w:tab w:val="left" w:pos="3306"/>
              </w:tabs>
              <w:rPr>
                <w:rFonts w:cs="Calibri"/>
              </w:rPr>
            </w:pPr>
            <w:r w:rsidRPr="00CF7E1B">
              <w:rPr>
                <w:rFonts w:cs="Calibri"/>
              </w:rPr>
              <w:t>20</w:t>
            </w:r>
            <w:r>
              <w:rPr>
                <w:rFonts w:cs="Calibri"/>
              </w:rPr>
              <w:t>21</w:t>
            </w:r>
          </w:p>
          <w:p w14:paraId="62997EF1" w14:textId="278795FD" w:rsidR="002C0DEE" w:rsidRPr="00CF7E1B" w:rsidRDefault="002C0DEE" w:rsidP="002C0DEE">
            <w:pPr>
              <w:pStyle w:val="TableTitle"/>
              <w:tabs>
                <w:tab w:val="left" w:pos="3306"/>
              </w:tabs>
              <w:rPr>
                <w:rFonts w:cs="Calibri"/>
              </w:rPr>
            </w:pPr>
            <w:r w:rsidRPr="00CF7E1B">
              <w:rPr>
                <w:rFonts w:cs="Calibri"/>
              </w:rPr>
              <w:t>$’000</w:t>
            </w:r>
          </w:p>
        </w:tc>
        <w:tc>
          <w:tcPr>
            <w:tcW w:w="515" w:type="pct"/>
            <w:tcBorders>
              <w:top w:val="nil"/>
              <w:left w:val="nil"/>
              <w:bottom w:val="nil"/>
              <w:right w:val="nil"/>
            </w:tcBorders>
            <w:vAlign w:val="bottom"/>
          </w:tcPr>
          <w:p w14:paraId="1791C7E8" w14:textId="77777777" w:rsidR="002C0DEE" w:rsidRPr="00CF7E1B" w:rsidRDefault="002C0DEE" w:rsidP="002C0DEE">
            <w:pPr>
              <w:pStyle w:val="TableTitle"/>
              <w:tabs>
                <w:tab w:val="left" w:pos="3306"/>
              </w:tabs>
              <w:rPr>
                <w:rFonts w:cs="Calibri"/>
              </w:rPr>
            </w:pPr>
            <w:r w:rsidRPr="00CF7E1B">
              <w:rPr>
                <w:rFonts w:cs="Calibri"/>
              </w:rPr>
              <w:t>20</w:t>
            </w:r>
            <w:r>
              <w:rPr>
                <w:rFonts w:cs="Calibri"/>
              </w:rPr>
              <w:t>20</w:t>
            </w:r>
          </w:p>
          <w:p w14:paraId="4BBCE39D" w14:textId="4EAEBD36" w:rsidR="002C0DEE" w:rsidRPr="00CF7E1B" w:rsidRDefault="002C0DEE" w:rsidP="002C0DEE">
            <w:pPr>
              <w:pStyle w:val="TableTitle"/>
              <w:tabs>
                <w:tab w:val="left" w:pos="3306"/>
              </w:tabs>
              <w:rPr>
                <w:rFonts w:cs="Calibri"/>
              </w:rPr>
            </w:pPr>
            <w:r w:rsidRPr="00CF7E1B">
              <w:rPr>
                <w:rFonts w:cs="Calibri"/>
              </w:rPr>
              <w:t>$’000</w:t>
            </w:r>
          </w:p>
        </w:tc>
      </w:tr>
      <w:tr w:rsidR="002C0DEE" w:rsidRPr="00CF7E1B" w14:paraId="089436D9" w14:textId="77777777" w:rsidTr="000A07A1">
        <w:trPr>
          <w:cantSplit/>
          <w:trHeight w:val="23"/>
        </w:trPr>
        <w:tc>
          <w:tcPr>
            <w:tcW w:w="860" w:type="pct"/>
            <w:tcBorders>
              <w:top w:val="nil"/>
              <w:left w:val="single" w:sz="2" w:space="0" w:color="003366"/>
              <w:bottom w:val="nil"/>
              <w:right w:val="single" w:sz="2" w:space="0" w:color="003366"/>
            </w:tcBorders>
          </w:tcPr>
          <w:p w14:paraId="07978E86" w14:textId="77777777" w:rsidR="002C0DEE" w:rsidRPr="00A7058E" w:rsidRDefault="002C0DEE" w:rsidP="002C0DEE">
            <w:pPr>
              <w:pStyle w:val="TableReference"/>
              <w:tabs>
                <w:tab w:val="left" w:pos="3306"/>
              </w:tabs>
              <w:spacing w:before="40"/>
              <w:rPr>
                <w:rFonts w:cs="Calibri"/>
                <w:color w:val="000000"/>
                <w:sz w:val="16"/>
                <w:szCs w:val="16"/>
              </w:rPr>
            </w:pPr>
            <w:r w:rsidRPr="00A7058E">
              <w:rPr>
                <w:rFonts w:cs="Calibri"/>
                <w:color w:val="000000"/>
                <w:sz w:val="16"/>
                <w:szCs w:val="16"/>
              </w:rPr>
              <w:t xml:space="preserve"> </w:t>
            </w:r>
          </w:p>
        </w:tc>
        <w:tc>
          <w:tcPr>
            <w:tcW w:w="3007" w:type="pct"/>
            <w:gridSpan w:val="2"/>
            <w:tcBorders>
              <w:top w:val="nil"/>
              <w:left w:val="single" w:sz="2" w:space="0" w:color="003366"/>
              <w:bottom w:val="nil"/>
              <w:right w:val="nil"/>
            </w:tcBorders>
            <w:vAlign w:val="bottom"/>
          </w:tcPr>
          <w:p w14:paraId="5C435FCD" w14:textId="77777777" w:rsidR="002C0DEE" w:rsidRPr="00CF7E1B" w:rsidRDefault="002C0DEE" w:rsidP="002C0DEE">
            <w:pPr>
              <w:pStyle w:val="TableText0"/>
              <w:tabs>
                <w:tab w:val="left" w:pos="3306"/>
              </w:tabs>
              <w:rPr>
                <w:rFonts w:cs="Calibri"/>
              </w:rPr>
            </w:pPr>
            <w:r w:rsidRPr="00CF7E1B">
              <w:rPr>
                <w:rFonts w:cs="Calibri"/>
              </w:rPr>
              <w:t xml:space="preserve">Wages and Salaries </w:t>
            </w:r>
          </w:p>
        </w:tc>
        <w:tc>
          <w:tcPr>
            <w:tcW w:w="618" w:type="pct"/>
            <w:tcBorders>
              <w:top w:val="nil"/>
              <w:left w:val="nil"/>
              <w:bottom w:val="nil"/>
              <w:right w:val="nil"/>
            </w:tcBorders>
            <w:vAlign w:val="bottom"/>
          </w:tcPr>
          <w:p w14:paraId="1FBF335C" w14:textId="77777777" w:rsidR="002C0DEE" w:rsidRPr="00CF7E1B" w:rsidRDefault="002C0DEE" w:rsidP="002C0DEE">
            <w:pPr>
              <w:pStyle w:val="TableText0"/>
              <w:tabs>
                <w:tab w:val="left" w:pos="3306"/>
              </w:tabs>
              <w:jc w:val="right"/>
              <w:rPr>
                <w:rFonts w:cs="Calibri"/>
              </w:rPr>
            </w:pPr>
          </w:p>
        </w:tc>
        <w:tc>
          <w:tcPr>
            <w:tcW w:w="515" w:type="pct"/>
            <w:tcBorders>
              <w:top w:val="nil"/>
              <w:left w:val="nil"/>
              <w:bottom w:val="nil"/>
              <w:right w:val="nil"/>
            </w:tcBorders>
            <w:vAlign w:val="bottom"/>
          </w:tcPr>
          <w:p w14:paraId="05221BE1" w14:textId="77777777" w:rsidR="002C0DEE" w:rsidRPr="00CF7E1B" w:rsidRDefault="002C0DEE" w:rsidP="002C0DEE">
            <w:pPr>
              <w:pStyle w:val="TableText0"/>
              <w:tabs>
                <w:tab w:val="left" w:pos="3306"/>
              </w:tabs>
              <w:jc w:val="right"/>
              <w:rPr>
                <w:rFonts w:cs="Calibri"/>
              </w:rPr>
            </w:pPr>
          </w:p>
        </w:tc>
      </w:tr>
      <w:tr w:rsidR="002C0DEE" w:rsidRPr="00CF7E1B" w14:paraId="77BE7B21" w14:textId="77777777" w:rsidTr="000A07A1">
        <w:trPr>
          <w:cantSplit/>
          <w:trHeight w:val="23"/>
        </w:trPr>
        <w:tc>
          <w:tcPr>
            <w:tcW w:w="860" w:type="pct"/>
            <w:tcBorders>
              <w:top w:val="nil"/>
              <w:left w:val="single" w:sz="2" w:space="0" w:color="003366"/>
              <w:bottom w:val="nil"/>
              <w:right w:val="single" w:sz="2" w:space="0" w:color="003366"/>
            </w:tcBorders>
          </w:tcPr>
          <w:p w14:paraId="3908C779" w14:textId="77777777" w:rsidR="002C0DEE" w:rsidRPr="00A7058E" w:rsidRDefault="002C0DEE" w:rsidP="002C0DEE">
            <w:pPr>
              <w:pStyle w:val="TableReference"/>
              <w:tabs>
                <w:tab w:val="left" w:pos="3306"/>
              </w:tabs>
              <w:spacing w:before="40"/>
              <w:rPr>
                <w:rFonts w:cs="Calibri"/>
                <w:color w:val="000000"/>
                <w:sz w:val="16"/>
                <w:szCs w:val="16"/>
              </w:rPr>
            </w:pPr>
          </w:p>
        </w:tc>
        <w:tc>
          <w:tcPr>
            <w:tcW w:w="3007" w:type="pct"/>
            <w:gridSpan w:val="2"/>
            <w:tcBorders>
              <w:top w:val="nil"/>
              <w:left w:val="single" w:sz="2" w:space="0" w:color="003366"/>
              <w:bottom w:val="nil"/>
              <w:right w:val="nil"/>
            </w:tcBorders>
            <w:vAlign w:val="bottom"/>
          </w:tcPr>
          <w:p w14:paraId="20D93FFB" w14:textId="77777777" w:rsidR="002C0DEE" w:rsidRPr="00CF7E1B" w:rsidRDefault="002C0DEE" w:rsidP="002C0DEE">
            <w:pPr>
              <w:pStyle w:val="TableText0"/>
              <w:tabs>
                <w:tab w:val="left" w:pos="3306"/>
              </w:tabs>
              <w:rPr>
                <w:rFonts w:cs="Calibri"/>
              </w:rPr>
            </w:pPr>
            <w:r w:rsidRPr="00CF7E1B">
              <w:rPr>
                <w:rFonts w:cs="Calibri"/>
              </w:rPr>
              <w:t>Annual Leave Expense</w:t>
            </w:r>
          </w:p>
        </w:tc>
        <w:tc>
          <w:tcPr>
            <w:tcW w:w="618" w:type="pct"/>
            <w:tcBorders>
              <w:top w:val="nil"/>
              <w:left w:val="nil"/>
              <w:bottom w:val="nil"/>
              <w:right w:val="nil"/>
            </w:tcBorders>
            <w:vAlign w:val="bottom"/>
          </w:tcPr>
          <w:p w14:paraId="49783D8D" w14:textId="77777777" w:rsidR="002C0DEE" w:rsidRPr="00CF7E1B" w:rsidRDefault="002C0DEE" w:rsidP="002C0DEE">
            <w:pPr>
              <w:pStyle w:val="TableText0"/>
              <w:tabs>
                <w:tab w:val="left" w:pos="3306"/>
              </w:tabs>
              <w:jc w:val="right"/>
              <w:rPr>
                <w:rFonts w:cs="Calibri"/>
              </w:rPr>
            </w:pPr>
          </w:p>
        </w:tc>
        <w:tc>
          <w:tcPr>
            <w:tcW w:w="515" w:type="pct"/>
            <w:tcBorders>
              <w:top w:val="nil"/>
              <w:left w:val="nil"/>
              <w:bottom w:val="nil"/>
              <w:right w:val="nil"/>
            </w:tcBorders>
            <w:vAlign w:val="bottom"/>
          </w:tcPr>
          <w:p w14:paraId="24DE1AFF" w14:textId="77777777" w:rsidR="002C0DEE" w:rsidRPr="00CF7E1B" w:rsidRDefault="002C0DEE" w:rsidP="002C0DEE">
            <w:pPr>
              <w:pStyle w:val="TableText0"/>
              <w:tabs>
                <w:tab w:val="left" w:pos="3306"/>
              </w:tabs>
              <w:jc w:val="right"/>
              <w:rPr>
                <w:rFonts w:cs="Calibri"/>
              </w:rPr>
            </w:pPr>
          </w:p>
        </w:tc>
      </w:tr>
      <w:tr w:rsidR="002C0DEE" w:rsidRPr="00CF7E1B" w14:paraId="1252BB20" w14:textId="77777777" w:rsidTr="000A07A1">
        <w:trPr>
          <w:cantSplit/>
          <w:trHeight w:val="23"/>
        </w:trPr>
        <w:tc>
          <w:tcPr>
            <w:tcW w:w="860" w:type="pct"/>
            <w:tcBorders>
              <w:top w:val="nil"/>
              <w:left w:val="single" w:sz="2" w:space="0" w:color="003366"/>
              <w:bottom w:val="nil"/>
              <w:right w:val="single" w:sz="2" w:space="0" w:color="003366"/>
            </w:tcBorders>
          </w:tcPr>
          <w:p w14:paraId="6186A0AA" w14:textId="77777777" w:rsidR="002C0DEE" w:rsidRPr="00A7058E" w:rsidRDefault="002C0DEE" w:rsidP="002C0DEE">
            <w:pPr>
              <w:pStyle w:val="TableReference"/>
              <w:tabs>
                <w:tab w:val="left" w:pos="3306"/>
              </w:tabs>
              <w:spacing w:before="40"/>
              <w:rPr>
                <w:rFonts w:cs="Calibri"/>
                <w:color w:val="000000"/>
                <w:sz w:val="16"/>
                <w:szCs w:val="16"/>
              </w:rPr>
            </w:pPr>
          </w:p>
        </w:tc>
        <w:tc>
          <w:tcPr>
            <w:tcW w:w="3007" w:type="pct"/>
            <w:gridSpan w:val="2"/>
            <w:tcBorders>
              <w:top w:val="nil"/>
              <w:left w:val="single" w:sz="2" w:space="0" w:color="003366"/>
              <w:bottom w:val="nil"/>
              <w:right w:val="nil"/>
            </w:tcBorders>
            <w:vAlign w:val="bottom"/>
          </w:tcPr>
          <w:p w14:paraId="04CE8762" w14:textId="77777777" w:rsidR="002C0DEE" w:rsidRPr="00CF7E1B" w:rsidRDefault="002C0DEE" w:rsidP="002C0DEE">
            <w:pPr>
              <w:pStyle w:val="TableText0"/>
              <w:tabs>
                <w:tab w:val="left" w:pos="3306"/>
              </w:tabs>
              <w:rPr>
                <w:rFonts w:cs="Calibri"/>
              </w:rPr>
            </w:pPr>
            <w:r w:rsidRPr="00CF7E1B">
              <w:rPr>
                <w:rFonts w:cs="Calibri"/>
              </w:rPr>
              <w:t>Long Service Leave Expense</w:t>
            </w:r>
          </w:p>
        </w:tc>
        <w:tc>
          <w:tcPr>
            <w:tcW w:w="618" w:type="pct"/>
            <w:tcBorders>
              <w:top w:val="nil"/>
              <w:left w:val="nil"/>
              <w:bottom w:val="nil"/>
              <w:right w:val="nil"/>
            </w:tcBorders>
            <w:vAlign w:val="bottom"/>
          </w:tcPr>
          <w:p w14:paraId="022C641E" w14:textId="77777777" w:rsidR="002C0DEE" w:rsidRPr="00CF7E1B" w:rsidRDefault="002C0DEE" w:rsidP="002C0DEE">
            <w:pPr>
              <w:pStyle w:val="TableText0"/>
              <w:tabs>
                <w:tab w:val="left" w:pos="3306"/>
              </w:tabs>
              <w:jc w:val="right"/>
              <w:rPr>
                <w:rFonts w:cs="Calibri"/>
              </w:rPr>
            </w:pPr>
          </w:p>
        </w:tc>
        <w:tc>
          <w:tcPr>
            <w:tcW w:w="515" w:type="pct"/>
            <w:tcBorders>
              <w:top w:val="nil"/>
              <w:left w:val="nil"/>
              <w:bottom w:val="nil"/>
              <w:right w:val="nil"/>
            </w:tcBorders>
            <w:vAlign w:val="bottom"/>
          </w:tcPr>
          <w:p w14:paraId="7C097822" w14:textId="77777777" w:rsidR="002C0DEE" w:rsidRPr="00CF7E1B" w:rsidRDefault="002C0DEE" w:rsidP="002C0DEE">
            <w:pPr>
              <w:pStyle w:val="TableText0"/>
              <w:tabs>
                <w:tab w:val="left" w:pos="3306"/>
              </w:tabs>
              <w:jc w:val="right"/>
              <w:rPr>
                <w:rFonts w:cs="Calibri"/>
              </w:rPr>
            </w:pPr>
          </w:p>
        </w:tc>
      </w:tr>
      <w:tr w:rsidR="002C0DEE" w:rsidRPr="00CF7E1B" w14:paraId="75EBA7EC" w14:textId="77777777" w:rsidTr="000A07A1">
        <w:trPr>
          <w:cantSplit/>
          <w:trHeight w:val="23"/>
        </w:trPr>
        <w:tc>
          <w:tcPr>
            <w:tcW w:w="860" w:type="pct"/>
            <w:tcBorders>
              <w:top w:val="nil"/>
              <w:left w:val="single" w:sz="2" w:space="0" w:color="003366"/>
              <w:bottom w:val="nil"/>
              <w:right w:val="single" w:sz="2" w:space="0" w:color="003366"/>
            </w:tcBorders>
          </w:tcPr>
          <w:p w14:paraId="0AE16E1B" w14:textId="77777777" w:rsidR="002C0DEE" w:rsidRPr="00A7058E" w:rsidRDefault="002C0DEE" w:rsidP="002C0DEE">
            <w:pPr>
              <w:pStyle w:val="TableReference"/>
              <w:tabs>
                <w:tab w:val="left" w:pos="3306"/>
              </w:tabs>
              <w:spacing w:before="40"/>
              <w:rPr>
                <w:rFonts w:cs="Calibri"/>
                <w:color w:val="000000"/>
                <w:sz w:val="16"/>
                <w:szCs w:val="16"/>
              </w:rPr>
            </w:pPr>
          </w:p>
        </w:tc>
        <w:tc>
          <w:tcPr>
            <w:tcW w:w="3007" w:type="pct"/>
            <w:gridSpan w:val="2"/>
            <w:tcBorders>
              <w:top w:val="nil"/>
              <w:left w:val="single" w:sz="2" w:space="0" w:color="003366"/>
              <w:bottom w:val="nil"/>
              <w:right w:val="nil"/>
            </w:tcBorders>
            <w:vAlign w:val="bottom"/>
          </w:tcPr>
          <w:p w14:paraId="0549AD1F" w14:textId="77777777" w:rsidR="002C0DEE" w:rsidRPr="00CF7E1B" w:rsidRDefault="002C0DEE" w:rsidP="002C0DEE">
            <w:pPr>
              <w:pStyle w:val="TableText0"/>
              <w:tabs>
                <w:tab w:val="left" w:pos="3306"/>
              </w:tabs>
              <w:rPr>
                <w:rFonts w:cs="Calibri"/>
              </w:rPr>
            </w:pPr>
            <w:r w:rsidRPr="008C258B">
              <w:rPr>
                <w:rFonts w:cs="Calibri"/>
              </w:rPr>
              <w:t>Workers’ Compensation</w:t>
            </w:r>
            <w:r>
              <w:rPr>
                <w:rFonts w:cs="Calibri"/>
              </w:rPr>
              <w:t xml:space="preserve"> Insurance </w:t>
            </w:r>
            <w:r w:rsidRPr="00CF7E1B">
              <w:rPr>
                <w:rFonts w:cs="Calibri"/>
              </w:rPr>
              <w:t xml:space="preserve">Premium </w:t>
            </w:r>
          </w:p>
        </w:tc>
        <w:tc>
          <w:tcPr>
            <w:tcW w:w="618" w:type="pct"/>
            <w:tcBorders>
              <w:top w:val="nil"/>
              <w:left w:val="nil"/>
              <w:bottom w:val="nil"/>
              <w:right w:val="nil"/>
            </w:tcBorders>
            <w:vAlign w:val="bottom"/>
          </w:tcPr>
          <w:p w14:paraId="76833149" w14:textId="77777777" w:rsidR="002C0DEE" w:rsidRPr="00CF7E1B" w:rsidRDefault="002C0DEE" w:rsidP="002C0DEE">
            <w:pPr>
              <w:pStyle w:val="TableText0"/>
              <w:tabs>
                <w:tab w:val="left" w:pos="3306"/>
              </w:tabs>
              <w:jc w:val="right"/>
              <w:rPr>
                <w:rFonts w:cs="Calibri"/>
              </w:rPr>
            </w:pPr>
          </w:p>
        </w:tc>
        <w:tc>
          <w:tcPr>
            <w:tcW w:w="515" w:type="pct"/>
            <w:tcBorders>
              <w:top w:val="nil"/>
              <w:left w:val="nil"/>
              <w:bottom w:val="nil"/>
              <w:right w:val="nil"/>
            </w:tcBorders>
            <w:vAlign w:val="bottom"/>
          </w:tcPr>
          <w:p w14:paraId="2206B21C" w14:textId="77777777" w:rsidR="002C0DEE" w:rsidRPr="00CF7E1B" w:rsidRDefault="002C0DEE" w:rsidP="002C0DEE">
            <w:pPr>
              <w:pStyle w:val="TableText0"/>
              <w:tabs>
                <w:tab w:val="left" w:pos="3306"/>
              </w:tabs>
              <w:jc w:val="right"/>
              <w:rPr>
                <w:rFonts w:cs="Calibri"/>
              </w:rPr>
            </w:pPr>
          </w:p>
        </w:tc>
      </w:tr>
      <w:tr w:rsidR="002C0DEE" w:rsidRPr="00CF7E1B" w14:paraId="650D91AA" w14:textId="77777777" w:rsidTr="000A07A1">
        <w:trPr>
          <w:cantSplit/>
          <w:trHeight w:val="23"/>
        </w:trPr>
        <w:tc>
          <w:tcPr>
            <w:tcW w:w="860" w:type="pct"/>
            <w:tcBorders>
              <w:top w:val="nil"/>
              <w:left w:val="single" w:sz="2" w:space="0" w:color="003366"/>
              <w:bottom w:val="nil"/>
              <w:right w:val="single" w:sz="2" w:space="0" w:color="003366"/>
            </w:tcBorders>
          </w:tcPr>
          <w:p w14:paraId="6C95FB13" w14:textId="77777777" w:rsidR="002C0DEE" w:rsidRPr="00A7058E" w:rsidRDefault="002C0DEE" w:rsidP="002C0DEE">
            <w:pPr>
              <w:pStyle w:val="TableReference"/>
              <w:tabs>
                <w:tab w:val="left" w:pos="3306"/>
              </w:tabs>
              <w:spacing w:before="40"/>
              <w:rPr>
                <w:rFonts w:cs="Calibri"/>
                <w:color w:val="000000"/>
                <w:sz w:val="16"/>
                <w:szCs w:val="16"/>
              </w:rPr>
            </w:pPr>
          </w:p>
        </w:tc>
        <w:tc>
          <w:tcPr>
            <w:tcW w:w="3007" w:type="pct"/>
            <w:gridSpan w:val="2"/>
            <w:tcBorders>
              <w:top w:val="nil"/>
              <w:left w:val="single" w:sz="2" w:space="0" w:color="003366"/>
              <w:bottom w:val="nil"/>
              <w:right w:val="nil"/>
            </w:tcBorders>
            <w:vAlign w:val="bottom"/>
          </w:tcPr>
          <w:p w14:paraId="50CDE8EF" w14:textId="77777777" w:rsidR="002C0DEE" w:rsidRPr="00CF7E1B" w:rsidRDefault="002C0DEE" w:rsidP="002C0DEE">
            <w:pPr>
              <w:pStyle w:val="TableText0"/>
              <w:tabs>
                <w:tab w:val="left" w:pos="3306"/>
              </w:tabs>
              <w:rPr>
                <w:rFonts w:cs="Calibri"/>
              </w:rPr>
            </w:pPr>
            <w:r w:rsidRPr="00CF7E1B">
              <w:rPr>
                <w:rFonts w:cs="Calibri"/>
              </w:rPr>
              <w:t>Termination Expense</w:t>
            </w:r>
          </w:p>
        </w:tc>
        <w:tc>
          <w:tcPr>
            <w:tcW w:w="618" w:type="pct"/>
            <w:tcBorders>
              <w:top w:val="nil"/>
              <w:left w:val="nil"/>
              <w:bottom w:val="nil"/>
              <w:right w:val="nil"/>
            </w:tcBorders>
            <w:vAlign w:val="bottom"/>
          </w:tcPr>
          <w:p w14:paraId="066DFB5C" w14:textId="77777777" w:rsidR="002C0DEE" w:rsidRPr="00CF7E1B" w:rsidRDefault="002C0DEE" w:rsidP="002C0DEE">
            <w:pPr>
              <w:pStyle w:val="TableText0"/>
              <w:tabs>
                <w:tab w:val="left" w:pos="3306"/>
              </w:tabs>
              <w:jc w:val="right"/>
              <w:rPr>
                <w:rFonts w:cs="Calibri"/>
              </w:rPr>
            </w:pPr>
          </w:p>
        </w:tc>
        <w:tc>
          <w:tcPr>
            <w:tcW w:w="515" w:type="pct"/>
            <w:tcBorders>
              <w:top w:val="nil"/>
              <w:left w:val="nil"/>
              <w:bottom w:val="nil"/>
              <w:right w:val="nil"/>
            </w:tcBorders>
            <w:vAlign w:val="bottom"/>
          </w:tcPr>
          <w:p w14:paraId="4450A66E" w14:textId="77777777" w:rsidR="002C0DEE" w:rsidRPr="00CF7E1B" w:rsidRDefault="002C0DEE" w:rsidP="002C0DEE">
            <w:pPr>
              <w:pStyle w:val="TableText0"/>
              <w:tabs>
                <w:tab w:val="left" w:pos="3306"/>
              </w:tabs>
              <w:jc w:val="right"/>
              <w:rPr>
                <w:rFonts w:cs="Calibri"/>
              </w:rPr>
            </w:pPr>
          </w:p>
        </w:tc>
      </w:tr>
      <w:tr w:rsidR="002C0DEE" w:rsidRPr="00CF7E1B" w14:paraId="60F1E681" w14:textId="77777777" w:rsidTr="000A07A1">
        <w:trPr>
          <w:cantSplit/>
          <w:trHeight w:val="23"/>
        </w:trPr>
        <w:tc>
          <w:tcPr>
            <w:tcW w:w="860" w:type="pct"/>
            <w:tcBorders>
              <w:top w:val="nil"/>
              <w:left w:val="single" w:sz="2" w:space="0" w:color="003366"/>
              <w:bottom w:val="nil"/>
              <w:right w:val="single" w:sz="2" w:space="0" w:color="003366"/>
            </w:tcBorders>
          </w:tcPr>
          <w:p w14:paraId="549A2071" w14:textId="77777777" w:rsidR="002C0DEE" w:rsidRPr="00A7058E" w:rsidRDefault="002C0DEE" w:rsidP="002C0DEE">
            <w:pPr>
              <w:pStyle w:val="TableReference"/>
              <w:tabs>
                <w:tab w:val="left" w:pos="3306"/>
              </w:tabs>
              <w:spacing w:before="40"/>
              <w:rPr>
                <w:rFonts w:cs="Calibri"/>
                <w:color w:val="000000"/>
                <w:sz w:val="16"/>
                <w:szCs w:val="16"/>
              </w:rPr>
            </w:pPr>
          </w:p>
        </w:tc>
        <w:tc>
          <w:tcPr>
            <w:tcW w:w="3007" w:type="pct"/>
            <w:gridSpan w:val="2"/>
            <w:tcBorders>
              <w:top w:val="nil"/>
              <w:left w:val="single" w:sz="2" w:space="0" w:color="003366"/>
              <w:bottom w:val="nil"/>
              <w:right w:val="nil"/>
            </w:tcBorders>
            <w:vAlign w:val="bottom"/>
          </w:tcPr>
          <w:p w14:paraId="37DB684B" w14:textId="77777777" w:rsidR="002C0DEE" w:rsidRPr="00CF7E1B" w:rsidRDefault="002C0DEE" w:rsidP="002C0DEE">
            <w:pPr>
              <w:pStyle w:val="TableText0"/>
              <w:tabs>
                <w:tab w:val="left" w:pos="3306"/>
              </w:tabs>
              <w:rPr>
                <w:rFonts w:cs="Calibri"/>
              </w:rPr>
            </w:pPr>
            <w:r w:rsidRPr="00CF7E1B">
              <w:rPr>
                <w:rFonts w:cs="Calibri"/>
              </w:rPr>
              <w:t>Other Employee Benefits and On-Costs</w:t>
            </w:r>
          </w:p>
        </w:tc>
        <w:tc>
          <w:tcPr>
            <w:tcW w:w="618" w:type="pct"/>
            <w:tcBorders>
              <w:top w:val="nil"/>
              <w:left w:val="nil"/>
              <w:bottom w:val="nil"/>
              <w:right w:val="nil"/>
            </w:tcBorders>
            <w:vAlign w:val="bottom"/>
          </w:tcPr>
          <w:p w14:paraId="773CC588" w14:textId="77777777" w:rsidR="002C0DEE" w:rsidRPr="00CF7E1B" w:rsidRDefault="002C0DEE" w:rsidP="002C0DEE">
            <w:pPr>
              <w:pStyle w:val="TableText0"/>
              <w:tabs>
                <w:tab w:val="left" w:pos="3306"/>
              </w:tabs>
              <w:jc w:val="right"/>
              <w:rPr>
                <w:rFonts w:cs="Calibri"/>
              </w:rPr>
            </w:pPr>
          </w:p>
        </w:tc>
        <w:tc>
          <w:tcPr>
            <w:tcW w:w="515" w:type="pct"/>
            <w:tcBorders>
              <w:top w:val="nil"/>
              <w:left w:val="nil"/>
              <w:bottom w:val="nil"/>
              <w:right w:val="nil"/>
            </w:tcBorders>
            <w:vAlign w:val="bottom"/>
          </w:tcPr>
          <w:p w14:paraId="7172ECC3" w14:textId="77777777" w:rsidR="002C0DEE" w:rsidRPr="00CF7E1B" w:rsidRDefault="002C0DEE" w:rsidP="002C0DEE">
            <w:pPr>
              <w:pStyle w:val="TableText0"/>
              <w:tabs>
                <w:tab w:val="left" w:pos="3306"/>
              </w:tabs>
              <w:jc w:val="right"/>
              <w:rPr>
                <w:rFonts w:cs="Calibri"/>
              </w:rPr>
            </w:pPr>
          </w:p>
        </w:tc>
      </w:tr>
      <w:tr w:rsidR="002C0DEE" w:rsidRPr="00CF7E1B" w14:paraId="4EEC07B5" w14:textId="77777777" w:rsidTr="000A07A1">
        <w:trPr>
          <w:cantSplit/>
          <w:trHeight w:val="23"/>
        </w:trPr>
        <w:tc>
          <w:tcPr>
            <w:tcW w:w="860" w:type="pct"/>
            <w:tcBorders>
              <w:top w:val="nil"/>
              <w:left w:val="single" w:sz="2" w:space="0" w:color="003366"/>
              <w:bottom w:val="nil"/>
              <w:right w:val="single" w:sz="2" w:space="0" w:color="003366"/>
            </w:tcBorders>
          </w:tcPr>
          <w:p w14:paraId="3B24D1D5" w14:textId="77777777" w:rsidR="002C0DEE" w:rsidRPr="00A7058E" w:rsidRDefault="002C0DEE" w:rsidP="002C0DEE">
            <w:pPr>
              <w:pStyle w:val="TableReference"/>
              <w:tabs>
                <w:tab w:val="left" w:pos="3306"/>
              </w:tabs>
              <w:spacing w:before="40"/>
              <w:rPr>
                <w:rFonts w:cs="Calibri"/>
                <w:color w:val="000000"/>
                <w:sz w:val="16"/>
                <w:szCs w:val="16"/>
              </w:rPr>
            </w:pPr>
          </w:p>
        </w:tc>
        <w:tc>
          <w:tcPr>
            <w:tcW w:w="3007" w:type="pct"/>
            <w:gridSpan w:val="2"/>
            <w:tcBorders>
              <w:top w:val="nil"/>
              <w:left w:val="single" w:sz="2" w:space="0" w:color="003366"/>
              <w:bottom w:val="nil"/>
              <w:right w:val="nil"/>
            </w:tcBorders>
            <w:vAlign w:val="bottom"/>
          </w:tcPr>
          <w:p w14:paraId="0E92B299" w14:textId="11C7884D" w:rsidR="002C0DEE" w:rsidRPr="00CF7E1B" w:rsidRDefault="002C0DEE" w:rsidP="002C0DEE">
            <w:pPr>
              <w:pStyle w:val="TableText0"/>
              <w:tabs>
                <w:tab w:val="left" w:pos="3306"/>
              </w:tabs>
              <w:rPr>
                <w:rFonts w:cs="Calibri"/>
                <w:b/>
                <w:bCs/>
              </w:rPr>
            </w:pPr>
            <w:bookmarkStart w:id="73" w:name="_Toc48468447"/>
            <w:bookmarkStart w:id="74" w:name="_Toc49155565"/>
            <w:bookmarkStart w:id="75" w:name="_Toc49224019"/>
            <w:r w:rsidRPr="00CF7E1B">
              <w:rPr>
                <w:rFonts w:cs="Calibri"/>
                <w:b/>
                <w:bCs/>
              </w:rPr>
              <w:t>Total Employee Expenses</w:t>
            </w:r>
            <w:bookmarkEnd w:id="73"/>
            <w:bookmarkEnd w:id="74"/>
            <w:bookmarkEnd w:id="75"/>
            <w:r w:rsidR="005A3291" w:rsidRPr="005A3291">
              <w:rPr>
                <w:rFonts w:cs="Calibri"/>
                <w:b/>
                <w:bCs/>
                <w:color w:val="C54B0A" w:themeColor="accent5" w:themeShade="BF"/>
                <w:vertAlign w:val="superscript"/>
              </w:rPr>
              <w:t>(a)</w:t>
            </w:r>
          </w:p>
        </w:tc>
        <w:tc>
          <w:tcPr>
            <w:tcW w:w="618" w:type="pct"/>
            <w:tcBorders>
              <w:top w:val="single" w:sz="2" w:space="0" w:color="003366"/>
              <w:left w:val="nil"/>
              <w:bottom w:val="double" w:sz="4" w:space="0" w:color="003366"/>
              <w:right w:val="nil"/>
            </w:tcBorders>
            <w:vAlign w:val="bottom"/>
          </w:tcPr>
          <w:p w14:paraId="2CDA3F5F" w14:textId="77777777" w:rsidR="002C0DEE" w:rsidRPr="00CF7E1B" w:rsidRDefault="002C0DEE" w:rsidP="002C0DEE">
            <w:pPr>
              <w:pStyle w:val="TableText0"/>
              <w:tabs>
                <w:tab w:val="left" w:pos="3306"/>
              </w:tabs>
              <w:jc w:val="right"/>
              <w:rPr>
                <w:rFonts w:cs="Calibri"/>
                <w:b/>
                <w:bCs/>
              </w:rPr>
            </w:pPr>
          </w:p>
        </w:tc>
        <w:tc>
          <w:tcPr>
            <w:tcW w:w="515" w:type="pct"/>
            <w:tcBorders>
              <w:top w:val="single" w:sz="2" w:space="0" w:color="003366"/>
              <w:left w:val="nil"/>
              <w:bottom w:val="double" w:sz="4" w:space="0" w:color="003366"/>
              <w:right w:val="nil"/>
            </w:tcBorders>
            <w:vAlign w:val="bottom"/>
          </w:tcPr>
          <w:p w14:paraId="4BBDE44C" w14:textId="77777777" w:rsidR="002C0DEE" w:rsidRPr="00CF7E1B" w:rsidRDefault="002C0DEE" w:rsidP="002C0DEE">
            <w:pPr>
              <w:pStyle w:val="TableText0"/>
              <w:tabs>
                <w:tab w:val="left" w:pos="3306"/>
              </w:tabs>
              <w:jc w:val="right"/>
              <w:rPr>
                <w:rFonts w:cs="Calibri"/>
                <w:b/>
                <w:bCs/>
              </w:rPr>
            </w:pPr>
          </w:p>
        </w:tc>
      </w:tr>
      <w:tr w:rsidR="002C0DEE" w:rsidRPr="00CF7E1B" w14:paraId="15F496A3" w14:textId="77777777" w:rsidTr="000A07A1">
        <w:trPr>
          <w:cantSplit/>
          <w:trHeight w:val="23"/>
        </w:trPr>
        <w:tc>
          <w:tcPr>
            <w:tcW w:w="860" w:type="pct"/>
            <w:tcBorders>
              <w:top w:val="nil"/>
              <w:left w:val="single" w:sz="2" w:space="0" w:color="003366"/>
              <w:bottom w:val="nil"/>
              <w:right w:val="single" w:sz="2" w:space="0" w:color="003366"/>
            </w:tcBorders>
          </w:tcPr>
          <w:p w14:paraId="4FF08B43" w14:textId="77777777" w:rsidR="002C0DEE" w:rsidRPr="00A7058E" w:rsidRDefault="002C0DEE" w:rsidP="002C0DEE">
            <w:pPr>
              <w:pStyle w:val="TableReference"/>
              <w:tabs>
                <w:tab w:val="left" w:pos="3306"/>
              </w:tabs>
              <w:spacing w:before="40"/>
              <w:rPr>
                <w:rFonts w:cs="Calibri"/>
                <w:color w:val="000000"/>
                <w:sz w:val="16"/>
                <w:szCs w:val="16"/>
              </w:rPr>
            </w:pPr>
          </w:p>
        </w:tc>
        <w:tc>
          <w:tcPr>
            <w:tcW w:w="3007" w:type="pct"/>
            <w:gridSpan w:val="2"/>
            <w:tcBorders>
              <w:top w:val="nil"/>
              <w:left w:val="single" w:sz="2" w:space="0" w:color="003366"/>
              <w:bottom w:val="nil"/>
              <w:right w:val="nil"/>
            </w:tcBorders>
            <w:vAlign w:val="bottom"/>
          </w:tcPr>
          <w:p w14:paraId="5A1B6161" w14:textId="77777777" w:rsidR="002C0DEE" w:rsidRPr="00CF7E1B" w:rsidRDefault="002C0DEE" w:rsidP="002C0DEE">
            <w:pPr>
              <w:pStyle w:val="TableText0"/>
              <w:tabs>
                <w:tab w:val="left" w:pos="3306"/>
              </w:tabs>
              <w:rPr>
                <w:rFonts w:cs="Calibri"/>
              </w:rPr>
            </w:pPr>
          </w:p>
        </w:tc>
        <w:tc>
          <w:tcPr>
            <w:tcW w:w="618" w:type="pct"/>
            <w:tcBorders>
              <w:top w:val="double" w:sz="4" w:space="0" w:color="003366"/>
              <w:left w:val="nil"/>
              <w:bottom w:val="nil"/>
              <w:right w:val="nil"/>
            </w:tcBorders>
            <w:vAlign w:val="bottom"/>
          </w:tcPr>
          <w:p w14:paraId="6773B07C" w14:textId="77777777" w:rsidR="002C0DEE" w:rsidRPr="00CF7E1B" w:rsidRDefault="002C0DEE" w:rsidP="002C0DEE">
            <w:pPr>
              <w:pStyle w:val="TableText0"/>
              <w:tabs>
                <w:tab w:val="left" w:pos="3306"/>
              </w:tabs>
              <w:jc w:val="right"/>
              <w:rPr>
                <w:rFonts w:cs="Calibri"/>
              </w:rPr>
            </w:pPr>
          </w:p>
        </w:tc>
        <w:tc>
          <w:tcPr>
            <w:tcW w:w="515" w:type="pct"/>
            <w:tcBorders>
              <w:top w:val="double" w:sz="4" w:space="0" w:color="003366"/>
              <w:left w:val="nil"/>
              <w:bottom w:val="nil"/>
              <w:right w:val="nil"/>
            </w:tcBorders>
            <w:vAlign w:val="bottom"/>
          </w:tcPr>
          <w:p w14:paraId="5C46749D" w14:textId="77777777" w:rsidR="002C0DEE" w:rsidRPr="00CF7E1B" w:rsidRDefault="002C0DEE" w:rsidP="002C0DEE">
            <w:pPr>
              <w:pStyle w:val="TableText0"/>
              <w:tabs>
                <w:tab w:val="left" w:pos="3306"/>
              </w:tabs>
              <w:jc w:val="right"/>
              <w:rPr>
                <w:rFonts w:cs="Calibri"/>
              </w:rPr>
            </w:pPr>
          </w:p>
        </w:tc>
      </w:tr>
      <w:tr w:rsidR="002C0DEE" w:rsidRPr="00CF7E1B" w14:paraId="5E091407" w14:textId="77777777" w:rsidTr="000A07A1">
        <w:trPr>
          <w:cantSplit/>
          <w:trHeight w:val="23"/>
        </w:trPr>
        <w:tc>
          <w:tcPr>
            <w:tcW w:w="860" w:type="pct"/>
            <w:tcBorders>
              <w:top w:val="nil"/>
              <w:left w:val="single" w:sz="2" w:space="0" w:color="003366"/>
              <w:bottom w:val="nil"/>
              <w:right w:val="single" w:sz="2" w:space="0" w:color="003366"/>
            </w:tcBorders>
          </w:tcPr>
          <w:p w14:paraId="63439865" w14:textId="77777777" w:rsidR="002C0DEE" w:rsidRPr="00A7058E" w:rsidRDefault="002C0DEE" w:rsidP="002C0DEE">
            <w:pPr>
              <w:pStyle w:val="TableReference"/>
              <w:tabs>
                <w:tab w:val="left" w:pos="3306"/>
              </w:tabs>
              <w:spacing w:before="40"/>
              <w:rPr>
                <w:rFonts w:cs="Calibri"/>
                <w:color w:val="000000"/>
                <w:sz w:val="16"/>
                <w:szCs w:val="16"/>
              </w:rPr>
            </w:pPr>
          </w:p>
        </w:tc>
        <w:tc>
          <w:tcPr>
            <w:tcW w:w="4140" w:type="pct"/>
            <w:gridSpan w:val="4"/>
            <w:tcBorders>
              <w:top w:val="nil"/>
              <w:left w:val="single" w:sz="2" w:space="0" w:color="003366"/>
              <w:bottom w:val="nil"/>
              <w:right w:val="nil"/>
            </w:tcBorders>
            <w:vAlign w:val="bottom"/>
          </w:tcPr>
          <w:p w14:paraId="2AF5D868" w14:textId="14B294CB" w:rsidR="002C0DEE" w:rsidRPr="005A3291" w:rsidRDefault="005A3291" w:rsidP="005A3291">
            <w:pPr>
              <w:pStyle w:val="TableText0"/>
              <w:numPr>
                <w:ilvl w:val="0"/>
                <w:numId w:val="30"/>
              </w:numPr>
              <w:tabs>
                <w:tab w:val="left" w:pos="3306"/>
              </w:tabs>
              <w:ind w:left="178" w:hanging="218"/>
              <w:rPr>
                <w:rFonts w:cs="Calibri"/>
                <w:color w:val="C54B0A" w:themeColor="accent5" w:themeShade="BF"/>
              </w:rPr>
            </w:pPr>
            <w:r w:rsidRPr="005A3291">
              <w:rPr>
                <w:rFonts w:cs="Calibri"/>
                <w:color w:val="C54B0A" w:themeColor="accent5" w:themeShade="BF"/>
              </w:rPr>
              <w:t xml:space="preserve">The increase in employee expenses is mainly due to additional staff employed by ‘Example Agency’ under the ‘Jobs for Canberrans’ program and </w:t>
            </w:r>
            <w:r w:rsidRPr="005A3291">
              <w:rPr>
                <w:color w:val="C54B0A" w:themeColor="accent5" w:themeShade="BF"/>
              </w:rPr>
              <w:t>less leave being taken by employees due to the COVID</w:t>
            </w:r>
            <w:r w:rsidR="00844A14">
              <w:rPr>
                <w:color w:val="C54B0A" w:themeColor="accent5" w:themeShade="BF"/>
              </w:rPr>
              <w:noBreakHyphen/>
            </w:r>
            <w:r w:rsidRPr="005A3291">
              <w:rPr>
                <w:color w:val="C54B0A" w:themeColor="accent5" w:themeShade="BF"/>
              </w:rPr>
              <w:t>19 pandemic</w:t>
            </w:r>
            <w:r w:rsidR="00635023">
              <w:rPr>
                <w:color w:val="C54B0A" w:themeColor="accent5" w:themeShade="BF"/>
              </w:rPr>
              <w:t xml:space="preserve"> in 2020-21 when compared to 2019-20</w:t>
            </w:r>
            <w:r w:rsidRPr="005A3291">
              <w:rPr>
                <w:color w:val="C54B0A" w:themeColor="accent5" w:themeShade="BF"/>
              </w:rPr>
              <w:t>.</w:t>
            </w:r>
            <w:r w:rsidRPr="005A3291">
              <w:rPr>
                <w:rFonts w:cs="Calibri"/>
                <w:color w:val="C54B0A" w:themeColor="accent5" w:themeShade="BF"/>
              </w:rPr>
              <w:t xml:space="preserve"> </w:t>
            </w:r>
          </w:p>
          <w:p w14:paraId="333A48D6" w14:textId="2838ED57" w:rsidR="005A3291" w:rsidRPr="005A3291" w:rsidRDefault="005A3291" w:rsidP="005A3291">
            <w:pPr>
              <w:rPr>
                <w:lang w:eastAsia="en-US"/>
              </w:rPr>
            </w:pPr>
          </w:p>
        </w:tc>
      </w:tr>
      <w:tr w:rsidR="002C0DEE" w:rsidRPr="00CF7E1B" w14:paraId="773FE6B9" w14:textId="77777777" w:rsidTr="000A0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hRule="exact" w:val="567"/>
          <w:tblHeader/>
        </w:trPr>
        <w:tc>
          <w:tcPr>
            <w:tcW w:w="860" w:type="pct"/>
            <w:tcBorders>
              <w:left w:val="single" w:sz="2" w:space="0" w:color="003366"/>
              <w:right w:val="single" w:sz="2" w:space="0" w:color="003366"/>
            </w:tcBorders>
          </w:tcPr>
          <w:p w14:paraId="1D524C07" w14:textId="77777777" w:rsidR="002C0DEE" w:rsidRPr="007865CE" w:rsidRDefault="002C0DEE" w:rsidP="002C0DEE">
            <w:pPr>
              <w:pStyle w:val="TableReference"/>
              <w:tabs>
                <w:tab w:val="left" w:pos="3306"/>
              </w:tabs>
              <w:spacing w:before="120" w:after="240"/>
              <w:rPr>
                <w:rFonts w:cs="Calibri"/>
                <w:b/>
                <w:color w:val="auto"/>
                <w:sz w:val="22"/>
                <w:szCs w:val="22"/>
              </w:rPr>
            </w:pPr>
            <w:r w:rsidRPr="007865CE">
              <w:rPr>
                <w:rFonts w:cs="Calibri"/>
                <w:b/>
                <w:color w:val="auto"/>
                <w:sz w:val="22"/>
                <w:szCs w:val="22"/>
              </w:rPr>
              <w:br w:type="page"/>
            </w:r>
          </w:p>
        </w:tc>
        <w:tc>
          <w:tcPr>
            <w:tcW w:w="4140" w:type="pct"/>
            <w:gridSpan w:val="4"/>
            <w:tcBorders>
              <w:left w:val="single" w:sz="2" w:space="0" w:color="003366"/>
            </w:tcBorders>
            <w:shd w:val="clear" w:color="auto" w:fill="F2F2F2"/>
          </w:tcPr>
          <w:p w14:paraId="793B6934" w14:textId="77777777" w:rsidR="002C0DEE" w:rsidRPr="007865CE" w:rsidRDefault="002C0DEE" w:rsidP="002C0DEE">
            <w:pPr>
              <w:pStyle w:val="CommentaryTitle"/>
              <w:spacing w:after="240"/>
              <w:rPr>
                <w:rFonts w:cs="Calibri"/>
                <w:bCs w:val="0"/>
                <w:szCs w:val="22"/>
              </w:rPr>
            </w:pPr>
            <w:bookmarkStart w:id="76" w:name="_Toc50440348"/>
            <w:bookmarkStart w:id="77" w:name="_Toc163106324"/>
            <w:bookmarkStart w:id="78" w:name="_Toc194977579"/>
            <w:r w:rsidRPr="007865CE">
              <w:rPr>
                <w:rFonts w:cs="Calibri"/>
                <w:bCs w:val="0"/>
                <w:szCs w:val="22"/>
              </w:rPr>
              <w:t>Commentary – Note 1</w:t>
            </w:r>
            <w:r>
              <w:rPr>
                <w:rFonts w:cs="Calibri"/>
                <w:bCs w:val="0"/>
                <w:szCs w:val="22"/>
              </w:rPr>
              <w:t>1</w:t>
            </w:r>
            <w:r w:rsidRPr="007865CE">
              <w:rPr>
                <w:rFonts w:cs="Calibri"/>
                <w:bCs w:val="0"/>
                <w:szCs w:val="22"/>
              </w:rPr>
              <w:t>: Employee Expenses</w:t>
            </w:r>
            <w:bookmarkEnd w:id="76"/>
            <w:bookmarkEnd w:id="77"/>
            <w:bookmarkEnd w:id="78"/>
          </w:p>
        </w:tc>
      </w:tr>
      <w:tr w:rsidR="002C0DEE" w:rsidRPr="00CF7E1B" w14:paraId="7B75583E" w14:textId="77777777" w:rsidTr="000A0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860" w:type="pct"/>
            <w:tcBorders>
              <w:left w:val="single" w:sz="2" w:space="0" w:color="003366"/>
              <w:right w:val="single" w:sz="2" w:space="0" w:color="003366"/>
            </w:tcBorders>
          </w:tcPr>
          <w:p w14:paraId="69834AB4" w14:textId="77777777" w:rsidR="002C0DEE" w:rsidRPr="00A7058E" w:rsidRDefault="002C0DEE" w:rsidP="002C0DEE">
            <w:pPr>
              <w:pStyle w:val="TableReference"/>
              <w:tabs>
                <w:tab w:val="left" w:pos="3306"/>
              </w:tabs>
              <w:spacing w:before="80"/>
              <w:rPr>
                <w:rFonts w:cs="Calibri"/>
                <w:color w:val="000000"/>
                <w:sz w:val="16"/>
                <w:szCs w:val="16"/>
              </w:rPr>
            </w:pPr>
            <w:r w:rsidRPr="00A7058E">
              <w:rPr>
                <w:rFonts w:cs="Calibri"/>
                <w:color w:val="000000"/>
                <w:sz w:val="16"/>
                <w:szCs w:val="16"/>
              </w:rPr>
              <w:t>AASB 119.5</w:t>
            </w:r>
          </w:p>
        </w:tc>
        <w:tc>
          <w:tcPr>
            <w:tcW w:w="4140" w:type="pct"/>
            <w:gridSpan w:val="4"/>
            <w:tcBorders>
              <w:left w:val="single" w:sz="2" w:space="0" w:color="003366"/>
            </w:tcBorders>
            <w:shd w:val="clear" w:color="auto" w:fill="F2F2F2"/>
          </w:tcPr>
          <w:p w14:paraId="6CD5D333" w14:textId="77777777" w:rsidR="002C0DEE" w:rsidRPr="00CF7E1B" w:rsidRDefault="002C0DEE" w:rsidP="002C0DEE">
            <w:pPr>
              <w:pStyle w:val="CommentaryText"/>
              <w:spacing w:after="60"/>
              <w:rPr>
                <w:rFonts w:cs="Calibri"/>
              </w:rPr>
            </w:pPr>
            <w:r w:rsidRPr="00CF7E1B">
              <w:rPr>
                <w:rFonts w:cs="Calibri"/>
              </w:rPr>
              <w:t>Employee benefits include:</w:t>
            </w:r>
          </w:p>
          <w:p w14:paraId="62143660" w14:textId="77777777" w:rsidR="002C0DEE" w:rsidRPr="00CF7E1B" w:rsidRDefault="002C0DEE" w:rsidP="002C0DEE">
            <w:pPr>
              <w:pStyle w:val="CommentaryText"/>
              <w:numPr>
                <w:ilvl w:val="0"/>
                <w:numId w:val="28"/>
              </w:numPr>
              <w:tabs>
                <w:tab w:val="clear" w:pos="360"/>
                <w:tab w:val="left" w:pos="317"/>
              </w:tabs>
              <w:spacing w:after="40"/>
              <w:ind w:left="317" w:hanging="284"/>
              <w:rPr>
                <w:rFonts w:cs="Calibri"/>
              </w:rPr>
            </w:pPr>
            <w:r w:rsidRPr="00CF7E1B">
              <w:rPr>
                <w:rFonts w:cs="Calibri"/>
              </w:rPr>
              <w:t>short-term employee benefits</w:t>
            </w:r>
            <w:r w:rsidRPr="00F16B07">
              <w:rPr>
                <w:rFonts w:cs="Calibri"/>
              </w:rPr>
              <w:t>, such as</w:t>
            </w:r>
            <w:r w:rsidRPr="00CF7E1B">
              <w:rPr>
                <w:rFonts w:cs="Calibri"/>
              </w:rPr>
              <w:t xml:space="preserve"> wages, salaries, </w:t>
            </w:r>
            <w:r w:rsidRPr="008C258B">
              <w:rPr>
                <w:rFonts w:cs="Calibri"/>
              </w:rPr>
              <w:t>annual leave loading</w:t>
            </w:r>
            <w:r w:rsidRPr="00CF7E1B">
              <w:rPr>
                <w:rFonts w:cs="Calibri"/>
              </w:rPr>
              <w:t xml:space="preserve"> and non-monetary benefits</w:t>
            </w:r>
            <w:r>
              <w:rPr>
                <w:rFonts w:cs="Calibri"/>
              </w:rPr>
              <w:t>(e.g. vehicles)</w:t>
            </w:r>
            <w:r w:rsidRPr="00F16B07">
              <w:rPr>
                <w:rFonts w:cs="Calibri"/>
              </w:rPr>
              <w:t>, if expected to be settled wholly before twelve months after the end of the annual reporting period in which the employees render the related services</w:t>
            </w:r>
            <w:r>
              <w:rPr>
                <w:rFonts w:cs="Calibri"/>
              </w:rPr>
              <w:t>;</w:t>
            </w:r>
          </w:p>
          <w:p w14:paraId="3C76DB9D" w14:textId="77777777" w:rsidR="002C0DEE" w:rsidRPr="007865CE" w:rsidRDefault="002C0DEE" w:rsidP="002C0DEE">
            <w:pPr>
              <w:pStyle w:val="CommentaryText"/>
              <w:numPr>
                <w:ilvl w:val="0"/>
                <w:numId w:val="28"/>
              </w:numPr>
              <w:tabs>
                <w:tab w:val="left" w:pos="1026"/>
              </w:tabs>
              <w:spacing w:after="40"/>
              <w:ind w:left="317" w:hanging="284"/>
              <w:rPr>
                <w:rFonts w:cs="Calibri"/>
              </w:rPr>
            </w:pPr>
            <w:proofErr w:type="spellStart"/>
            <w:r w:rsidRPr="007865CE">
              <w:rPr>
                <w:rFonts w:cs="Calibri"/>
              </w:rPr>
              <w:t>post employment</w:t>
            </w:r>
            <w:proofErr w:type="spellEnd"/>
            <w:r w:rsidRPr="007865CE">
              <w:rPr>
                <w:rFonts w:cs="Calibri"/>
              </w:rPr>
              <w:t xml:space="preserve"> benefits (e.g. pensions and post employment life insurance);other long-term employee benefits (e.g. annual leave, long service leave, sabbatical leave, long-term disability benefits and deferred compensation); and</w:t>
            </w:r>
          </w:p>
          <w:p w14:paraId="36D3EE9A" w14:textId="77777777" w:rsidR="002C0DEE" w:rsidRPr="00CF7E1B" w:rsidRDefault="002C0DEE" w:rsidP="002C0DEE">
            <w:pPr>
              <w:pStyle w:val="CommentaryText"/>
              <w:numPr>
                <w:ilvl w:val="0"/>
                <w:numId w:val="28"/>
              </w:numPr>
              <w:tabs>
                <w:tab w:val="clear" w:pos="360"/>
                <w:tab w:val="num" w:pos="317"/>
                <w:tab w:val="left" w:pos="3306"/>
              </w:tabs>
              <w:ind w:left="317" w:hanging="284"/>
              <w:rPr>
                <w:rFonts w:cs="Calibri"/>
              </w:rPr>
            </w:pPr>
            <w:r w:rsidRPr="00CF7E1B">
              <w:rPr>
                <w:rFonts w:cs="Calibri"/>
              </w:rPr>
              <w:t>termination benefits.</w:t>
            </w:r>
          </w:p>
        </w:tc>
      </w:tr>
      <w:tr w:rsidR="002C0DEE" w:rsidRPr="00CF7E1B" w14:paraId="2C70723D" w14:textId="77777777" w:rsidTr="000A0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860" w:type="pct"/>
            <w:tcBorders>
              <w:left w:val="single" w:sz="2" w:space="0" w:color="003366"/>
              <w:right w:val="single" w:sz="2" w:space="0" w:color="003366"/>
            </w:tcBorders>
          </w:tcPr>
          <w:p w14:paraId="5FC73B9B" w14:textId="77777777" w:rsidR="002C0DEE" w:rsidRPr="00A7058E" w:rsidRDefault="002C0DEE" w:rsidP="000A07A1">
            <w:pPr>
              <w:pStyle w:val="TableReference"/>
              <w:tabs>
                <w:tab w:val="left" w:pos="3306"/>
              </w:tabs>
              <w:spacing w:before="80"/>
              <w:rPr>
                <w:rFonts w:cs="Calibri"/>
                <w:color w:val="000000"/>
                <w:sz w:val="16"/>
                <w:szCs w:val="16"/>
              </w:rPr>
            </w:pPr>
            <w:r w:rsidRPr="00A7058E">
              <w:rPr>
                <w:rFonts w:cs="Calibri"/>
                <w:color w:val="000000"/>
                <w:sz w:val="16"/>
                <w:szCs w:val="16"/>
              </w:rPr>
              <w:t>AASB 119.11</w:t>
            </w:r>
          </w:p>
          <w:p w14:paraId="79469786" w14:textId="77777777" w:rsidR="002C0DEE" w:rsidRPr="00A7058E" w:rsidRDefault="002C0DEE" w:rsidP="002C0DEE">
            <w:pPr>
              <w:pStyle w:val="TableReference"/>
              <w:tabs>
                <w:tab w:val="left" w:pos="3306"/>
              </w:tabs>
              <w:rPr>
                <w:rFonts w:cs="Calibri"/>
                <w:color w:val="000000"/>
                <w:sz w:val="16"/>
                <w:szCs w:val="16"/>
              </w:rPr>
            </w:pPr>
          </w:p>
          <w:p w14:paraId="242FF74D" w14:textId="77777777" w:rsidR="002C0DEE" w:rsidRPr="00A7058E" w:rsidRDefault="002C0DEE" w:rsidP="002C0DEE">
            <w:pPr>
              <w:pStyle w:val="TableReference"/>
              <w:tabs>
                <w:tab w:val="left" w:pos="3306"/>
              </w:tabs>
              <w:spacing w:before="60"/>
              <w:rPr>
                <w:rFonts w:cs="Calibri"/>
                <w:color w:val="000000"/>
                <w:sz w:val="16"/>
                <w:szCs w:val="16"/>
              </w:rPr>
            </w:pPr>
          </w:p>
        </w:tc>
        <w:tc>
          <w:tcPr>
            <w:tcW w:w="4140" w:type="pct"/>
            <w:gridSpan w:val="4"/>
            <w:tcBorders>
              <w:left w:val="single" w:sz="2" w:space="0" w:color="003366"/>
            </w:tcBorders>
            <w:shd w:val="clear" w:color="auto" w:fill="F2F2F2"/>
          </w:tcPr>
          <w:p w14:paraId="5F2F161E" w14:textId="77777777" w:rsidR="002C0DEE" w:rsidRPr="00CF7E1B" w:rsidRDefault="002C0DEE" w:rsidP="002C0DEE">
            <w:pPr>
              <w:pStyle w:val="CommentaryText"/>
              <w:tabs>
                <w:tab w:val="left" w:pos="3306"/>
              </w:tabs>
              <w:rPr>
                <w:rFonts w:cs="Calibri"/>
              </w:rPr>
            </w:pPr>
            <w:r w:rsidRPr="00CF7E1B">
              <w:rPr>
                <w:rFonts w:cs="Calibri"/>
              </w:rPr>
              <w:t>Where an employee has rendered services to the agency during a reporting period, the agency must recognise as an expense (and a liability) the undiscounted amount of short-term employee benefits, including non-monetary benefits, expected to be settled in exchange for that service.  Wages and salaries include the cost of any components of a wage or salary package and related Fringe Benefits Tax.</w:t>
            </w:r>
          </w:p>
        </w:tc>
      </w:tr>
      <w:tr w:rsidR="002C0DEE" w:rsidRPr="00CF7E1B" w14:paraId="0C508FB6" w14:textId="77777777" w:rsidTr="000A0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860" w:type="pct"/>
            <w:tcBorders>
              <w:left w:val="single" w:sz="2" w:space="0" w:color="003366"/>
              <w:right w:val="single" w:sz="2" w:space="0" w:color="003366"/>
            </w:tcBorders>
          </w:tcPr>
          <w:p w14:paraId="70DB52DE" w14:textId="77777777" w:rsidR="002C0DEE" w:rsidRPr="00A7058E" w:rsidRDefault="002C0DEE" w:rsidP="002C0DEE">
            <w:pPr>
              <w:pStyle w:val="TableReference"/>
              <w:tabs>
                <w:tab w:val="left" w:pos="3306"/>
              </w:tabs>
              <w:spacing w:before="60"/>
              <w:rPr>
                <w:rFonts w:cs="Calibri"/>
                <w:color w:val="000000"/>
                <w:sz w:val="16"/>
                <w:szCs w:val="16"/>
              </w:rPr>
            </w:pPr>
            <w:r w:rsidRPr="00A7058E">
              <w:rPr>
                <w:rFonts w:cs="Calibri"/>
                <w:color w:val="000000"/>
                <w:sz w:val="16"/>
                <w:szCs w:val="16"/>
              </w:rPr>
              <w:t xml:space="preserve"> </w:t>
            </w:r>
          </w:p>
        </w:tc>
        <w:tc>
          <w:tcPr>
            <w:tcW w:w="4140" w:type="pct"/>
            <w:gridSpan w:val="4"/>
            <w:tcBorders>
              <w:left w:val="single" w:sz="2" w:space="0" w:color="003366"/>
            </w:tcBorders>
            <w:shd w:val="clear" w:color="auto" w:fill="F2F2F2"/>
          </w:tcPr>
          <w:p w14:paraId="2906FE25" w14:textId="77777777" w:rsidR="002C0DEE" w:rsidRPr="00CF7E1B" w:rsidRDefault="002C0DEE" w:rsidP="002C0DEE">
            <w:pPr>
              <w:pStyle w:val="CommentaryText"/>
              <w:tabs>
                <w:tab w:val="left" w:pos="3306"/>
              </w:tabs>
              <w:rPr>
                <w:rFonts w:cs="Calibri"/>
              </w:rPr>
            </w:pPr>
            <w:r w:rsidRPr="00CF7E1B">
              <w:rPr>
                <w:rFonts w:cs="Calibri"/>
              </w:rPr>
              <w:t>Termination expense represents the movement in the provision for termination benefits outlined in Note</w:t>
            </w:r>
            <w:r>
              <w:rPr>
                <w:rFonts w:cs="Calibri"/>
              </w:rPr>
              <w:t xml:space="preserve"> </w:t>
            </w:r>
            <w:r w:rsidRPr="00E526BB">
              <w:rPr>
                <w:rFonts w:cs="Calibri"/>
              </w:rPr>
              <w:t>3</w:t>
            </w:r>
            <w:r>
              <w:rPr>
                <w:rFonts w:cs="Calibri"/>
              </w:rPr>
              <w:t xml:space="preserve">6 </w:t>
            </w:r>
            <w:r w:rsidRPr="00E526BB">
              <w:rPr>
                <w:rFonts w:cs="Calibri"/>
              </w:rPr>
              <w:t>Employee Benefits</w:t>
            </w:r>
            <w:r w:rsidRPr="00CF7E1B">
              <w:rPr>
                <w:rFonts w:cs="Calibri"/>
              </w:rPr>
              <w:t>.  This provision relates solely to redundancies paid to employees as a result of positions being abolished due to a restructuring of the agency.</w:t>
            </w:r>
          </w:p>
        </w:tc>
      </w:tr>
    </w:tbl>
    <w:p w14:paraId="44E9C10C" w14:textId="159B6E6D" w:rsidR="00B0598D" w:rsidRDefault="00B0598D" w:rsidP="00E70895">
      <w:pPr>
        <w:pStyle w:val="Bullet1"/>
        <w:numPr>
          <w:ilvl w:val="0"/>
          <w:numId w:val="0"/>
        </w:numPr>
        <w:ind w:left="360"/>
        <w:rPr>
          <w:sz w:val="21"/>
          <w:szCs w:val="21"/>
        </w:rPr>
      </w:pPr>
    </w:p>
    <w:p w14:paraId="06E8024D" w14:textId="0DACE804" w:rsidR="0011392B" w:rsidRDefault="0011392B" w:rsidP="00E70895">
      <w:pPr>
        <w:pStyle w:val="Bullet1"/>
        <w:numPr>
          <w:ilvl w:val="0"/>
          <w:numId w:val="0"/>
        </w:numPr>
        <w:ind w:left="360"/>
        <w:rPr>
          <w:sz w:val="21"/>
          <w:szCs w:val="21"/>
        </w:rPr>
      </w:pPr>
    </w:p>
    <w:p w14:paraId="3D4DA317" w14:textId="61C5E75F" w:rsidR="0011392B" w:rsidRDefault="0011392B" w:rsidP="00E70895">
      <w:pPr>
        <w:pStyle w:val="Bullet1"/>
        <w:numPr>
          <w:ilvl w:val="0"/>
          <w:numId w:val="0"/>
        </w:numPr>
        <w:ind w:left="360"/>
        <w:rPr>
          <w:sz w:val="21"/>
          <w:szCs w:val="21"/>
        </w:rPr>
      </w:pPr>
    </w:p>
    <w:p w14:paraId="004A1FED" w14:textId="77777777" w:rsidR="002C5CC0" w:rsidRDefault="002C5CC0" w:rsidP="00E70895">
      <w:pPr>
        <w:pStyle w:val="Bullet1"/>
        <w:numPr>
          <w:ilvl w:val="0"/>
          <w:numId w:val="0"/>
        </w:numPr>
        <w:ind w:left="360"/>
        <w:rPr>
          <w:sz w:val="21"/>
          <w:szCs w:val="21"/>
        </w:rPr>
      </w:pPr>
    </w:p>
    <w:p w14:paraId="05A91A72" w14:textId="77777777" w:rsidR="0011392B" w:rsidRDefault="0011392B" w:rsidP="00E70895">
      <w:pPr>
        <w:pStyle w:val="Bullet1"/>
        <w:numPr>
          <w:ilvl w:val="0"/>
          <w:numId w:val="0"/>
        </w:numPr>
        <w:ind w:left="360"/>
        <w:rPr>
          <w:sz w:val="21"/>
          <w:szCs w:val="21"/>
        </w:rPr>
        <w:sectPr w:rsidR="0011392B" w:rsidSect="000715C4">
          <w:headerReference w:type="default" r:id="rId17"/>
          <w:pgSz w:w="11906" w:h="16838" w:code="9"/>
          <w:pgMar w:top="1276" w:right="1418" w:bottom="993" w:left="1418" w:header="567" w:footer="184" w:gutter="0"/>
          <w:cols w:space="708"/>
          <w:docGrid w:linePitch="360"/>
        </w:sectPr>
      </w:pPr>
    </w:p>
    <w:p w14:paraId="48612099" w14:textId="4203F306" w:rsidR="00B0598D" w:rsidRDefault="00B0598D" w:rsidP="00E70895">
      <w:pPr>
        <w:pStyle w:val="Bullet1"/>
        <w:numPr>
          <w:ilvl w:val="0"/>
          <w:numId w:val="0"/>
        </w:numPr>
        <w:ind w:left="360"/>
        <w:rPr>
          <w:sz w:val="21"/>
          <w:szCs w:val="21"/>
        </w:rPr>
      </w:pPr>
    </w:p>
    <w:p w14:paraId="2C8EFE07" w14:textId="04B42C03" w:rsidR="000A77B9" w:rsidRDefault="000A77B9" w:rsidP="00E70895">
      <w:pPr>
        <w:pStyle w:val="Bullet1"/>
        <w:numPr>
          <w:ilvl w:val="0"/>
          <w:numId w:val="0"/>
        </w:numPr>
        <w:ind w:left="360"/>
        <w:rPr>
          <w:sz w:val="21"/>
          <w:szCs w:val="21"/>
        </w:rPr>
      </w:pPr>
    </w:p>
    <w:tbl>
      <w:tblPr>
        <w:tblW w:w="5165"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4215"/>
        <w:gridCol w:w="571"/>
        <w:gridCol w:w="1131"/>
        <w:gridCol w:w="657"/>
        <w:gridCol w:w="1088"/>
      </w:tblGrid>
      <w:tr w:rsidR="000A77B9" w:rsidRPr="00CF7E1B" w14:paraId="641E6F3D" w14:textId="77777777" w:rsidTr="000A07A1">
        <w:trPr>
          <w:cantSplit/>
          <w:trHeight w:val="382"/>
        </w:trPr>
        <w:tc>
          <w:tcPr>
            <w:tcW w:w="909" w:type="pct"/>
            <w:tcBorders>
              <w:top w:val="nil"/>
              <w:left w:val="single" w:sz="2" w:space="0" w:color="003366"/>
              <w:bottom w:val="nil"/>
              <w:right w:val="single" w:sz="2" w:space="0" w:color="003366"/>
            </w:tcBorders>
          </w:tcPr>
          <w:p w14:paraId="163579AD" w14:textId="5334177F" w:rsidR="000A77B9" w:rsidRPr="005C7A5C" w:rsidRDefault="000A77B9" w:rsidP="00AF5C9D">
            <w:pPr>
              <w:pStyle w:val="TableReference"/>
              <w:tabs>
                <w:tab w:val="left" w:pos="3306"/>
              </w:tabs>
              <w:spacing w:before="240"/>
              <w:rPr>
                <w:rFonts w:cs="Calibri"/>
                <w:b/>
                <w:color w:val="auto"/>
                <w:sz w:val="20"/>
                <w:szCs w:val="20"/>
              </w:rPr>
            </w:pPr>
            <w:r w:rsidRPr="005C7A5C">
              <w:rPr>
                <w:rFonts w:cs="Calibri"/>
                <w:b/>
                <w:color w:val="auto"/>
                <w:sz w:val="20"/>
                <w:szCs w:val="20"/>
              </w:rPr>
              <w:t>Reference</w:t>
            </w:r>
          </w:p>
        </w:tc>
        <w:tc>
          <w:tcPr>
            <w:tcW w:w="4091" w:type="pct"/>
            <w:gridSpan w:val="5"/>
            <w:tcBorders>
              <w:top w:val="nil"/>
              <w:left w:val="single" w:sz="2" w:space="0" w:color="003366"/>
              <w:bottom w:val="nil"/>
              <w:right w:val="nil"/>
            </w:tcBorders>
          </w:tcPr>
          <w:p w14:paraId="1C898E22" w14:textId="52A6631F" w:rsidR="000A77B9" w:rsidRPr="00731AD1" w:rsidRDefault="00731AD1" w:rsidP="00731AD1">
            <w:pPr>
              <w:pStyle w:val="Normal1"/>
              <w:spacing w:before="240" w:after="240"/>
              <w:rPr>
                <w:rFonts w:asciiTheme="majorHAnsi" w:hAnsiTheme="majorHAnsi" w:cstheme="majorHAnsi"/>
                <w:b/>
                <w:bCs/>
                <w:sz w:val="32"/>
                <w:szCs w:val="32"/>
              </w:rPr>
            </w:pPr>
            <w:bookmarkStart w:id="79" w:name="_Toc400627336"/>
            <w:bookmarkStart w:id="80" w:name="WaiversImpairWriteoff"/>
            <w:bookmarkStart w:id="81" w:name="_Toc43898986"/>
            <w:r w:rsidRPr="00731AD1">
              <w:rPr>
                <w:rFonts w:asciiTheme="majorHAnsi" w:hAnsiTheme="majorHAnsi" w:cstheme="majorHAnsi"/>
                <w:b/>
                <w:bCs/>
                <w:sz w:val="32"/>
                <w:szCs w:val="32"/>
              </w:rPr>
              <w:t xml:space="preserve">NOTE 18.   </w:t>
            </w:r>
            <w:bookmarkStart w:id="82" w:name="OLE_LINK16"/>
            <w:r w:rsidRPr="00731AD1">
              <w:rPr>
                <w:rFonts w:asciiTheme="majorHAnsi" w:hAnsiTheme="majorHAnsi" w:cstheme="majorHAnsi"/>
                <w:b/>
                <w:bCs/>
                <w:sz w:val="32"/>
                <w:szCs w:val="32"/>
              </w:rPr>
              <w:t>WAIVERS, IMPAIRMENT LOSSES AND WRITE-OFFS</w:t>
            </w:r>
            <w:bookmarkEnd w:id="79"/>
            <w:bookmarkEnd w:id="80"/>
            <w:bookmarkEnd w:id="81"/>
            <w:bookmarkEnd w:id="82"/>
          </w:p>
        </w:tc>
      </w:tr>
      <w:tr w:rsidR="000A77B9" w:rsidRPr="00CF7E1B" w14:paraId="3D750FD4" w14:textId="77777777" w:rsidTr="000A07A1">
        <w:trPr>
          <w:cantSplit/>
        </w:trPr>
        <w:tc>
          <w:tcPr>
            <w:tcW w:w="909" w:type="pct"/>
            <w:tcBorders>
              <w:top w:val="nil"/>
              <w:left w:val="single" w:sz="2" w:space="0" w:color="003366"/>
              <w:bottom w:val="nil"/>
              <w:right w:val="single" w:sz="2" w:space="0" w:color="003366"/>
            </w:tcBorders>
          </w:tcPr>
          <w:p w14:paraId="7E9E5C89" w14:textId="77777777" w:rsidR="000A77B9" w:rsidRPr="00B91A27" w:rsidRDefault="000A77B9" w:rsidP="00AF5C9D">
            <w:pPr>
              <w:pStyle w:val="TableReference"/>
              <w:tabs>
                <w:tab w:val="left" w:pos="3306"/>
              </w:tabs>
              <w:spacing w:before="60"/>
              <w:rPr>
                <w:rFonts w:cs="Calibri"/>
                <w:color w:val="auto"/>
                <w:sz w:val="16"/>
                <w:szCs w:val="16"/>
              </w:rPr>
            </w:pPr>
            <w:r w:rsidRPr="00B91A27">
              <w:rPr>
                <w:rFonts w:cs="Calibri"/>
                <w:color w:val="auto"/>
                <w:sz w:val="16"/>
                <w:szCs w:val="16"/>
              </w:rPr>
              <w:t>FMA Section 131 (1)(a)</w:t>
            </w:r>
          </w:p>
        </w:tc>
        <w:tc>
          <w:tcPr>
            <w:tcW w:w="4091" w:type="pct"/>
            <w:gridSpan w:val="5"/>
            <w:tcBorders>
              <w:top w:val="nil"/>
              <w:left w:val="single" w:sz="2" w:space="0" w:color="003366"/>
              <w:bottom w:val="nil"/>
              <w:right w:val="nil"/>
            </w:tcBorders>
          </w:tcPr>
          <w:p w14:paraId="1C50EAC2" w14:textId="77777777" w:rsidR="000A77B9" w:rsidRPr="00B91A27" w:rsidRDefault="000A77B9" w:rsidP="00AF5C9D">
            <w:pPr>
              <w:pStyle w:val="TableText0"/>
              <w:spacing w:before="0" w:after="120"/>
              <w:jc w:val="both"/>
              <w:rPr>
                <w:rFonts w:cs="Calibri"/>
                <w:szCs w:val="20"/>
              </w:rPr>
            </w:pPr>
            <w:r w:rsidRPr="00B91A27">
              <w:rPr>
                <w:rFonts w:cs="Calibri"/>
                <w:szCs w:val="20"/>
              </w:rPr>
              <w:t xml:space="preserve">Under Section 131 of the </w:t>
            </w:r>
            <w:r w:rsidRPr="00B91A27">
              <w:rPr>
                <w:rFonts w:cs="Calibri"/>
                <w:i/>
                <w:iCs/>
                <w:szCs w:val="20"/>
              </w:rPr>
              <w:t>Financial Management Act 1996,</w:t>
            </w:r>
            <w:r w:rsidRPr="00B91A27">
              <w:rPr>
                <w:rFonts w:cs="Calibri"/>
                <w:szCs w:val="20"/>
              </w:rPr>
              <w:t xml:space="preserve"> the Treasurer may in writing, waive the right to payment of an amount payable to the Territory. The Treasurer waived loans owing to the Agency from third parties.</w:t>
            </w:r>
          </w:p>
          <w:p w14:paraId="674AD909" w14:textId="77777777" w:rsidR="000A77B9" w:rsidRPr="00B91A27" w:rsidRDefault="000A77B9" w:rsidP="00AF5C9D">
            <w:pPr>
              <w:pStyle w:val="TableText0"/>
              <w:spacing w:before="0" w:after="120"/>
              <w:jc w:val="both"/>
              <w:rPr>
                <w:rFonts w:cs="Calibri"/>
                <w:sz w:val="20"/>
                <w:szCs w:val="20"/>
              </w:rPr>
            </w:pPr>
            <w:r w:rsidRPr="00B91A27">
              <w:rPr>
                <w:rFonts w:cs="Calibri"/>
                <w:szCs w:val="20"/>
              </w:rPr>
              <w:t>The waivers, impairment losses and write-offs listed below have occurred during the reporting period for the Agency.</w:t>
            </w:r>
          </w:p>
        </w:tc>
      </w:tr>
      <w:tr w:rsidR="003250E4" w:rsidRPr="00CF7E1B" w14:paraId="21743377" w14:textId="77777777" w:rsidTr="000A07A1">
        <w:trPr>
          <w:cantSplit/>
        </w:trPr>
        <w:tc>
          <w:tcPr>
            <w:tcW w:w="909" w:type="pct"/>
            <w:tcBorders>
              <w:top w:val="nil"/>
              <w:left w:val="single" w:sz="2" w:space="0" w:color="003366"/>
              <w:bottom w:val="nil"/>
              <w:right w:val="single" w:sz="2" w:space="0" w:color="003366"/>
            </w:tcBorders>
          </w:tcPr>
          <w:p w14:paraId="42A6C510" w14:textId="77777777" w:rsidR="003250E4" w:rsidRPr="00B91A27" w:rsidRDefault="003250E4" w:rsidP="00AF5C9D">
            <w:pPr>
              <w:pStyle w:val="TableReference"/>
              <w:tabs>
                <w:tab w:val="left" w:pos="3306"/>
              </w:tabs>
              <w:spacing w:before="60"/>
              <w:rPr>
                <w:rFonts w:cs="Calibri"/>
                <w:color w:val="auto"/>
                <w:sz w:val="16"/>
                <w:szCs w:val="16"/>
              </w:rPr>
            </w:pPr>
          </w:p>
        </w:tc>
        <w:tc>
          <w:tcPr>
            <w:tcW w:w="4091" w:type="pct"/>
            <w:gridSpan w:val="5"/>
            <w:tcBorders>
              <w:top w:val="nil"/>
              <w:left w:val="single" w:sz="2" w:space="0" w:color="003366"/>
              <w:bottom w:val="nil"/>
              <w:right w:val="nil"/>
            </w:tcBorders>
          </w:tcPr>
          <w:p w14:paraId="12E2CA36" w14:textId="1D3CD390" w:rsidR="003250E4" w:rsidRPr="003250E4" w:rsidRDefault="003250E4" w:rsidP="003250E4">
            <w:pPr>
              <w:pStyle w:val="TableTitle"/>
              <w:tabs>
                <w:tab w:val="left" w:pos="3306"/>
              </w:tabs>
              <w:spacing w:before="120" w:after="120"/>
              <w:jc w:val="left"/>
              <w:rPr>
                <w:color w:val="C54B0A" w:themeColor="accent5" w:themeShade="BF"/>
              </w:rPr>
            </w:pPr>
            <w:r w:rsidRPr="00FD256A">
              <w:rPr>
                <w:color w:val="C54B0A" w:themeColor="accent5" w:themeShade="BF"/>
              </w:rPr>
              <w:t>COVID-19 Disclosure</w:t>
            </w:r>
          </w:p>
        </w:tc>
      </w:tr>
      <w:tr w:rsidR="000A77B9" w:rsidRPr="00CF7E1B" w14:paraId="6FA31C6E" w14:textId="77777777" w:rsidTr="000A07A1">
        <w:trPr>
          <w:cantSplit/>
        </w:trPr>
        <w:tc>
          <w:tcPr>
            <w:tcW w:w="909" w:type="pct"/>
            <w:tcBorders>
              <w:top w:val="nil"/>
              <w:left w:val="single" w:sz="2" w:space="0" w:color="003366"/>
              <w:bottom w:val="nil"/>
              <w:right w:val="single" w:sz="2" w:space="0" w:color="003366"/>
            </w:tcBorders>
          </w:tcPr>
          <w:p w14:paraId="2C62FE77" w14:textId="77777777" w:rsidR="000A77B9" w:rsidRPr="00B91A27" w:rsidRDefault="000A77B9" w:rsidP="000A77B9">
            <w:pPr>
              <w:pStyle w:val="TableReference"/>
              <w:tabs>
                <w:tab w:val="left" w:pos="3306"/>
              </w:tabs>
              <w:spacing w:before="60"/>
              <w:rPr>
                <w:rFonts w:cs="Calibri"/>
                <w:color w:val="auto"/>
                <w:sz w:val="16"/>
                <w:szCs w:val="16"/>
              </w:rPr>
            </w:pPr>
          </w:p>
        </w:tc>
        <w:tc>
          <w:tcPr>
            <w:tcW w:w="4091" w:type="pct"/>
            <w:gridSpan w:val="5"/>
            <w:tcBorders>
              <w:top w:val="nil"/>
              <w:left w:val="single" w:sz="2" w:space="0" w:color="003366"/>
              <w:bottom w:val="nil"/>
              <w:right w:val="nil"/>
            </w:tcBorders>
            <w:vAlign w:val="bottom"/>
          </w:tcPr>
          <w:p w14:paraId="6CC8D513" w14:textId="0375CEE0" w:rsidR="000A77B9" w:rsidRPr="000A77B9" w:rsidRDefault="000A77B9" w:rsidP="000A77B9">
            <w:pPr>
              <w:pStyle w:val="TableText0"/>
              <w:spacing w:before="0" w:after="360"/>
              <w:jc w:val="both"/>
              <w:rPr>
                <w:rFonts w:cs="Calibri"/>
                <w:color w:val="C54B0A" w:themeColor="accent5" w:themeShade="BF"/>
                <w:szCs w:val="20"/>
              </w:rPr>
            </w:pPr>
            <w:r w:rsidRPr="000A77B9">
              <w:rPr>
                <w:color w:val="C54B0A" w:themeColor="accent5" w:themeShade="BF"/>
              </w:rPr>
              <w:t>The ‘Stimulus Waiver</w:t>
            </w:r>
            <w:r>
              <w:rPr>
                <w:color w:val="C54B0A" w:themeColor="accent5" w:themeShade="BF"/>
              </w:rPr>
              <w:t>s</w:t>
            </w:r>
            <w:r w:rsidRPr="000A77B9">
              <w:rPr>
                <w:color w:val="C54B0A" w:themeColor="accent5" w:themeShade="BF"/>
              </w:rPr>
              <w:t>’ relate to the waiver of sports ground hire fees as part of the ACT Government’s economic survival package to support the Territory’s economy during the COVID-19 pandemic.</w:t>
            </w:r>
            <w:r>
              <w:rPr>
                <w:color w:val="C54B0A" w:themeColor="accent5" w:themeShade="BF"/>
              </w:rPr>
              <w:t xml:space="preserve">  The amount of these Waivers </w:t>
            </w:r>
            <w:r w:rsidR="006514DC">
              <w:rPr>
                <w:color w:val="C54B0A" w:themeColor="accent5" w:themeShade="BF"/>
              </w:rPr>
              <w:t xml:space="preserve">was $0.500 million </w:t>
            </w:r>
            <w:r w:rsidR="007E3900">
              <w:rPr>
                <w:color w:val="C54B0A" w:themeColor="accent5" w:themeShade="BF"/>
              </w:rPr>
              <w:t xml:space="preserve">in 2020-21 </w:t>
            </w:r>
            <w:r w:rsidR="006514DC">
              <w:rPr>
                <w:color w:val="C54B0A" w:themeColor="accent5" w:themeShade="BF"/>
              </w:rPr>
              <w:t xml:space="preserve">making it </w:t>
            </w:r>
            <w:r>
              <w:rPr>
                <w:color w:val="C54B0A" w:themeColor="accent5" w:themeShade="BF"/>
              </w:rPr>
              <w:t>material in comparison to total waivers provided by ‘Example Agency’</w:t>
            </w:r>
            <w:r w:rsidR="006514DC">
              <w:rPr>
                <w:color w:val="C54B0A" w:themeColor="accent5" w:themeShade="BF"/>
              </w:rPr>
              <w:t xml:space="preserve"> of $0.750 million</w:t>
            </w:r>
            <w:r>
              <w:rPr>
                <w:color w:val="C54B0A" w:themeColor="accent5" w:themeShade="BF"/>
              </w:rPr>
              <w:t>.</w:t>
            </w:r>
          </w:p>
        </w:tc>
      </w:tr>
      <w:tr w:rsidR="000A77B9" w:rsidRPr="00CF7E1B" w14:paraId="7B63DC1C" w14:textId="77777777" w:rsidTr="000A07A1">
        <w:trPr>
          <w:cantSplit/>
          <w:trHeight w:val="23"/>
        </w:trPr>
        <w:tc>
          <w:tcPr>
            <w:tcW w:w="909" w:type="pct"/>
            <w:tcBorders>
              <w:top w:val="nil"/>
              <w:left w:val="single" w:sz="2" w:space="0" w:color="003366"/>
              <w:bottom w:val="nil"/>
              <w:right w:val="single" w:sz="2" w:space="0" w:color="003366"/>
            </w:tcBorders>
          </w:tcPr>
          <w:p w14:paraId="4EECFE86" w14:textId="77777777" w:rsidR="000A77B9" w:rsidRPr="00B91A27" w:rsidRDefault="000A77B9" w:rsidP="000A77B9">
            <w:pPr>
              <w:pStyle w:val="TableReference"/>
              <w:tabs>
                <w:tab w:val="left" w:pos="3306"/>
              </w:tabs>
              <w:spacing w:before="40"/>
              <w:rPr>
                <w:rFonts w:cs="Calibri"/>
                <w:color w:val="auto"/>
                <w:sz w:val="16"/>
                <w:szCs w:val="16"/>
              </w:rPr>
            </w:pPr>
          </w:p>
        </w:tc>
        <w:tc>
          <w:tcPr>
            <w:tcW w:w="2250" w:type="pct"/>
            <w:tcBorders>
              <w:top w:val="nil"/>
              <w:left w:val="single" w:sz="2" w:space="0" w:color="003366"/>
              <w:bottom w:val="nil"/>
              <w:right w:val="nil"/>
            </w:tcBorders>
            <w:vAlign w:val="bottom"/>
          </w:tcPr>
          <w:p w14:paraId="74ED3198" w14:textId="77777777" w:rsidR="000A77B9" w:rsidRPr="00B91A27" w:rsidRDefault="000A77B9" w:rsidP="000A77B9">
            <w:pPr>
              <w:pStyle w:val="TableTitle"/>
              <w:tabs>
                <w:tab w:val="left" w:pos="3306"/>
              </w:tabs>
              <w:rPr>
                <w:rFonts w:cs="Calibri"/>
              </w:rPr>
            </w:pPr>
          </w:p>
        </w:tc>
        <w:tc>
          <w:tcPr>
            <w:tcW w:w="305" w:type="pct"/>
            <w:tcBorders>
              <w:top w:val="nil"/>
              <w:left w:val="nil"/>
              <w:bottom w:val="nil"/>
              <w:right w:val="nil"/>
            </w:tcBorders>
            <w:vAlign w:val="bottom"/>
          </w:tcPr>
          <w:p w14:paraId="4A948908" w14:textId="77777777" w:rsidR="000A77B9" w:rsidRPr="00CF7E1B" w:rsidRDefault="000A77B9" w:rsidP="000A77B9">
            <w:pPr>
              <w:pStyle w:val="TableTitle"/>
              <w:tabs>
                <w:tab w:val="left" w:pos="3306"/>
              </w:tabs>
              <w:jc w:val="center"/>
              <w:rPr>
                <w:rFonts w:cs="Calibri"/>
              </w:rPr>
            </w:pPr>
            <w:r w:rsidRPr="00CF7E1B">
              <w:rPr>
                <w:rFonts w:cs="Calibri"/>
              </w:rPr>
              <w:t>No.</w:t>
            </w:r>
          </w:p>
        </w:tc>
        <w:tc>
          <w:tcPr>
            <w:tcW w:w="604" w:type="pct"/>
            <w:tcBorders>
              <w:top w:val="nil"/>
              <w:left w:val="nil"/>
              <w:bottom w:val="nil"/>
              <w:right w:val="nil"/>
            </w:tcBorders>
            <w:vAlign w:val="bottom"/>
          </w:tcPr>
          <w:p w14:paraId="3F59D8A4" w14:textId="21D1603A" w:rsidR="000A77B9" w:rsidRPr="00CF7E1B" w:rsidRDefault="000A77B9" w:rsidP="000A77B9">
            <w:pPr>
              <w:pStyle w:val="TableTitle"/>
              <w:tabs>
                <w:tab w:val="left" w:pos="3306"/>
              </w:tabs>
              <w:rPr>
                <w:rFonts w:cs="Calibri"/>
              </w:rPr>
            </w:pPr>
            <w:r w:rsidRPr="00CF7E1B">
              <w:rPr>
                <w:rFonts w:cs="Calibri"/>
              </w:rPr>
              <w:t>20</w:t>
            </w:r>
            <w:r>
              <w:rPr>
                <w:rFonts w:cs="Calibri"/>
              </w:rPr>
              <w:t>21</w:t>
            </w:r>
          </w:p>
          <w:p w14:paraId="74D8D228" w14:textId="77777777" w:rsidR="000A77B9" w:rsidRPr="00CF7E1B" w:rsidRDefault="000A77B9" w:rsidP="000A77B9">
            <w:pPr>
              <w:pStyle w:val="TableTitle"/>
              <w:tabs>
                <w:tab w:val="left" w:pos="3306"/>
              </w:tabs>
              <w:rPr>
                <w:rFonts w:cs="Calibri"/>
              </w:rPr>
            </w:pPr>
            <w:r w:rsidRPr="00CF7E1B">
              <w:rPr>
                <w:rFonts w:cs="Calibri"/>
              </w:rPr>
              <w:t>$’000</w:t>
            </w:r>
          </w:p>
        </w:tc>
        <w:tc>
          <w:tcPr>
            <w:tcW w:w="351" w:type="pct"/>
            <w:tcBorders>
              <w:top w:val="nil"/>
              <w:left w:val="nil"/>
              <w:bottom w:val="nil"/>
              <w:right w:val="nil"/>
            </w:tcBorders>
            <w:vAlign w:val="bottom"/>
          </w:tcPr>
          <w:p w14:paraId="3D034CC8" w14:textId="77777777" w:rsidR="000A77B9" w:rsidRPr="00CF7E1B" w:rsidRDefault="000A77B9" w:rsidP="000A77B9">
            <w:pPr>
              <w:pStyle w:val="TableTitle"/>
              <w:tabs>
                <w:tab w:val="left" w:pos="3306"/>
              </w:tabs>
              <w:jc w:val="center"/>
              <w:rPr>
                <w:rFonts w:cs="Calibri"/>
              </w:rPr>
            </w:pPr>
            <w:r w:rsidRPr="00CF7E1B">
              <w:rPr>
                <w:rFonts w:cs="Calibri"/>
              </w:rPr>
              <w:t>No.</w:t>
            </w:r>
          </w:p>
        </w:tc>
        <w:tc>
          <w:tcPr>
            <w:tcW w:w="582" w:type="pct"/>
            <w:tcBorders>
              <w:top w:val="nil"/>
              <w:left w:val="nil"/>
              <w:bottom w:val="nil"/>
              <w:right w:val="nil"/>
            </w:tcBorders>
            <w:vAlign w:val="bottom"/>
          </w:tcPr>
          <w:p w14:paraId="42A55F0F" w14:textId="5383880C" w:rsidR="000A77B9" w:rsidRPr="00CF7E1B" w:rsidRDefault="000A77B9" w:rsidP="000A77B9">
            <w:pPr>
              <w:pStyle w:val="TableTitle"/>
              <w:tabs>
                <w:tab w:val="left" w:pos="3306"/>
              </w:tabs>
              <w:rPr>
                <w:rFonts w:cs="Calibri"/>
              </w:rPr>
            </w:pPr>
            <w:r w:rsidRPr="00CF7E1B">
              <w:rPr>
                <w:rFonts w:cs="Calibri"/>
              </w:rPr>
              <w:t>20</w:t>
            </w:r>
            <w:r>
              <w:rPr>
                <w:rFonts w:cs="Calibri"/>
              </w:rPr>
              <w:t>20</w:t>
            </w:r>
          </w:p>
          <w:p w14:paraId="5D3CAA73" w14:textId="77777777" w:rsidR="000A77B9" w:rsidRPr="00CF7E1B" w:rsidRDefault="000A77B9" w:rsidP="000A77B9">
            <w:pPr>
              <w:pStyle w:val="TableTitle"/>
              <w:tabs>
                <w:tab w:val="left" w:pos="3306"/>
              </w:tabs>
              <w:rPr>
                <w:rFonts w:cs="Calibri"/>
              </w:rPr>
            </w:pPr>
            <w:r w:rsidRPr="00CF7E1B">
              <w:rPr>
                <w:rFonts w:cs="Calibri"/>
              </w:rPr>
              <w:t>$’000</w:t>
            </w:r>
          </w:p>
        </w:tc>
      </w:tr>
      <w:tr w:rsidR="000A77B9" w:rsidRPr="00CF7E1B" w14:paraId="0E23AC92" w14:textId="77777777" w:rsidTr="000A07A1">
        <w:trPr>
          <w:cantSplit/>
          <w:trHeight w:val="23"/>
        </w:trPr>
        <w:tc>
          <w:tcPr>
            <w:tcW w:w="909" w:type="pct"/>
            <w:tcBorders>
              <w:top w:val="nil"/>
              <w:left w:val="single" w:sz="2" w:space="0" w:color="003366"/>
              <w:bottom w:val="nil"/>
              <w:right w:val="single" w:sz="2" w:space="0" w:color="003366"/>
            </w:tcBorders>
          </w:tcPr>
          <w:p w14:paraId="41001250" w14:textId="77777777" w:rsidR="000A77B9" w:rsidRPr="00B91A27" w:rsidRDefault="000A77B9" w:rsidP="000A77B9">
            <w:pPr>
              <w:pStyle w:val="TableReference"/>
              <w:tabs>
                <w:tab w:val="left" w:pos="3306"/>
              </w:tabs>
              <w:spacing w:before="40"/>
              <w:rPr>
                <w:rFonts w:cs="Calibri"/>
                <w:color w:val="auto"/>
                <w:sz w:val="16"/>
                <w:szCs w:val="16"/>
              </w:rPr>
            </w:pPr>
          </w:p>
        </w:tc>
        <w:tc>
          <w:tcPr>
            <w:tcW w:w="2250" w:type="pct"/>
            <w:tcBorders>
              <w:top w:val="nil"/>
              <w:left w:val="single" w:sz="2" w:space="0" w:color="003366"/>
              <w:bottom w:val="nil"/>
              <w:right w:val="nil"/>
            </w:tcBorders>
            <w:vAlign w:val="bottom"/>
          </w:tcPr>
          <w:p w14:paraId="3ACB4F85" w14:textId="77777777" w:rsidR="000A77B9" w:rsidRPr="00B91A27" w:rsidRDefault="000A77B9" w:rsidP="000A77B9">
            <w:pPr>
              <w:pStyle w:val="TableText0"/>
              <w:tabs>
                <w:tab w:val="left" w:pos="3306"/>
              </w:tabs>
              <w:rPr>
                <w:rFonts w:cs="Calibri"/>
                <w:b/>
                <w:bCs/>
              </w:rPr>
            </w:pPr>
            <w:bookmarkStart w:id="83" w:name="_Toc48468482"/>
            <w:bookmarkStart w:id="84" w:name="_Toc49155599"/>
            <w:bookmarkStart w:id="85" w:name="_Toc49224048"/>
            <w:r w:rsidRPr="00B91A27">
              <w:rPr>
                <w:rFonts w:cs="Calibri"/>
                <w:b/>
                <w:bCs/>
              </w:rPr>
              <w:t>Waivers</w:t>
            </w:r>
            <w:bookmarkEnd w:id="83"/>
            <w:bookmarkEnd w:id="84"/>
            <w:bookmarkEnd w:id="85"/>
          </w:p>
        </w:tc>
        <w:tc>
          <w:tcPr>
            <w:tcW w:w="305" w:type="pct"/>
            <w:tcBorders>
              <w:top w:val="nil"/>
              <w:left w:val="nil"/>
              <w:bottom w:val="nil"/>
              <w:right w:val="nil"/>
            </w:tcBorders>
            <w:vAlign w:val="bottom"/>
          </w:tcPr>
          <w:p w14:paraId="24B66D98" w14:textId="77777777" w:rsidR="000A77B9" w:rsidRPr="00CF7E1B" w:rsidRDefault="000A77B9" w:rsidP="000A77B9">
            <w:pPr>
              <w:pStyle w:val="TableText0"/>
              <w:tabs>
                <w:tab w:val="left" w:pos="3306"/>
              </w:tabs>
              <w:jc w:val="center"/>
              <w:rPr>
                <w:rFonts w:cs="Calibri"/>
              </w:rPr>
            </w:pPr>
          </w:p>
        </w:tc>
        <w:tc>
          <w:tcPr>
            <w:tcW w:w="604" w:type="pct"/>
            <w:tcBorders>
              <w:top w:val="nil"/>
              <w:left w:val="nil"/>
              <w:bottom w:val="nil"/>
              <w:right w:val="nil"/>
            </w:tcBorders>
            <w:vAlign w:val="bottom"/>
          </w:tcPr>
          <w:p w14:paraId="0597369D" w14:textId="77777777" w:rsidR="000A77B9" w:rsidRPr="00CF7E1B" w:rsidRDefault="000A77B9" w:rsidP="000A77B9">
            <w:pPr>
              <w:pStyle w:val="TableText0"/>
              <w:tabs>
                <w:tab w:val="left" w:pos="3306"/>
              </w:tabs>
              <w:jc w:val="right"/>
              <w:rPr>
                <w:rFonts w:cs="Calibri"/>
              </w:rPr>
            </w:pPr>
          </w:p>
        </w:tc>
        <w:tc>
          <w:tcPr>
            <w:tcW w:w="351" w:type="pct"/>
            <w:tcBorders>
              <w:top w:val="nil"/>
              <w:left w:val="nil"/>
              <w:bottom w:val="nil"/>
              <w:right w:val="nil"/>
            </w:tcBorders>
            <w:vAlign w:val="bottom"/>
          </w:tcPr>
          <w:p w14:paraId="1516E913" w14:textId="77777777" w:rsidR="000A77B9" w:rsidRPr="00CF7E1B" w:rsidRDefault="000A77B9" w:rsidP="000A77B9">
            <w:pPr>
              <w:pStyle w:val="TableText0"/>
              <w:tabs>
                <w:tab w:val="left" w:pos="3306"/>
              </w:tabs>
              <w:jc w:val="center"/>
              <w:rPr>
                <w:rFonts w:cs="Calibri"/>
              </w:rPr>
            </w:pPr>
          </w:p>
        </w:tc>
        <w:tc>
          <w:tcPr>
            <w:tcW w:w="582" w:type="pct"/>
            <w:tcBorders>
              <w:top w:val="nil"/>
              <w:left w:val="nil"/>
              <w:bottom w:val="nil"/>
              <w:right w:val="nil"/>
            </w:tcBorders>
            <w:vAlign w:val="bottom"/>
          </w:tcPr>
          <w:p w14:paraId="2AF82EAF" w14:textId="77777777" w:rsidR="000A77B9" w:rsidRPr="00CF7E1B" w:rsidRDefault="000A77B9" w:rsidP="000A77B9">
            <w:pPr>
              <w:pStyle w:val="TableText0"/>
              <w:tabs>
                <w:tab w:val="left" w:pos="3306"/>
              </w:tabs>
              <w:jc w:val="right"/>
              <w:rPr>
                <w:rFonts w:cs="Calibri"/>
              </w:rPr>
            </w:pPr>
          </w:p>
        </w:tc>
      </w:tr>
      <w:tr w:rsidR="000A77B9" w:rsidRPr="00CF7E1B" w14:paraId="5A773993" w14:textId="77777777" w:rsidTr="000A07A1">
        <w:trPr>
          <w:cantSplit/>
          <w:trHeight w:val="23"/>
        </w:trPr>
        <w:tc>
          <w:tcPr>
            <w:tcW w:w="909" w:type="pct"/>
            <w:tcBorders>
              <w:top w:val="nil"/>
              <w:left w:val="single" w:sz="2" w:space="0" w:color="003366"/>
              <w:bottom w:val="nil"/>
              <w:right w:val="single" w:sz="2" w:space="0" w:color="003366"/>
            </w:tcBorders>
          </w:tcPr>
          <w:p w14:paraId="09A00AF9" w14:textId="77777777" w:rsidR="000A77B9" w:rsidRPr="00B91A27" w:rsidRDefault="000A77B9" w:rsidP="000A77B9">
            <w:pPr>
              <w:pStyle w:val="TableReference"/>
              <w:tabs>
                <w:tab w:val="left" w:pos="3306"/>
              </w:tabs>
              <w:spacing w:before="40"/>
              <w:rPr>
                <w:rFonts w:cs="Calibri"/>
                <w:color w:val="auto"/>
                <w:sz w:val="16"/>
                <w:szCs w:val="16"/>
              </w:rPr>
            </w:pPr>
          </w:p>
        </w:tc>
        <w:tc>
          <w:tcPr>
            <w:tcW w:w="2250" w:type="pct"/>
            <w:tcBorders>
              <w:top w:val="nil"/>
              <w:left w:val="single" w:sz="2" w:space="0" w:color="003366"/>
              <w:bottom w:val="nil"/>
              <w:right w:val="nil"/>
            </w:tcBorders>
            <w:vAlign w:val="bottom"/>
          </w:tcPr>
          <w:p w14:paraId="5BD1B332" w14:textId="717E3BEC" w:rsidR="000A77B9" w:rsidRPr="00B91A27" w:rsidRDefault="000A77B9" w:rsidP="000A77B9">
            <w:pPr>
              <w:pStyle w:val="TableText0"/>
              <w:tabs>
                <w:tab w:val="left" w:pos="3306"/>
              </w:tabs>
              <w:rPr>
                <w:rFonts w:cs="Calibri"/>
              </w:rPr>
            </w:pPr>
            <w:r w:rsidRPr="00B91A27">
              <w:rPr>
                <w:rFonts w:cs="Calibri"/>
              </w:rPr>
              <w:t>Stimulus Waivers</w:t>
            </w:r>
          </w:p>
        </w:tc>
        <w:tc>
          <w:tcPr>
            <w:tcW w:w="305" w:type="pct"/>
            <w:tcBorders>
              <w:top w:val="nil"/>
              <w:left w:val="nil"/>
              <w:bottom w:val="nil"/>
              <w:right w:val="nil"/>
            </w:tcBorders>
            <w:vAlign w:val="bottom"/>
          </w:tcPr>
          <w:p w14:paraId="16D45C9C" w14:textId="77777777" w:rsidR="000A77B9" w:rsidRPr="00266486" w:rsidRDefault="000A77B9" w:rsidP="000A77B9">
            <w:pPr>
              <w:pStyle w:val="TableText0"/>
              <w:tabs>
                <w:tab w:val="left" w:pos="3306"/>
              </w:tabs>
              <w:jc w:val="center"/>
              <w:rPr>
                <w:rFonts w:cs="Calibri"/>
                <w:strike/>
              </w:rPr>
            </w:pPr>
          </w:p>
        </w:tc>
        <w:tc>
          <w:tcPr>
            <w:tcW w:w="604" w:type="pct"/>
            <w:tcBorders>
              <w:top w:val="nil"/>
              <w:left w:val="nil"/>
              <w:bottom w:val="nil"/>
              <w:right w:val="nil"/>
            </w:tcBorders>
            <w:vAlign w:val="bottom"/>
          </w:tcPr>
          <w:p w14:paraId="6BF17F2C" w14:textId="77777777" w:rsidR="000A77B9" w:rsidRPr="00266486" w:rsidRDefault="000A77B9" w:rsidP="000A77B9">
            <w:pPr>
              <w:pStyle w:val="TableText0"/>
              <w:tabs>
                <w:tab w:val="left" w:pos="3306"/>
              </w:tabs>
              <w:jc w:val="right"/>
              <w:rPr>
                <w:rFonts w:cs="Calibri"/>
                <w:strike/>
              </w:rPr>
            </w:pPr>
          </w:p>
        </w:tc>
        <w:tc>
          <w:tcPr>
            <w:tcW w:w="351" w:type="pct"/>
            <w:tcBorders>
              <w:top w:val="nil"/>
              <w:left w:val="nil"/>
              <w:bottom w:val="nil"/>
              <w:right w:val="nil"/>
            </w:tcBorders>
            <w:vAlign w:val="bottom"/>
          </w:tcPr>
          <w:p w14:paraId="2AA8A529" w14:textId="77777777" w:rsidR="000A77B9" w:rsidRPr="00266486" w:rsidRDefault="000A77B9" w:rsidP="000A77B9">
            <w:pPr>
              <w:pStyle w:val="TableText0"/>
              <w:tabs>
                <w:tab w:val="left" w:pos="3306"/>
              </w:tabs>
              <w:jc w:val="center"/>
              <w:rPr>
                <w:rFonts w:cs="Calibri"/>
              </w:rPr>
            </w:pPr>
          </w:p>
        </w:tc>
        <w:tc>
          <w:tcPr>
            <w:tcW w:w="582" w:type="pct"/>
            <w:tcBorders>
              <w:top w:val="nil"/>
              <w:left w:val="nil"/>
              <w:bottom w:val="nil"/>
              <w:right w:val="nil"/>
            </w:tcBorders>
            <w:vAlign w:val="bottom"/>
          </w:tcPr>
          <w:p w14:paraId="22D4D835" w14:textId="77777777" w:rsidR="000A77B9" w:rsidRPr="00266486" w:rsidRDefault="000A77B9" w:rsidP="000A77B9">
            <w:pPr>
              <w:pStyle w:val="TableText0"/>
              <w:tabs>
                <w:tab w:val="left" w:pos="3306"/>
              </w:tabs>
              <w:jc w:val="right"/>
              <w:rPr>
                <w:rFonts w:cs="Calibri"/>
              </w:rPr>
            </w:pPr>
          </w:p>
        </w:tc>
      </w:tr>
      <w:tr w:rsidR="000A77B9" w:rsidRPr="00CF7E1B" w14:paraId="3AA64D4A" w14:textId="77777777" w:rsidTr="000A07A1">
        <w:trPr>
          <w:cantSplit/>
          <w:trHeight w:val="23"/>
        </w:trPr>
        <w:tc>
          <w:tcPr>
            <w:tcW w:w="909" w:type="pct"/>
            <w:tcBorders>
              <w:top w:val="nil"/>
              <w:left w:val="single" w:sz="2" w:space="0" w:color="003366"/>
              <w:bottom w:val="nil"/>
              <w:right w:val="single" w:sz="2" w:space="0" w:color="003366"/>
            </w:tcBorders>
          </w:tcPr>
          <w:p w14:paraId="2AE8B1D1" w14:textId="77777777" w:rsidR="000A77B9" w:rsidRPr="00B91A27" w:rsidRDefault="000A77B9" w:rsidP="000A77B9">
            <w:pPr>
              <w:pStyle w:val="TableReference"/>
              <w:tabs>
                <w:tab w:val="left" w:pos="3306"/>
              </w:tabs>
              <w:rPr>
                <w:rFonts w:cs="Calibri"/>
                <w:color w:val="auto"/>
                <w:sz w:val="16"/>
                <w:szCs w:val="16"/>
              </w:rPr>
            </w:pPr>
          </w:p>
        </w:tc>
        <w:tc>
          <w:tcPr>
            <w:tcW w:w="2250" w:type="pct"/>
            <w:tcBorders>
              <w:top w:val="nil"/>
              <w:left w:val="single" w:sz="2" w:space="0" w:color="003366"/>
              <w:bottom w:val="nil"/>
              <w:right w:val="nil"/>
            </w:tcBorders>
            <w:vAlign w:val="bottom"/>
          </w:tcPr>
          <w:p w14:paraId="3BFA6A9B" w14:textId="77777777" w:rsidR="000A77B9" w:rsidRPr="00B91A27" w:rsidRDefault="000A77B9" w:rsidP="000A77B9">
            <w:pPr>
              <w:pStyle w:val="CommentaryReference"/>
              <w:rPr>
                <w:rFonts w:cs="Calibri"/>
                <w:sz w:val="18"/>
                <w:szCs w:val="18"/>
              </w:rPr>
            </w:pPr>
            <w:r w:rsidRPr="00B91A27">
              <w:rPr>
                <w:rFonts w:cs="Calibri"/>
                <w:sz w:val="18"/>
                <w:szCs w:val="18"/>
              </w:rPr>
              <w:t>Other Waivers</w:t>
            </w:r>
          </w:p>
        </w:tc>
        <w:tc>
          <w:tcPr>
            <w:tcW w:w="305" w:type="pct"/>
            <w:tcBorders>
              <w:top w:val="nil"/>
              <w:left w:val="nil"/>
              <w:bottom w:val="single" w:sz="4" w:space="0" w:color="003366"/>
              <w:right w:val="nil"/>
            </w:tcBorders>
            <w:vAlign w:val="bottom"/>
          </w:tcPr>
          <w:p w14:paraId="10D88152" w14:textId="77777777" w:rsidR="000A77B9" w:rsidRPr="00266486" w:rsidRDefault="000A77B9" w:rsidP="000A77B9">
            <w:pPr>
              <w:pStyle w:val="CommentaryReference"/>
              <w:jc w:val="center"/>
              <w:rPr>
                <w:rFonts w:cs="Calibri"/>
              </w:rPr>
            </w:pPr>
          </w:p>
        </w:tc>
        <w:tc>
          <w:tcPr>
            <w:tcW w:w="604" w:type="pct"/>
            <w:tcBorders>
              <w:top w:val="nil"/>
              <w:left w:val="nil"/>
              <w:bottom w:val="single" w:sz="4" w:space="0" w:color="003366"/>
              <w:right w:val="nil"/>
            </w:tcBorders>
            <w:vAlign w:val="bottom"/>
          </w:tcPr>
          <w:p w14:paraId="5CE5E56D" w14:textId="77777777" w:rsidR="000A77B9" w:rsidRPr="00266486" w:rsidRDefault="000A77B9" w:rsidP="000A77B9">
            <w:pPr>
              <w:pStyle w:val="CommentaryReference"/>
              <w:jc w:val="right"/>
              <w:rPr>
                <w:rFonts w:cs="Calibri"/>
                <w:sz w:val="18"/>
                <w:szCs w:val="18"/>
              </w:rPr>
            </w:pPr>
          </w:p>
        </w:tc>
        <w:tc>
          <w:tcPr>
            <w:tcW w:w="351" w:type="pct"/>
            <w:tcBorders>
              <w:top w:val="nil"/>
              <w:left w:val="nil"/>
              <w:bottom w:val="single" w:sz="4" w:space="0" w:color="003366"/>
              <w:right w:val="nil"/>
            </w:tcBorders>
            <w:vAlign w:val="bottom"/>
          </w:tcPr>
          <w:p w14:paraId="7A9F811A" w14:textId="77777777" w:rsidR="000A77B9" w:rsidRPr="00266486" w:rsidRDefault="000A77B9" w:rsidP="000A77B9">
            <w:pPr>
              <w:pStyle w:val="CommentaryReference"/>
              <w:jc w:val="right"/>
              <w:rPr>
                <w:rFonts w:cs="Calibri"/>
              </w:rPr>
            </w:pPr>
          </w:p>
        </w:tc>
        <w:tc>
          <w:tcPr>
            <w:tcW w:w="582" w:type="pct"/>
            <w:tcBorders>
              <w:top w:val="nil"/>
              <w:left w:val="nil"/>
              <w:bottom w:val="single" w:sz="4" w:space="0" w:color="003366"/>
              <w:right w:val="nil"/>
            </w:tcBorders>
            <w:vAlign w:val="bottom"/>
          </w:tcPr>
          <w:p w14:paraId="5428C1F9" w14:textId="77777777" w:rsidR="000A77B9" w:rsidRPr="00266486" w:rsidRDefault="000A77B9" w:rsidP="000A77B9">
            <w:pPr>
              <w:pStyle w:val="CommentaryReference"/>
              <w:jc w:val="right"/>
              <w:rPr>
                <w:rFonts w:cs="Calibri"/>
              </w:rPr>
            </w:pPr>
          </w:p>
        </w:tc>
      </w:tr>
      <w:tr w:rsidR="000A77B9" w:rsidRPr="00CF7E1B" w14:paraId="407A847D" w14:textId="77777777" w:rsidTr="000A07A1">
        <w:trPr>
          <w:cantSplit/>
          <w:trHeight w:val="23"/>
        </w:trPr>
        <w:tc>
          <w:tcPr>
            <w:tcW w:w="909" w:type="pct"/>
            <w:tcBorders>
              <w:top w:val="nil"/>
              <w:left w:val="single" w:sz="2" w:space="0" w:color="003366"/>
              <w:bottom w:val="nil"/>
              <w:right w:val="single" w:sz="2" w:space="0" w:color="003366"/>
            </w:tcBorders>
          </w:tcPr>
          <w:p w14:paraId="18EFF5F0" w14:textId="77777777" w:rsidR="000A77B9" w:rsidRPr="00B91A27" w:rsidRDefault="000A77B9" w:rsidP="000A77B9">
            <w:pPr>
              <w:pStyle w:val="TableReference"/>
              <w:tabs>
                <w:tab w:val="left" w:pos="3306"/>
              </w:tabs>
              <w:spacing w:before="40"/>
              <w:rPr>
                <w:rFonts w:cs="Calibri"/>
                <w:color w:val="auto"/>
                <w:sz w:val="16"/>
                <w:szCs w:val="16"/>
              </w:rPr>
            </w:pPr>
          </w:p>
        </w:tc>
        <w:tc>
          <w:tcPr>
            <w:tcW w:w="2250" w:type="pct"/>
            <w:tcBorders>
              <w:top w:val="nil"/>
              <w:left w:val="single" w:sz="2" w:space="0" w:color="003366"/>
              <w:bottom w:val="nil"/>
              <w:right w:val="nil"/>
            </w:tcBorders>
            <w:vAlign w:val="bottom"/>
          </w:tcPr>
          <w:p w14:paraId="48BABACC" w14:textId="77777777" w:rsidR="000A77B9" w:rsidRPr="00B91A27" w:rsidRDefault="000A77B9" w:rsidP="000A77B9">
            <w:pPr>
              <w:pStyle w:val="TableText0"/>
              <w:tabs>
                <w:tab w:val="left" w:pos="3306"/>
              </w:tabs>
              <w:rPr>
                <w:rFonts w:cs="Calibri"/>
              </w:rPr>
            </w:pPr>
            <w:bookmarkStart w:id="86" w:name="_Toc48468483"/>
            <w:bookmarkStart w:id="87" w:name="_Toc49155600"/>
            <w:bookmarkStart w:id="88" w:name="_Toc49224049"/>
            <w:r w:rsidRPr="00B91A27">
              <w:rPr>
                <w:rFonts w:cs="Calibri"/>
                <w:b/>
                <w:bCs/>
              </w:rPr>
              <w:t>Total Waivers</w:t>
            </w:r>
            <w:bookmarkEnd w:id="86"/>
            <w:bookmarkEnd w:id="87"/>
            <w:bookmarkEnd w:id="88"/>
          </w:p>
        </w:tc>
        <w:tc>
          <w:tcPr>
            <w:tcW w:w="305" w:type="pct"/>
            <w:tcBorders>
              <w:top w:val="single" w:sz="4" w:space="0" w:color="003366"/>
              <w:left w:val="nil"/>
              <w:bottom w:val="single" w:sz="4" w:space="0" w:color="003366"/>
              <w:right w:val="nil"/>
            </w:tcBorders>
            <w:vAlign w:val="bottom"/>
          </w:tcPr>
          <w:p w14:paraId="3E9D104E" w14:textId="77777777" w:rsidR="000A77B9" w:rsidRPr="00CF7E1B" w:rsidRDefault="000A77B9" w:rsidP="000A77B9">
            <w:pPr>
              <w:pStyle w:val="TableText0"/>
              <w:tabs>
                <w:tab w:val="left" w:pos="3306"/>
              </w:tabs>
              <w:jc w:val="center"/>
              <w:rPr>
                <w:rFonts w:cs="Calibri"/>
                <w:b/>
                <w:bCs/>
              </w:rPr>
            </w:pPr>
          </w:p>
        </w:tc>
        <w:tc>
          <w:tcPr>
            <w:tcW w:w="604" w:type="pct"/>
            <w:tcBorders>
              <w:top w:val="single" w:sz="4" w:space="0" w:color="003366"/>
              <w:left w:val="nil"/>
              <w:bottom w:val="single" w:sz="4" w:space="0" w:color="003366"/>
              <w:right w:val="nil"/>
            </w:tcBorders>
            <w:vAlign w:val="bottom"/>
          </w:tcPr>
          <w:p w14:paraId="2A876544" w14:textId="77777777" w:rsidR="000A77B9" w:rsidRPr="00CF7E1B" w:rsidRDefault="000A77B9" w:rsidP="000A77B9">
            <w:pPr>
              <w:pStyle w:val="TableText0"/>
              <w:tabs>
                <w:tab w:val="left" w:pos="3306"/>
              </w:tabs>
              <w:jc w:val="right"/>
              <w:rPr>
                <w:rFonts w:cs="Calibri"/>
                <w:b/>
                <w:bCs/>
              </w:rPr>
            </w:pPr>
          </w:p>
        </w:tc>
        <w:tc>
          <w:tcPr>
            <w:tcW w:w="351" w:type="pct"/>
            <w:tcBorders>
              <w:top w:val="single" w:sz="4" w:space="0" w:color="003366"/>
              <w:left w:val="nil"/>
              <w:bottom w:val="single" w:sz="4" w:space="0" w:color="003366"/>
              <w:right w:val="nil"/>
            </w:tcBorders>
            <w:vAlign w:val="bottom"/>
          </w:tcPr>
          <w:p w14:paraId="2744AEE2" w14:textId="77777777" w:rsidR="000A77B9" w:rsidRPr="00CF7E1B" w:rsidRDefault="000A77B9" w:rsidP="000A77B9">
            <w:pPr>
              <w:pStyle w:val="TableText0"/>
              <w:tabs>
                <w:tab w:val="left" w:pos="3306"/>
              </w:tabs>
              <w:jc w:val="center"/>
              <w:rPr>
                <w:rFonts w:cs="Calibri"/>
                <w:b/>
                <w:bCs/>
              </w:rPr>
            </w:pPr>
          </w:p>
        </w:tc>
        <w:tc>
          <w:tcPr>
            <w:tcW w:w="582" w:type="pct"/>
            <w:tcBorders>
              <w:top w:val="single" w:sz="4" w:space="0" w:color="003366"/>
              <w:left w:val="nil"/>
              <w:bottom w:val="single" w:sz="4" w:space="0" w:color="003366"/>
              <w:right w:val="nil"/>
            </w:tcBorders>
            <w:vAlign w:val="bottom"/>
          </w:tcPr>
          <w:p w14:paraId="10F5CB07" w14:textId="77777777" w:rsidR="000A77B9" w:rsidRPr="00CF7E1B" w:rsidRDefault="000A77B9" w:rsidP="000A77B9">
            <w:pPr>
              <w:pStyle w:val="TableText0"/>
              <w:tabs>
                <w:tab w:val="left" w:pos="3306"/>
              </w:tabs>
              <w:jc w:val="right"/>
              <w:rPr>
                <w:rFonts w:cs="Calibri"/>
                <w:b/>
                <w:bCs/>
              </w:rPr>
            </w:pPr>
          </w:p>
        </w:tc>
      </w:tr>
      <w:tr w:rsidR="000A77B9" w:rsidRPr="00CF7E1B" w14:paraId="28277334" w14:textId="77777777" w:rsidTr="000A07A1">
        <w:trPr>
          <w:cantSplit/>
          <w:trHeight w:val="23"/>
        </w:trPr>
        <w:tc>
          <w:tcPr>
            <w:tcW w:w="909" w:type="pct"/>
            <w:tcBorders>
              <w:top w:val="nil"/>
              <w:left w:val="single" w:sz="2" w:space="0" w:color="003366"/>
              <w:bottom w:val="nil"/>
              <w:right w:val="single" w:sz="2" w:space="0" w:color="003366"/>
            </w:tcBorders>
          </w:tcPr>
          <w:p w14:paraId="37398B0C" w14:textId="77777777" w:rsidR="000A77B9" w:rsidRPr="00B91A27" w:rsidRDefault="000A77B9" w:rsidP="000A77B9">
            <w:pPr>
              <w:pStyle w:val="TableReference"/>
              <w:tabs>
                <w:tab w:val="left" w:pos="3306"/>
              </w:tabs>
              <w:spacing w:before="40"/>
              <w:rPr>
                <w:rFonts w:cs="Calibri"/>
                <w:color w:val="auto"/>
                <w:sz w:val="16"/>
                <w:szCs w:val="16"/>
              </w:rPr>
            </w:pPr>
          </w:p>
        </w:tc>
        <w:tc>
          <w:tcPr>
            <w:tcW w:w="2250" w:type="pct"/>
            <w:tcBorders>
              <w:top w:val="nil"/>
              <w:left w:val="single" w:sz="2" w:space="0" w:color="003366"/>
              <w:bottom w:val="nil"/>
              <w:right w:val="nil"/>
            </w:tcBorders>
            <w:vAlign w:val="bottom"/>
          </w:tcPr>
          <w:p w14:paraId="35982AD2" w14:textId="77777777" w:rsidR="000A77B9" w:rsidRPr="00B91A27" w:rsidRDefault="000A77B9" w:rsidP="000A77B9">
            <w:pPr>
              <w:pStyle w:val="TableText0"/>
              <w:tabs>
                <w:tab w:val="left" w:pos="3306"/>
              </w:tabs>
              <w:rPr>
                <w:rFonts w:cs="Calibri"/>
              </w:rPr>
            </w:pPr>
          </w:p>
        </w:tc>
        <w:tc>
          <w:tcPr>
            <w:tcW w:w="305" w:type="pct"/>
            <w:tcBorders>
              <w:top w:val="single" w:sz="4" w:space="0" w:color="003366"/>
              <w:left w:val="nil"/>
              <w:bottom w:val="nil"/>
              <w:right w:val="nil"/>
            </w:tcBorders>
            <w:vAlign w:val="bottom"/>
          </w:tcPr>
          <w:p w14:paraId="29AF7D80" w14:textId="77777777" w:rsidR="000A77B9" w:rsidRPr="00CF7E1B" w:rsidRDefault="000A77B9" w:rsidP="000A77B9">
            <w:pPr>
              <w:pStyle w:val="TableText0"/>
              <w:tabs>
                <w:tab w:val="left" w:pos="3306"/>
              </w:tabs>
              <w:jc w:val="center"/>
              <w:rPr>
                <w:rFonts w:cs="Calibri"/>
              </w:rPr>
            </w:pPr>
          </w:p>
        </w:tc>
        <w:tc>
          <w:tcPr>
            <w:tcW w:w="604" w:type="pct"/>
            <w:tcBorders>
              <w:top w:val="single" w:sz="4" w:space="0" w:color="003366"/>
              <w:left w:val="nil"/>
              <w:bottom w:val="nil"/>
              <w:right w:val="nil"/>
            </w:tcBorders>
            <w:vAlign w:val="bottom"/>
          </w:tcPr>
          <w:p w14:paraId="4C6E6EB7" w14:textId="77777777" w:rsidR="000A77B9" w:rsidRPr="00CF7E1B" w:rsidRDefault="000A77B9" w:rsidP="000A77B9">
            <w:pPr>
              <w:pStyle w:val="TableText0"/>
              <w:tabs>
                <w:tab w:val="left" w:pos="3306"/>
              </w:tabs>
              <w:jc w:val="right"/>
              <w:rPr>
                <w:rFonts w:cs="Calibri"/>
              </w:rPr>
            </w:pPr>
          </w:p>
        </w:tc>
        <w:tc>
          <w:tcPr>
            <w:tcW w:w="351" w:type="pct"/>
            <w:tcBorders>
              <w:top w:val="single" w:sz="4" w:space="0" w:color="003366"/>
              <w:left w:val="nil"/>
              <w:bottom w:val="nil"/>
              <w:right w:val="nil"/>
            </w:tcBorders>
            <w:vAlign w:val="bottom"/>
          </w:tcPr>
          <w:p w14:paraId="439A4CCE" w14:textId="77777777" w:rsidR="000A77B9" w:rsidRPr="00CF7E1B" w:rsidRDefault="000A77B9" w:rsidP="000A77B9">
            <w:pPr>
              <w:pStyle w:val="TableText0"/>
              <w:tabs>
                <w:tab w:val="left" w:pos="3306"/>
              </w:tabs>
              <w:jc w:val="center"/>
              <w:rPr>
                <w:rFonts w:cs="Calibri"/>
              </w:rPr>
            </w:pPr>
          </w:p>
        </w:tc>
        <w:tc>
          <w:tcPr>
            <w:tcW w:w="582" w:type="pct"/>
            <w:tcBorders>
              <w:top w:val="single" w:sz="4" w:space="0" w:color="003366"/>
              <w:left w:val="nil"/>
              <w:bottom w:val="nil"/>
              <w:right w:val="nil"/>
            </w:tcBorders>
            <w:vAlign w:val="bottom"/>
          </w:tcPr>
          <w:p w14:paraId="11814B03" w14:textId="77777777" w:rsidR="000A77B9" w:rsidRPr="00CF7E1B" w:rsidRDefault="000A77B9" w:rsidP="000A77B9">
            <w:pPr>
              <w:pStyle w:val="TableText0"/>
              <w:tabs>
                <w:tab w:val="left" w:pos="3306"/>
              </w:tabs>
              <w:jc w:val="right"/>
              <w:rPr>
                <w:rFonts w:cs="Calibri"/>
              </w:rPr>
            </w:pPr>
          </w:p>
        </w:tc>
      </w:tr>
      <w:tr w:rsidR="000A77B9" w:rsidRPr="00CF7E1B" w14:paraId="32C0D1B6" w14:textId="77777777" w:rsidTr="000A07A1">
        <w:trPr>
          <w:cantSplit/>
          <w:trHeight w:val="23"/>
        </w:trPr>
        <w:tc>
          <w:tcPr>
            <w:tcW w:w="909" w:type="pct"/>
            <w:tcBorders>
              <w:top w:val="nil"/>
              <w:left w:val="single" w:sz="2" w:space="0" w:color="003366"/>
              <w:bottom w:val="nil"/>
              <w:right w:val="single" w:sz="2" w:space="0" w:color="003366"/>
            </w:tcBorders>
          </w:tcPr>
          <w:p w14:paraId="0C7B65D0" w14:textId="77777777" w:rsidR="000A77B9" w:rsidRPr="00B91A27" w:rsidRDefault="000A77B9" w:rsidP="000A77B9">
            <w:pPr>
              <w:pStyle w:val="TableReference"/>
              <w:tabs>
                <w:tab w:val="left" w:pos="3306"/>
              </w:tabs>
              <w:spacing w:before="40"/>
              <w:rPr>
                <w:rFonts w:cs="Calibri"/>
                <w:color w:val="auto"/>
                <w:sz w:val="16"/>
                <w:szCs w:val="16"/>
              </w:rPr>
            </w:pPr>
          </w:p>
        </w:tc>
        <w:tc>
          <w:tcPr>
            <w:tcW w:w="2250" w:type="pct"/>
            <w:tcBorders>
              <w:top w:val="nil"/>
              <w:left w:val="single" w:sz="2" w:space="0" w:color="003366"/>
              <w:bottom w:val="nil"/>
              <w:right w:val="nil"/>
            </w:tcBorders>
            <w:vAlign w:val="bottom"/>
          </w:tcPr>
          <w:p w14:paraId="74FDA0D2" w14:textId="77777777" w:rsidR="000A77B9" w:rsidRPr="00B91A27" w:rsidRDefault="000A77B9" w:rsidP="000A77B9">
            <w:pPr>
              <w:pStyle w:val="TableText0"/>
              <w:tabs>
                <w:tab w:val="left" w:pos="3306"/>
              </w:tabs>
              <w:rPr>
                <w:rFonts w:cs="Calibri"/>
                <w:b/>
                <w:bCs/>
              </w:rPr>
            </w:pPr>
            <w:r w:rsidRPr="00B91A27">
              <w:rPr>
                <w:rFonts w:cs="Calibri"/>
                <w:b/>
                <w:bCs/>
              </w:rPr>
              <w:t xml:space="preserve">Impairment Losses </w:t>
            </w:r>
          </w:p>
        </w:tc>
        <w:tc>
          <w:tcPr>
            <w:tcW w:w="305" w:type="pct"/>
            <w:tcBorders>
              <w:top w:val="nil"/>
              <w:left w:val="nil"/>
              <w:bottom w:val="nil"/>
              <w:right w:val="nil"/>
            </w:tcBorders>
            <w:vAlign w:val="bottom"/>
          </w:tcPr>
          <w:p w14:paraId="410F8456" w14:textId="77777777" w:rsidR="000A77B9" w:rsidRPr="00CF7E1B" w:rsidRDefault="000A77B9" w:rsidP="000A77B9">
            <w:pPr>
              <w:pStyle w:val="TableText0"/>
              <w:tabs>
                <w:tab w:val="left" w:pos="3306"/>
              </w:tabs>
              <w:jc w:val="center"/>
              <w:rPr>
                <w:rFonts w:cs="Calibri"/>
              </w:rPr>
            </w:pPr>
          </w:p>
        </w:tc>
        <w:tc>
          <w:tcPr>
            <w:tcW w:w="604" w:type="pct"/>
            <w:tcBorders>
              <w:top w:val="nil"/>
              <w:left w:val="nil"/>
              <w:bottom w:val="nil"/>
              <w:right w:val="nil"/>
            </w:tcBorders>
            <w:vAlign w:val="bottom"/>
          </w:tcPr>
          <w:p w14:paraId="0B54AE63" w14:textId="77777777" w:rsidR="000A77B9" w:rsidRPr="00CF7E1B" w:rsidRDefault="000A77B9" w:rsidP="000A77B9">
            <w:pPr>
              <w:pStyle w:val="TableText0"/>
              <w:tabs>
                <w:tab w:val="left" w:pos="3306"/>
              </w:tabs>
              <w:jc w:val="right"/>
              <w:rPr>
                <w:rFonts w:cs="Calibri"/>
              </w:rPr>
            </w:pPr>
          </w:p>
        </w:tc>
        <w:tc>
          <w:tcPr>
            <w:tcW w:w="351" w:type="pct"/>
            <w:tcBorders>
              <w:top w:val="nil"/>
              <w:left w:val="nil"/>
              <w:bottom w:val="nil"/>
              <w:right w:val="nil"/>
            </w:tcBorders>
            <w:vAlign w:val="bottom"/>
          </w:tcPr>
          <w:p w14:paraId="4AB2C8F5" w14:textId="77777777" w:rsidR="000A77B9" w:rsidRPr="00CF7E1B" w:rsidRDefault="000A77B9" w:rsidP="000A77B9">
            <w:pPr>
              <w:pStyle w:val="TableText0"/>
              <w:tabs>
                <w:tab w:val="left" w:pos="3306"/>
              </w:tabs>
              <w:jc w:val="center"/>
              <w:rPr>
                <w:rFonts w:cs="Calibri"/>
              </w:rPr>
            </w:pPr>
          </w:p>
        </w:tc>
        <w:tc>
          <w:tcPr>
            <w:tcW w:w="582" w:type="pct"/>
            <w:tcBorders>
              <w:top w:val="nil"/>
              <w:left w:val="nil"/>
              <w:bottom w:val="nil"/>
              <w:right w:val="nil"/>
            </w:tcBorders>
            <w:vAlign w:val="bottom"/>
          </w:tcPr>
          <w:p w14:paraId="47D4334C" w14:textId="77777777" w:rsidR="000A77B9" w:rsidRPr="00CF7E1B" w:rsidRDefault="000A77B9" w:rsidP="000A77B9">
            <w:pPr>
              <w:pStyle w:val="TableText0"/>
              <w:tabs>
                <w:tab w:val="left" w:pos="3306"/>
              </w:tabs>
              <w:jc w:val="right"/>
              <w:rPr>
                <w:rFonts w:cs="Calibri"/>
              </w:rPr>
            </w:pPr>
          </w:p>
        </w:tc>
      </w:tr>
      <w:tr w:rsidR="000A77B9" w:rsidRPr="00CF7E1B" w14:paraId="0AB6573B" w14:textId="77777777" w:rsidTr="000A07A1">
        <w:trPr>
          <w:cantSplit/>
          <w:trHeight w:val="23"/>
        </w:trPr>
        <w:tc>
          <w:tcPr>
            <w:tcW w:w="909" w:type="pct"/>
            <w:tcBorders>
              <w:top w:val="nil"/>
              <w:left w:val="single" w:sz="2" w:space="0" w:color="003366"/>
              <w:bottom w:val="nil"/>
              <w:right w:val="single" w:sz="2" w:space="0" w:color="003366"/>
            </w:tcBorders>
          </w:tcPr>
          <w:p w14:paraId="2A3A0A8F" w14:textId="77777777" w:rsidR="000A77B9" w:rsidRPr="00B91A27" w:rsidRDefault="000A77B9" w:rsidP="000A77B9">
            <w:pPr>
              <w:pStyle w:val="TableReference"/>
              <w:tabs>
                <w:tab w:val="left" w:pos="3306"/>
              </w:tabs>
              <w:spacing w:before="60"/>
              <w:rPr>
                <w:rFonts w:cs="Calibri"/>
                <w:color w:val="auto"/>
                <w:sz w:val="16"/>
                <w:szCs w:val="16"/>
              </w:rPr>
            </w:pPr>
          </w:p>
        </w:tc>
        <w:tc>
          <w:tcPr>
            <w:tcW w:w="2250" w:type="pct"/>
            <w:tcBorders>
              <w:top w:val="nil"/>
              <w:left w:val="single" w:sz="2" w:space="0" w:color="003366"/>
              <w:bottom w:val="nil"/>
              <w:right w:val="nil"/>
            </w:tcBorders>
            <w:vAlign w:val="bottom"/>
          </w:tcPr>
          <w:p w14:paraId="0FB3E8D1" w14:textId="77777777" w:rsidR="000A77B9" w:rsidRPr="00B91A27" w:rsidRDefault="000A77B9" w:rsidP="000A77B9">
            <w:pPr>
              <w:pStyle w:val="TableText0"/>
              <w:tabs>
                <w:tab w:val="left" w:pos="3306"/>
              </w:tabs>
              <w:rPr>
                <w:rFonts w:cs="Calibri"/>
              </w:rPr>
            </w:pPr>
            <w:r w:rsidRPr="00B91A27">
              <w:rPr>
                <w:rFonts w:cs="Calibri"/>
                <w:i/>
              </w:rPr>
              <w:t xml:space="preserve">Impairment Loss from Receivables </w:t>
            </w:r>
          </w:p>
        </w:tc>
        <w:tc>
          <w:tcPr>
            <w:tcW w:w="305" w:type="pct"/>
            <w:tcBorders>
              <w:top w:val="nil"/>
              <w:left w:val="nil"/>
              <w:bottom w:val="nil"/>
              <w:right w:val="nil"/>
            </w:tcBorders>
            <w:vAlign w:val="bottom"/>
          </w:tcPr>
          <w:p w14:paraId="03F75DBD" w14:textId="77777777" w:rsidR="000A77B9" w:rsidRPr="00CF7E1B" w:rsidRDefault="000A77B9" w:rsidP="000A77B9">
            <w:pPr>
              <w:pStyle w:val="TableText0"/>
              <w:tabs>
                <w:tab w:val="left" w:pos="3306"/>
              </w:tabs>
              <w:jc w:val="center"/>
              <w:rPr>
                <w:rFonts w:cs="Calibri"/>
              </w:rPr>
            </w:pPr>
          </w:p>
        </w:tc>
        <w:tc>
          <w:tcPr>
            <w:tcW w:w="604" w:type="pct"/>
            <w:tcBorders>
              <w:top w:val="nil"/>
              <w:left w:val="nil"/>
              <w:bottom w:val="nil"/>
              <w:right w:val="nil"/>
            </w:tcBorders>
            <w:vAlign w:val="bottom"/>
          </w:tcPr>
          <w:p w14:paraId="43D3DDE6" w14:textId="77777777" w:rsidR="000A77B9" w:rsidRPr="00CF7E1B" w:rsidRDefault="000A77B9" w:rsidP="000A77B9">
            <w:pPr>
              <w:pStyle w:val="TableText0"/>
              <w:tabs>
                <w:tab w:val="left" w:pos="3306"/>
              </w:tabs>
              <w:jc w:val="right"/>
              <w:rPr>
                <w:rFonts w:cs="Calibri"/>
              </w:rPr>
            </w:pPr>
          </w:p>
        </w:tc>
        <w:tc>
          <w:tcPr>
            <w:tcW w:w="351" w:type="pct"/>
            <w:tcBorders>
              <w:top w:val="nil"/>
              <w:left w:val="nil"/>
              <w:bottom w:val="nil"/>
              <w:right w:val="nil"/>
            </w:tcBorders>
            <w:vAlign w:val="bottom"/>
          </w:tcPr>
          <w:p w14:paraId="31F489E9" w14:textId="77777777" w:rsidR="000A77B9" w:rsidRPr="00CF7E1B" w:rsidRDefault="000A77B9" w:rsidP="000A77B9">
            <w:pPr>
              <w:pStyle w:val="TableText0"/>
              <w:tabs>
                <w:tab w:val="left" w:pos="3306"/>
              </w:tabs>
              <w:jc w:val="center"/>
              <w:rPr>
                <w:rFonts w:cs="Calibri"/>
              </w:rPr>
            </w:pPr>
          </w:p>
        </w:tc>
        <w:tc>
          <w:tcPr>
            <w:tcW w:w="582" w:type="pct"/>
            <w:tcBorders>
              <w:top w:val="nil"/>
              <w:left w:val="nil"/>
              <w:bottom w:val="nil"/>
              <w:right w:val="nil"/>
            </w:tcBorders>
            <w:vAlign w:val="bottom"/>
          </w:tcPr>
          <w:p w14:paraId="0D5B82D1" w14:textId="77777777" w:rsidR="000A77B9" w:rsidRPr="00CF7E1B" w:rsidRDefault="000A77B9" w:rsidP="000A77B9">
            <w:pPr>
              <w:pStyle w:val="TableText0"/>
              <w:tabs>
                <w:tab w:val="left" w:pos="3306"/>
              </w:tabs>
              <w:jc w:val="right"/>
              <w:rPr>
                <w:rFonts w:cs="Calibri"/>
              </w:rPr>
            </w:pPr>
          </w:p>
        </w:tc>
      </w:tr>
      <w:tr w:rsidR="000A77B9" w:rsidRPr="00C57B32" w14:paraId="686CF766" w14:textId="77777777" w:rsidTr="000A07A1">
        <w:trPr>
          <w:cantSplit/>
          <w:trHeight w:val="23"/>
        </w:trPr>
        <w:tc>
          <w:tcPr>
            <w:tcW w:w="909" w:type="pct"/>
            <w:tcBorders>
              <w:top w:val="nil"/>
              <w:left w:val="single" w:sz="2" w:space="0" w:color="003366"/>
              <w:bottom w:val="nil"/>
              <w:right w:val="single" w:sz="2" w:space="0" w:color="003366"/>
            </w:tcBorders>
          </w:tcPr>
          <w:p w14:paraId="103D3AF8" w14:textId="77777777" w:rsidR="000A77B9" w:rsidRPr="00B91A27" w:rsidRDefault="000A77B9" w:rsidP="000A77B9">
            <w:pPr>
              <w:pStyle w:val="TableReference"/>
              <w:tabs>
                <w:tab w:val="left" w:pos="3306"/>
              </w:tabs>
              <w:spacing w:before="60"/>
              <w:rPr>
                <w:rFonts w:cs="Calibri"/>
                <w:color w:val="auto"/>
                <w:sz w:val="16"/>
                <w:szCs w:val="16"/>
              </w:rPr>
            </w:pPr>
            <w:r w:rsidRPr="00B91A27">
              <w:rPr>
                <w:rFonts w:cs="Calibri"/>
                <w:color w:val="auto"/>
                <w:sz w:val="16"/>
                <w:szCs w:val="16"/>
              </w:rPr>
              <w:t>AASB 7.20(a)(vi)</w:t>
            </w:r>
          </w:p>
        </w:tc>
        <w:tc>
          <w:tcPr>
            <w:tcW w:w="2250" w:type="pct"/>
            <w:tcBorders>
              <w:top w:val="nil"/>
              <w:left w:val="single" w:sz="2" w:space="0" w:color="003366"/>
              <w:bottom w:val="nil"/>
              <w:right w:val="nil"/>
            </w:tcBorders>
            <w:vAlign w:val="bottom"/>
          </w:tcPr>
          <w:p w14:paraId="180BE8FB" w14:textId="77777777" w:rsidR="000A77B9" w:rsidRPr="00B91A27" w:rsidRDefault="000A77B9" w:rsidP="000A77B9">
            <w:pPr>
              <w:pStyle w:val="TableText0"/>
              <w:tabs>
                <w:tab w:val="left" w:pos="3306"/>
              </w:tabs>
              <w:rPr>
                <w:rFonts w:cs="Calibri"/>
              </w:rPr>
            </w:pPr>
            <w:r w:rsidRPr="00B91A27">
              <w:rPr>
                <w:rFonts w:cs="Calibri"/>
              </w:rPr>
              <w:t xml:space="preserve">Expected Credit Loss Expense </w:t>
            </w:r>
          </w:p>
        </w:tc>
        <w:tc>
          <w:tcPr>
            <w:tcW w:w="305" w:type="pct"/>
            <w:tcBorders>
              <w:top w:val="nil"/>
              <w:left w:val="nil"/>
              <w:bottom w:val="single" w:sz="4" w:space="0" w:color="auto"/>
              <w:right w:val="nil"/>
            </w:tcBorders>
            <w:vAlign w:val="bottom"/>
          </w:tcPr>
          <w:p w14:paraId="1BF59118" w14:textId="77777777" w:rsidR="000A77B9" w:rsidRPr="00CF7E1B" w:rsidRDefault="000A77B9" w:rsidP="000A77B9">
            <w:pPr>
              <w:pStyle w:val="TableText0"/>
              <w:tabs>
                <w:tab w:val="left" w:pos="3306"/>
              </w:tabs>
              <w:jc w:val="center"/>
              <w:rPr>
                <w:rFonts w:cs="Calibri"/>
              </w:rPr>
            </w:pPr>
          </w:p>
        </w:tc>
        <w:tc>
          <w:tcPr>
            <w:tcW w:w="604" w:type="pct"/>
            <w:tcBorders>
              <w:top w:val="nil"/>
              <w:left w:val="nil"/>
              <w:bottom w:val="single" w:sz="4" w:space="0" w:color="auto"/>
              <w:right w:val="nil"/>
            </w:tcBorders>
            <w:vAlign w:val="bottom"/>
          </w:tcPr>
          <w:p w14:paraId="36CC0A21" w14:textId="77777777" w:rsidR="000A77B9" w:rsidRPr="00CF7E1B" w:rsidRDefault="000A77B9" w:rsidP="000A77B9">
            <w:pPr>
              <w:pStyle w:val="TableText0"/>
              <w:tabs>
                <w:tab w:val="left" w:pos="3306"/>
              </w:tabs>
              <w:jc w:val="right"/>
              <w:rPr>
                <w:rFonts w:cs="Calibri"/>
              </w:rPr>
            </w:pPr>
          </w:p>
        </w:tc>
        <w:tc>
          <w:tcPr>
            <w:tcW w:w="351" w:type="pct"/>
            <w:tcBorders>
              <w:top w:val="nil"/>
              <w:left w:val="nil"/>
              <w:bottom w:val="single" w:sz="4" w:space="0" w:color="auto"/>
              <w:right w:val="nil"/>
            </w:tcBorders>
            <w:vAlign w:val="bottom"/>
          </w:tcPr>
          <w:p w14:paraId="4CAD679C" w14:textId="77777777" w:rsidR="000A77B9" w:rsidRPr="00CF7E1B" w:rsidRDefault="000A77B9" w:rsidP="000A77B9">
            <w:pPr>
              <w:pStyle w:val="TableText0"/>
              <w:tabs>
                <w:tab w:val="left" w:pos="3306"/>
              </w:tabs>
              <w:jc w:val="center"/>
              <w:rPr>
                <w:rFonts w:cs="Calibri"/>
              </w:rPr>
            </w:pPr>
          </w:p>
        </w:tc>
        <w:tc>
          <w:tcPr>
            <w:tcW w:w="582" w:type="pct"/>
            <w:tcBorders>
              <w:top w:val="nil"/>
              <w:left w:val="nil"/>
              <w:bottom w:val="single" w:sz="4" w:space="0" w:color="auto"/>
              <w:right w:val="nil"/>
            </w:tcBorders>
            <w:vAlign w:val="bottom"/>
          </w:tcPr>
          <w:p w14:paraId="336C9A6C" w14:textId="77777777" w:rsidR="000A77B9" w:rsidRPr="00C57B32" w:rsidRDefault="000A77B9" w:rsidP="000A77B9">
            <w:pPr>
              <w:pStyle w:val="TableText0"/>
              <w:tabs>
                <w:tab w:val="left" w:pos="3306"/>
              </w:tabs>
              <w:jc w:val="right"/>
              <w:rPr>
                <w:rFonts w:cs="Calibri"/>
              </w:rPr>
            </w:pPr>
          </w:p>
        </w:tc>
      </w:tr>
      <w:tr w:rsidR="000A77B9" w:rsidRPr="00CF7E1B" w14:paraId="42DB89BC" w14:textId="77777777" w:rsidTr="000A07A1">
        <w:trPr>
          <w:cantSplit/>
          <w:trHeight w:val="23"/>
        </w:trPr>
        <w:tc>
          <w:tcPr>
            <w:tcW w:w="909" w:type="pct"/>
            <w:tcBorders>
              <w:top w:val="nil"/>
              <w:left w:val="single" w:sz="2" w:space="0" w:color="003366"/>
              <w:bottom w:val="nil"/>
              <w:right w:val="single" w:sz="2" w:space="0" w:color="003366"/>
            </w:tcBorders>
          </w:tcPr>
          <w:p w14:paraId="375BFFE9" w14:textId="77777777" w:rsidR="000A77B9" w:rsidRPr="00B91A27" w:rsidRDefault="000A77B9" w:rsidP="000A77B9">
            <w:pPr>
              <w:pStyle w:val="TableReference"/>
              <w:tabs>
                <w:tab w:val="left" w:pos="3306"/>
              </w:tabs>
              <w:spacing w:before="60"/>
              <w:rPr>
                <w:rFonts w:cs="Calibri"/>
                <w:color w:val="auto"/>
                <w:sz w:val="16"/>
                <w:szCs w:val="16"/>
              </w:rPr>
            </w:pPr>
          </w:p>
        </w:tc>
        <w:tc>
          <w:tcPr>
            <w:tcW w:w="2250" w:type="pct"/>
            <w:tcBorders>
              <w:top w:val="nil"/>
              <w:left w:val="single" w:sz="2" w:space="0" w:color="003366"/>
              <w:bottom w:val="nil"/>
              <w:right w:val="nil"/>
            </w:tcBorders>
            <w:vAlign w:val="bottom"/>
          </w:tcPr>
          <w:p w14:paraId="5F757126" w14:textId="77777777" w:rsidR="000A77B9" w:rsidRPr="00B91A27" w:rsidRDefault="000A77B9" w:rsidP="000A77B9">
            <w:pPr>
              <w:pStyle w:val="TableText0"/>
              <w:tabs>
                <w:tab w:val="left" w:pos="3306"/>
              </w:tabs>
              <w:rPr>
                <w:rFonts w:cs="Calibri"/>
              </w:rPr>
            </w:pPr>
            <w:r w:rsidRPr="00B91A27">
              <w:rPr>
                <w:rFonts w:cs="Calibri"/>
                <w:i/>
              </w:rPr>
              <w:t>Total Impairment Loss from Receivables</w:t>
            </w:r>
          </w:p>
        </w:tc>
        <w:tc>
          <w:tcPr>
            <w:tcW w:w="305" w:type="pct"/>
            <w:tcBorders>
              <w:top w:val="single" w:sz="4" w:space="0" w:color="auto"/>
              <w:left w:val="nil"/>
              <w:bottom w:val="single" w:sz="4" w:space="0" w:color="auto"/>
              <w:right w:val="nil"/>
            </w:tcBorders>
            <w:vAlign w:val="bottom"/>
          </w:tcPr>
          <w:p w14:paraId="3782A109" w14:textId="77777777" w:rsidR="000A77B9" w:rsidRPr="00CF7E1B" w:rsidRDefault="000A77B9" w:rsidP="000A77B9">
            <w:pPr>
              <w:pStyle w:val="TableText0"/>
              <w:tabs>
                <w:tab w:val="left" w:pos="3306"/>
              </w:tabs>
              <w:jc w:val="center"/>
              <w:rPr>
                <w:rFonts w:cs="Calibri"/>
              </w:rPr>
            </w:pPr>
          </w:p>
        </w:tc>
        <w:tc>
          <w:tcPr>
            <w:tcW w:w="604" w:type="pct"/>
            <w:tcBorders>
              <w:top w:val="single" w:sz="4" w:space="0" w:color="auto"/>
              <w:left w:val="nil"/>
              <w:bottom w:val="single" w:sz="4" w:space="0" w:color="auto"/>
              <w:right w:val="nil"/>
            </w:tcBorders>
            <w:vAlign w:val="bottom"/>
          </w:tcPr>
          <w:p w14:paraId="2968B521" w14:textId="77777777" w:rsidR="000A77B9" w:rsidRPr="00CF7E1B" w:rsidRDefault="000A77B9" w:rsidP="000A77B9">
            <w:pPr>
              <w:pStyle w:val="TableText0"/>
              <w:tabs>
                <w:tab w:val="left" w:pos="3306"/>
              </w:tabs>
              <w:jc w:val="right"/>
              <w:rPr>
                <w:rFonts w:cs="Calibri"/>
              </w:rPr>
            </w:pPr>
          </w:p>
        </w:tc>
        <w:tc>
          <w:tcPr>
            <w:tcW w:w="351" w:type="pct"/>
            <w:tcBorders>
              <w:top w:val="single" w:sz="4" w:space="0" w:color="auto"/>
              <w:left w:val="nil"/>
              <w:bottom w:val="single" w:sz="4" w:space="0" w:color="auto"/>
              <w:right w:val="nil"/>
            </w:tcBorders>
            <w:vAlign w:val="bottom"/>
          </w:tcPr>
          <w:p w14:paraId="30F98B2E" w14:textId="77777777" w:rsidR="000A77B9" w:rsidRPr="00CF7E1B" w:rsidRDefault="000A77B9" w:rsidP="000A77B9">
            <w:pPr>
              <w:pStyle w:val="TableText0"/>
              <w:tabs>
                <w:tab w:val="left" w:pos="3306"/>
              </w:tabs>
              <w:jc w:val="center"/>
              <w:rPr>
                <w:rFonts w:cs="Calibri"/>
              </w:rPr>
            </w:pPr>
          </w:p>
        </w:tc>
        <w:tc>
          <w:tcPr>
            <w:tcW w:w="582" w:type="pct"/>
            <w:tcBorders>
              <w:top w:val="single" w:sz="4" w:space="0" w:color="auto"/>
              <w:left w:val="nil"/>
              <w:bottom w:val="single" w:sz="4" w:space="0" w:color="auto"/>
              <w:right w:val="nil"/>
            </w:tcBorders>
            <w:vAlign w:val="bottom"/>
          </w:tcPr>
          <w:p w14:paraId="705D3588" w14:textId="77777777" w:rsidR="000A77B9" w:rsidRPr="00CF7E1B" w:rsidRDefault="000A77B9" w:rsidP="000A77B9">
            <w:pPr>
              <w:pStyle w:val="TableText0"/>
              <w:tabs>
                <w:tab w:val="left" w:pos="3306"/>
              </w:tabs>
              <w:jc w:val="right"/>
              <w:rPr>
                <w:rFonts w:cs="Calibri"/>
              </w:rPr>
            </w:pPr>
          </w:p>
        </w:tc>
      </w:tr>
      <w:tr w:rsidR="000A77B9" w:rsidRPr="00CF7E1B" w14:paraId="1724D4A1" w14:textId="77777777" w:rsidTr="000A07A1">
        <w:trPr>
          <w:cantSplit/>
          <w:trHeight w:val="23"/>
        </w:trPr>
        <w:tc>
          <w:tcPr>
            <w:tcW w:w="909" w:type="pct"/>
            <w:tcBorders>
              <w:top w:val="nil"/>
              <w:left w:val="single" w:sz="2" w:space="0" w:color="003366"/>
              <w:bottom w:val="nil"/>
              <w:right w:val="single" w:sz="2" w:space="0" w:color="003366"/>
            </w:tcBorders>
          </w:tcPr>
          <w:p w14:paraId="7B3FB75A" w14:textId="77777777" w:rsidR="000A77B9" w:rsidRPr="00B91A27" w:rsidRDefault="000A77B9" w:rsidP="000A77B9">
            <w:pPr>
              <w:pStyle w:val="TableReference"/>
              <w:tabs>
                <w:tab w:val="left" w:pos="3306"/>
              </w:tabs>
              <w:rPr>
                <w:rFonts w:cs="Calibri"/>
                <w:color w:val="auto"/>
                <w:sz w:val="16"/>
                <w:szCs w:val="16"/>
              </w:rPr>
            </w:pPr>
          </w:p>
        </w:tc>
        <w:tc>
          <w:tcPr>
            <w:tcW w:w="2250" w:type="pct"/>
            <w:tcBorders>
              <w:top w:val="nil"/>
              <w:left w:val="single" w:sz="2" w:space="0" w:color="003366"/>
              <w:bottom w:val="nil"/>
              <w:right w:val="nil"/>
            </w:tcBorders>
            <w:vAlign w:val="bottom"/>
          </w:tcPr>
          <w:p w14:paraId="5669F187" w14:textId="77777777" w:rsidR="000A77B9" w:rsidRPr="00B91A27" w:rsidRDefault="000A77B9" w:rsidP="000A77B9">
            <w:pPr>
              <w:pStyle w:val="TableText0"/>
              <w:tabs>
                <w:tab w:val="left" w:pos="3306"/>
              </w:tabs>
              <w:spacing w:before="0"/>
              <w:rPr>
                <w:rFonts w:cs="Calibri"/>
                <w:sz w:val="12"/>
                <w:szCs w:val="12"/>
              </w:rPr>
            </w:pPr>
          </w:p>
        </w:tc>
        <w:tc>
          <w:tcPr>
            <w:tcW w:w="305" w:type="pct"/>
            <w:tcBorders>
              <w:top w:val="single" w:sz="4" w:space="0" w:color="auto"/>
              <w:left w:val="nil"/>
              <w:bottom w:val="nil"/>
              <w:right w:val="nil"/>
            </w:tcBorders>
            <w:vAlign w:val="bottom"/>
          </w:tcPr>
          <w:p w14:paraId="3963AF5F" w14:textId="77777777" w:rsidR="000A77B9" w:rsidRPr="00CF7E1B" w:rsidRDefault="000A77B9" w:rsidP="000A77B9">
            <w:pPr>
              <w:pStyle w:val="TableText0"/>
              <w:tabs>
                <w:tab w:val="left" w:pos="3306"/>
              </w:tabs>
              <w:spacing w:before="0"/>
              <w:jc w:val="center"/>
              <w:rPr>
                <w:rFonts w:cs="Calibri"/>
                <w:sz w:val="12"/>
                <w:szCs w:val="12"/>
              </w:rPr>
            </w:pPr>
          </w:p>
        </w:tc>
        <w:tc>
          <w:tcPr>
            <w:tcW w:w="604" w:type="pct"/>
            <w:tcBorders>
              <w:top w:val="single" w:sz="4" w:space="0" w:color="auto"/>
              <w:left w:val="nil"/>
              <w:bottom w:val="nil"/>
              <w:right w:val="nil"/>
            </w:tcBorders>
            <w:vAlign w:val="bottom"/>
          </w:tcPr>
          <w:p w14:paraId="404B957F" w14:textId="77777777" w:rsidR="000A77B9" w:rsidRPr="00CF7E1B" w:rsidRDefault="000A77B9" w:rsidP="000A77B9">
            <w:pPr>
              <w:pStyle w:val="TableText0"/>
              <w:tabs>
                <w:tab w:val="left" w:pos="3306"/>
              </w:tabs>
              <w:spacing w:before="0"/>
              <w:jc w:val="right"/>
              <w:rPr>
                <w:rFonts w:cs="Calibri"/>
                <w:sz w:val="12"/>
                <w:szCs w:val="12"/>
              </w:rPr>
            </w:pPr>
          </w:p>
        </w:tc>
        <w:tc>
          <w:tcPr>
            <w:tcW w:w="351" w:type="pct"/>
            <w:tcBorders>
              <w:top w:val="single" w:sz="4" w:space="0" w:color="auto"/>
              <w:left w:val="nil"/>
              <w:bottom w:val="nil"/>
              <w:right w:val="nil"/>
            </w:tcBorders>
            <w:vAlign w:val="bottom"/>
          </w:tcPr>
          <w:p w14:paraId="2EB2F5A4" w14:textId="77777777" w:rsidR="000A77B9" w:rsidRPr="00CF7E1B" w:rsidRDefault="000A77B9" w:rsidP="000A77B9">
            <w:pPr>
              <w:pStyle w:val="TableText0"/>
              <w:tabs>
                <w:tab w:val="left" w:pos="3306"/>
              </w:tabs>
              <w:spacing w:before="0"/>
              <w:jc w:val="center"/>
              <w:rPr>
                <w:rFonts w:cs="Calibri"/>
                <w:sz w:val="12"/>
                <w:szCs w:val="12"/>
              </w:rPr>
            </w:pPr>
          </w:p>
        </w:tc>
        <w:tc>
          <w:tcPr>
            <w:tcW w:w="582" w:type="pct"/>
            <w:tcBorders>
              <w:top w:val="single" w:sz="4" w:space="0" w:color="auto"/>
              <w:left w:val="nil"/>
              <w:bottom w:val="nil"/>
              <w:right w:val="nil"/>
            </w:tcBorders>
            <w:vAlign w:val="bottom"/>
          </w:tcPr>
          <w:p w14:paraId="22865984" w14:textId="77777777" w:rsidR="000A77B9" w:rsidRPr="00CF7E1B" w:rsidRDefault="000A77B9" w:rsidP="000A77B9">
            <w:pPr>
              <w:pStyle w:val="TableText0"/>
              <w:tabs>
                <w:tab w:val="left" w:pos="3306"/>
              </w:tabs>
              <w:spacing w:before="0"/>
              <w:jc w:val="right"/>
              <w:rPr>
                <w:rFonts w:cs="Calibri"/>
                <w:sz w:val="12"/>
                <w:szCs w:val="12"/>
              </w:rPr>
            </w:pPr>
          </w:p>
        </w:tc>
      </w:tr>
      <w:tr w:rsidR="000A77B9" w:rsidRPr="00CF7E1B" w14:paraId="66A233B1" w14:textId="77777777" w:rsidTr="000A07A1">
        <w:trPr>
          <w:cantSplit/>
          <w:trHeight w:val="23"/>
        </w:trPr>
        <w:tc>
          <w:tcPr>
            <w:tcW w:w="909" w:type="pct"/>
            <w:tcBorders>
              <w:top w:val="nil"/>
              <w:left w:val="single" w:sz="2" w:space="0" w:color="003366"/>
              <w:bottom w:val="nil"/>
              <w:right w:val="single" w:sz="2" w:space="0" w:color="003366"/>
            </w:tcBorders>
          </w:tcPr>
          <w:p w14:paraId="7AFDD663" w14:textId="77777777" w:rsidR="000A77B9" w:rsidRPr="00B91A27" w:rsidRDefault="000A77B9" w:rsidP="000A77B9">
            <w:pPr>
              <w:pStyle w:val="TableReference"/>
              <w:tabs>
                <w:tab w:val="left" w:pos="3306"/>
              </w:tabs>
              <w:spacing w:before="60"/>
              <w:rPr>
                <w:rFonts w:cs="Calibri"/>
                <w:color w:val="auto"/>
                <w:sz w:val="16"/>
                <w:szCs w:val="16"/>
              </w:rPr>
            </w:pPr>
          </w:p>
        </w:tc>
        <w:tc>
          <w:tcPr>
            <w:tcW w:w="2250" w:type="pct"/>
            <w:tcBorders>
              <w:top w:val="nil"/>
              <w:left w:val="single" w:sz="2" w:space="0" w:color="003366"/>
              <w:bottom w:val="nil"/>
              <w:right w:val="nil"/>
            </w:tcBorders>
            <w:vAlign w:val="bottom"/>
          </w:tcPr>
          <w:p w14:paraId="7716931D" w14:textId="77777777" w:rsidR="000A77B9" w:rsidRPr="00B91A27" w:rsidRDefault="000A77B9" w:rsidP="000A77B9">
            <w:pPr>
              <w:pStyle w:val="TableText0"/>
              <w:tabs>
                <w:tab w:val="left" w:pos="3306"/>
              </w:tabs>
              <w:rPr>
                <w:rFonts w:cs="Calibri"/>
              </w:rPr>
            </w:pPr>
            <w:r w:rsidRPr="00B91A27">
              <w:rPr>
                <w:rFonts w:cs="Calibri"/>
                <w:i/>
              </w:rPr>
              <w:t>Impairment Loss from Property, Plant and Equipment</w:t>
            </w:r>
          </w:p>
        </w:tc>
        <w:tc>
          <w:tcPr>
            <w:tcW w:w="305" w:type="pct"/>
            <w:tcBorders>
              <w:top w:val="nil"/>
              <w:left w:val="nil"/>
              <w:bottom w:val="nil"/>
              <w:right w:val="nil"/>
            </w:tcBorders>
            <w:vAlign w:val="bottom"/>
          </w:tcPr>
          <w:p w14:paraId="3816C92E" w14:textId="77777777" w:rsidR="000A77B9" w:rsidRPr="00CF7E1B" w:rsidRDefault="000A77B9" w:rsidP="000A77B9">
            <w:pPr>
              <w:pStyle w:val="TableText0"/>
              <w:tabs>
                <w:tab w:val="left" w:pos="3306"/>
              </w:tabs>
              <w:jc w:val="center"/>
              <w:rPr>
                <w:rFonts w:cs="Calibri"/>
              </w:rPr>
            </w:pPr>
          </w:p>
        </w:tc>
        <w:tc>
          <w:tcPr>
            <w:tcW w:w="604" w:type="pct"/>
            <w:tcBorders>
              <w:top w:val="nil"/>
              <w:left w:val="nil"/>
              <w:bottom w:val="nil"/>
              <w:right w:val="nil"/>
            </w:tcBorders>
            <w:vAlign w:val="bottom"/>
          </w:tcPr>
          <w:p w14:paraId="5D30B71C" w14:textId="77777777" w:rsidR="000A77B9" w:rsidRPr="00CF7E1B" w:rsidRDefault="000A77B9" w:rsidP="000A77B9">
            <w:pPr>
              <w:pStyle w:val="TableText0"/>
              <w:tabs>
                <w:tab w:val="left" w:pos="3306"/>
              </w:tabs>
              <w:jc w:val="right"/>
              <w:rPr>
                <w:rFonts w:cs="Calibri"/>
              </w:rPr>
            </w:pPr>
          </w:p>
        </w:tc>
        <w:tc>
          <w:tcPr>
            <w:tcW w:w="351" w:type="pct"/>
            <w:tcBorders>
              <w:top w:val="nil"/>
              <w:left w:val="nil"/>
              <w:bottom w:val="nil"/>
              <w:right w:val="nil"/>
            </w:tcBorders>
            <w:vAlign w:val="bottom"/>
          </w:tcPr>
          <w:p w14:paraId="30ED9F5D" w14:textId="77777777" w:rsidR="000A77B9" w:rsidRPr="00CF7E1B" w:rsidRDefault="000A77B9" w:rsidP="000A77B9">
            <w:pPr>
              <w:pStyle w:val="TableText0"/>
              <w:tabs>
                <w:tab w:val="left" w:pos="3306"/>
              </w:tabs>
              <w:jc w:val="center"/>
              <w:rPr>
                <w:rFonts w:cs="Calibri"/>
              </w:rPr>
            </w:pPr>
          </w:p>
        </w:tc>
        <w:tc>
          <w:tcPr>
            <w:tcW w:w="582" w:type="pct"/>
            <w:tcBorders>
              <w:top w:val="nil"/>
              <w:left w:val="nil"/>
              <w:bottom w:val="nil"/>
              <w:right w:val="nil"/>
            </w:tcBorders>
            <w:vAlign w:val="bottom"/>
          </w:tcPr>
          <w:p w14:paraId="270785BC" w14:textId="77777777" w:rsidR="000A77B9" w:rsidRPr="00CF7E1B" w:rsidRDefault="000A77B9" w:rsidP="000A77B9">
            <w:pPr>
              <w:pStyle w:val="TableText0"/>
              <w:tabs>
                <w:tab w:val="left" w:pos="3306"/>
              </w:tabs>
              <w:jc w:val="right"/>
              <w:rPr>
                <w:rFonts w:cs="Calibri"/>
              </w:rPr>
            </w:pPr>
          </w:p>
        </w:tc>
      </w:tr>
      <w:tr w:rsidR="000A77B9" w:rsidRPr="00CF7E1B" w14:paraId="5AAE9FA6" w14:textId="77777777" w:rsidTr="000A07A1">
        <w:trPr>
          <w:cantSplit/>
          <w:trHeight w:val="23"/>
        </w:trPr>
        <w:tc>
          <w:tcPr>
            <w:tcW w:w="909" w:type="pct"/>
            <w:tcBorders>
              <w:top w:val="nil"/>
              <w:left w:val="single" w:sz="2" w:space="0" w:color="003366"/>
              <w:bottom w:val="nil"/>
              <w:right w:val="single" w:sz="2" w:space="0" w:color="003366"/>
            </w:tcBorders>
          </w:tcPr>
          <w:p w14:paraId="77A6088E" w14:textId="77777777" w:rsidR="000A77B9" w:rsidRPr="00B91A27" w:rsidRDefault="000A77B9" w:rsidP="000A77B9">
            <w:pPr>
              <w:pStyle w:val="TableReference"/>
              <w:tabs>
                <w:tab w:val="left" w:pos="3306"/>
              </w:tabs>
              <w:spacing w:before="60"/>
              <w:rPr>
                <w:rFonts w:cs="Calibri"/>
                <w:color w:val="auto"/>
                <w:sz w:val="16"/>
                <w:szCs w:val="16"/>
              </w:rPr>
            </w:pPr>
            <w:r w:rsidRPr="00B91A27">
              <w:rPr>
                <w:rFonts w:cs="Calibri"/>
                <w:color w:val="auto"/>
                <w:sz w:val="16"/>
                <w:szCs w:val="16"/>
              </w:rPr>
              <w:t>AASB 136.126(a)</w:t>
            </w:r>
          </w:p>
        </w:tc>
        <w:tc>
          <w:tcPr>
            <w:tcW w:w="2250" w:type="pct"/>
            <w:tcBorders>
              <w:top w:val="nil"/>
              <w:left w:val="single" w:sz="2" w:space="0" w:color="003366"/>
              <w:bottom w:val="nil"/>
              <w:right w:val="nil"/>
            </w:tcBorders>
            <w:vAlign w:val="bottom"/>
          </w:tcPr>
          <w:p w14:paraId="37A32812" w14:textId="77777777" w:rsidR="000A77B9" w:rsidRPr="00B91A27" w:rsidRDefault="000A77B9" w:rsidP="000A77B9">
            <w:pPr>
              <w:pStyle w:val="TableText0"/>
              <w:tabs>
                <w:tab w:val="left" w:pos="3306"/>
              </w:tabs>
              <w:rPr>
                <w:rFonts w:cs="Calibri"/>
              </w:rPr>
            </w:pPr>
            <w:r w:rsidRPr="00B91A27">
              <w:rPr>
                <w:rFonts w:cs="Calibri"/>
              </w:rPr>
              <w:t>Plant and Equipment</w:t>
            </w:r>
          </w:p>
        </w:tc>
        <w:tc>
          <w:tcPr>
            <w:tcW w:w="305" w:type="pct"/>
            <w:tcBorders>
              <w:top w:val="nil"/>
              <w:left w:val="nil"/>
              <w:bottom w:val="single" w:sz="4" w:space="0" w:color="003366"/>
              <w:right w:val="nil"/>
            </w:tcBorders>
            <w:vAlign w:val="bottom"/>
          </w:tcPr>
          <w:p w14:paraId="09451761" w14:textId="77777777" w:rsidR="000A77B9" w:rsidRPr="00CF7E1B" w:rsidRDefault="000A77B9" w:rsidP="000A77B9">
            <w:pPr>
              <w:pStyle w:val="TableText0"/>
              <w:tabs>
                <w:tab w:val="left" w:pos="3306"/>
              </w:tabs>
              <w:jc w:val="center"/>
              <w:rPr>
                <w:rFonts w:cs="Calibri"/>
              </w:rPr>
            </w:pPr>
          </w:p>
        </w:tc>
        <w:tc>
          <w:tcPr>
            <w:tcW w:w="604" w:type="pct"/>
            <w:tcBorders>
              <w:top w:val="nil"/>
              <w:left w:val="nil"/>
              <w:bottom w:val="single" w:sz="4" w:space="0" w:color="003366"/>
              <w:right w:val="nil"/>
            </w:tcBorders>
            <w:vAlign w:val="bottom"/>
          </w:tcPr>
          <w:p w14:paraId="3A9E99BD" w14:textId="77777777" w:rsidR="000A77B9" w:rsidRPr="00CF7E1B" w:rsidRDefault="000A77B9" w:rsidP="000A77B9">
            <w:pPr>
              <w:pStyle w:val="TableText0"/>
              <w:tabs>
                <w:tab w:val="left" w:pos="3306"/>
              </w:tabs>
              <w:jc w:val="right"/>
              <w:rPr>
                <w:rFonts w:cs="Calibri"/>
              </w:rPr>
            </w:pPr>
          </w:p>
        </w:tc>
        <w:tc>
          <w:tcPr>
            <w:tcW w:w="351" w:type="pct"/>
            <w:tcBorders>
              <w:top w:val="nil"/>
              <w:left w:val="nil"/>
              <w:bottom w:val="single" w:sz="4" w:space="0" w:color="003366"/>
              <w:right w:val="nil"/>
            </w:tcBorders>
            <w:vAlign w:val="bottom"/>
          </w:tcPr>
          <w:p w14:paraId="717CB5A8" w14:textId="77777777" w:rsidR="000A77B9" w:rsidRPr="00CF7E1B" w:rsidRDefault="000A77B9" w:rsidP="000A77B9">
            <w:pPr>
              <w:pStyle w:val="TableText0"/>
              <w:tabs>
                <w:tab w:val="left" w:pos="3306"/>
              </w:tabs>
              <w:jc w:val="center"/>
              <w:rPr>
                <w:rFonts w:cs="Calibri"/>
              </w:rPr>
            </w:pPr>
          </w:p>
        </w:tc>
        <w:tc>
          <w:tcPr>
            <w:tcW w:w="582" w:type="pct"/>
            <w:tcBorders>
              <w:top w:val="nil"/>
              <w:left w:val="nil"/>
              <w:bottom w:val="single" w:sz="4" w:space="0" w:color="003366"/>
              <w:right w:val="nil"/>
            </w:tcBorders>
            <w:vAlign w:val="bottom"/>
          </w:tcPr>
          <w:p w14:paraId="5851F19B" w14:textId="77777777" w:rsidR="000A77B9" w:rsidRPr="00CF7E1B" w:rsidRDefault="000A77B9" w:rsidP="000A77B9">
            <w:pPr>
              <w:pStyle w:val="TableText0"/>
              <w:tabs>
                <w:tab w:val="left" w:pos="3306"/>
              </w:tabs>
              <w:jc w:val="right"/>
              <w:rPr>
                <w:rFonts w:cs="Calibri"/>
              </w:rPr>
            </w:pPr>
          </w:p>
        </w:tc>
      </w:tr>
      <w:tr w:rsidR="000A77B9" w:rsidRPr="00CF7E1B" w14:paraId="0065746F" w14:textId="77777777" w:rsidTr="000A07A1">
        <w:trPr>
          <w:cantSplit/>
          <w:trHeight w:val="23"/>
        </w:trPr>
        <w:tc>
          <w:tcPr>
            <w:tcW w:w="909" w:type="pct"/>
            <w:tcBorders>
              <w:top w:val="nil"/>
              <w:left w:val="single" w:sz="2" w:space="0" w:color="003366"/>
              <w:bottom w:val="nil"/>
              <w:right w:val="single" w:sz="2" w:space="0" w:color="003366"/>
            </w:tcBorders>
          </w:tcPr>
          <w:p w14:paraId="782F830F" w14:textId="77777777" w:rsidR="000A77B9" w:rsidRPr="00B91A27" w:rsidRDefault="000A77B9" w:rsidP="000A77B9">
            <w:pPr>
              <w:pStyle w:val="TableReference"/>
              <w:tabs>
                <w:tab w:val="left" w:pos="3306"/>
              </w:tabs>
              <w:spacing w:before="60"/>
              <w:rPr>
                <w:rFonts w:cs="Calibri"/>
                <w:color w:val="auto"/>
                <w:sz w:val="16"/>
                <w:szCs w:val="16"/>
              </w:rPr>
            </w:pPr>
          </w:p>
        </w:tc>
        <w:tc>
          <w:tcPr>
            <w:tcW w:w="2250" w:type="pct"/>
            <w:tcBorders>
              <w:top w:val="nil"/>
              <w:left w:val="single" w:sz="2" w:space="0" w:color="003366"/>
              <w:bottom w:val="nil"/>
              <w:right w:val="nil"/>
            </w:tcBorders>
            <w:vAlign w:val="bottom"/>
          </w:tcPr>
          <w:p w14:paraId="51C3DBE5" w14:textId="77777777" w:rsidR="000A77B9" w:rsidRPr="00B91A27" w:rsidRDefault="000A77B9" w:rsidP="000A77B9">
            <w:pPr>
              <w:pStyle w:val="TableText0"/>
              <w:tabs>
                <w:tab w:val="left" w:pos="3306"/>
              </w:tabs>
              <w:rPr>
                <w:rFonts w:cs="Calibri"/>
              </w:rPr>
            </w:pPr>
            <w:r w:rsidRPr="00B91A27">
              <w:rPr>
                <w:rFonts w:cs="Calibri"/>
                <w:i/>
              </w:rPr>
              <w:t>Total Impairment Loss from Property, Plant and Equipment</w:t>
            </w:r>
          </w:p>
        </w:tc>
        <w:tc>
          <w:tcPr>
            <w:tcW w:w="305" w:type="pct"/>
            <w:tcBorders>
              <w:top w:val="single" w:sz="4" w:space="0" w:color="003366"/>
              <w:left w:val="nil"/>
              <w:bottom w:val="nil"/>
              <w:right w:val="nil"/>
            </w:tcBorders>
            <w:vAlign w:val="bottom"/>
          </w:tcPr>
          <w:p w14:paraId="61D7CD5C" w14:textId="77777777" w:rsidR="000A77B9" w:rsidRPr="00CF7E1B" w:rsidRDefault="000A77B9" w:rsidP="000A77B9">
            <w:pPr>
              <w:pStyle w:val="TableText0"/>
              <w:tabs>
                <w:tab w:val="left" w:pos="3306"/>
              </w:tabs>
              <w:jc w:val="center"/>
              <w:rPr>
                <w:rFonts w:cs="Calibri"/>
              </w:rPr>
            </w:pPr>
          </w:p>
        </w:tc>
        <w:tc>
          <w:tcPr>
            <w:tcW w:w="604" w:type="pct"/>
            <w:tcBorders>
              <w:top w:val="single" w:sz="4" w:space="0" w:color="003366"/>
              <w:left w:val="nil"/>
              <w:bottom w:val="nil"/>
              <w:right w:val="nil"/>
            </w:tcBorders>
            <w:vAlign w:val="bottom"/>
          </w:tcPr>
          <w:p w14:paraId="2EEE3537" w14:textId="77777777" w:rsidR="000A77B9" w:rsidRPr="00CF7E1B" w:rsidRDefault="000A77B9" w:rsidP="000A77B9">
            <w:pPr>
              <w:pStyle w:val="TableText0"/>
              <w:tabs>
                <w:tab w:val="left" w:pos="3306"/>
              </w:tabs>
              <w:jc w:val="right"/>
              <w:rPr>
                <w:rFonts w:cs="Calibri"/>
              </w:rPr>
            </w:pPr>
          </w:p>
        </w:tc>
        <w:tc>
          <w:tcPr>
            <w:tcW w:w="351" w:type="pct"/>
            <w:tcBorders>
              <w:top w:val="single" w:sz="4" w:space="0" w:color="003366"/>
              <w:left w:val="nil"/>
              <w:bottom w:val="nil"/>
              <w:right w:val="nil"/>
            </w:tcBorders>
            <w:vAlign w:val="bottom"/>
          </w:tcPr>
          <w:p w14:paraId="037C3CF3" w14:textId="77777777" w:rsidR="000A77B9" w:rsidRPr="00CF7E1B" w:rsidRDefault="000A77B9" w:rsidP="000A77B9">
            <w:pPr>
              <w:pStyle w:val="TableText0"/>
              <w:tabs>
                <w:tab w:val="left" w:pos="3306"/>
              </w:tabs>
              <w:jc w:val="center"/>
              <w:rPr>
                <w:rFonts w:cs="Calibri"/>
              </w:rPr>
            </w:pPr>
          </w:p>
        </w:tc>
        <w:tc>
          <w:tcPr>
            <w:tcW w:w="582" w:type="pct"/>
            <w:tcBorders>
              <w:top w:val="single" w:sz="4" w:space="0" w:color="003366"/>
              <w:left w:val="nil"/>
              <w:bottom w:val="nil"/>
              <w:right w:val="nil"/>
            </w:tcBorders>
            <w:vAlign w:val="bottom"/>
          </w:tcPr>
          <w:p w14:paraId="503AF212" w14:textId="77777777" w:rsidR="000A77B9" w:rsidRPr="00CF7E1B" w:rsidRDefault="000A77B9" w:rsidP="000A77B9">
            <w:pPr>
              <w:pStyle w:val="TableText0"/>
              <w:tabs>
                <w:tab w:val="left" w:pos="3306"/>
              </w:tabs>
              <w:jc w:val="right"/>
              <w:rPr>
                <w:rFonts w:cs="Calibri"/>
              </w:rPr>
            </w:pPr>
          </w:p>
        </w:tc>
      </w:tr>
      <w:tr w:rsidR="000A77B9" w:rsidRPr="00CF7E1B" w14:paraId="4454C936" w14:textId="77777777" w:rsidTr="000A07A1">
        <w:trPr>
          <w:cantSplit/>
          <w:trHeight w:val="23"/>
        </w:trPr>
        <w:tc>
          <w:tcPr>
            <w:tcW w:w="909" w:type="pct"/>
            <w:tcBorders>
              <w:top w:val="nil"/>
              <w:left w:val="single" w:sz="2" w:space="0" w:color="003366"/>
              <w:bottom w:val="nil"/>
              <w:right w:val="single" w:sz="2" w:space="0" w:color="003366"/>
            </w:tcBorders>
          </w:tcPr>
          <w:p w14:paraId="4F307C46" w14:textId="77777777" w:rsidR="000A77B9" w:rsidRPr="00B91A27" w:rsidRDefault="000A77B9" w:rsidP="000A77B9">
            <w:pPr>
              <w:pStyle w:val="TableReference"/>
              <w:tabs>
                <w:tab w:val="left" w:pos="3306"/>
              </w:tabs>
              <w:spacing w:before="40"/>
              <w:rPr>
                <w:rFonts w:cs="Calibri"/>
                <w:color w:val="auto"/>
                <w:sz w:val="16"/>
                <w:szCs w:val="16"/>
              </w:rPr>
            </w:pPr>
          </w:p>
        </w:tc>
        <w:tc>
          <w:tcPr>
            <w:tcW w:w="2250" w:type="pct"/>
            <w:tcBorders>
              <w:top w:val="nil"/>
              <w:left w:val="single" w:sz="2" w:space="0" w:color="003366"/>
              <w:bottom w:val="nil"/>
              <w:right w:val="nil"/>
            </w:tcBorders>
            <w:vAlign w:val="bottom"/>
          </w:tcPr>
          <w:p w14:paraId="121C5AE2" w14:textId="77777777" w:rsidR="000A77B9" w:rsidRPr="00B91A27" w:rsidRDefault="000A77B9" w:rsidP="000A77B9">
            <w:pPr>
              <w:pStyle w:val="TableText0"/>
              <w:tabs>
                <w:tab w:val="left" w:pos="3306"/>
              </w:tabs>
              <w:rPr>
                <w:rFonts w:cs="Calibri"/>
                <w:b/>
                <w:bCs/>
              </w:rPr>
            </w:pPr>
            <w:r w:rsidRPr="00B91A27">
              <w:rPr>
                <w:rFonts w:cs="Calibri"/>
                <w:b/>
                <w:bCs/>
              </w:rPr>
              <w:t>Total Impairment Losses</w:t>
            </w:r>
          </w:p>
        </w:tc>
        <w:tc>
          <w:tcPr>
            <w:tcW w:w="305" w:type="pct"/>
            <w:tcBorders>
              <w:top w:val="single" w:sz="4" w:space="0" w:color="003366"/>
              <w:left w:val="nil"/>
              <w:bottom w:val="single" w:sz="4" w:space="0" w:color="003366"/>
              <w:right w:val="nil"/>
            </w:tcBorders>
            <w:vAlign w:val="bottom"/>
          </w:tcPr>
          <w:p w14:paraId="64D73C9B" w14:textId="77777777" w:rsidR="000A77B9" w:rsidRPr="00CF7E1B" w:rsidRDefault="000A77B9" w:rsidP="000A77B9">
            <w:pPr>
              <w:pStyle w:val="TableText0"/>
              <w:tabs>
                <w:tab w:val="left" w:pos="3306"/>
              </w:tabs>
              <w:jc w:val="center"/>
              <w:rPr>
                <w:rFonts w:cs="Calibri"/>
                <w:b/>
                <w:bCs/>
              </w:rPr>
            </w:pPr>
          </w:p>
        </w:tc>
        <w:tc>
          <w:tcPr>
            <w:tcW w:w="604" w:type="pct"/>
            <w:tcBorders>
              <w:top w:val="single" w:sz="4" w:space="0" w:color="003366"/>
              <w:left w:val="nil"/>
              <w:bottom w:val="single" w:sz="4" w:space="0" w:color="003366"/>
              <w:right w:val="nil"/>
            </w:tcBorders>
            <w:vAlign w:val="bottom"/>
          </w:tcPr>
          <w:p w14:paraId="303D0277" w14:textId="77777777" w:rsidR="000A77B9" w:rsidRPr="00CF7E1B" w:rsidRDefault="000A77B9" w:rsidP="000A77B9">
            <w:pPr>
              <w:pStyle w:val="TableText0"/>
              <w:tabs>
                <w:tab w:val="left" w:pos="3306"/>
              </w:tabs>
              <w:jc w:val="right"/>
              <w:rPr>
                <w:rFonts w:cs="Calibri"/>
                <w:b/>
                <w:bCs/>
              </w:rPr>
            </w:pPr>
          </w:p>
        </w:tc>
        <w:tc>
          <w:tcPr>
            <w:tcW w:w="351" w:type="pct"/>
            <w:tcBorders>
              <w:top w:val="single" w:sz="4" w:space="0" w:color="003366"/>
              <w:left w:val="nil"/>
              <w:bottom w:val="single" w:sz="4" w:space="0" w:color="003366"/>
              <w:right w:val="nil"/>
            </w:tcBorders>
            <w:vAlign w:val="bottom"/>
          </w:tcPr>
          <w:p w14:paraId="2F94683F" w14:textId="77777777" w:rsidR="000A77B9" w:rsidRPr="00CF7E1B" w:rsidRDefault="000A77B9" w:rsidP="000A77B9">
            <w:pPr>
              <w:pStyle w:val="TableText0"/>
              <w:tabs>
                <w:tab w:val="left" w:pos="3306"/>
              </w:tabs>
              <w:jc w:val="center"/>
              <w:rPr>
                <w:rFonts w:cs="Calibri"/>
                <w:b/>
                <w:bCs/>
              </w:rPr>
            </w:pPr>
          </w:p>
        </w:tc>
        <w:tc>
          <w:tcPr>
            <w:tcW w:w="582" w:type="pct"/>
            <w:tcBorders>
              <w:top w:val="single" w:sz="4" w:space="0" w:color="003366"/>
              <w:left w:val="nil"/>
              <w:bottom w:val="single" w:sz="4" w:space="0" w:color="003366"/>
              <w:right w:val="nil"/>
            </w:tcBorders>
            <w:vAlign w:val="bottom"/>
          </w:tcPr>
          <w:p w14:paraId="6B700AA2" w14:textId="77777777" w:rsidR="000A77B9" w:rsidRPr="00CF7E1B" w:rsidRDefault="000A77B9" w:rsidP="000A77B9">
            <w:pPr>
              <w:pStyle w:val="TableText0"/>
              <w:tabs>
                <w:tab w:val="left" w:pos="3306"/>
              </w:tabs>
              <w:jc w:val="right"/>
              <w:rPr>
                <w:rFonts w:cs="Calibri"/>
                <w:b/>
                <w:bCs/>
              </w:rPr>
            </w:pPr>
          </w:p>
        </w:tc>
      </w:tr>
      <w:tr w:rsidR="000A77B9" w:rsidRPr="00CF7E1B" w14:paraId="46F6098B" w14:textId="77777777" w:rsidTr="000A07A1">
        <w:trPr>
          <w:cantSplit/>
          <w:trHeight w:val="23"/>
        </w:trPr>
        <w:tc>
          <w:tcPr>
            <w:tcW w:w="909" w:type="pct"/>
            <w:tcBorders>
              <w:top w:val="nil"/>
              <w:left w:val="single" w:sz="2" w:space="0" w:color="003366"/>
              <w:bottom w:val="nil"/>
              <w:right w:val="single" w:sz="2" w:space="0" w:color="003366"/>
            </w:tcBorders>
          </w:tcPr>
          <w:p w14:paraId="03B7E6E0" w14:textId="77777777" w:rsidR="000A77B9" w:rsidRPr="00B91A27" w:rsidRDefault="000A77B9" w:rsidP="000A77B9">
            <w:pPr>
              <w:pStyle w:val="TableReference"/>
              <w:tabs>
                <w:tab w:val="left" w:pos="3306"/>
              </w:tabs>
              <w:spacing w:before="40"/>
              <w:rPr>
                <w:rFonts w:cs="Calibri"/>
                <w:color w:val="auto"/>
                <w:sz w:val="16"/>
                <w:szCs w:val="16"/>
              </w:rPr>
            </w:pPr>
          </w:p>
        </w:tc>
        <w:tc>
          <w:tcPr>
            <w:tcW w:w="2250" w:type="pct"/>
            <w:tcBorders>
              <w:top w:val="nil"/>
              <w:left w:val="single" w:sz="2" w:space="0" w:color="003366"/>
              <w:bottom w:val="nil"/>
              <w:right w:val="nil"/>
            </w:tcBorders>
            <w:vAlign w:val="bottom"/>
          </w:tcPr>
          <w:p w14:paraId="4120D313" w14:textId="77777777" w:rsidR="000A77B9" w:rsidRPr="00B91A27" w:rsidRDefault="000A77B9" w:rsidP="000A77B9">
            <w:pPr>
              <w:pStyle w:val="TableText0"/>
              <w:tabs>
                <w:tab w:val="left" w:pos="3306"/>
              </w:tabs>
              <w:rPr>
                <w:rFonts w:cs="Calibri"/>
                <w:b/>
                <w:bCs/>
              </w:rPr>
            </w:pPr>
          </w:p>
        </w:tc>
        <w:tc>
          <w:tcPr>
            <w:tcW w:w="305" w:type="pct"/>
            <w:tcBorders>
              <w:top w:val="single" w:sz="4" w:space="0" w:color="003366"/>
              <w:left w:val="nil"/>
              <w:bottom w:val="single" w:sz="4" w:space="0" w:color="003366"/>
              <w:right w:val="nil"/>
            </w:tcBorders>
            <w:vAlign w:val="bottom"/>
          </w:tcPr>
          <w:p w14:paraId="234E667B" w14:textId="77777777" w:rsidR="000A77B9" w:rsidRPr="00CF7E1B" w:rsidRDefault="000A77B9" w:rsidP="000A77B9">
            <w:pPr>
              <w:pStyle w:val="TableText0"/>
              <w:tabs>
                <w:tab w:val="left" w:pos="3306"/>
              </w:tabs>
              <w:jc w:val="center"/>
              <w:rPr>
                <w:rFonts w:cs="Calibri"/>
                <w:b/>
                <w:bCs/>
              </w:rPr>
            </w:pPr>
          </w:p>
        </w:tc>
        <w:tc>
          <w:tcPr>
            <w:tcW w:w="604" w:type="pct"/>
            <w:tcBorders>
              <w:top w:val="single" w:sz="4" w:space="0" w:color="003366"/>
              <w:left w:val="nil"/>
              <w:bottom w:val="single" w:sz="4" w:space="0" w:color="003366"/>
              <w:right w:val="nil"/>
            </w:tcBorders>
            <w:vAlign w:val="bottom"/>
          </w:tcPr>
          <w:p w14:paraId="11BE49B7" w14:textId="77777777" w:rsidR="000A77B9" w:rsidRPr="00CF7E1B" w:rsidRDefault="000A77B9" w:rsidP="000A77B9">
            <w:pPr>
              <w:pStyle w:val="TableText0"/>
              <w:tabs>
                <w:tab w:val="left" w:pos="3306"/>
              </w:tabs>
              <w:jc w:val="right"/>
              <w:rPr>
                <w:rFonts w:cs="Calibri"/>
                <w:b/>
                <w:bCs/>
              </w:rPr>
            </w:pPr>
          </w:p>
        </w:tc>
        <w:tc>
          <w:tcPr>
            <w:tcW w:w="351" w:type="pct"/>
            <w:tcBorders>
              <w:top w:val="single" w:sz="4" w:space="0" w:color="003366"/>
              <w:left w:val="nil"/>
              <w:bottom w:val="single" w:sz="4" w:space="0" w:color="003366"/>
              <w:right w:val="nil"/>
            </w:tcBorders>
            <w:vAlign w:val="bottom"/>
          </w:tcPr>
          <w:p w14:paraId="4C1E9A77" w14:textId="77777777" w:rsidR="000A77B9" w:rsidRPr="00CF7E1B" w:rsidRDefault="000A77B9" w:rsidP="000A77B9">
            <w:pPr>
              <w:pStyle w:val="TableText0"/>
              <w:tabs>
                <w:tab w:val="left" w:pos="3306"/>
              </w:tabs>
              <w:jc w:val="center"/>
              <w:rPr>
                <w:rFonts w:cs="Calibri"/>
                <w:b/>
                <w:bCs/>
              </w:rPr>
            </w:pPr>
          </w:p>
        </w:tc>
        <w:tc>
          <w:tcPr>
            <w:tcW w:w="582" w:type="pct"/>
            <w:tcBorders>
              <w:top w:val="single" w:sz="4" w:space="0" w:color="003366"/>
              <w:left w:val="nil"/>
              <w:bottom w:val="single" w:sz="4" w:space="0" w:color="003366"/>
              <w:right w:val="nil"/>
            </w:tcBorders>
            <w:vAlign w:val="bottom"/>
          </w:tcPr>
          <w:p w14:paraId="4D18AEC8" w14:textId="77777777" w:rsidR="000A77B9" w:rsidRPr="00CF7E1B" w:rsidRDefault="000A77B9" w:rsidP="000A77B9">
            <w:pPr>
              <w:pStyle w:val="TableText0"/>
              <w:tabs>
                <w:tab w:val="left" w:pos="3306"/>
              </w:tabs>
              <w:jc w:val="right"/>
              <w:rPr>
                <w:rFonts w:cs="Calibri"/>
                <w:b/>
                <w:bCs/>
              </w:rPr>
            </w:pPr>
          </w:p>
        </w:tc>
      </w:tr>
      <w:tr w:rsidR="000A77B9" w:rsidRPr="00CF7E1B" w14:paraId="4A1985BF" w14:textId="77777777" w:rsidTr="000A07A1">
        <w:trPr>
          <w:cantSplit/>
          <w:trHeight w:val="23"/>
        </w:trPr>
        <w:tc>
          <w:tcPr>
            <w:tcW w:w="909" w:type="pct"/>
            <w:tcBorders>
              <w:top w:val="nil"/>
              <w:left w:val="single" w:sz="2" w:space="0" w:color="003366"/>
              <w:bottom w:val="nil"/>
              <w:right w:val="single" w:sz="2" w:space="0" w:color="003366"/>
            </w:tcBorders>
          </w:tcPr>
          <w:p w14:paraId="67D8FFFF" w14:textId="77777777" w:rsidR="000A77B9" w:rsidRPr="00B91A27" w:rsidRDefault="000A77B9" w:rsidP="000A77B9">
            <w:pPr>
              <w:pStyle w:val="TableReference"/>
              <w:tabs>
                <w:tab w:val="left" w:pos="3306"/>
              </w:tabs>
              <w:spacing w:before="40"/>
              <w:rPr>
                <w:rFonts w:cs="Calibri"/>
                <w:color w:val="auto"/>
                <w:sz w:val="16"/>
                <w:szCs w:val="16"/>
              </w:rPr>
            </w:pPr>
          </w:p>
        </w:tc>
        <w:tc>
          <w:tcPr>
            <w:tcW w:w="2250" w:type="pct"/>
            <w:tcBorders>
              <w:top w:val="nil"/>
              <w:left w:val="single" w:sz="2" w:space="0" w:color="003366"/>
              <w:bottom w:val="nil"/>
              <w:right w:val="nil"/>
            </w:tcBorders>
            <w:vAlign w:val="bottom"/>
          </w:tcPr>
          <w:p w14:paraId="0AE1C610" w14:textId="77777777" w:rsidR="000A77B9" w:rsidRPr="00B91A27" w:rsidRDefault="000A77B9" w:rsidP="000A77B9">
            <w:pPr>
              <w:pStyle w:val="TableText0"/>
              <w:tabs>
                <w:tab w:val="left" w:pos="3306"/>
              </w:tabs>
              <w:rPr>
                <w:rFonts w:cs="Calibri"/>
                <w:b/>
                <w:bCs/>
              </w:rPr>
            </w:pPr>
            <w:bookmarkStart w:id="89" w:name="_Toc48468484"/>
            <w:bookmarkStart w:id="90" w:name="_Toc49155601"/>
            <w:bookmarkStart w:id="91" w:name="_Toc49224050"/>
            <w:r w:rsidRPr="00B91A27">
              <w:rPr>
                <w:rFonts w:cs="Calibri"/>
                <w:b/>
                <w:bCs/>
              </w:rPr>
              <w:t>Write-offs</w:t>
            </w:r>
            <w:bookmarkEnd w:id="89"/>
            <w:bookmarkEnd w:id="90"/>
            <w:bookmarkEnd w:id="91"/>
          </w:p>
        </w:tc>
        <w:tc>
          <w:tcPr>
            <w:tcW w:w="305" w:type="pct"/>
            <w:tcBorders>
              <w:top w:val="nil"/>
              <w:left w:val="nil"/>
              <w:bottom w:val="nil"/>
              <w:right w:val="nil"/>
            </w:tcBorders>
            <w:vAlign w:val="bottom"/>
          </w:tcPr>
          <w:p w14:paraId="127800EC" w14:textId="77777777" w:rsidR="000A77B9" w:rsidRPr="00CF7E1B" w:rsidRDefault="000A77B9" w:rsidP="000A77B9">
            <w:pPr>
              <w:pStyle w:val="TableText0"/>
              <w:tabs>
                <w:tab w:val="left" w:pos="3306"/>
              </w:tabs>
              <w:jc w:val="center"/>
              <w:rPr>
                <w:rFonts w:cs="Calibri"/>
              </w:rPr>
            </w:pPr>
          </w:p>
        </w:tc>
        <w:tc>
          <w:tcPr>
            <w:tcW w:w="604" w:type="pct"/>
            <w:tcBorders>
              <w:top w:val="nil"/>
              <w:left w:val="nil"/>
              <w:bottom w:val="nil"/>
              <w:right w:val="nil"/>
            </w:tcBorders>
            <w:vAlign w:val="bottom"/>
          </w:tcPr>
          <w:p w14:paraId="20C81E8D" w14:textId="77777777" w:rsidR="000A77B9" w:rsidRPr="00CF7E1B" w:rsidRDefault="000A77B9" w:rsidP="000A77B9">
            <w:pPr>
              <w:pStyle w:val="TableText0"/>
              <w:tabs>
                <w:tab w:val="left" w:pos="3306"/>
              </w:tabs>
              <w:jc w:val="right"/>
              <w:rPr>
                <w:rFonts w:cs="Calibri"/>
              </w:rPr>
            </w:pPr>
          </w:p>
        </w:tc>
        <w:tc>
          <w:tcPr>
            <w:tcW w:w="351" w:type="pct"/>
            <w:tcBorders>
              <w:top w:val="nil"/>
              <w:left w:val="nil"/>
              <w:bottom w:val="nil"/>
              <w:right w:val="nil"/>
            </w:tcBorders>
            <w:vAlign w:val="bottom"/>
          </w:tcPr>
          <w:p w14:paraId="3848BF45" w14:textId="77777777" w:rsidR="000A77B9" w:rsidRPr="00CF7E1B" w:rsidRDefault="000A77B9" w:rsidP="000A77B9">
            <w:pPr>
              <w:pStyle w:val="TableText0"/>
              <w:tabs>
                <w:tab w:val="left" w:pos="3306"/>
              </w:tabs>
              <w:jc w:val="center"/>
              <w:rPr>
                <w:rFonts w:cs="Calibri"/>
              </w:rPr>
            </w:pPr>
          </w:p>
        </w:tc>
        <w:tc>
          <w:tcPr>
            <w:tcW w:w="582" w:type="pct"/>
            <w:tcBorders>
              <w:top w:val="nil"/>
              <w:left w:val="nil"/>
              <w:bottom w:val="nil"/>
              <w:right w:val="nil"/>
            </w:tcBorders>
            <w:vAlign w:val="bottom"/>
          </w:tcPr>
          <w:p w14:paraId="59DE8ECF" w14:textId="77777777" w:rsidR="000A77B9" w:rsidRPr="00CF7E1B" w:rsidRDefault="000A77B9" w:rsidP="000A77B9">
            <w:pPr>
              <w:pStyle w:val="TableText0"/>
              <w:tabs>
                <w:tab w:val="left" w:pos="3306"/>
              </w:tabs>
              <w:jc w:val="right"/>
              <w:rPr>
                <w:rFonts w:cs="Calibri"/>
              </w:rPr>
            </w:pPr>
          </w:p>
        </w:tc>
      </w:tr>
      <w:tr w:rsidR="000A77B9" w:rsidRPr="00CF7E1B" w14:paraId="275952DD" w14:textId="77777777" w:rsidTr="000A07A1">
        <w:trPr>
          <w:cantSplit/>
          <w:trHeight w:val="23"/>
        </w:trPr>
        <w:tc>
          <w:tcPr>
            <w:tcW w:w="909" w:type="pct"/>
            <w:tcBorders>
              <w:top w:val="nil"/>
              <w:left w:val="single" w:sz="2" w:space="0" w:color="003366"/>
              <w:bottom w:val="nil"/>
              <w:right w:val="single" w:sz="2" w:space="0" w:color="003366"/>
            </w:tcBorders>
          </w:tcPr>
          <w:p w14:paraId="502CD577" w14:textId="77777777" w:rsidR="000A77B9" w:rsidRPr="00B91A27" w:rsidRDefault="000A77B9" w:rsidP="000A77B9">
            <w:pPr>
              <w:pStyle w:val="TableReference"/>
              <w:tabs>
                <w:tab w:val="left" w:pos="3306"/>
              </w:tabs>
              <w:spacing w:before="40"/>
              <w:rPr>
                <w:rFonts w:cs="Calibri"/>
                <w:color w:val="auto"/>
                <w:sz w:val="16"/>
                <w:szCs w:val="16"/>
                <w:highlight w:val="cyan"/>
              </w:rPr>
            </w:pPr>
            <w:r w:rsidRPr="00B91A27">
              <w:rPr>
                <w:rFonts w:cs="Calibri"/>
                <w:color w:val="auto"/>
                <w:sz w:val="16"/>
                <w:szCs w:val="16"/>
              </w:rPr>
              <w:t>ACT Disclosure Policy</w:t>
            </w:r>
          </w:p>
        </w:tc>
        <w:tc>
          <w:tcPr>
            <w:tcW w:w="2250" w:type="pct"/>
            <w:tcBorders>
              <w:top w:val="nil"/>
              <w:left w:val="single" w:sz="2" w:space="0" w:color="003366"/>
              <w:bottom w:val="nil"/>
              <w:right w:val="nil"/>
            </w:tcBorders>
          </w:tcPr>
          <w:p w14:paraId="63061157" w14:textId="77777777" w:rsidR="000A77B9" w:rsidRPr="00B91A27" w:rsidRDefault="000A77B9" w:rsidP="000A77B9">
            <w:pPr>
              <w:pStyle w:val="TableText0"/>
              <w:tabs>
                <w:tab w:val="left" w:pos="3306"/>
              </w:tabs>
              <w:rPr>
                <w:rFonts w:cs="Calibri"/>
              </w:rPr>
            </w:pPr>
            <w:r w:rsidRPr="00B91A27">
              <w:rPr>
                <w:rFonts w:cs="Calibri"/>
              </w:rPr>
              <w:t>Losses or Deficiencies in Public Monies</w:t>
            </w:r>
          </w:p>
        </w:tc>
        <w:tc>
          <w:tcPr>
            <w:tcW w:w="305" w:type="pct"/>
            <w:tcBorders>
              <w:top w:val="nil"/>
              <w:left w:val="nil"/>
              <w:bottom w:val="nil"/>
              <w:right w:val="nil"/>
            </w:tcBorders>
            <w:vAlign w:val="bottom"/>
          </w:tcPr>
          <w:p w14:paraId="7AD43202" w14:textId="77777777" w:rsidR="000A77B9" w:rsidRPr="00CF7E1B" w:rsidRDefault="000A77B9" w:rsidP="000A77B9">
            <w:pPr>
              <w:pStyle w:val="TableText0"/>
              <w:tabs>
                <w:tab w:val="left" w:pos="3306"/>
              </w:tabs>
              <w:jc w:val="center"/>
              <w:rPr>
                <w:rFonts w:cs="Calibri"/>
              </w:rPr>
            </w:pPr>
          </w:p>
        </w:tc>
        <w:tc>
          <w:tcPr>
            <w:tcW w:w="604" w:type="pct"/>
            <w:tcBorders>
              <w:top w:val="nil"/>
              <w:left w:val="nil"/>
              <w:bottom w:val="nil"/>
              <w:right w:val="nil"/>
            </w:tcBorders>
            <w:vAlign w:val="bottom"/>
          </w:tcPr>
          <w:p w14:paraId="398F7D26" w14:textId="77777777" w:rsidR="000A77B9" w:rsidRPr="00CF7E1B" w:rsidRDefault="000A77B9" w:rsidP="000A77B9">
            <w:pPr>
              <w:pStyle w:val="TableText0"/>
              <w:tabs>
                <w:tab w:val="left" w:pos="3306"/>
              </w:tabs>
              <w:jc w:val="right"/>
              <w:rPr>
                <w:rFonts w:cs="Calibri"/>
              </w:rPr>
            </w:pPr>
          </w:p>
        </w:tc>
        <w:tc>
          <w:tcPr>
            <w:tcW w:w="351" w:type="pct"/>
            <w:tcBorders>
              <w:top w:val="nil"/>
              <w:left w:val="nil"/>
              <w:bottom w:val="nil"/>
              <w:right w:val="nil"/>
            </w:tcBorders>
            <w:vAlign w:val="bottom"/>
          </w:tcPr>
          <w:p w14:paraId="50C0EF8C" w14:textId="77777777" w:rsidR="000A77B9" w:rsidRPr="00CF7E1B" w:rsidRDefault="000A77B9" w:rsidP="000A77B9">
            <w:pPr>
              <w:pStyle w:val="TableText0"/>
              <w:tabs>
                <w:tab w:val="left" w:pos="3306"/>
              </w:tabs>
              <w:jc w:val="center"/>
              <w:rPr>
                <w:rFonts w:cs="Calibri"/>
              </w:rPr>
            </w:pPr>
          </w:p>
        </w:tc>
        <w:tc>
          <w:tcPr>
            <w:tcW w:w="582" w:type="pct"/>
            <w:tcBorders>
              <w:top w:val="nil"/>
              <w:left w:val="nil"/>
              <w:bottom w:val="nil"/>
              <w:right w:val="nil"/>
            </w:tcBorders>
            <w:vAlign w:val="bottom"/>
          </w:tcPr>
          <w:p w14:paraId="14B2B869" w14:textId="77777777" w:rsidR="000A77B9" w:rsidRPr="00CF7E1B" w:rsidRDefault="000A77B9" w:rsidP="000A77B9">
            <w:pPr>
              <w:pStyle w:val="TableText0"/>
              <w:tabs>
                <w:tab w:val="left" w:pos="3306"/>
              </w:tabs>
              <w:jc w:val="right"/>
              <w:rPr>
                <w:rFonts w:cs="Calibri"/>
              </w:rPr>
            </w:pPr>
          </w:p>
        </w:tc>
      </w:tr>
      <w:tr w:rsidR="000A77B9" w:rsidRPr="00CF7E1B" w14:paraId="630C70EA" w14:textId="77777777" w:rsidTr="000A07A1">
        <w:trPr>
          <w:cantSplit/>
          <w:trHeight w:val="23"/>
        </w:trPr>
        <w:tc>
          <w:tcPr>
            <w:tcW w:w="909" w:type="pct"/>
            <w:tcBorders>
              <w:top w:val="nil"/>
              <w:left w:val="single" w:sz="2" w:space="0" w:color="003366"/>
              <w:bottom w:val="nil"/>
              <w:right w:val="single" w:sz="2" w:space="0" w:color="003366"/>
            </w:tcBorders>
          </w:tcPr>
          <w:p w14:paraId="28CC9D09" w14:textId="77777777" w:rsidR="000A77B9" w:rsidRPr="00B91A27" w:rsidRDefault="000A77B9" w:rsidP="000A77B9">
            <w:pPr>
              <w:pStyle w:val="TableReference"/>
              <w:tabs>
                <w:tab w:val="left" w:pos="3306"/>
              </w:tabs>
              <w:spacing w:before="40"/>
              <w:rPr>
                <w:rFonts w:cs="Calibri"/>
                <w:color w:val="auto"/>
                <w:sz w:val="16"/>
                <w:szCs w:val="16"/>
                <w:highlight w:val="cyan"/>
              </w:rPr>
            </w:pPr>
            <w:r w:rsidRPr="00B91A27">
              <w:rPr>
                <w:rFonts w:cs="Calibri"/>
                <w:color w:val="auto"/>
                <w:sz w:val="16"/>
                <w:szCs w:val="16"/>
              </w:rPr>
              <w:t>ACT Disclosure Policy</w:t>
            </w:r>
          </w:p>
        </w:tc>
        <w:tc>
          <w:tcPr>
            <w:tcW w:w="2250" w:type="pct"/>
            <w:tcBorders>
              <w:top w:val="nil"/>
              <w:left w:val="single" w:sz="2" w:space="0" w:color="003366"/>
              <w:bottom w:val="nil"/>
              <w:right w:val="nil"/>
            </w:tcBorders>
          </w:tcPr>
          <w:p w14:paraId="4CB13750" w14:textId="77777777" w:rsidR="000A77B9" w:rsidRPr="00B91A27" w:rsidRDefault="000A77B9" w:rsidP="000A77B9">
            <w:pPr>
              <w:pStyle w:val="TableText0"/>
              <w:tabs>
                <w:tab w:val="left" w:pos="3306"/>
              </w:tabs>
              <w:rPr>
                <w:rFonts w:cs="Calibri"/>
              </w:rPr>
            </w:pPr>
            <w:r w:rsidRPr="00B91A27">
              <w:rPr>
                <w:rFonts w:cs="Calibri"/>
              </w:rPr>
              <w:t>Irrecoverable Debts</w:t>
            </w:r>
          </w:p>
        </w:tc>
        <w:tc>
          <w:tcPr>
            <w:tcW w:w="305" w:type="pct"/>
            <w:tcBorders>
              <w:top w:val="nil"/>
              <w:left w:val="nil"/>
              <w:bottom w:val="nil"/>
              <w:right w:val="nil"/>
            </w:tcBorders>
            <w:vAlign w:val="bottom"/>
          </w:tcPr>
          <w:p w14:paraId="45A3D81F" w14:textId="77777777" w:rsidR="000A77B9" w:rsidRPr="00CF7E1B" w:rsidRDefault="000A77B9" w:rsidP="000A77B9">
            <w:pPr>
              <w:pStyle w:val="TableText0"/>
              <w:tabs>
                <w:tab w:val="left" w:pos="3306"/>
              </w:tabs>
              <w:jc w:val="center"/>
              <w:rPr>
                <w:rFonts w:cs="Calibri"/>
              </w:rPr>
            </w:pPr>
          </w:p>
        </w:tc>
        <w:tc>
          <w:tcPr>
            <w:tcW w:w="604" w:type="pct"/>
            <w:tcBorders>
              <w:top w:val="nil"/>
              <w:left w:val="nil"/>
              <w:bottom w:val="nil"/>
              <w:right w:val="nil"/>
            </w:tcBorders>
            <w:vAlign w:val="bottom"/>
          </w:tcPr>
          <w:p w14:paraId="39A6F1DB" w14:textId="77777777" w:rsidR="000A77B9" w:rsidRPr="00CF7E1B" w:rsidRDefault="000A77B9" w:rsidP="000A77B9">
            <w:pPr>
              <w:pStyle w:val="TableText0"/>
              <w:tabs>
                <w:tab w:val="left" w:pos="3306"/>
              </w:tabs>
              <w:jc w:val="right"/>
              <w:rPr>
                <w:rFonts w:cs="Calibri"/>
              </w:rPr>
            </w:pPr>
          </w:p>
        </w:tc>
        <w:tc>
          <w:tcPr>
            <w:tcW w:w="351" w:type="pct"/>
            <w:tcBorders>
              <w:top w:val="nil"/>
              <w:left w:val="nil"/>
              <w:bottom w:val="nil"/>
              <w:right w:val="nil"/>
            </w:tcBorders>
            <w:vAlign w:val="bottom"/>
          </w:tcPr>
          <w:p w14:paraId="54993B2B" w14:textId="77777777" w:rsidR="000A77B9" w:rsidRPr="00CF7E1B" w:rsidRDefault="000A77B9" w:rsidP="000A77B9">
            <w:pPr>
              <w:pStyle w:val="TableText0"/>
              <w:tabs>
                <w:tab w:val="left" w:pos="3306"/>
              </w:tabs>
              <w:jc w:val="center"/>
              <w:rPr>
                <w:rFonts w:cs="Calibri"/>
              </w:rPr>
            </w:pPr>
          </w:p>
        </w:tc>
        <w:tc>
          <w:tcPr>
            <w:tcW w:w="582" w:type="pct"/>
            <w:tcBorders>
              <w:top w:val="nil"/>
              <w:left w:val="nil"/>
              <w:bottom w:val="nil"/>
              <w:right w:val="nil"/>
            </w:tcBorders>
            <w:vAlign w:val="bottom"/>
          </w:tcPr>
          <w:p w14:paraId="157FCDF2" w14:textId="77777777" w:rsidR="000A77B9" w:rsidRPr="00CF7E1B" w:rsidRDefault="000A77B9" w:rsidP="000A77B9">
            <w:pPr>
              <w:pStyle w:val="TableText0"/>
              <w:tabs>
                <w:tab w:val="left" w:pos="3306"/>
              </w:tabs>
              <w:jc w:val="right"/>
              <w:rPr>
                <w:rFonts w:cs="Calibri"/>
              </w:rPr>
            </w:pPr>
          </w:p>
        </w:tc>
      </w:tr>
      <w:tr w:rsidR="000A77B9" w:rsidRPr="00CF7E1B" w14:paraId="1411FC13" w14:textId="77777777" w:rsidTr="000A07A1">
        <w:trPr>
          <w:cantSplit/>
          <w:trHeight w:val="23"/>
        </w:trPr>
        <w:tc>
          <w:tcPr>
            <w:tcW w:w="909" w:type="pct"/>
            <w:tcBorders>
              <w:top w:val="nil"/>
              <w:left w:val="single" w:sz="2" w:space="0" w:color="003366"/>
              <w:bottom w:val="nil"/>
              <w:right w:val="single" w:sz="2" w:space="0" w:color="003366"/>
            </w:tcBorders>
          </w:tcPr>
          <w:p w14:paraId="58C830A9" w14:textId="77777777" w:rsidR="000A77B9" w:rsidRPr="005C7A5C" w:rsidRDefault="000A77B9" w:rsidP="000A77B9">
            <w:pPr>
              <w:pStyle w:val="TableReference"/>
              <w:tabs>
                <w:tab w:val="left" w:pos="3306"/>
              </w:tabs>
              <w:spacing w:before="40"/>
              <w:rPr>
                <w:rFonts w:cs="Calibri"/>
                <w:color w:val="auto"/>
                <w:sz w:val="16"/>
                <w:szCs w:val="16"/>
                <w:highlight w:val="cyan"/>
              </w:rPr>
            </w:pPr>
            <w:r w:rsidRPr="005C7A5C">
              <w:rPr>
                <w:rFonts w:cs="Calibri"/>
                <w:color w:val="auto"/>
                <w:sz w:val="16"/>
                <w:szCs w:val="16"/>
              </w:rPr>
              <w:t>ACT Disclosure Policy</w:t>
            </w:r>
          </w:p>
        </w:tc>
        <w:tc>
          <w:tcPr>
            <w:tcW w:w="2250" w:type="pct"/>
            <w:tcBorders>
              <w:top w:val="nil"/>
              <w:left w:val="single" w:sz="2" w:space="0" w:color="003366"/>
              <w:bottom w:val="nil"/>
              <w:right w:val="nil"/>
            </w:tcBorders>
          </w:tcPr>
          <w:p w14:paraId="1C1B84A0" w14:textId="77777777" w:rsidR="000A77B9" w:rsidRPr="00CF7E1B" w:rsidRDefault="000A77B9" w:rsidP="000A77B9">
            <w:pPr>
              <w:pStyle w:val="TableText0"/>
              <w:tabs>
                <w:tab w:val="left" w:pos="3306"/>
              </w:tabs>
              <w:rPr>
                <w:rFonts w:cs="Calibri"/>
              </w:rPr>
            </w:pPr>
            <w:r w:rsidRPr="00CF7E1B">
              <w:rPr>
                <w:rFonts w:cs="Calibri"/>
              </w:rPr>
              <w:t>Obsolete Stock</w:t>
            </w:r>
          </w:p>
        </w:tc>
        <w:tc>
          <w:tcPr>
            <w:tcW w:w="305" w:type="pct"/>
            <w:tcBorders>
              <w:top w:val="nil"/>
              <w:left w:val="nil"/>
              <w:bottom w:val="nil"/>
              <w:right w:val="nil"/>
            </w:tcBorders>
            <w:vAlign w:val="bottom"/>
          </w:tcPr>
          <w:p w14:paraId="66BBBEF8" w14:textId="77777777" w:rsidR="000A77B9" w:rsidRPr="00CF7E1B" w:rsidRDefault="000A77B9" w:rsidP="000A77B9">
            <w:pPr>
              <w:pStyle w:val="TableText0"/>
              <w:tabs>
                <w:tab w:val="left" w:pos="3306"/>
              </w:tabs>
              <w:jc w:val="center"/>
              <w:rPr>
                <w:rFonts w:cs="Calibri"/>
              </w:rPr>
            </w:pPr>
          </w:p>
        </w:tc>
        <w:tc>
          <w:tcPr>
            <w:tcW w:w="604" w:type="pct"/>
            <w:tcBorders>
              <w:top w:val="nil"/>
              <w:left w:val="nil"/>
              <w:bottom w:val="nil"/>
              <w:right w:val="nil"/>
            </w:tcBorders>
            <w:vAlign w:val="bottom"/>
          </w:tcPr>
          <w:p w14:paraId="4B9A2FEC" w14:textId="77777777" w:rsidR="000A77B9" w:rsidRPr="00CF7E1B" w:rsidRDefault="000A77B9" w:rsidP="000A77B9">
            <w:pPr>
              <w:pStyle w:val="TableText0"/>
              <w:tabs>
                <w:tab w:val="left" w:pos="3306"/>
              </w:tabs>
              <w:jc w:val="right"/>
              <w:rPr>
                <w:rFonts w:cs="Calibri"/>
              </w:rPr>
            </w:pPr>
          </w:p>
        </w:tc>
        <w:tc>
          <w:tcPr>
            <w:tcW w:w="351" w:type="pct"/>
            <w:tcBorders>
              <w:top w:val="nil"/>
              <w:left w:val="nil"/>
              <w:bottom w:val="nil"/>
              <w:right w:val="nil"/>
            </w:tcBorders>
            <w:vAlign w:val="bottom"/>
          </w:tcPr>
          <w:p w14:paraId="752D45ED" w14:textId="77777777" w:rsidR="000A77B9" w:rsidRPr="00CF7E1B" w:rsidRDefault="000A77B9" w:rsidP="000A77B9">
            <w:pPr>
              <w:pStyle w:val="TableText0"/>
              <w:tabs>
                <w:tab w:val="left" w:pos="3306"/>
              </w:tabs>
              <w:jc w:val="center"/>
              <w:rPr>
                <w:rFonts w:cs="Calibri"/>
              </w:rPr>
            </w:pPr>
          </w:p>
        </w:tc>
        <w:tc>
          <w:tcPr>
            <w:tcW w:w="582" w:type="pct"/>
            <w:tcBorders>
              <w:top w:val="nil"/>
              <w:left w:val="nil"/>
              <w:bottom w:val="nil"/>
              <w:right w:val="nil"/>
            </w:tcBorders>
            <w:vAlign w:val="bottom"/>
          </w:tcPr>
          <w:p w14:paraId="64E08317" w14:textId="77777777" w:rsidR="000A77B9" w:rsidRPr="00CF7E1B" w:rsidRDefault="000A77B9" w:rsidP="000A77B9">
            <w:pPr>
              <w:pStyle w:val="TableText0"/>
              <w:tabs>
                <w:tab w:val="left" w:pos="3306"/>
              </w:tabs>
              <w:jc w:val="right"/>
              <w:rPr>
                <w:rFonts w:cs="Calibri"/>
              </w:rPr>
            </w:pPr>
          </w:p>
        </w:tc>
      </w:tr>
      <w:tr w:rsidR="000A77B9" w:rsidRPr="00CF7E1B" w14:paraId="77DE40B7" w14:textId="77777777" w:rsidTr="000A07A1">
        <w:trPr>
          <w:cantSplit/>
          <w:trHeight w:val="23"/>
        </w:trPr>
        <w:tc>
          <w:tcPr>
            <w:tcW w:w="909" w:type="pct"/>
            <w:tcBorders>
              <w:top w:val="nil"/>
              <w:left w:val="single" w:sz="2" w:space="0" w:color="003366"/>
              <w:bottom w:val="nil"/>
              <w:right w:val="single" w:sz="2" w:space="0" w:color="003366"/>
            </w:tcBorders>
          </w:tcPr>
          <w:p w14:paraId="11001BE7" w14:textId="77777777" w:rsidR="000A77B9" w:rsidRPr="005C7A5C" w:rsidRDefault="000A77B9" w:rsidP="000A77B9">
            <w:pPr>
              <w:pStyle w:val="TableReference"/>
              <w:tabs>
                <w:tab w:val="left" w:pos="3306"/>
              </w:tabs>
              <w:spacing w:before="40"/>
              <w:rPr>
                <w:rFonts w:cs="Calibri"/>
                <w:color w:val="auto"/>
                <w:sz w:val="16"/>
                <w:szCs w:val="16"/>
              </w:rPr>
            </w:pPr>
          </w:p>
        </w:tc>
        <w:tc>
          <w:tcPr>
            <w:tcW w:w="2250" w:type="pct"/>
            <w:tcBorders>
              <w:top w:val="nil"/>
              <w:left w:val="single" w:sz="2" w:space="0" w:color="003366"/>
              <w:bottom w:val="nil"/>
              <w:right w:val="nil"/>
            </w:tcBorders>
            <w:vAlign w:val="bottom"/>
          </w:tcPr>
          <w:p w14:paraId="4C3B2CD5" w14:textId="77777777" w:rsidR="000A77B9" w:rsidRPr="00CF7E1B" w:rsidRDefault="000A77B9" w:rsidP="000A77B9">
            <w:pPr>
              <w:pStyle w:val="TableText0"/>
              <w:tabs>
                <w:tab w:val="left" w:pos="3306"/>
              </w:tabs>
              <w:rPr>
                <w:rFonts w:cs="Calibri"/>
                <w:b/>
                <w:bCs/>
              </w:rPr>
            </w:pPr>
            <w:bookmarkStart w:id="92" w:name="_Toc48468485"/>
            <w:bookmarkStart w:id="93" w:name="_Toc49155602"/>
            <w:bookmarkStart w:id="94" w:name="_Toc49224051"/>
            <w:r w:rsidRPr="00CF7E1B">
              <w:rPr>
                <w:rFonts w:cs="Calibri"/>
                <w:b/>
                <w:bCs/>
              </w:rPr>
              <w:t>Total Write-offs</w:t>
            </w:r>
            <w:bookmarkEnd w:id="92"/>
            <w:bookmarkEnd w:id="93"/>
            <w:bookmarkEnd w:id="94"/>
          </w:p>
        </w:tc>
        <w:tc>
          <w:tcPr>
            <w:tcW w:w="305" w:type="pct"/>
            <w:tcBorders>
              <w:top w:val="single" w:sz="4" w:space="0" w:color="003366"/>
              <w:left w:val="nil"/>
              <w:bottom w:val="single" w:sz="4" w:space="0" w:color="003366"/>
              <w:right w:val="nil"/>
            </w:tcBorders>
            <w:vAlign w:val="bottom"/>
          </w:tcPr>
          <w:p w14:paraId="1533BEE6" w14:textId="77777777" w:rsidR="000A77B9" w:rsidRPr="00CF7E1B" w:rsidRDefault="000A77B9" w:rsidP="000A77B9">
            <w:pPr>
              <w:pStyle w:val="TableText0"/>
              <w:tabs>
                <w:tab w:val="left" w:pos="3306"/>
              </w:tabs>
              <w:jc w:val="center"/>
              <w:rPr>
                <w:rFonts w:cs="Calibri"/>
                <w:b/>
                <w:bCs/>
              </w:rPr>
            </w:pPr>
          </w:p>
        </w:tc>
        <w:tc>
          <w:tcPr>
            <w:tcW w:w="604" w:type="pct"/>
            <w:tcBorders>
              <w:top w:val="single" w:sz="4" w:space="0" w:color="003366"/>
              <w:left w:val="nil"/>
              <w:bottom w:val="single" w:sz="4" w:space="0" w:color="003366"/>
              <w:right w:val="nil"/>
            </w:tcBorders>
            <w:vAlign w:val="bottom"/>
          </w:tcPr>
          <w:p w14:paraId="7D2F3705" w14:textId="77777777" w:rsidR="000A77B9" w:rsidRPr="00CF7E1B" w:rsidRDefault="000A77B9" w:rsidP="000A77B9">
            <w:pPr>
              <w:pStyle w:val="TableText0"/>
              <w:tabs>
                <w:tab w:val="left" w:pos="3306"/>
              </w:tabs>
              <w:jc w:val="right"/>
              <w:rPr>
                <w:rFonts w:cs="Calibri"/>
                <w:b/>
                <w:bCs/>
              </w:rPr>
            </w:pPr>
          </w:p>
        </w:tc>
        <w:tc>
          <w:tcPr>
            <w:tcW w:w="351" w:type="pct"/>
            <w:tcBorders>
              <w:top w:val="single" w:sz="4" w:space="0" w:color="003366"/>
              <w:left w:val="nil"/>
              <w:bottom w:val="single" w:sz="4" w:space="0" w:color="003366"/>
              <w:right w:val="nil"/>
            </w:tcBorders>
            <w:vAlign w:val="bottom"/>
          </w:tcPr>
          <w:p w14:paraId="175EC73C" w14:textId="77777777" w:rsidR="000A77B9" w:rsidRPr="00CF7E1B" w:rsidRDefault="000A77B9" w:rsidP="000A77B9">
            <w:pPr>
              <w:pStyle w:val="TableText0"/>
              <w:tabs>
                <w:tab w:val="left" w:pos="3306"/>
              </w:tabs>
              <w:jc w:val="center"/>
              <w:rPr>
                <w:rFonts w:cs="Calibri"/>
                <w:b/>
                <w:bCs/>
              </w:rPr>
            </w:pPr>
          </w:p>
        </w:tc>
        <w:tc>
          <w:tcPr>
            <w:tcW w:w="582" w:type="pct"/>
            <w:tcBorders>
              <w:top w:val="single" w:sz="4" w:space="0" w:color="003366"/>
              <w:left w:val="nil"/>
              <w:bottom w:val="single" w:sz="4" w:space="0" w:color="003366"/>
              <w:right w:val="nil"/>
            </w:tcBorders>
            <w:vAlign w:val="bottom"/>
          </w:tcPr>
          <w:p w14:paraId="2A0E0B8F" w14:textId="77777777" w:rsidR="000A77B9" w:rsidRPr="00CF7E1B" w:rsidRDefault="000A77B9" w:rsidP="000A77B9">
            <w:pPr>
              <w:pStyle w:val="TableText0"/>
              <w:tabs>
                <w:tab w:val="left" w:pos="3306"/>
              </w:tabs>
              <w:jc w:val="right"/>
              <w:rPr>
                <w:rFonts w:cs="Calibri"/>
                <w:b/>
                <w:bCs/>
              </w:rPr>
            </w:pPr>
          </w:p>
        </w:tc>
      </w:tr>
      <w:tr w:rsidR="000A77B9" w:rsidRPr="00CF7E1B" w14:paraId="0E7A9DDB" w14:textId="77777777" w:rsidTr="000A07A1">
        <w:trPr>
          <w:cantSplit/>
          <w:trHeight w:val="270"/>
        </w:trPr>
        <w:tc>
          <w:tcPr>
            <w:tcW w:w="909" w:type="pct"/>
            <w:tcBorders>
              <w:top w:val="nil"/>
              <w:left w:val="single" w:sz="2" w:space="0" w:color="003366"/>
              <w:bottom w:val="nil"/>
              <w:right w:val="single" w:sz="2" w:space="0" w:color="003366"/>
            </w:tcBorders>
          </w:tcPr>
          <w:p w14:paraId="2465AF88" w14:textId="77777777" w:rsidR="000A77B9" w:rsidRPr="005C7A5C" w:rsidRDefault="000A77B9" w:rsidP="000A77B9">
            <w:pPr>
              <w:pStyle w:val="TableReference"/>
              <w:tabs>
                <w:tab w:val="left" w:pos="3306"/>
              </w:tabs>
              <w:spacing w:before="40"/>
              <w:rPr>
                <w:rFonts w:cs="Calibri"/>
                <w:color w:val="auto"/>
                <w:sz w:val="16"/>
                <w:szCs w:val="16"/>
              </w:rPr>
            </w:pPr>
          </w:p>
        </w:tc>
        <w:tc>
          <w:tcPr>
            <w:tcW w:w="2250" w:type="pct"/>
            <w:tcBorders>
              <w:top w:val="nil"/>
              <w:left w:val="single" w:sz="2" w:space="0" w:color="003366"/>
              <w:bottom w:val="nil"/>
              <w:right w:val="nil"/>
            </w:tcBorders>
            <w:vAlign w:val="bottom"/>
          </w:tcPr>
          <w:p w14:paraId="6C0BC267" w14:textId="77777777" w:rsidR="000A77B9" w:rsidRPr="00CF7E1B" w:rsidRDefault="000A77B9" w:rsidP="000A77B9">
            <w:pPr>
              <w:pStyle w:val="TableText0"/>
              <w:tabs>
                <w:tab w:val="left" w:pos="3306"/>
              </w:tabs>
              <w:rPr>
                <w:rFonts w:cs="Calibri"/>
              </w:rPr>
            </w:pPr>
          </w:p>
        </w:tc>
        <w:tc>
          <w:tcPr>
            <w:tcW w:w="305" w:type="pct"/>
            <w:tcBorders>
              <w:top w:val="single" w:sz="4" w:space="0" w:color="003366"/>
              <w:left w:val="nil"/>
              <w:bottom w:val="single" w:sz="4" w:space="0" w:color="003366"/>
              <w:right w:val="nil"/>
            </w:tcBorders>
            <w:vAlign w:val="bottom"/>
          </w:tcPr>
          <w:p w14:paraId="1A2DECFF" w14:textId="77777777" w:rsidR="000A77B9" w:rsidRPr="00CF7E1B" w:rsidRDefault="000A77B9" w:rsidP="000A77B9">
            <w:pPr>
              <w:pStyle w:val="TableText0"/>
              <w:tabs>
                <w:tab w:val="left" w:pos="3306"/>
              </w:tabs>
              <w:jc w:val="center"/>
              <w:rPr>
                <w:rFonts w:cs="Calibri"/>
              </w:rPr>
            </w:pPr>
          </w:p>
        </w:tc>
        <w:tc>
          <w:tcPr>
            <w:tcW w:w="604" w:type="pct"/>
            <w:tcBorders>
              <w:top w:val="single" w:sz="4" w:space="0" w:color="003366"/>
              <w:left w:val="nil"/>
              <w:bottom w:val="single" w:sz="4" w:space="0" w:color="003366"/>
              <w:right w:val="nil"/>
            </w:tcBorders>
            <w:vAlign w:val="bottom"/>
          </w:tcPr>
          <w:p w14:paraId="6EE9A49D" w14:textId="77777777" w:rsidR="000A77B9" w:rsidRPr="00CF7E1B" w:rsidRDefault="000A77B9" w:rsidP="000A77B9">
            <w:pPr>
              <w:pStyle w:val="TableText0"/>
              <w:tabs>
                <w:tab w:val="left" w:pos="3306"/>
              </w:tabs>
              <w:jc w:val="right"/>
              <w:rPr>
                <w:rFonts w:cs="Calibri"/>
              </w:rPr>
            </w:pPr>
          </w:p>
        </w:tc>
        <w:tc>
          <w:tcPr>
            <w:tcW w:w="351" w:type="pct"/>
            <w:tcBorders>
              <w:top w:val="single" w:sz="4" w:space="0" w:color="003366"/>
              <w:left w:val="nil"/>
              <w:bottom w:val="single" w:sz="4" w:space="0" w:color="003366"/>
              <w:right w:val="nil"/>
            </w:tcBorders>
            <w:vAlign w:val="bottom"/>
          </w:tcPr>
          <w:p w14:paraId="145CFACC" w14:textId="77777777" w:rsidR="000A77B9" w:rsidRPr="00CF7E1B" w:rsidRDefault="000A77B9" w:rsidP="000A77B9">
            <w:pPr>
              <w:pStyle w:val="TableText0"/>
              <w:tabs>
                <w:tab w:val="left" w:pos="3306"/>
              </w:tabs>
              <w:jc w:val="center"/>
              <w:rPr>
                <w:rFonts w:cs="Calibri"/>
              </w:rPr>
            </w:pPr>
          </w:p>
        </w:tc>
        <w:tc>
          <w:tcPr>
            <w:tcW w:w="582" w:type="pct"/>
            <w:tcBorders>
              <w:top w:val="single" w:sz="4" w:space="0" w:color="003366"/>
              <w:left w:val="nil"/>
              <w:bottom w:val="single" w:sz="4" w:space="0" w:color="003366"/>
              <w:right w:val="nil"/>
            </w:tcBorders>
            <w:vAlign w:val="bottom"/>
          </w:tcPr>
          <w:p w14:paraId="4E0E1CFB" w14:textId="77777777" w:rsidR="000A77B9" w:rsidRPr="00CF7E1B" w:rsidRDefault="000A77B9" w:rsidP="000A77B9">
            <w:pPr>
              <w:pStyle w:val="TableText0"/>
              <w:tabs>
                <w:tab w:val="left" w:pos="3306"/>
              </w:tabs>
              <w:jc w:val="right"/>
              <w:rPr>
                <w:rFonts w:cs="Calibri"/>
              </w:rPr>
            </w:pPr>
          </w:p>
        </w:tc>
      </w:tr>
      <w:tr w:rsidR="000A77B9" w:rsidRPr="00CF7E1B" w14:paraId="2017AB14" w14:textId="77777777" w:rsidTr="000A07A1">
        <w:trPr>
          <w:cantSplit/>
          <w:trHeight w:val="23"/>
        </w:trPr>
        <w:tc>
          <w:tcPr>
            <w:tcW w:w="909" w:type="pct"/>
            <w:tcBorders>
              <w:top w:val="nil"/>
              <w:left w:val="single" w:sz="2" w:space="0" w:color="003366"/>
              <w:bottom w:val="nil"/>
              <w:right w:val="single" w:sz="2" w:space="0" w:color="003366"/>
            </w:tcBorders>
          </w:tcPr>
          <w:p w14:paraId="110697C7" w14:textId="77777777" w:rsidR="000A77B9" w:rsidRPr="005C7A5C" w:rsidRDefault="000A77B9" w:rsidP="000A77B9">
            <w:pPr>
              <w:pStyle w:val="TableReference"/>
              <w:tabs>
                <w:tab w:val="left" w:pos="3306"/>
              </w:tabs>
              <w:spacing w:before="40"/>
              <w:rPr>
                <w:rFonts w:cs="Calibri"/>
                <w:color w:val="auto"/>
                <w:sz w:val="16"/>
                <w:szCs w:val="16"/>
              </w:rPr>
            </w:pPr>
          </w:p>
        </w:tc>
        <w:tc>
          <w:tcPr>
            <w:tcW w:w="2250" w:type="pct"/>
            <w:tcBorders>
              <w:top w:val="nil"/>
              <w:left w:val="single" w:sz="2" w:space="0" w:color="003366"/>
              <w:bottom w:val="nil"/>
              <w:right w:val="nil"/>
            </w:tcBorders>
            <w:vAlign w:val="bottom"/>
          </w:tcPr>
          <w:p w14:paraId="44F97021" w14:textId="77777777" w:rsidR="000A77B9" w:rsidRPr="00CF7E1B" w:rsidRDefault="000A77B9" w:rsidP="000A77B9">
            <w:pPr>
              <w:pStyle w:val="TableText0"/>
              <w:tabs>
                <w:tab w:val="left" w:pos="3306"/>
              </w:tabs>
              <w:rPr>
                <w:rFonts w:cs="Calibri"/>
                <w:b/>
                <w:bCs/>
              </w:rPr>
            </w:pPr>
            <w:r w:rsidRPr="00CF7E1B">
              <w:rPr>
                <w:rFonts w:cs="Calibri"/>
                <w:b/>
                <w:bCs/>
              </w:rPr>
              <w:t>Total Waivers, Impairment Losses and Write-offs</w:t>
            </w:r>
          </w:p>
        </w:tc>
        <w:tc>
          <w:tcPr>
            <w:tcW w:w="305" w:type="pct"/>
            <w:tcBorders>
              <w:top w:val="single" w:sz="4" w:space="0" w:color="003366"/>
              <w:left w:val="nil"/>
              <w:bottom w:val="double" w:sz="4" w:space="0" w:color="003366"/>
              <w:right w:val="nil"/>
            </w:tcBorders>
            <w:vAlign w:val="bottom"/>
          </w:tcPr>
          <w:p w14:paraId="304F7CBA" w14:textId="77777777" w:rsidR="000A77B9" w:rsidRPr="00CF7E1B" w:rsidRDefault="000A77B9" w:rsidP="000A77B9">
            <w:pPr>
              <w:pStyle w:val="TableText0"/>
              <w:tabs>
                <w:tab w:val="left" w:pos="3306"/>
              </w:tabs>
              <w:jc w:val="center"/>
              <w:rPr>
                <w:rFonts w:cs="Calibri"/>
                <w:b/>
                <w:bCs/>
              </w:rPr>
            </w:pPr>
          </w:p>
        </w:tc>
        <w:tc>
          <w:tcPr>
            <w:tcW w:w="604" w:type="pct"/>
            <w:tcBorders>
              <w:top w:val="single" w:sz="4" w:space="0" w:color="003366"/>
              <w:left w:val="nil"/>
              <w:bottom w:val="double" w:sz="4" w:space="0" w:color="003366"/>
              <w:right w:val="nil"/>
            </w:tcBorders>
            <w:vAlign w:val="bottom"/>
          </w:tcPr>
          <w:p w14:paraId="7470C422" w14:textId="77777777" w:rsidR="000A77B9" w:rsidRPr="00230B67" w:rsidRDefault="000A77B9" w:rsidP="000A77B9">
            <w:pPr>
              <w:pStyle w:val="TableText0"/>
              <w:tabs>
                <w:tab w:val="left" w:pos="3306"/>
              </w:tabs>
              <w:jc w:val="right"/>
              <w:rPr>
                <w:rFonts w:cs="Calibri"/>
                <w:b/>
                <w:bCs/>
                <w:strike/>
              </w:rPr>
            </w:pPr>
          </w:p>
        </w:tc>
        <w:tc>
          <w:tcPr>
            <w:tcW w:w="351" w:type="pct"/>
            <w:tcBorders>
              <w:top w:val="single" w:sz="4" w:space="0" w:color="003366"/>
              <w:left w:val="nil"/>
              <w:bottom w:val="double" w:sz="4" w:space="0" w:color="003366"/>
              <w:right w:val="nil"/>
            </w:tcBorders>
            <w:vAlign w:val="bottom"/>
          </w:tcPr>
          <w:p w14:paraId="25214104" w14:textId="77777777" w:rsidR="000A77B9" w:rsidRPr="00CF7E1B" w:rsidRDefault="000A77B9" w:rsidP="000A77B9">
            <w:pPr>
              <w:pStyle w:val="TableText0"/>
              <w:tabs>
                <w:tab w:val="left" w:pos="3306"/>
              </w:tabs>
              <w:jc w:val="center"/>
              <w:rPr>
                <w:rFonts w:cs="Calibri"/>
                <w:b/>
                <w:bCs/>
              </w:rPr>
            </w:pPr>
          </w:p>
        </w:tc>
        <w:tc>
          <w:tcPr>
            <w:tcW w:w="582" w:type="pct"/>
            <w:tcBorders>
              <w:top w:val="single" w:sz="4" w:space="0" w:color="003366"/>
              <w:left w:val="nil"/>
              <w:bottom w:val="double" w:sz="4" w:space="0" w:color="003366"/>
              <w:right w:val="nil"/>
            </w:tcBorders>
            <w:vAlign w:val="bottom"/>
          </w:tcPr>
          <w:p w14:paraId="07C80941" w14:textId="77777777" w:rsidR="000A77B9" w:rsidRPr="00CF7E1B" w:rsidRDefault="000A77B9" w:rsidP="000A77B9">
            <w:pPr>
              <w:pStyle w:val="TableText0"/>
              <w:tabs>
                <w:tab w:val="left" w:pos="3306"/>
              </w:tabs>
              <w:jc w:val="right"/>
              <w:rPr>
                <w:rFonts w:cs="Calibri"/>
                <w:b/>
                <w:bCs/>
              </w:rPr>
            </w:pPr>
          </w:p>
        </w:tc>
      </w:tr>
      <w:tr w:rsidR="000A77B9" w:rsidRPr="00CF7E1B" w14:paraId="0BA3B219" w14:textId="77777777" w:rsidTr="000A07A1">
        <w:trPr>
          <w:cantSplit/>
          <w:trHeight w:val="23"/>
        </w:trPr>
        <w:tc>
          <w:tcPr>
            <w:tcW w:w="909" w:type="pct"/>
            <w:tcBorders>
              <w:top w:val="nil"/>
              <w:left w:val="single" w:sz="2" w:space="0" w:color="003366"/>
              <w:bottom w:val="nil"/>
              <w:right w:val="single" w:sz="2" w:space="0" w:color="003366"/>
            </w:tcBorders>
          </w:tcPr>
          <w:p w14:paraId="43228275" w14:textId="77777777" w:rsidR="000A77B9" w:rsidRPr="005C7A5C" w:rsidRDefault="000A77B9" w:rsidP="000A77B9">
            <w:pPr>
              <w:pStyle w:val="TableReference"/>
              <w:tabs>
                <w:tab w:val="left" w:pos="3306"/>
              </w:tabs>
              <w:spacing w:before="40"/>
              <w:rPr>
                <w:rFonts w:cs="Calibri"/>
                <w:color w:val="auto"/>
                <w:sz w:val="16"/>
                <w:szCs w:val="16"/>
              </w:rPr>
            </w:pPr>
          </w:p>
        </w:tc>
        <w:tc>
          <w:tcPr>
            <w:tcW w:w="4091" w:type="pct"/>
            <w:gridSpan w:val="5"/>
            <w:tcBorders>
              <w:top w:val="nil"/>
              <w:left w:val="single" w:sz="2" w:space="0" w:color="003366"/>
              <w:bottom w:val="nil"/>
              <w:right w:val="nil"/>
            </w:tcBorders>
            <w:vAlign w:val="bottom"/>
          </w:tcPr>
          <w:p w14:paraId="42F6A84F" w14:textId="77777777" w:rsidR="000A77B9" w:rsidRPr="00CF7E1B" w:rsidRDefault="000A77B9" w:rsidP="000A77B9">
            <w:pPr>
              <w:pStyle w:val="TableText0"/>
              <w:tabs>
                <w:tab w:val="left" w:pos="3306"/>
              </w:tabs>
              <w:jc w:val="right"/>
              <w:rPr>
                <w:rFonts w:cs="Calibri"/>
                <w:b/>
                <w:bCs/>
              </w:rPr>
            </w:pPr>
          </w:p>
        </w:tc>
      </w:tr>
    </w:tbl>
    <w:p w14:paraId="0F091DEC" w14:textId="6BCDAE5D" w:rsidR="000A77B9" w:rsidRDefault="000A77B9" w:rsidP="00E70895">
      <w:pPr>
        <w:pStyle w:val="Bullet1"/>
        <w:numPr>
          <w:ilvl w:val="0"/>
          <w:numId w:val="0"/>
        </w:numPr>
        <w:ind w:left="360"/>
        <w:rPr>
          <w:sz w:val="21"/>
          <w:szCs w:val="21"/>
        </w:rPr>
      </w:pPr>
    </w:p>
    <w:p w14:paraId="4CA71880" w14:textId="4163C3F0" w:rsidR="000A77B9" w:rsidRDefault="000A77B9" w:rsidP="00E70895">
      <w:pPr>
        <w:pStyle w:val="Bullet1"/>
        <w:numPr>
          <w:ilvl w:val="0"/>
          <w:numId w:val="0"/>
        </w:numPr>
        <w:ind w:left="360"/>
        <w:rPr>
          <w:sz w:val="21"/>
          <w:szCs w:val="21"/>
        </w:rPr>
      </w:pPr>
    </w:p>
    <w:p w14:paraId="2B609512" w14:textId="3343A6EF" w:rsidR="000A77B9" w:rsidRDefault="000A77B9" w:rsidP="00E70895">
      <w:pPr>
        <w:pStyle w:val="Bullet1"/>
        <w:numPr>
          <w:ilvl w:val="0"/>
          <w:numId w:val="0"/>
        </w:numPr>
        <w:ind w:left="360"/>
        <w:rPr>
          <w:sz w:val="21"/>
          <w:szCs w:val="21"/>
        </w:rPr>
      </w:pPr>
    </w:p>
    <w:p w14:paraId="4567FF08" w14:textId="77777777" w:rsidR="000A77B9" w:rsidRDefault="000A77B9" w:rsidP="00E70895">
      <w:pPr>
        <w:pStyle w:val="Bullet1"/>
        <w:numPr>
          <w:ilvl w:val="0"/>
          <w:numId w:val="0"/>
        </w:numPr>
        <w:ind w:left="360"/>
        <w:rPr>
          <w:sz w:val="21"/>
          <w:szCs w:val="21"/>
        </w:rPr>
      </w:pPr>
    </w:p>
    <w:p w14:paraId="301DE52F" w14:textId="77777777" w:rsidR="00B0598D" w:rsidRDefault="00B0598D" w:rsidP="00E70895">
      <w:pPr>
        <w:pStyle w:val="Bullet1"/>
        <w:numPr>
          <w:ilvl w:val="0"/>
          <w:numId w:val="0"/>
        </w:numPr>
        <w:ind w:left="360"/>
        <w:rPr>
          <w:sz w:val="21"/>
          <w:szCs w:val="21"/>
        </w:rPr>
      </w:pPr>
    </w:p>
    <w:p w14:paraId="165BEB42" w14:textId="77777777" w:rsidR="00B0598D" w:rsidRDefault="00B0598D" w:rsidP="00E70895">
      <w:pPr>
        <w:pStyle w:val="Bullet1"/>
        <w:numPr>
          <w:ilvl w:val="0"/>
          <w:numId w:val="0"/>
        </w:numPr>
        <w:ind w:left="360"/>
        <w:rPr>
          <w:sz w:val="21"/>
          <w:szCs w:val="21"/>
        </w:rPr>
      </w:pPr>
    </w:p>
    <w:tbl>
      <w:tblPr>
        <w:tblW w:w="9639"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7938"/>
      </w:tblGrid>
      <w:tr w:rsidR="00D41C21" w:rsidRPr="00CF7E1B" w14:paraId="4B202524" w14:textId="77777777" w:rsidTr="000A07A1">
        <w:trPr>
          <w:cantSplit/>
          <w:trHeight w:val="23"/>
        </w:trPr>
        <w:tc>
          <w:tcPr>
            <w:tcW w:w="1701" w:type="dxa"/>
            <w:tcBorders>
              <w:top w:val="nil"/>
              <w:left w:val="single" w:sz="2" w:space="0" w:color="003366"/>
              <w:bottom w:val="nil"/>
              <w:right w:val="single" w:sz="2" w:space="0" w:color="003366"/>
            </w:tcBorders>
          </w:tcPr>
          <w:p w14:paraId="42E557D1" w14:textId="77777777" w:rsidR="00D41C21" w:rsidRPr="00416D13" w:rsidRDefault="00D41C21" w:rsidP="00AF5C9D">
            <w:pPr>
              <w:pStyle w:val="TableReference"/>
              <w:tabs>
                <w:tab w:val="left" w:pos="3306"/>
              </w:tabs>
              <w:spacing w:before="240" w:after="240"/>
              <w:rPr>
                <w:rFonts w:cs="Calibri"/>
                <w:b/>
                <w:color w:val="auto"/>
                <w:sz w:val="20"/>
                <w:szCs w:val="20"/>
              </w:rPr>
            </w:pPr>
            <w:bookmarkStart w:id="95" w:name="EventsAfterBalanceDate" w:colFirst="1" w:colLast="1"/>
            <w:r w:rsidRPr="00416D13">
              <w:rPr>
                <w:rFonts w:cs="Calibri"/>
                <w:b/>
                <w:color w:val="auto"/>
                <w:sz w:val="20"/>
                <w:szCs w:val="20"/>
              </w:rPr>
              <w:lastRenderedPageBreak/>
              <w:t>Reference</w:t>
            </w:r>
          </w:p>
        </w:tc>
        <w:tc>
          <w:tcPr>
            <w:tcW w:w="7938" w:type="dxa"/>
            <w:tcBorders>
              <w:top w:val="nil"/>
              <w:left w:val="single" w:sz="2" w:space="0" w:color="003366"/>
              <w:bottom w:val="nil"/>
              <w:right w:val="nil"/>
            </w:tcBorders>
            <w:vAlign w:val="bottom"/>
          </w:tcPr>
          <w:p w14:paraId="7366D5AC" w14:textId="1C848540" w:rsidR="00D41C21" w:rsidRPr="00731AD1" w:rsidRDefault="00731AD1" w:rsidP="00731AD1">
            <w:pPr>
              <w:pStyle w:val="Normal1"/>
              <w:spacing w:before="240" w:after="240"/>
              <w:rPr>
                <w:rFonts w:asciiTheme="majorHAnsi" w:hAnsiTheme="majorHAnsi" w:cstheme="majorHAnsi"/>
                <w:b/>
                <w:bCs/>
                <w:sz w:val="32"/>
                <w:szCs w:val="32"/>
              </w:rPr>
            </w:pPr>
            <w:bookmarkStart w:id="96" w:name="_Toc49224243"/>
            <w:bookmarkStart w:id="97" w:name="_Ref50365741"/>
            <w:bookmarkStart w:id="98" w:name="_Toc50440400"/>
            <w:bookmarkStart w:id="99" w:name="_Ref50524282"/>
            <w:bookmarkStart w:id="100" w:name="_Toc400627363"/>
            <w:bookmarkStart w:id="101" w:name="_Toc43899014"/>
            <w:r w:rsidRPr="00731AD1">
              <w:rPr>
                <w:rFonts w:asciiTheme="majorHAnsi" w:hAnsiTheme="majorHAnsi" w:cstheme="majorHAnsi"/>
                <w:b/>
                <w:bCs/>
                <w:sz w:val="32"/>
                <w:szCs w:val="32"/>
              </w:rPr>
              <w:t>NOTE 46.   EVENTS AFTER</w:t>
            </w:r>
            <w:bookmarkEnd w:id="96"/>
            <w:bookmarkEnd w:id="97"/>
            <w:bookmarkEnd w:id="98"/>
            <w:bookmarkEnd w:id="99"/>
            <w:bookmarkEnd w:id="100"/>
            <w:r w:rsidRPr="00731AD1">
              <w:rPr>
                <w:rFonts w:asciiTheme="majorHAnsi" w:hAnsiTheme="majorHAnsi" w:cstheme="majorHAnsi"/>
                <w:b/>
                <w:bCs/>
                <w:sz w:val="32"/>
                <w:szCs w:val="32"/>
              </w:rPr>
              <w:t xml:space="preserve"> THE REPORTING PERIOD</w:t>
            </w:r>
            <w:bookmarkEnd w:id="101"/>
          </w:p>
        </w:tc>
      </w:tr>
      <w:bookmarkEnd w:id="95"/>
      <w:tr w:rsidR="00D41C21" w:rsidRPr="00CF7E1B" w14:paraId="5E910FFA" w14:textId="77777777" w:rsidTr="000A07A1">
        <w:trPr>
          <w:cantSplit/>
          <w:trHeight w:val="23"/>
        </w:trPr>
        <w:tc>
          <w:tcPr>
            <w:tcW w:w="1701" w:type="dxa"/>
            <w:tcBorders>
              <w:top w:val="nil"/>
              <w:left w:val="single" w:sz="2" w:space="0" w:color="003366"/>
              <w:bottom w:val="nil"/>
              <w:right w:val="single" w:sz="2" w:space="0" w:color="003366"/>
            </w:tcBorders>
          </w:tcPr>
          <w:p w14:paraId="7CE82EDC" w14:textId="77777777" w:rsidR="00E96962" w:rsidRDefault="00E96962" w:rsidP="00AF5C9D">
            <w:pPr>
              <w:pStyle w:val="TableReference"/>
              <w:tabs>
                <w:tab w:val="left" w:pos="3306"/>
              </w:tabs>
              <w:spacing w:before="40"/>
              <w:rPr>
                <w:rFonts w:cs="Calibri"/>
                <w:color w:val="auto"/>
                <w:sz w:val="16"/>
                <w:szCs w:val="16"/>
              </w:rPr>
            </w:pPr>
          </w:p>
          <w:p w14:paraId="21E4816A" w14:textId="77777777" w:rsidR="00E96962" w:rsidRDefault="00E96962" w:rsidP="00AF5C9D">
            <w:pPr>
              <w:pStyle w:val="TableReference"/>
              <w:tabs>
                <w:tab w:val="left" w:pos="3306"/>
              </w:tabs>
              <w:spacing w:before="40"/>
              <w:rPr>
                <w:rFonts w:cs="Calibri"/>
                <w:color w:val="auto"/>
                <w:sz w:val="16"/>
                <w:szCs w:val="16"/>
              </w:rPr>
            </w:pPr>
          </w:p>
          <w:p w14:paraId="2B3DA115" w14:textId="0EC475B6" w:rsidR="00D41C21" w:rsidRPr="00416D13" w:rsidRDefault="00D41C21" w:rsidP="00AF5C9D">
            <w:pPr>
              <w:pStyle w:val="TableReference"/>
              <w:tabs>
                <w:tab w:val="left" w:pos="3306"/>
              </w:tabs>
              <w:spacing w:before="40"/>
              <w:rPr>
                <w:rFonts w:cs="Calibri"/>
                <w:color w:val="auto"/>
                <w:sz w:val="16"/>
                <w:szCs w:val="16"/>
              </w:rPr>
            </w:pPr>
            <w:r w:rsidRPr="00416D13">
              <w:rPr>
                <w:rFonts w:cs="Calibri"/>
                <w:color w:val="auto"/>
                <w:sz w:val="16"/>
                <w:szCs w:val="16"/>
              </w:rPr>
              <w:t>AASB 110.21(a)</w:t>
            </w:r>
          </w:p>
          <w:p w14:paraId="765975A5" w14:textId="77777777" w:rsidR="00D41C21" w:rsidRPr="00416D13" w:rsidRDefault="00D41C21" w:rsidP="00AF5C9D">
            <w:pPr>
              <w:pStyle w:val="TableReference"/>
              <w:tabs>
                <w:tab w:val="left" w:pos="3306"/>
              </w:tabs>
              <w:spacing w:before="40"/>
              <w:rPr>
                <w:rFonts w:cs="Calibri"/>
                <w:color w:val="auto"/>
                <w:sz w:val="16"/>
                <w:szCs w:val="16"/>
              </w:rPr>
            </w:pPr>
          </w:p>
          <w:p w14:paraId="61034508" w14:textId="77777777" w:rsidR="00D41C21" w:rsidRPr="00416D13" w:rsidRDefault="00D41C21" w:rsidP="00AF5C9D">
            <w:pPr>
              <w:pStyle w:val="TableReference"/>
              <w:tabs>
                <w:tab w:val="left" w:pos="3306"/>
              </w:tabs>
              <w:spacing w:before="40"/>
              <w:rPr>
                <w:rFonts w:cs="Calibri"/>
                <w:color w:val="auto"/>
                <w:sz w:val="16"/>
                <w:szCs w:val="16"/>
              </w:rPr>
            </w:pPr>
          </w:p>
          <w:p w14:paraId="557C3B1E" w14:textId="77777777" w:rsidR="00D41C21" w:rsidRPr="00416D13" w:rsidRDefault="00D41C21" w:rsidP="00AF5C9D">
            <w:pPr>
              <w:pStyle w:val="TableReference"/>
              <w:tabs>
                <w:tab w:val="left" w:pos="3306"/>
              </w:tabs>
              <w:spacing w:before="40"/>
              <w:rPr>
                <w:rFonts w:cs="Calibri"/>
                <w:color w:val="auto"/>
                <w:sz w:val="16"/>
                <w:szCs w:val="16"/>
              </w:rPr>
            </w:pPr>
          </w:p>
        </w:tc>
        <w:tc>
          <w:tcPr>
            <w:tcW w:w="7938" w:type="dxa"/>
            <w:tcBorders>
              <w:top w:val="nil"/>
              <w:left w:val="single" w:sz="2" w:space="0" w:color="003366"/>
              <w:bottom w:val="nil"/>
              <w:right w:val="nil"/>
            </w:tcBorders>
            <w:vAlign w:val="bottom"/>
          </w:tcPr>
          <w:p w14:paraId="0E9D2E4A" w14:textId="77777777" w:rsidR="00E96962" w:rsidRPr="00E96962" w:rsidRDefault="00E96962" w:rsidP="00E96962">
            <w:pPr>
              <w:spacing w:before="120" w:after="120" w:line="240" w:lineRule="auto"/>
              <w:rPr>
                <w:rFonts w:ascii="Calibri" w:eastAsia="Times New Roman" w:hAnsi="Calibri" w:cs="Calibri"/>
                <w:b/>
                <w:bCs/>
                <w:color w:val="C54B0A" w:themeColor="accent5" w:themeShade="BF"/>
                <w:sz w:val="18"/>
                <w:szCs w:val="18"/>
                <w:lang w:eastAsia="en-US"/>
              </w:rPr>
            </w:pPr>
            <w:r w:rsidRPr="00E96962">
              <w:rPr>
                <w:rFonts w:cs="Calibri"/>
                <w:b/>
                <w:bCs/>
                <w:color w:val="C54B0A" w:themeColor="accent5" w:themeShade="BF"/>
                <w:sz w:val="18"/>
                <w:szCs w:val="18"/>
              </w:rPr>
              <w:t xml:space="preserve">Administrative Arrangement </w:t>
            </w:r>
            <w:r w:rsidRPr="00E96962">
              <w:rPr>
                <w:rFonts w:ascii="Calibri" w:eastAsia="Times New Roman" w:hAnsi="Calibri" w:cs="Calibri"/>
                <w:b/>
                <w:bCs/>
                <w:color w:val="C54B0A" w:themeColor="accent5" w:themeShade="BF"/>
                <w:sz w:val="18"/>
                <w:szCs w:val="18"/>
                <w:lang w:eastAsia="en-US"/>
              </w:rPr>
              <w:t>After the Reporting Period</w:t>
            </w:r>
          </w:p>
          <w:p w14:paraId="19F4C75E" w14:textId="0F31AD0A" w:rsidR="00D41C21" w:rsidRPr="00416D13" w:rsidRDefault="00D41C21" w:rsidP="00AF5C9D">
            <w:pPr>
              <w:pStyle w:val="TableText0"/>
              <w:spacing w:before="0" w:after="120"/>
              <w:jc w:val="both"/>
              <w:rPr>
                <w:rFonts w:cs="Calibri"/>
              </w:rPr>
            </w:pPr>
            <w:r w:rsidRPr="00416D13">
              <w:rPr>
                <w:rFonts w:cs="Calibri"/>
              </w:rPr>
              <w:t xml:space="preserve">On 1 July 2020, the Executive approved an administrative arrangement that involved restructuring the Agency by moving its land and planning division to ‘Receiving Directorate’. The movement of the land and planning division was undertaken because it was considered that this function was more closely aligned with the existing functions of ‘Receiving Directorate’.  The financial effect of the administrative arrangement is not reflected in the financial statements.    </w:t>
            </w:r>
          </w:p>
        </w:tc>
      </w:tr>
      <w:tr w:rsidR="00D41C21" w:rsidRPr="00CF7E1B" w14:paraId="3A84363B" w14:textId="77777777" w:rsidTr="000A07A1">
        <w:trPr>
          <w:cantSplit/>
          <w:trHeight w:val="23"/>
        </w:trPr>
        <w:tc>
          <w:tcPr>
            <w:tcW w:w="1701" w:type="dxa"/>
            <w:tcBorders>
              <w:top w:val="nil"/>
              <w:left w:val="single" w:sz="2" w:space="0" w:color="003366"/>
              <w:bottom w:val="nil"/>
              <w:right w:val="single" w:sz="2" w:space="0" w:color="003366"/>
            </w:tcBorders>
          </w:tcPr>
          <w:p w14:paraId="7E1ED7D0" w14:textId="77777777" w:rsidR="00D41C21" w:rsidRPr="00416D13" w:rsidRDefault="00D41C21" w:rsidP="00AF5C9D">
            <w:pPr>
              <w:pStyle w:val="TableReference"/>
              <w:tabs>
                <w:tab w:val="left" w:pos="3306"/>
              </w:tabs>
              <w:spacing w:before="40"/>
              <w:rPr>
                <w:rFonts w:cs="Calibri"/>
                <w:color w:val="auto"/>
                <w:sz w:val="16"/>
                <w:szCs w:val="16"/>
                <w:highlight w:val="cyan"/>
              </w:rPr>
            </w:pPr>
            <w:r w:rsidRPr="00416D13">
              <w:rPr>
                <w:rFonts w:cs="Calibri"/>
                <w:color w:val="auto"/>
                <w:sz w:val="16"/>
                <w:szCs w:val="16"/>
              </w:rPr>
              <w:t>AASB 110.21(b)</w:t>
            </w:r>
          </w:p>
        </w:tc>
        <w:tc>
          <w:tcPr>
            <w:tcW w:w="7938" w:type="dxa"/>
            <w:tcBorders>
              <w:top w:val="nil"/>
              <w:left w:val="single" w:sz="2" w:space="0" w:color="003366"/>
              <w:bottom w:val="nil"/>
              <w:right w:val="nil"/>
            </w:tcBorders>
            <w:vAlign w:val="bottom"/>
          </w:tcPr>
          <w:p w14:paraId="6DDDF791" w14:textId="77777777" w:rsidR="00D41C21" w:rsidRDefault="00D41C21" w:rsidP="00AF5C9D">
            <w:pPr>
              <w:pStyle w:val="TableText0"/>
              <w:spacing w:before="0" w:after="120"/>
              <w:jc w:val="both"/>
              <w:rPr>
                <w:rFonts w:cs="Calibri"/>
              </w:rPr>
            </w:pPr>
            <w:r w:rsidRPr="00416D13">
              <w:rPr>
                <w:rFonts w:cs="Calibri"/>
              </w:rPr>
              <w:t>The total value of net assets transferred between the Agency and ‘Receiving Directorate’ after the reporting period was $</w:t>
            </w:r>
            <w:r>
              <w:rPr>
                <w:rFonts w:cs="Calibri"/>
              </w:rPr>
              <w:t>XXX</w:t>
            </w:r>
            <w:r w:rsidRPr="00416D13">
              <w:rPr>
                <w:rFonts w:cs="Calibri"/>
              </w:rPr>
              <w:t xml:space="preserve">. </w:t>
            </w:r>
          </w:p>
          <w:p w14:paraId="2F7951C7" w14:textId="3103E72D" w:rsidR="00E96962" w:rsidRPr="00E96962" w:rsidRDefault="00E96962" w:rsidP="00E96962">
            <w:pPr>
              <w:spacing w:before="240" w:after="120" w:line="240" w:lineRule="auto"/>
              <w:rPr>
                <w:rFonts w:ascii="Calibri" w:eastAsia="Times New Roman" w:hAnsi="Calibri" w:cs="Calibri"/>
                <w:b/>
                <w:bCs/>
                <w:color w:val="C54B0A" w:themeColor="accent5" w:themeShade="BF"/>
                <w:sz w:val="18"/>
                <w:szCs w:val="18"/>
                <w:lang w:eastAsia="en-US"/>
              </w:rPr>
            </w:pPr>
            <w:r w:rsidRPr="00E96962">
              <w:rPr>
                <w:rFonts w:ascii="Calibri" w:eastAsia="Times New Roman" w:hAnsi="Calibri" w:cs="Calibri"/>
                <w:b/>
                <w:bCs/>
                <w:color w:val="C54B0A" w:themeColor="accent5" w:themeShade="BF"/>
                <w:sz w:val="18"/>
                <w:szCs w:val="18"/>
                <w:lang w:eastAsia="en-US"/>
              </w:rPr>
              <w:t xml:space="preserve">COVID-19 </w:t>
            </w:r>
            <w:r>
              <w:rPr>
                <w:rFonts w:ascii="Calibri" w:eastAsia="Times New Roman" w:hAnsi="Calibri" w:cs="Calibri"/>
                <w:b/>
                <w:bCs/>
                <w:color w:val="C54B0A" w:themeColor="accent5" w:themeShade="BF"/>
                <w:sz w:val="18"/>
                <w:szCs w:val="18"/>
                <w:lang w:eastAsia="en-US"/>
              </w:rPr>
              <w:t>Events After the Reporting Period</w:t>
            </w:r>
          </w:p>
          <w:p w14:paraId="004A3948" w14:textId="75EF31F9" w:rsidR="00D41C21" w:rsidRPr="00D41C21" w:rsidRDefault="00D41C21" w:rsidP="00E96962">
            <w:pPr>
              <w:spacing w:line="240" w:lineRule="auto"/>
              <w:rPr>
                <w:lang w:eastAsia="en-US"/>
              </w:rPr>
            </w:pPr>
            <w:r w:rsidRPr="00E96962">
              <w:rPr>
                <w:rFonts w:ascii="Calibri" w:eastAsia="Times New Roman" w:hAnsi="Calibri" w:cs="Calibri"/>
                <w:color w:val="C54B0A" w:themeColor="accent5" w:themeShade="BF"/>
                <w:sz w:val="18"/>
                <w:szCs w:val="18"/>
                <w:lang w:eastAsia="en-US"/>
              </w:rPr>
              <w:t xml:space="preserve">In </w:t>
            </w:r>
            <w:r w:rsidR="001A6D55" w:rsidRPr="00E96962">
              <w:rPr>
                <w:rFonts w:ascii="Calibri" w:eastAsia="Times New Roman" w:hAnsi="Calibri" w:cs="Calibri"/>
                <w:color w:val="C54B0A" w:themeColor="accent5" w:themeShade="BF"/>
                <w:sz w:val="18"/>
                <w:szCs w:val="18"/>
                <w:lang w:eastAsia="en-US"/>
              </w:rPr>
              <w:t>mid-July</w:t>
            </w:r>
            <w:r w:rsidRPr="00E96962">
              <w:rPr>
                <w:rFonts w:ascii="Calibri" w:eastAsia="Times New Roman" w:hAnsi="Calibri" w:cs="Calibri"/>
                <w:color w:val="C54B0A" w:themeColor="accent5" w:themeShade="BF"/>
                <w:sz w:val="18"/>
                <w:szCs w:val="18"/>
                <w:lang w:eastAsia="en-US"/>
              </w:rPr>
              <w:t xml:space="preserve"> 2021 it was discovered that </w:t>
            </w:r>
            <w:r w:rsidR="005F3898">
              <w:rPr>
                <w:rFonts w:ascii="Calibri" w:eastAsia="Times New Roman" w:hAnsi="Calibri" w:cs="Calibri"/>
                <w:color w:val="C54B0A" w:themeColor="accent5" w:themeShade="BF"/>
                <w:sz w:val="18"/>
                <w:szCs w:val="18"/>
                <w:lang w:eastAsia="en-US"/>
              </w:rPr>
              <w:t>two</w:t>
            </w:r>
            <w:r w:rsidR="005F3898" w:rsidRPr="00E96962">
              <w:rPr>
                <w:rFonts w:ascii="Calibri" w:eastAsia="Times New Roman" w:hAnsi="Calibri" w:cs="Calibri"/>
                <w:color w:val="C54B0A" w:themeColor="accent5" w:themeShade="BF"/>
                <w:sz w:val="18"/>
                <w:szCs w:val="18"/>
                <w:lang w:eastAsia="en-US"/>
              </w:rPr>
              <w:t xml:space="preserve"> </w:t>
            </w:r>
            <w:r w:rsidRPr="00E96962">
              <w:rPr>
                <w:rFonts w:ascii="Calibri" w:eastAsia="Times New Roman" w:hAnsi="Calibri" w:cs="Calibri"/>
                <w:color w:val="C54B0A" w:themeColor="accent5" w:themeShade="BF"/>
                <w:sz w:val="18"/>
                <w:szCs w:val="18"/>
                <w:lang w:eastAsia="en-US"/>
              </w:rPr>
              <w:t xml:space="preserve">families from Sydney were COVID-19 positive </w:t>
            </w:r>
            <w:r w:rsidR="005F3898">
              <w:rPr>
                <w:rFonts w:ascii="Calibri" w:eastAsia="Times New Roman" w:hAnsi="Calibri" w:cs="Calibri"/>
                <w:color w:val="C54B0A" w:themeColor="accent5" w:themeShade="BF"/>
                <w:sz w:val="18"/>
                <w:szCs w:val="18"/>
                <w:lang w:eastAsia="en-US"/>
              </w:rPr>
              <w:t xml:space="preserve">and </w:t>
            </w:r>
            <w:r w:rsidRPr="00E96962">
              <w:rPr>
                <w:rFonts w:ascii="Calibri" w:eastAsia="Times New Roman" w:hAnsi="Calibri" w:cs="Calibri"/>
                <w:color w:val="C54B0A" w:themeColor="accent5" w:themeShade="BF"/>
                <w:sz w:val="18"/>
                <w:szCs w:val="18"/>
                <w:lang w:eastAsia="en-US"/>
              </w:rPr>
              <w:t xml:space="preserve">had travelled </w:t>
            </w:r>
            <w:r w:rsidR="00E96962" w:rsidRPr="00E96962">
              <w:rPr>
                <w:rFonts w:ascii="Calibri" w:eastAsia="Times New Roman" w:hAnsi="Calibri" w:cs="Calibri"/>
                <w:color w:val="C54B0A" w:themeColor="accent5" w:themeShade="BF"/>
                <w:sz w:val="18"/>
                <w:szCs w:val="18"/>
                <w:lang w:eastAsia="en-US"/>
              </w:rPr>
              <w:t>to and</w:t>
            </w:r>
            <w:r w:rsidRPr="00E96962">
              <w:rPr>
                <w:rFonts w:ascii="Calibri" w:eastAsia="Times New Roman" w:hAnsi="Calibri" w:cs="Calibri"/>
                <w:color w:val="C54B0A" w:themeColor="accent5" w:themeShade="BF"/>
                <w:sz w:val="18"/>
                <w:szCs w:val="18"/>
                <w:lang w:eastAsia="en-US"/>
              </w:rPr>
              <w:t xml:space="preserve"> visited several sites within Canberra. This led to 23 locally acquired cases in Canberra and result</w:t>
            </w:r>
            <w:r w:rsidR="00E96962" w:rsidRPr="00E96962">
              <w:rPr>
                <w:rFonts w:ascii="Calibri" w:eastAsia="Times New Roman" w:hAnsi="Calibri" w:cs="Calibri"/>
                <w:color w:val="C54B0A" w:themeColor="accent5" w:themeShade="BF"/>
                <w:sz w:val="18"/>
                <w:szCs w:val="18"/>
                <w:lang w:eastAsia="en-US"/>
              </w:rPr>
              <w:t>ed</w:t>
            </w:r>
            <w:r w:rsidRPr="00E96962">
              <w:rPr>
                <w:rFonts w:ascii="Calibri" w:eastAsia="Times New Roman" w:hAnsi="Calibri" w:cs="Calibri"/>
                <w:color w:val="C54B0A" w:themeColor="accent5" w:themeShade="BF"/>
                <w:sz w:val="18"/>
                <w:szCs w:val="18"/>
                <w:lang w:eastAsia="en-US"/>
              </w:rPr>
              <w:t xml:space="preserve"> </w:t>
            </w:r>
            <w:r w:rsidR="00E96962" w:rsidRPr="00E96962">
              <w:rPr>
                <w:rFonts w:ascii="Calibri" w:eastAsia="Times New Roman" w:hAnsi="Calibri" w:cs="Calibri"/>
                <w:color w:val="C54B0A" w:themeColor="accent5" w:themeShade="BF"/>
                <w:sz w:val="18"/>
                <w:szCs w:val="18"/>
                <w:lang w:eastAsia="en-US"/>
              </w:rPr>
              <w:t xml:space="preserve">in </w:t>
            </w:r>
            <w:r w:rsidRPr="00E96962">
              <w:rPr>
                <w:rFonts w:ascii="Calibri" w:eastAsia="Times New Roman" w:hAnsi="Calibri" w:cs="Calibri"/>
                <w:color w:val="C54B0A" w:themeColor="accent5" w:themeShade="BF"/>
                <w:sz w:val="18"/>
                <w:szCs w:val="18"/>
                <w:lang w:eastAsia="en-US"/>
              </w:rPr>
              <w:t>the ACT Government decid</w:t>
            </w:r>
            <w:r w:rsidR="00E96962" w:rsidRPr="00E96962">
              <w:rPr>
                <w:rFonts w:ascii="Calibri" w:eastAsia="Times New Roman" w:hAnsi="Calibri" w:cs="Calibri"/>
                <w:color w:val="C54B0A" w:themeColor="accent5" w:themeShade="BF"/>
                <w:sz w:val="18"/>
                <w:szCs w:val="18"/>
                <w:lang w:eastAsia="en-US"/>
              </w:rPr>
              <w:t>ing</w:t>
            </w:r>
            <w:r w:rsidRPr="00E96962">
              <w:rPr>
                <w:rFonts w:ascii="Calibri" w:eastAsia="Times New Roman" w:hAnsi="Calibri" w:cs="Calibri"/>
                <w:color w:val="C54B0A" w:themeColor="accent5" w:themeShade="BF"/>
                <w:sz w:val="18"/>
                <w:szCs w:val="18"/>
                <w:lang w:eastAsia="en-US"/>
              </w:rPr>
              <w:t xml:space="preserve"> to cease operating public transport for </w:t>
            </w:r>
            <w:r w:rsidR="00844A14">
              <w:rPr>
                <w:rFonts w:ascii="Calibri" w:eastAsia="Times New Roman" w:hAnsi="Calibri" w:cs="Calibri"/>
                <w:color w:val="C54B0A" w:themeColor="accent5" w:themeShade="BF"/>
                <w:sz w:val="18"/>
                <w:szCs w:val="18"/>
                <w:lang w:eastAsia="en-US"/>
              </w:rPr>
              <w:t xml:space="preserve">a </w:t>
            </w:r>
            <w:r w:rsidR="007E3900">
              <w:rPr>
                <w:rFonts w:ascii="Calibri" w:eastAsia="Times New Roman" w:hAnsi="Calibri" w:cs="Calibri"/>
                <w:color w:val="C54B0A" w:themeColor="accent5" w:themeShade="BF"/>
                <w:sz w:val="18"/>
                <w:szCs w:val="18"/>
                <w:lang w:eastAsia="en-US"/>
              </w:rPr>
              <w:t>six</w:t>
            </w:r>
            <w:r w:rsidR="00844A14" w:rsidRPr="00E96962">
              <w:rPr>
                <w:rFonts w:ascii="Calibri" w:eastAsia="Times New Roman" w:hAnsi="Calibri" w:cs="Calibri"/>
                <w:color w:val="C54B0A" w:themeColor="accent5" w:themeShade="BF"/>
                <w:sz w:val="18"/>
                <w:szCs w:val="18"/>
                <w:lang w:eastAsia="en-US"/>
              </w:rPr>
              <w:t>-week</w:t>
            </w:r>
            <w:r w:rsidR="00E96962" w:rsidRPr="00E96962">
              <w:rPr>
                <w:rFonts w:ascii="Calibri" w:eastAsia="Times New Roman" w:hAnsi="Calibri" w:cs="Calibri"/>
                <w:color w:val="C54B0A" w:themeColor="accent5" w:themeShade="BF"/>
                <w:sz w:val="18"/>
                <w:szCs w:val="18"/>
                <w:lang w:eastAsia="en-US"/>
              </w:rPr>
              <w:t xml:space="preserve"> </w:t>
            </w:r>
            <w:r w:rsidR="00844A14">
              <w:rPr>
                <w:rFonts w:ascii="Calibri" w:eastAsia="Times New Roman" w:hAnsi="Calibri" w:cs="Calibri"/>
                <w:color w:val="C54B0A" w:themeColor="accent5" w:themeShade="BF"/>
                <w:sz w:val="18"/>
                <w:szCs w:val="18"/>
                <w:lang w:eastAsia="en-US"/>
              </w:rPr>
              <w:t xml:space="preserve">period </w:t>
            </w:r>
            <w:r w:rsidR="00E96962" w:rsidRPr="00E96962">
              <w:rPr>
                <w:rFonts w:ascii="Calibri" w:eastAsia="Times New Roman" w:hAnsi="Calibri" w:cs="Calibri"/>
                <w:color w:val="C54B0A" w:themeColor="accent5" w:themeShade="BF"/>
                <w:sz w:val="18"/>
                <w:szCs w:val="18"/>
                <w:lang w:eastAsia="en-US"/>
              </w:rPr>
              <w:t>at the end of July</w:t>
            </w:r>
            <w:r w:rsidR="00844A14">
              <w:rPr>
                <w:rFonts w:ascii="Calibri" w:eastAsia="Times New Roman" w:hAnsi="Calibri" w:cs="Calibri"/>
                <w:color w:val="C54B0A" w:themeColor="accent5" w:themeShade="BF"/>
                <w:sz w:val="18"/>
                <w:szCs w:val="18"/>
                <w:lang w:eastAsia="en-US"/>
              </w:rPr>
              <w:t xml:space="preserve">. This </w:t>
            </w:r>
            <w:r w:rsidRPr="00E96962">
              <w:rPr>
                <w:rFonts w:ascii="Calibri" w:eastAsia="Times New Roman" w:hAnsi="Calibri" w:cs="Calibri"/>
                <w:color w:val="C54B0A" w:themeColor="accent5" w:themeShade="BF"/>
                <w:sz w:val="18"/>
                <w:szCs w:val="18"/>
                <w:lang w:eastAsia="en-US"/>
              </w:rPr>
              <w:t>result</w:t>
            </w:r>
            <w:r w:rsidR="00E96962" w:rsidRPr="00E96962">
              <w:rPr>
                <w:rFonts w:ascii="Calibri" w:eastAsia="Times New Roman" w:hAnsi="Calibri" w:cs="Calibri"/>
                <w:color w:val="C54B0A" w:themeColor="accent5" w:themeShade="BF"/>
                <w:sz w:val="18"/>
                <w:szCs w:val="18"/>
                <w:lang w:eastAsia="en-US"/>
              </w:rPr>
              <w:t>ed</w:t>
            </w:r>
            <w:r w:rsidRPr="00E96962">
              <w:rPr>
                <w:rFonts w:ascii="Calibri" w:eastAsia="Times New Roman" w:hAnsi="Calibri" w:cs="Calibri"/>
                <w:color w:val="C54B0A" w:themeColor="accent5" w:themeShade="BF"/>
                <w:sz w:val="18"/>
                <w:szCs w:val="18"/>
                <w:lang w:eastAsia="en-US"/>
              </w:rPr>
              <w:t xml:space="preserve"> in ‘Example Agency’ having to </w:t>
            </w:r>
            <w:r w:rsidR="00E96962" w:rsidRPr="00E96962">
              <w:rPr>
                <w:rFonts w:ascii="Calibri" w:eastAsia="Times New Roman" w:hAnsi="Calibri" w:cs="Calibri"/>
                <w:color w:val="C54B0A" w:themeColor="accent5" w:themeShade="BF"/>
                <w:sz w:val="18"/>
                <w:szCs w:val="18"/>
                <w:lang w:eastAsia="en-US"/>
              </w:rPr>
              <w:t xml:space="preserve">suspend bus and light rail services during that time. It is estimated that this will result in </w:t>
            </w:r>
            <w:r w:rsidR="00844A14">
              <w:rPr>
                <w:rFonts w:ascii="Calibri" w:eastAsia="Times New Roman" w:hAnsi="Calibri" w:cs="Calibri"/>
                <w:color w:val="C54B0A" w:themeColor="accent5" w:themeShade="BF"/>
                <w:sz w:val="18"/>
                <w:szCs w:val="18"/>
                <w:lang w:eastAsia="en-US"/>
              </w:rPr>
              <w:t xml:space="preserve">a material </w:t>
            </w:r>
            <w:r w:rsidR="00844A14" w:rsidRPr="00E96962">
              <w:rPr>
                <w:rFonts w:ascii="Calibri" w:eastAsia="Times New Roman" w:hAnsi="Calibri" w:cs="Calibri"/>
                <w:color w:val="C54B0A" w:themeColor="accent5" w:themeShade="BF"/>
                <w:sz w:val="18"/>
                <w:szCs w:val="18"/>
                <w:lang w:eastAsia="en-US"/>
              </w:rPr>
              <w:t>los</w:t>
            </w:r>
            <w:r w:rsidR="00844A14">
              <w:rPr>
                <w:rFonts w:ascii="Calibri" w:eastAsia="Times New Roman" w:hAnsi="Calibri" w:cs="Calibri"/>
                <w:color w:val="C54B0A" w:themeColor="accent5" w:themeShade="BF"/>
                <w:sz w:val="18"/>
                <w:szCs w:val="18"/>
                <w:lang w:eastAsia="en-US"/>
              </w:rPr>
              <w:t>s</w:t>
            </w:r>
            <w:r w:rsidR="00E96962" w:rsidRPr="00E96962">
              <w:rPr>
                <w:rFonts w:ascii="Calibri" w:eastAsia="Times New Roman" w:hAnsi="Calibri" w:cs="Calibri"/>
                <w:color w:val="C54B0A" w:themeColor="accent5" w:themeShade="BF"/>
                <w:sz w:val="18"/>
                <w:szCs w:val="18"/>
                <w:lang w:eastAsia="en-US"/>
              </w:rPr>
              <w:t xml:space="preserve"> </w:t>
            </w:r>
            <w:r w:rsidR="00844A14">
              <w:rPr>
                <w:rFonts w:ascii="Calibri" w:eastAsia="Times New Roman" w:hAnsi="Calibri" w:cs="Calibri"/>
                <w:color w:val="C54B0A" w:themeColor="accent5" w:themeShade="BF"/>
                <w:sz w:val="18"/>
                <w:szCs w:val="18"/>
                <w:lang w:eastAsia="en-US"/>
              </w:rPr>
              <w:t xml:space="preserve">of </w:t>
            </w:r>
            <w:r w:rsidR="00E96962" w:rsidRPr="00E96962">
              <w:rPr>
                <w:rFonts w:ascii="Calibri" w:eastAsia="Times New Roman" w:hAnsi="Calibri" w:cs="Calibri"/>
                <w:color w:val="C54B0A" w:themeColor="accent5" w:themeShade="BF"/>
                <w:sz w:val="18"/>
                <w:szCs w:val="18"/>
                <w:lang w:eastAsia="en-US"/>
              </w:rPr>
              <w:t>own source revenue of approximately $</w:t>
            </w:r>
            <w:r w:rsidR="007E3900">
              <w:rPr>
                <w:rFonts w:ascii="Calibri" w:eastAsia="Times New Roman" w:hAnsi="Calibri" w:cs="Calibri"/>
                <w:color w:val="C54B0A" w:themeColor="accent5" w:themeShade="BF"/>
                <w:sz w:val="18"/>
                <w:szCs w:val="18"/>
                <w:lang w:eastAsia="en-US"/>
              </w:rPr>
              <w:t>4</w:t>
            </w:r>
            <w:r w:rsidR="00E96962" w:rsidRPr="00E96962">
              <w:rPr>
                <w:rFonts w:ascii="Calibri" w:eastAsia="Times New Roman" w:hAnsi="Calibri" w:cs="Calibri"/>
                <w:color w:val="C54B0A" w:themeColor="accent5" w:themeShade="BF"/>
                <w:sz w:val="18"/>
                <w:szCs w:val="18"/>
                <w:lang w:eastAsia="en-US"/>
              </w:rPr>
              <w:t xml:space="preserve"> million. </w:t>
            </w:r>
            <w:r w:rsidRPr="00E96962">
              <w:rPr>
                <w:rFonts w:ascii="Calibri" w:eastAsia="Times New Roman" w:hAnsi="Calibri" w:cs="Calibri"/>
                <w:color w:val="C54B0A" w:themeColor="accent5" w:themeShade="BF"/>
                <w:sz w:val="18"/>
                <w:szCs w:val="18"/>
                <w:lang w:eastAsia="en-US"/>
              </w:rPr>
              <w:t xml:space="preserve">  </w:t>
            </w:r>
            <w:r w:rsidRPr="00E96962">
              <w:rPr>
                <w:color w:val="C54B0A" w:themeColor="accent5" w:themeShade="BF"/>
                <w:lang w:eastAsia="en-US"/>
              </w:rPr>
              <w:t xml:space="preserve">      </w:t>
            </w:r>
          </w:p>
        </w:tc>
      </w:tr>
      <w:tr w:rsidR="00D41C21" w:rsidRPr="00CF7E1B" w14:paraId="3021E26C" w14:textId="77777777" w:rsidTr="000A0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701" w:type="dxa"/>
            <w:tcBorders>
              <w:left w:val="single" w:sz="2" w:space="0" w:color="003366"/>
              <w:right w:val="single" w:sz="2" w:space="0" w:color="003366"/>
            </w:tcBorders>
          </w:tcPr>
          <w:p w14:paraId="5EDB7F9E" w14:textId="77777777" w:rsidR="00D41C21" w:rsidRPr="00416D13" w:rsidRDefault="00D41C21" w:rsidP="00AF5C9D">
            <w:pPr>
              <w:pStyle w:val="TableReference"/>
              <w:tabs>
                <w:tab w:val="left" w:pos="3306"/>
              </w:tabs>
              <w:rPr>
                <w:rFonts w:cs="Calibri"/>
                <w:color w:val="auto"/>
                <w:sz w:val="16"/>
                <w:szCs w:val="16"/>
              </w:rPr>
            </w:pPr>
          </w:p>
        </w:tc>
        <w:tc>
          <w:tcPr>
            <w:tcW w:w="7938" w:type="dxa"/>
            <w:tcBorders>
              <w:left w:val="single" w:sz="2" w:space="0" w:color="003366"/>
            </w:tcBorders>
            <w:shd w:val="clear" w:color="auto" w:fill="F2F2F2"/>
          </w:tcPr>
          <w:p w14:paraId="25BBC92F" w14:textId="77777777" w:rsidR="00D41C21" w:rsidRPr="00416D13" w:rsidRDefault="00D41C21" w:rsidP="00AF5C9D">
            <w:pPr>
              <w:pStyle w:val="CommentaryTitle"/>
              <w:pageBreakBefore w:val="0"/>
              <w:tabs>
                <w:tab w:val="left" w:pos="3306"/>
              </w:tabs>
              <w:spacing w:after="240"/>
              <w:rPr>
                <w:rFonts w:cs="Calibri"/>
              </w:rPr>
            </w:pPr>
            <w:bookmarkStart w:id="102" w:name="_Toc50440401"/>
            <w:bookmarkStart w:id="103" w:name="_Toc163106393"/>
            <w:r w:rsidRPr="00416D13">
              <w:rPr>
                <w:rFonts w:cs="Calibri"/>
              </w:rPr>
              <w:t xml:space="preserve">Commentary </w:t>
            </w:r>
            <w:r w:rsidRPr="00416D13">
              <w:rPr>
                <w:rFonts w:cs="Calibri"/>
              </w:rPr>
              <w:sym w:font="Symbol" w:char="F02D"/>
            </w:r>
            <w:r w:rsidRPr="00416D13">
              <w:rPr>
                <w:rFonts w:cs="Calibri"/>
              </w:rPr>
              <w:t xml:space="preserve"> Note 46: Events after the </w:t>
            </w:r>
            <w:bookmarkEnd w:id="102"/>
            <w:bookmarkEnd w:id="103"/>
            <w:r w:rsidRPr="00416D13">
              <w:rPr>
                <w:rFonts w:cs="Calibri"/>
              </w:rPr>
              <w:t xml:space="preserve">Reporting Period </w:t>
            </w:r>
          </w:p>
        </w:tc>
      </w:tr>
      <w:tr w:rsidR="00D41C21" w:rsidRPr="00CF7E1B" w14:paraId="73A337FE" w14:textId="77777777" w:rsidTr="000A0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701" w:type="dxa"/>
            <w:tcBorders>
              <w:left w:val="single" w:sz="2" w:space="0" w:color="003366"/>
              <w:right w:val="single" w:sz="2" w:space="0" w:color="003366"/>
            </w:tcBorders>
          </w:tcPr>
          <w:p w14:paraId="1EF8149D" w14:textId="77777777" w:rsidR="00D41C21" w:rsidRPr="00416D13" w:rsidRDefault="00D41C21" w:rsidP="00AF5C9D">
            <w:pPr>
              <w:pStyle w:val="TableReference"/>
              <w:tabs>
                <w:tab w:val="left" w:pos="3306"/>
              </w:tabs>
              <w:spacing w:before="60"/>
              <w:rPr>
                <w:rFonts w:cs="Calibri"/>
                <w:color w:val="auto"/>
                <w:sz w:val="16"/>
                <w:szCs w:val="16"/>
              </w:rPr>
            </w:pPr>
            <w:r w:rsidRPr="00416D13">
              <w:rPr>
                <w:rFonts w:cs="Calibri"/>
                <w:color w:val="auto"/>
                <w:sz w:val="16"/>
                <w:szCs w:val="16"/>
              </w:rPr>
              <w:t>AASB 110.3</w:t>
            </w:r>
          </w:p>
        </w:tc>
        <w:tc>
          <w:tcPr>
            <w:tcW w:w="7938" w:type="dxa"/>
            <w:tcBorders>
              <w:left w:val="single" w:sz="2" w:space="0" w:color="003366"/>
            </w:tcBorders>
            <w:shd w:val="clear" w:color="auto" w:fill="F2F2F2"/>
          </w:tcPr>
          <w:p w14:paraId="2E3B9A89" w14:textId="77777777" w:rsidR="00D41C21" w:rsidRPr="00416D13" w:rsidRDefault="00D41C21" w:rsidP="00AF5C9D">
            <w:pPr>
              <w:pStyle w:val="CommentaryText"/>
              <w:rPr>
                <w:rFonts w:cs="Calibri"/>
              </w:rPr>
            </w:pPr>
            <w:r w:rsidRPr="00416D13">
              <w:rPr>
                <w:rFonts w:cs="Calibri"/>
              </w:rPr>
              <w:t>Events after the reporting period are those events, favourable and unfavourable, that occur between the reporting period and the date when the financial statements are authorised for issue.  Two types of events can be identified:</w:t>
            </w:r>
          </w:p>
          <w:p w14:paraId="3FA448E5" w14:textId="77777777" w:rsidR="00D41C21" w:rsidRPr="00416D13" w:rsidRDefault="00D41C21" w:rsidP="00D41C21">
            <w:pPr>
              <w:pStyle w:val="CommentaryText"/>
              <w:numPr>
                <w:ilvl w:val="0"/>
                <w:numId w:val="29"/>
              </w:numPr>
              <w:tabs>
                <w:tab w:val="clear" w:pos="720"/>
                <w:tab w:val="num" w:pos="459"/>
              </w:tabs>
              <w:spacing w:after="0"/>
              <w:ind w:left="459" w:hanging="425"/>
              <w:rPr>
                <w:rFonts w:cs="Calibri"/>
              </w:rPr>
            </w:pPr>
            <w:r w:rsidRPr="00416D13">
              <w:rPr>
                <w:rFonts w:cs="Calibri"/>
              </w:rPr>
              <w:t>those that provide evidence of conditions that existed at the end of the reporting period (</w:t>
            </w:r>
            <w:r w:rsidRPr="00416D13">
              <w:rPr>
                <w:rFonts w:cs="Calibri"/>
                <w:i/>
                <w:iCs/>
              </w:rPr>
              <w:t>adjusting events after the reporting period</w:t>
            </w:r>
            <w:r w:rsidRPr="00416D13">
              <w:rPr>
                <w:rFonts w:cs="Calibri"/>
              </w:rPr>
              <w:t xml:space="preserve">); and </w:t>
            </w:r>
          </w:p>
          <w:p w14:paraId="1C8D4BD7" w14:textId="77777777" w:rsidR="00D41C21" w:rsidRPr="00416D13" w:rsidRDefault="00D41C21" w:rsidP="00D41C21">
            <w:pPr>
              <w:pStyle w:val="CommentaryText"/>
              <w:numPr>
                <w:ilvl w:val="0"/>
                <w:numId w:val="29"/>
              </w:numPr>
              <w:tabs>
                <w:tab w:val="clear" w:pos="720"/>
                <w:tab w:val="num" w:pos="459"/>
              </w:tabs>
              <w:ind w:left="459" w:hanging="425"/>
              <w:rPr>
                <w:rFonts w:cs="Calibri"/>
              </w:rPr>
            </w:pPr>
            <w:r w:rsidRPr="00416D13">
              <w:rPr>
                <w:rFonts w:cs="Calibri"/>
              </w:rPr>
              <w:t>those that are indicative of conditions that arose after the reporting period (</w:t>
            </w:r>
            <w:r w:rsidRPr="00416D13">
              <w:rPr>
                <w:rFonts w:cs="Calibri"/>
                <w:i/>
                <w:iCs/>
              </w:rPr>
              <w:t>non-adjusting events after the reporting period</w:t>
            </w:r>
            <w:r w:rsidRPr="00416D13">
              <w:rPr>
                <w:rFonts w:cs="Calibri"/>
              </w:rPr>
              <w:t>).</w:t>
            </w:r>
          </w:p>
        </w:tc>
      </w:tr>
      <w:tr w:rsidR="00D41C21" w:rsidRPr="00CF7E1B" w14:paraId="3A26A423" w14:textId="77777777" w:rsidTr="000A0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701" w:type="dxa"/>
            <w:tcBorders>
              <w:left w:val="single" w:sz="2" w:space="0" w:color="003366"/>
              <w:right w:val="single" w:sz="2" w:space="0" w:color="003366"/>
            </w:tcBorders>
          </w:tcPr>
          <w:p w14:paraId="57A7F0A6" w14:textId="77777777" w:rsidR="00D41C21" w:rsidRPr="00416D13" w:rsidRDefault="00D41C21" w:rsidP="00AF5C9D">
            <w:pPr>
              <w:pStyle w:val="TableReference"/>
              <w:tabs>
                <w:tab w:val="left" w:pos="3306"/>
              </w:tabs>
              <w:spacing w:before="60"/>
              <w:rPr>
                <w:rFonts w:cs="Calibri"/>
                <w:color w:val="auto"/>
                <w:sz w:val="16"/>
                <w:szCs w:val="16"/>
              </w:rPr>
            </w:pPr>
            <w:r w:rsidRPr="00416D13">
              <w:rPr>
                <w:rFonts w:cs="Calibri"/>
                <w:color w:val="auto"/>
                <w:sz w:val="16"/>
                <w:szCs w:val="16"/>
              </w:rPr>
              <w:t>AASB 110.8 &amp; 9</w:t>
            </w:r>
          </w:p>
          <w:p w14:paraId="60C8075D" w14:textId="77777777" w:rsidR="00D41C21" w:rsidRPr="00416D13" w:rsidRDefault="00D41C21" w:rsidP="00AF5C9D">
            <w:pPr>
              <w:pStyle w:val="TableReference"/>
              <w:tabs>
                <w:tab w:val="left" w:pos="3306"/>
              </w:tabs>
              <w:rPr>
                <w:rFonts w:cs="Calibri"/>
                <w:color w:val="auto"/>
                <w:sz w:val="16"/>
                <w:szCs w:val="16"/>
              </w:rPr>
            </w:pPr>
          </w:p>
          <w:p w14:paraId="74CF6CAC" w14:textId="77777777" w:rsidR="00D41C21" w:rsidRPr="00416D13" w:rsidRDefault="00D41C21" w:rsidP="00AF5C9D">
            <w:pPr>
              <w:pStyle w:val="TableReference"/>
              <w:tabs>
                <w:tab w:val="left" w:pos="3306"/>
              </w:tabs>
              <w:rPr>
                <w:rFonts w:cs="Calibri"/>
                <w:color w:val="auto"/>
                <w:sz w:val="16"/>
                <w:szCs w:val="16"/>
              </w:rPr>
            </w:pPr>
          </w:p>
          <w:p w14:paraId="54890648" w14:textId="77777777" w:rsidR="00D41C21" w:rsidRPr="00416D13" w:rsidRDefault="00D41C21" w:rsidP="00AF5C9D">
            <w:pPr>
              <w:pStyle w:val="TableReference"/>
              <w:tabs>
                <w:tab w:val="left" w:pos="3306"/>
              </w:tabs>
              <w:rPr>
                <w:rFonts w:cs="Calibri"/>
                <w:color w:val="auto"/>
                <w:sz w:val="16"/>
                <w:szCs w:val="16"/>
              </w:rPr>
            </w:pPr>
          </w:p>
          <w:p w14:paraId="27C2E57A" w14:textId="77777777" w:rsidR="00D41C21" w:rsidRPr="00416D13" w:rsidRDefault="00D41C21" w:rsidP="00AF5C9D">
            <w:pPr>
              <w:pStyle w:val="TableReference"/>
              <w:tabs>
                <w:tab w:val="left" w:pos="3306"/>
              </w:tabs>
              <w:rPr>
                <w:rFonts w:cs="Calibri"/>
                <w:color w:val="auto"/>
                <w:sz w:val="16"/>
                <w:szCs w:val="16"/>
              </w:rPr>
            </w:pPr>
          </w:p>
          <w:p w14:paraId="7AEA53AE" w14:textId="77777777" w:rsidR="00D41C21" w:rsidRPr="00416D13" w:rsidRDefault="00D41C21" w:rsidP="00AF5C9D">
            <w:pPr>
              <w:pStyle w:val="TableReference"/>
              <w:tabs>
                <w:tab w:val="left" w:pos="3306"/>
              </w:tabs>
              <w:rPr>
                <w:rFonts w:cs="Calibri"/>
                <w:color w:val="auto"/>
                <w:sz w:val="16"/>
                <w:szCs w:val="16"/>
              </w:rPr>
            </w:pPr>
          </w:p>
          <w:p w14:paraId="0A993CAA" w14:textId="77777777" w:rsidR="00D41C21" w:rsidRPr="00416D13" w:rsidRDefault="00D41C21" w:rsidP="00AF5C9D">
            <w:pPr>
              <w:pStyle w:val="TableReference"/>
              <w:tabs>
                <w:tab w:val="left" w:pos="3306"/>
              </w:tabs>
              <w:rPr>
                <w:rFonts w:cs="Calibri"/>
                <w:color w:val="auto"/>
                <w:sz w:val="16"/>
                <w:szCs w:val="16"/>
              </w:rPr>
            </w:pPr>
          </w:p>
          <w:p w14:paraId="33B90260" w14:textId="77777777" w:rsidR="00D41C21" w:rsidRPr="00416D13" w:rsidRDefault="00D41C21" w:rsidP="00AF5C9D">
            <w:pPr>
              <w:pStyle w:val="TableReference"/>
              <w:tabs>
                <w:tab w:val="left" w:pos="3306"/>
              </w:tabs>
              <w:rPr>
                <w:rFonts w:cs="Calibri"/>
                <w:color w:val="auto"/>
                <w:sz w:val="16"/>
                <w:szCs w:val="16"/>
              </w:rPr>
            </w:pPr>
          </w:p>
          <w:p w14:paraId="5B9CF4B1" w14:textId="77777777" w:rsidR="00D41C21" w:rsidRPr="00416D13" w:rsidRDefault="00D41C21" w:rsidP="00AF5C9D">
            <w:pPr>
              <w:pStyle w:val="TableReference"/>
              <w:tabs>
                <w:tab w:val="left" w:pos="3306"/>
              </w:tabs>
              <w:rPr>
                <w:rFonts w:cs="Calibri"/>
                <w:color w:val="auto"/>
                <w:sz w:val="16"/>
                <w:szCs w:val="16"/>
              </w:rPr>
            </w:pPr>
          </w:p>
          <w:p w14:paraId="2F63FFA5" w14:textId="77777777" w:rsidR="00D41C21" w:rsidRPr="00416D13" w:rsidRDefault="00D41C21" w:rsidP="00AF5C9D">
            <w:pPr>
              <w:pStyle w:val="TableReference"/>
              <w:tabs>
                <w:tab w:val="left" w:pos="3306"/>
              </w:tabs>
              <w:rPr>
                <w:rFonts w:cs="Calibri"/>
                <w:color w:val="auto"/>
                <w:sz w:val="16"/>
                <w:szCs w:val="16"/>
              </w:rPr>
            </w:pPr>
            <w:r w:rsidRPr="00416D13">
              <w:rPr>
                <w:rFonts w:cs="Calibri"/>
                <w:color w:val="auto"/>
                <w:sz w:val="16"/>
                <w:szCs w:val="16"/>
              </w:rPr>
              <w:t>AASB 110.10 &amp; 11</w:t>
            </w:r>
          </w:p>
        </w:tc>
        <w:tc>
          <w:tcPr>
            <w:tcW w:w="7938" w:type="dxa"/>
            <w:tcBorders>
              <w:left w:val="single" w:sz="2" w:space="0" w:color="003366"/>
            </w:tcBorders>
            <w:shd w:val="clear" w:color="auto" w:fill="F2F2F2"/>
          </w:tcPr>
          <w:p w14:paraId="2A533283" w14:textId="77777777" w:rsidR="00D41C21" w:rsidRPr="00416D13" w:rsidRDefault="00D41C21" w:rsidP="00AF5C9D">
            <w:pPr>
              <w:pStyle w:val="CommentaryText"/>
              <w:rPr>
                <w:rFonts w:cs="Calibri"/>
              </w:rPr>
            </w:pPr>
            <w:r w:rsidRPr="00416D13">
              <w:rPr>
                <w:rFonts w:cs="Calibri"/>
                <w:b/>
                <w:iCs/>
              </w:rPr>
              <w:t>Adjusting events after the reporting period –</w:t>
            </w:r>
            <w:r w:rsidRPr="00416D13">
              <w:rPr>
                <w:rFonts w:cs="Calibri"/>
              </w:rPr>
              <w:t xml:space="preserve"> involve an agency adjusting the amounts recognised in its financial statements for that adjusting event.  An example of an adjusting event is the settlement after the reporting period of a court case that confirms the agency had a present obligation at the end of the reporting period.  The agency would therefore have to make the appropriate adjustment in its financial statements for the result of the court case.</w:t>
            </w:r>
          </w:p>
          <w:p w14:paraId="54C58FB3" w14:textId="4A5744C9" w:rsidR="00D41C21" w:rsidRPr="00416D13" w:rsidRDefault="00D41C21" w:rsidP="00AF5C9D">
            <w:pPr>
              <w:pStyle w:val="CommentaryText"/>
              <w:rPr>
                <w:rFonts w:cs="Calibri"/>
                <w:b/>
                <w:iCs/>
              </w:rPr>
            </w:pPr>
            <w:r w:rsidRPr="00416D13">
              <w:rPr>
                <w:rFonts w:cs="Calibri"/>
                <w:b/>
                <w:iCs/>
              </w:rPr>
              <w:t xml:space="preserve">Non-adjusting events after the reporting period – </w:t>
            </w:r>
            <w:r w:rsidRPr="00416D13">
              <w:rPr>
                <w:rFonts w:cs="Calibri"/>
              </w:rPr>
              <w:t>involve the disclosure of the event; however, no adjustment is made to amounts recognised in the financial report.  An example of a non-adjusting event is a decline in market value of investments between the end of the reporting period and the date when the financial report is authorised for issue. The decline in market value does not normally relate to the condition of the investments at the end of the reporting period, but reflects circumstances that have arisen subsequently.</w:t>
            </w:r>
          </w:p>
        </w:tc>
      </w:tr>
      <w:tr w:rsidR="00D41C21" w:rsidRPr="00CF7E1B" w14:paraId="0DCBA6A6" w14:textId="77777777" w:rsidTr="000A0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701" w:type="dxa"/>
            <w:tcBorders>
              <w:left w:val="single" w:sz="2" w:space="0" w:color="003366"/>
              <w:right w:val="single" w:sz="2" w:space="0" w:color="003366"/>
            </w:tcBorders>
          </w:tcPr>
          <w:p w14:paraId="7773B1F2" w14:textId="77777777" w:rsidR="00D41C21" w:rsidRPr="00416D13" w:rsidRDefault="00D41C21" w:rsidP="00AF5C9D">
            <w:pPr>
              <w:pStyle w:val="TableReference"/>
              <w:tabs>
                <w:tab w:val="left" w:pos="3306"/>
              </w:tabs>
              <w:spacing w:before="60"/>
              <w:rPr>
                <w:rFonts w:cs="Calibri"/>
                <w:color w:val="auto"/>
                <w:sz w:val="16"/>
                <w:szCs w:val="16"/>
              </w:rPr>
            </w:pPr>
            <w:r w:rsidRPr="00416D13">
              <w:rPr>
                <w:rFonts w:cs="Calibri"/>
                <w:color w:val="auto"/>
                <w:sz w:val="16"/>
                <w:szCs w:val="16"/>
              </w:rPr>
              <w:t>AASB 110.19</w:t>
            </w:r>
          </w:p>
        </w:tc>
        <w:tc>
          <w:tcPr>
            <w:tcW w:w="7938" w:type="dxa"/>
            <w:tcBorders>
              <w:left w:val="single" w:sz="2" w:space="0" w:color="003366"/>
            </w:tcBorders>
            <w:shd w:val="clear" w:color="auto" w:fill="F2F2F2"/>
          </w:tcPr>
          <w:p w14:paraId="2C7E8BF3" w14:textId="77777777" w:rsidR="00D41C21" w:rsidRPr="00416D13" w:rsidRDefault="00D41C21" w:rsidP="00AF5C9D">
            <w:pPr>
              <w:pStyle w:val="CommentaryText"/>
              <w:rPr>
                <w:rFonts w:cs="Calibri"/>
              </w:rPr>
            </w:pPr>
            <w:r w:rsidRPr="00416D13">
              <w:rPr>
                <w:rFonts w:cs="Calibri"/>
              </w:rPr>
              <w:t>If an agency receives information after the reporting period about conditions that existed at the end of the reporting period, disclosures relating to those conditions should be updated in light of the new information.</w:t>
            </w:r>
          </w:p>
        </w:tc>
      </w:tr>
      <w:tr w:rsidR="00D41C21" w:rsidRPr="00CF7E1B" w14:paraId="0AE24F56" w14:textId="77777777" w:rsidTr="000A0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701" w:type="dxa"/>
            <w:tcBorders>
              <w:left w:val="single" w:sz="2" w:space="0" w:color="003366"/>
              <w:right w:val="single" w:sz="2" w:space="0" w:color="003366"/>
            </w:tcBorders>
          </w:tcPr>
          <w:p w14:paraId="58C4D8B7" w14:textId="77777777" w:rsidR="00D41C21" w:rsidRPr="00416D13" w:rsidRDefault="00D41C21" w:rsidP="00AF5C9D">
            <w:pPr>
              <w:pStyle w:val="TableReference"/>
              <w:tabs>
                <w:tab w:val="left" w:pos="3306"/>
              </w:tabs>
              <w:spacing w:before="60"/>
              <w:rPr>
                <w:rFonts w:cs="Calibri"/>
                <w:color w:val="auto"/>
                <w:sz w:val="16"/>
                <w:szCs w:val="16"/>
              </w:rPr>
            </w:pPr>
            <w:r w:rsidRPr="00416D13">
              <w:rPr>
                <w:rFonts w:cs="Calibri"/>
                <w:color w:val="auto"/>
                <w:sz w:val="16"/>
                <w:szCs w:val="16"/>
              </w:rPr>
              <w:t>AASB 110.21</w:t>
            </w:r>
          </w:p>
        </w:tc>
        <w:tc>
          <w:tcPr>
            <w:tcW w:w="7938" w:type="dxa"/>
            <w:tcBorders>
              <w:left w:val="single" w:sz="2" w:space="0" w:color="003366"/>
            </w:tcBorders>
            <w:shd w:val="clear" w:color="auto" w:fill="F2F2F2"/>
          </w:tcPr>
          <w:p w14:paraId="12BAB6FB" w14:textId="77777777" w:rsidR="00D41C21" w:rsidRPr="00416D13" w:rsidRDefault="00D41C21" w:rsidP="00AF5C9D">
            <w:pPr>
              <w:pStyle w:val="CommentaryText"/>
              <w:tabs>
                <w:tab w:val="left" w:pos="3306"/>
              </w:tabs>
              <w:rPr>
                <w:rFonts w:cs="Calibri"/>
              </w:rPr>
            </w:pPr>
            <w:r w:rsidRPr="00416D13">
              <w:rPr>
                <w:rFonts w:cs="Calibri"/>
              </w:rPr>
              <w:t xml:space="preserve">AASB 110 </w:t>
            </w:r>
            <w:r w:rsidRPr="00416D13">
              <w:rPr>
                <w:rFonts w:cs="Calibri"/>
                <w:i/>
              </w:rPr>
              <w:t xml:space="preserve">Events after the </w:t>
            </w:r>
            <w:r w:rsidRPr="00416D13">
              <w:rPr>
                <w:rFonts w:cs="Calibri"/>
                <w:i/>
                <w:iCs/>
              </w:rPr>
              <w:t>Reporting Period</w:t>
            </w:r>
            <w:r w:rsidRPr="00416D13">
              <w:rPr>
                <w:rFonts w:cs="Calibri"/>
              </w:rPr>
              <w:t xml:space="preserve"> requires the following information to be disclosed for each material category of non-adjusting event after the reporting period:</w:t>
            </w:r>
          </w:p>
          <w:p w14:paraId="200A6E23" w14:textId="77777777" w:rsidR="00D41C21" w:rsidRPr="00416D13" w:rsidRDefault="00D41C21" w:rsidP="00AF5C9D">
            <w:pPr>
              <w:pStyle w:val="Commentary-Bullet"/>
              <w:spacing w:after="120"/>
              <w:ind w:hanging="468"/>
              <w:rPr>
                <w:rFonts w:cs="Calibri"/>
              </w:rPr>
            </w:pPr>
            <w:r w:rsidRPr="00416D13">
              <w:rPr>
                <w:rFonts w:cs="Calibri"/>
              </w:rPr>
              <w:t>the nature of the event; and</w:t>
            </w:r>
          </w:p>
          <w:p w14:paraId="4B2FFBF9" w14:textId="77777777" w:rsidR="00D41C21" w:rsidRPr="00416D13" w:rsidRDefault="00D41C21" w:rsidP="00AF5C9D">
            <w:pPr>
              <w:pStyle w:val="Commentary-Bullet"/>
              <w:spacing w:after="120"/>
              <w:ind w:hanging="468"/>
              <w:rPr>
                <w:rFonts w:cs="Calibri"/>
              </w:rPr>
            </w:pPr>
            <w:r w:rsidRPr="00416D13">
              <w:rPr>
                <w:rFonts w:cs="Calibri"/>
              </w:rPr>
              <w:t>an estimate of its financial effect or a statement that such an estimate cannot be made.</w:t>
            </w:r>
          </w:p>
        </w:tc>
      </w:tr>
      <w:tr w:rsidR="00D41C21" w:rsidRPr="00CF7E1B" w14:paraId="555AAF1E" w14:textId="77777777" w:rsidTr="000A0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701" w:type="dxa"/>
            <w:tcBorders>
              <w:left w:val="single" w:sz="2" w:space="0" w:color="003366"/>
              <w:right w:val="single" w:sz="2" w:space="0" w:color="003366"/>
            </w:tcBorders>
          </w:tcPr>
          <w:p w14:paraId="270A3B7C" w14:textId="77777777" w:rsidR="00D41C21" w:rsidRPr="00416D13" w:rsidRDefault="00D41C21" w:rsidP="00AF5C9D">
            <w:pPr>
              <w:pStyle w:val="TableReference"/>
              <w:tabs>
                <w:tab w:val="left" w:pos="3306"/>
              </w:tabs>
              <w:spacing w:before="60"/>
              <w:rPr>
                <w:rFonts w:cs="Calibri"/>
                <w:color w:val="auto"/>
                <w:sz w:val="16"/>
                <w:szCs w:val="16"/>
              </w:rPr>
            </w:pPr>
          </w:p>
        </w:tc>
        <w:tc>
          <w:tcPr>
            <w:tcW w:w="7938" w:type="dxa"/>
            <w:tcBorders>
              <w:left w:val="single" w:sz="2" w:space="0" w:color="003366"/>
            </w:tcBorders>
            <w:shd w:val="clear" w:color="auto" w:fill="F2F2F2"/>
          </w:tcPr>
          <w:p w14:paraId="4E98C216" w14:textId="77777777" w:rsidR="00D41C21" w:rsidRPr="00416D13" w:rsidRDefault="00D41C21" w:rsidP="00AF5C9D">
            <w:pPr>
              <w:pStyle w:val="CommentaryText"/>
              <w:tabs>
                <w:tab w:val="left" w:pos="3306"/>
              </w:tabs>
              <w:rPr>
                <w:rFonts w:cs="Calibri"/>
              </w:rPr>
            </w:pPr>
            <w:r w:rsidRPr="00416D13">
              <w:rPr>
                <w:rFonts w:cs="Calibri"/>
              </w:rPr>
              <w:t xml:space="preserve">If an agency does not have any material events occurring after the reporting period, then this note can be excluded. </w:t>
            </w:r>
          </w:p>
        </w:tc>
      </w:tr>
    </w:tbl>
    <w:p w14:paraId="51E0EFA8" w14:textId="77777777" w:rsidR="003250E4" w:rsidRDefault="003250E4" w:rsidP="00E70895">
      <w:pPr>
        <w:pStyle w:val="Bullet1"/>
        <w:numPr>
          <w:ilvl w:val="0"/>
          <w:numId w:val="0"/>
        </w:numPr>
        <w:ind w:left="360"/>
        <w:rPr>
          <w:sz w:val="21"/>
          <w:szCs w:val="21"/>
        </w:rPr>
        <w:sectPr w:rsidR="003250E4" w:rsidSect="000715C4">
          <w:headerReference w:type="default" r:id="rId18"/>
          <w:pgSz w:w="11906" w:h="16838" w:code="9"/>
          <w:pgMar w:top="1276" w:right="1418" w:bottom="993" w:left="1418" w:header="567" w:footer="184" w:gutter="0"/>
          <w:cols w:space="708"/>
          <w:docGrid w:linePitch="360"/>
        </w:sectPr>
      </w:pPr>
    </w:p>
    <w:p w14:paraId="726815CD" w14:textId="77777777" w:rsidR="001623F0" w:rsidRPr="00731AD1" w:rsidRDefault="001623F0" w:rsidP="00731AD1">
      <w:pPr>
        <w:pStyle w:val="Normal1"/>
        <w:jc w:val="center"/>
        <w:rPr>
          <w:rFonts w:asciiTheme="majorHAnsi" w:hAnsiTheme="majorHAnsi" w:cstheme="majorHAnsi"/>
          <w:b/>
          <w:bCs/>
          <w:sz w:val="32"/>
          <w:szCs w:val="32"/>
        </w:rPr>
      </w:pPr>
      <w:r w:rsidRPr="00731AD1">
        <w:rPr>
          <w:rFonts w:asciiTheme="majorHAnsi" w:hAnsiTheme="majorHAnsi" w:cstheme="majorHAnsi"/>
          <w:b/>
          <w:bCs/>
          <w:sz w:val="32"/>
          <w:szCs w:val="32"/>
        </w:rPr>
        <w:lastRenderedPageBreak/>
        <w:t>Appendix A - Basis of Preparation of the Financial Statements</w:t>
      </w:r>
    </w:p>
    <w:p w14:paraId="1E195110" w14:textId="77777777" w:rsidR="001623F0" w:rsidRPr="00D828C2" w:rsidRDefault="001623F0" w:rsidP="001623F0">
      <w:pPr>
        <w:pStyle w:val="Appxhead2"/>
      </w:pPr>
      <w:r w:rsidRPr="00D828C2">
        <w:t>Legislative Requirement</w:t>
      </w:r>
    </w:p>
    <w:p w14:paraId="4C478264" w14:textId="77777777" w:rsidR="001623F0" w:rsidRPr="005F3898" w:rsidRDefault="001623F0" w:rsidP="001623F0">
      <w:pPr>
        <w:jc w:val="both"/>
      </w:pPr>
      <w:r w:rsidRPr="005F3898">
        <w:t xml:space="preserve">The </w:t>
      </w:r>
      <w:r w:rsidRPr="005F3898">
        <w:rPr>
          <w:i/>
          <w:iCs/>
        </w:rPr>
        <w:t>Financial Management Act 1996</w:t>
      </w:r>
      <w:r w:rsidRPr="005F3898">
        <w:t xml:space="preserve"> (FMA) requires the preparation of annual financial statements for ACT Government agencies.  </w:t>
      </w:r>
      <w:r w:rsidRPr="005F3898">
        <w:rPr>
          <w:rFonts w:cs="Calibri"/>
        </w:rPr>
        <w:t xml:space="preserve">The FMA and the </w:t>
      </w:r>
      <w:r w:rsidRPr="005F3898">
        <w:rPr>
          <w:rFonts w:cs="Calibri"/>
          <w:i/>
          <w:iCs/>
        </w:rPr>
        <w:t>Financial Management Guidelines</w:t>
      </w:r>
      <w:r w:rsidRPr="005F3898">
        <w:rPr>
          <w:rFonts w:cs="Calibri"/>
        </w:rPr>
        <w:t xml:space="preserve"> issued under the Act, requires an agency’s financial statements to include:</w:t>
      </w:r>
    </w:p>
    <w:p w14:paraId="6E621D47" w14:textId="77777777" w:rsidR="001623F0" w:rsidRPr="00E369F8" w:rsidRDefault="001623F0" w:rsidP="001623F0">
      <w:pPr>
        <w:pStyle w:val="NotesNumber"/>
        <w:numPr>
          <w:ilvl w:val="0"/>
          <w:numId w:val="31"/>
        </w:numPr>
        <w:tabs>
          <w:tab w:val="num" w:pos="567"/>
          <w:tab w:val="left" w:pos="3306"/>
        </w:tabs>
        <w:jc w:val="both"/>
        <w:rPr>
          <w:rFonts w:cs="Calibri"/>
          <w:sz w:val="21"/>
          <w:szCs w:val="21"/>
        </w:rPr>
      </w:pPr>
      <w:r w:rsidRPr="00E369F8">
        <w:rPr>
          <w:rFonts w:cs="Calibri"/>
          <w:sz w:val="21"/>
          <w:szCs w:val="21"/>
        </w:rPr>
        <w:t>an Operating Statement for the year;</w:t>
      </w:r>
    </w:p>
    <w:p w14:paraId="450A1CA9" w14:textId="77777777" w:rsidR="001623F0" w:rsidRPr="00E369F8" w:rsidRDefault="001623F0" w:rsidP="001623F0">
      <w:pPr>
        <w:pStyle w:val="NotesNumber"/>
        <w:numPr>
          <w:ilvl w:val="0"/>
          <w:numId w:val="31"/>
        </w:numPr>
        <w:tabs>
          <w:tab w:val="left" w:pos="531"/>
        </w:tabs>
        <w:jc w:val="both"/>
        <w:rPr>
          <w:sz w:val="21"/>
          <w:szCs w:val="21"/>
        </w:rPr>
      </w:pPr>
      <w:r w:rsidRPr="00E369F8">
        <w:rPr>
          <w:sz w:val="21"/>
          <w:szCs w:val="21"/>
        </w:rPr>
        <w:t>a Balance Sheet at the end of the year;</w:t>
      </w:r>
    </w:p>
    <w:p w14:paraId="2FFA6094" w14:textId="77777777" w:rsidR="001623F0" w:rsidRPr="00E369F8" w:rsidRDefault="001623F0" w:rsidP="001623F0">
      <w:pPr>
        <w:pStyle w:val="NotesNumber"/>
        <w:numPr>
          <w:ilvl w:val="0"/>
          <w:numId w:val="31"/>
        </w:numPr>
        <w:tabs>
          <w:tab w:val="left" w:pos="531"/>
        </w:tabs>
        <w:jc w:val="both"/>
        <w:rPr>
          <w:sz w:val="21"/>
          <w:szCs w:val="21"/>
        </w:rPr>
      </w:pPr>
      <w:r w:rsidRPr="00E369F8">
        <w:rPr>
          <w:sz w:val="21"/>
          <w:szCs w:val="21"/>
        </w:rPr>
        <w:t>a Statement of Changes in Equity for the year;</w:t>
      </w:r>
    </w:p>
    <w:p w14:paraId="3357D7CC" w14:textId="77777777" w:rsidR="001623F0" w:rsidRPr="00E369F8" w:rsidRDefault="001623F0" w:rsidP="001623F0">
      <w:pPr>
        <w:pStyle w:val="NotesNumber"/>
        <w:numPr>
          <w:ilvl w:val="0"/>
          <w:numId w:val="31"/>
        </w:numPr>
        <w:tabs>
          <w:tab w:val="left" w:pos="531"/>
        </w:tabs>
        <w:jc w:val="both"/>
        <w:rPr>
          <w:sz w:val="21"/>
          <w:szCs w:val="21"/>
        </w:rPr>
      </w:pPr>
      <w:r w:rsidRPr="00E369F8">
        <w:rPr>
          <w:sz w:val="21"/>
          <w:szCs w:val="21"/>
        </w:rPr>
        <w:t xml:space="preserve">a </w:t>
      </w:r>
      <w:r w:rsidRPr="00E369F8">
        <w:rPr>
          <w:rFonts w:cs="Calibri"/>
          <w:sz w:val="21"/>
          <w:szCs w:val="21"/>
        </w:rPr>
        <w:t xml:space="preserve">Statement of Cash Flows </w:t>
      </w:r>
      <w:r w:rsidRPr="00E369F8">
        <w:rPr>
          <w:sz w:val="21"/>
          <w:szCs w:val="21"/>
        </w:rPr>
        <w:t>for the year;</w:t>
      </w:r>
    </w:p>
    <w:p w14:paraId="4BFE7245" w14:textId="77777777" w:rsidR="001623F0" w:rsidRPr="00E369F8" w:rsidRDefault="001623F0" w:rsidP="001623F0">
      <w:pPr>
        <w:pStyle w:val="NotesNumber"/>
        <w:numPr>
          <w:ilvl w:val="0"/>
          <w:numId w:val="31"/>
        </w:numPr>
        <w:tabs>
          <w:tab w:val="left" w:pos="531"/>
        </w:tabs>
        <w:jc w:val="both"/>
        <w:rPr>
          <w:sz w:val="21"/>
          <w:szCs w:val="21"/>
        </w:rPr>
      </w:pPr>
      <w:r w:rsidRPr="00E369F8">
        <w:rPr>
          <w:sz w:val="21"/>
          <w:szCs w:val="21"/>
        </w:rPr>
        <w:t>a Statement of Appropriation for the year;</w:t>
      </w:r>
    </w:p>
    <w:p w14:paraId="7B728DA4" w14:textId="77777777" w:rsidR="001623F0" w:rsidRPr="00E369F8" w:rsidRDefault="001623F0" w:rsidP="001623F0">
      <w:pPr>
        <w:pStyle w:val="NotesNumber"/>
        <w:numPr>
          <w:ilvl w:val="0"/>
          <w:numId w:val="31"/>
        </w:numPr>
        <w:tabs>
          <w:tab w:val="left" w:pos="531"/>
        </w:tabs>
        <w:jc w:val="both"/>
        <w:rPr>
          <w:sz w:val="21"/>
          <w:szCs w:val="21"/>
        </w:rPr>
      </w:pPr>
      <w:r w:rsidRPr="00E369F8">
        <w:rPr>
          <w:sz w:val="21"/>
          <w:szCs w:val="21"/>
        </w:rPr>
        <w:t>an Operating Statement for each class of output for the year;</w:t>
      </w:r>
    </w:p>
    <w:p w14:paraId="74B0BED7" w14:textId="0DD3BE8E" w:rsidR="001623F0" w:rsidRPr="00E369F8" w:rsidRDefault="005F3898" w:rsidP="001623F0">
      <w:pPr>
        <w:pStyle w:val="NotesNumber"/>
        <w:numPr>
          <w:ilvl w:val="0"/>
          <w:numId w:val="31"/>
        </w:numPr>
        <w:tabs>
          <w:tab w:val="left" w:pos="531"/>
        </w:tabs>
        <w:jc w:val="both"/>
        <w:rPr>
          <w:sz w:val="21"/>
          <w:szCs w:val="21"/>
        </w:rPr>
      </w:pPr>
      <w:r w:rsidRPr="00E369F8">
        <w:rPr>
          <w:sz w:val="21"/>
          <w:szCs w:val="21"/>
        </w:rPr>
        <w:t xml:space="preserve">    </w:t>
      </w:r>
      <w:r w:rsidR="001623F0" w:rsidRPr="00E369F8">
        <w:rPr>
          <w:sz w:val="21"/>
          <w:szCs w:val="21"/>
        </w:rPr>
        <w:t>the significant accounting policies adopted for the year; and</w:t>
      </w:r>
    </w:p>
    <w:p w14:paraId="3B963E75" w14:textId="70EFA1E9" w:rsidR="001623F0" w:rsidRPr="00E369F8" w:rsidRDefault="005F3898" w:rsidP="001623F0">
      <w:pPr>
        <w:tabs>
          <w:tab w:val="left" w:pos="284"/>
          <w:tab w:val="left" w:pos="567"/>
        </w:tabs>
        <w:ind w:left="567" w:hanging="567"/>
        <w:jc w:val="both"/>
        <w:rPr>
          <w:rFonts w:cs="Calibri"/>
        </w:rPr>
      </w:pPr>
      <w:r w:rsidRPr="00E369F8">
        <w:rPr>
          <w:rFonts w:cs="Calibri"/>
        </w:rPr>
        <w:tab/>
      </w:r>
      <w:r w:rsidRPr="00E369F8">
        <w:rPr>
          <w:rFonts w:cs="Calibri"/>
        </w:rPr>
        <w:tab/>
      </w:r>
      <w:r w:rsidR="001623F0" w:rsidRPr="005F3898">
        <w:rPr>
          <w:rFonts w:cs="Calibri"/>
        </w:rPr>
        <w:t>(viii)</w:t>
      </w:r>
      <w:r w:rsidR="001623F0" w:rsidRPr="005F3898">
        <w:rPr>
          <w:rFonts w:cs="Calibri"/>
        </w:rPr>
        <w:tab/>
        <w:t>other statements as necessary to fairly reflect the financial operations of the agency during the year and its financial position at the end of the year</w:t>
      </w:r>
      <w:r w:rsidR="001623F0" w:rsidRPr="00E369F8">
        <w:rPr>
          <w:rFonts w:cs="Calibri"/>
        </w:rPr>
        <w:t>.</w:t>
      </w:r>
    </w:p>
    <w:p w14:paraId="0DE6EE31" w14:textId="77777777" w:rsidR="001623F0" w:rsidRPr="00D828C2" w:rsidRDefault="001623F0" w:rsidP="001623F0">
      <w:pPr>
        <w:pStyle w:val="reference"/>
        <w:tabs>
          <w:tab w:val="left" w:pos="1560"/>
        </w:tabs>
        <w:ind w:left="1560" w:right="521" w:hanging="993"/>
        <w:jc w:val="both"/>
      </w:pPr>
      <w:r w:rsidRPr="00D828C2">
        <w:rPr>
          <w:b/>
        </w:rPr>
        <w:t xml:space="preserve">Reference: </w:t>
      </w:r>
      <w:r w:rsidRPr="00D828C2">
        <w:t xml:space="preserve">AASB 101.10(e), FMA 27(1) &amp; (3), FMA 63(1) &amp; (3), Financial Management (Periodic &amp; Annual Financial Statements) Guidelines 2017 </w:t>
      </w:r>
    </w:p>
    <w:p w14:paraId="6F4C7F8D" w14:textId="77777777" w:rsidR="001623F0" w:rsidRPr="00D828C2" w:rsidRDefault="001623F0" w:rsidP="001623F0">
      <w:pPr>
        <w:jc w:val="both"/>
      </w:pPr>
    </w:p>
    <w:p w14:paraId="64C63570" w14:textId="77777777" w:rsidR="001623F0" w:rsidRPr="005F3898" w:rsidRDefault="001623F0" w:rsidP="001623F0">
      <w:pPr>
        <w:jc w:val="both"/>
      </w:pPr>
      <w:r w:rsidRPr="005F3898">
        <w:t xml:space="preserve">These general purpose financial statements have been prepared in accordance with: </w:t>
      </w:r>
    </w:p>
    <w:p w14:paraId="22FCF536" w14:textId="77777777" w:rsidR="001623F0" w:rsidRPr="00E369F8" w:rsidRDefault="001623F0" w:rsidP="001623F0">
      <w:pPr>
        <w:pStyle w:val="NotesNumber"/>
        <w:numPr>
          <w:ilvl w:val="0"/>
          <w:numId w:val="32"/>
        </w:numPr>
        <w:tabs>
          <w:tab w:val="left" w:pos="457"/>
          <w:tab w:val="left" w:pos="1026"/>
        </w:tabs>
        <w:jc w:val="both"/>
        <w:rPr>
          <w:rFonts w:cs="Calibri"/>
          <w:sz w:val="21"/>
          <w:szCs w:val="21"/>
        </w:rPr>
      </w:pPr>
      <w:r w:rsidRPr="00E369F8">
        <w:rPr>
          <w:rFonts w:cs="Calibri"/>
          <w:sz w:val="21"/>
          <w:szCs w:val="21"/>
        </w:rPr>
        <w:t xml:space="preserve">Australian Accounting Standards (as required by the FMA); and </w:t>
      </w:r>
    </w:p>
    <w:p w14:paraId="5D57E531" w14:textId="77777777" w:rsidR="001623F0" w:rsidRPr="00E369F8" w:rsidRDefault="001623F0" w:rsidP="001623F0">
      <w:pPr>
        <w:pStyle w:val="NotesNumber"/>
        <w:numPr>
          <w:ilvl w:val="0"/>
          <w:numId w:val="32"/>
        </w:numPr>
        <w:tabs>
          <w:tab w:val="left" w:pos="457"/>
          <w:tab w:val="left" w:pos="1026"/>
        </w:tabs>
        <w:jc w:val="both"/>
        <w:rPr>
          <w:rFonts w:cs="Calibri"/>
          <w:sz w:val="22"/>
          <w:szCs w:val="22"/>
        </w:rPr>
      </w:pPr>
      <w:r w:rsidRPr="00E369F8">
        <w:rPr>
          <w:rFonts w:cs="Calibri"/>
          <w:sz w:val="21"/>
          <w:szCs w:val="21"/>
        </w:rPr>
        <w:t>ACT Accounting and Disclosure Policies.</w:t>
      </w:r>
      <w:r w:rsidRPr="00E369F8">
        <w:rPr>
          <w:rFonts w:cs="Calibri"/>
          <w:sz w:val="22"/>
          <w:szCs w:val="22"/>
        </w:rPr>
        <w:t xml:space="preserve"> </w:t>
      </w:r>
    </w:p>
    <w:p w14:paraId="10007B12" w14:textId="77777777" w:rsidR="001623F0" w:rsidRPr="00BD22DD" w:rsidRDefault="001623F0" w:rsidP="001623F0">
      <w:pPr>
        <w:pStyle w:val="reference"/>
      </w:pPr>
      <w:r w:rsidRPr="000E284D">
        <w:rPr>
          <w:b/>
        </w:rPr>
        <w:t>Reference:</w:t>
      </w:r>
      <w:r>
        <w:rPr>
          <w:b/>
        </w:rPr>
        <w:t xml:space="preserve"> </w:t>
      </w:r>
      <w:r w:rsidRPr="00106413">
        <w:t>AASB 101.10(e), AASB 1054.</w:t>
      </w:r>
      <w:r>
        <w:t>7 &amp; 9, FMA 27(2) &amp; 63(2)</w:t>
      </w:r>
    </w:p>
    <w:p w14:paraId="7D7E1516" w14:textId="77777777" w:rsidR="001623F0" w:rsidRPr="00313776" w:rsidRDefault="001623F0" w:rsidP="001623F0"/>
    <w:p w14:paraId="68FBEBFE" w14:textId="77777777" w:rsidR="001623F0" w:rsidRPr="00D828C2" w:rsidRDefault="001623F0" w:rsidP="001623F0">
      <w:pPr>
        <w:pStyle w:val="Appxhead2"/>
      </w:pPr>
      <w:r w:rsidRPr="00D828C2">
        <w:t>ACCRUAL ACCOUNTING</w:t>
      </w:r>
    </w:p>
    <w:p w14:paraId="23996AFB" w14:textId="77777777" w:rsidR="001623F0" w:rsidRDefault="001623F0" w:rsidP="001623F0">
      <w:pPr>
        <w:jc w:val="both"/>
        <w:rPr>
          <w:rFonts w:cs="Calibri"/>
          <w:b/>
          <w:bCs/>
        </w:rPr>
      </w:pPr>
      <w:r w:rsidRPr="00D828C2">
        <w:rPr>
          <w:rFonts w:cs="Calibri"/>
        </w:rPr>
        <w:t xml:space="preserve">The financial statements have been prepared using the accrual basis of accounting.  The financial statements are prepared according to historical cost convention, except for non-current assets held for sale, property, plant and equipment and financial instruments which are valued at fair value in accordance with (re)valuation policies applicable to the Agency during the reporting </w:t>
      </w:r>
      <w:r w:rsidRPr="00CF7E1B">
        <w:rPr>
          <w:rFonts w:cs="Calibri"/>
        </w:rPr>
        <w:t>period</w:t>
      </w:r>
    </w:p>
    <w:p w14:paraId="4FA9F4C0" w14:textId="77777777" w:rsidR="001623F0" w:rsidRDefault="001623F0" w:rsidP="001623F0">
      <w:pPr>
        <w:pStyle w:val="reference"/>
        <w:jc w:val="both"/>
      </w:pPr>
      <w:r w:rsidRPr="0059724D">
        <w:rPr>
          <w:b/>
        </w:rPr>
        <w:t>Reference:</w:t>
      </w:r>
      <w:r>
        <w:rPr>
          <w:b/>
        </w:rPr>
        <w:t xml:space="preserve"> </w:t>
      </w:r>
      <w:r w:rsidRPr="008732C1">
        <w:t>AASB 101.27, AASB 101.17(a)</w:t>
      </w:r>
    </w:p>
    <w:p w14:paraId="461F5439" w14:textId="77777777" w:rsidR="001623F0" w:rsidRPr="00313776" w:rsidRDefault="001623F0" w:rsidP="001623F0">
      <w:pPr>
        <w:jc w:val="both"/>
      </w:pPr>
    </w:p>
    <w:p w14:paraId="3AEEECD1" w14:textId="77777777" w:rsidR="001623F0" w:rsidRPr="00D828C2" w:rsidRDefault="001623F0" w:rsidP="001623F0">
      <w:pPr>
        <w:pStyle w:val="Appxhead2"/>
        <w:jc w:val="both"/>
      </w:pPr>
      <w:r w:rsidRPr="00D828C2">
        <w:t>CURRENCY</w:t>
      </w:r>
    </w:p>
    <w:p w14:paraId="7AFFED28" w14:textId="77777777" w:rsidR="001623F0" w:rsidRPr="00D828C2" w:rsidRDefault="001623F0" w:rsidP="001623F0">
      <w:pPr>
        <w:jc w:val="both"/>
      </w:pPr>
      <w:r w:rsidRPr="00D828C2">
        <w:t>These financial statements are presented in Australian dollars, which is the Agency’s functional currency.</w:t>
      </w:r>
    </w:p>
    <w:p w14:paraId="473A1290" w14:textId="77777777" w:rsidR="001623F0" w:rsidRPr="00D828C2" w:rsidRDefault="001623F0" w:rsidP="001623F0">
      <w:pPr>
        <w:pStyle w:val="reference"/>
        <w:jc w:val="both"/>
      </w:pPr>
      <w:r w:rsidRPr="00D828C2">
        <w:rPr>
          <w:b/>
        </w:rPr>
        <w:t xml:space="preserve">Reference: </w:t>
      </w:r>
      <w:r w:rsidRPr="00D828C2">
        <w:t>AASB 101.51(d)</w:t>
      </w:r>
    </w:p>
    <w:p w14:paraId="19E7020B" w14:textId="77777777" w:rsidR="001623F0" w:rsidRPr="00D828C2" w:rsidRDefault="001623F0" w:rsidP="001623F0">
      <w:pPr>
        <w:jc w:val="both"/>
      </w:pPr>
    </w:p>
    <w:p w14:paraId="4E4630C5" w14:textId="77777777" w:rsidR="001623F0" w:rsidRPr="00D828C2" w:rsidRDefault="001623F0" w:rsidP="001623F0">
      <w:pPr>
        <w:pStyle w:val="Appxhead2"/>
        <w:jc w:val="both"/>
      </w:pPr>
      <w:r w:rsidRPr="00D828C2">
        <w:t>INDIVIDUAL NOT-FOR- PROFIT REPORTING ENTITY</w:t>
      </w:r>
    </w:p>
    <w:p w14:paraId="75C9C80F" w14:textId="77777777" w:rsidR="001623F0" w:rsidRPr="00D828C2" w:rsidRDefault="001623F0" w:rsidP="001623F0">
      <w:pPr>
        <w:jc w:val="both"/>
      </w:pPr>
      <w:r w:rsidRPr="00D828C2">
        <w:t>Example Agency is an individual not-for-profit reporting entity.</w:t>
      </w:r>
    </w:p>
    <w:p w14:paraId="590CE720" w14:textId="77777777" w:rsidR="001623F0" w:rsidRPr="00D828C2" w:rsidRDefault="001623F0" w:rsidP="001623F0">
      <w:pPr>
        <w:pStyle w:val="reference"/>
        <w:jc w:val="both"/>
      </w:pPr>
      <w:r w:rsidRPr="00D828C2">
        <w:rPr>
          <w:b/>
        </w:rPr>
        <w:t xml:space="preserve">Reference: </w:t>
      </w:r>
      <w:r w:rsidRPr="00D828C2">
        <w:t>AASB 101.51(b), AASB 1054.8(b)</w:t>
      </w:r>
    </w:p>
    <w:p w14:paraId="5F0BA43E" w14:textId="77777777" w:rsidR="001623F0" w:rsidRDefault="001623F0" w:rsidP="001623F0">
      <w:pPr>
        <w:spacing w:after="0"/>
      </w:pPr>
    </w:p>
    <w:p w14:paraId="70DF9DF9" w14:textId="77777777" w:rsidR="005F65FD" w:rsidRDefault="005F65FD">
      <w:pPr>
        <w:rPr>
          <w:rFonts w:ascii="Arial" w:eastAsia="Times New Roman" w:hAnsi="Arial"/>
          <w:b/>
          <w:caps/>
          <w:sz w:val="28"/>
          <w:szCs w:val="28"/>
          <w:lang w:eastAsia="en-US"/>
        </w:rPr>
      </w:pPr>
      <w:r>
        <w:br w:type="page"/>
      </w:r>
    </w:p>
    <w:p w14:paraId="5CA8D4C2" w14:textId="24F54833" w:rsidR="001623F0" w:rsidRDefault="001623F0" w:rsidP="001623F0">
      <w:pPr>
        <w:pStyle w:val="Appxhead2"/>
      </w:pPr>
      <w:r>
        <w:lastRenderedPageBreak/>
        <w:t>Controlled and Territorial Items</w:t>
      </w:r>
    </w:p>
    <w:p w14:paraId="53F70871" w14:textId="06E8CC13" w:rsidR="001623F0" w:rsidRDefault="001623F0" w:rsidP="001623F0">
      <w:pPr>
        <w:jc w:val="both"/>
        <w:rPr>
          <w:rFonts w:cs="Calibri"/>
        </w:rPr>
      </w:pPr>
      <w:r w:rsidRPr="00CF7E1B">
        <w:rPr>
          <w:rFonts w:cs="Calibri"/>
        </w:rPr>
        <w:t xml:space="preserve">The Agency produces Controlled and Territorial financial statements.  The Controlled financial statements include income, expenses, assets and liabilities over which the Agency has control.  The Territorial financial statements include income, expenses, assets and liabilities that the Agency administers on behalf of the ACT </w:t>
      </w:r>
      <w:r w:rsidR="005F3898" w:rsidRPr="00CF7E1B">
        <w:rPr>
          <w:rFonts w:cs="Calibri"/>
        </w:rPr>
        <w:t>Government but</w:t>
      </w:r>
      <w:r w:rsidRPr="00CF7E1B">
        <w:rPr>
          <w:rFonts w:cs="Calibri"/>
        </w:rPr>
        <w:t xml:space="preserve"> does not control</w:t>
      </w:r>
      <w:r>
        <w:rPr>
          <w:rFonts w:cs="Calibri"/>
        </w:rPr>
        <w:t>.</w:t>
      </w:r>
    </w:p>
    <w:p w14:paraId="470BBB74" w14:textId="77777777" w:rsidR="001623F0" w:rsidRDefault="001623F0" w:rsidP="001623F0">
      <w:pPr>
        <w:jc w:val="both"/>
      </w:pPr>
      <w:r w:rsidRPr="00CF7E1B">
        <w:t xml:space="preserve">The purpose of the distinction between Controlled and Territorial is to enable an assessment of the Agency’s performance against the decisions it has made in relation to the resources it controls, while maintaining accountability for all resources under its responsibility. </w:t>
      </w:r>
    </w:p>
    <w:p w14:paraId="28233A44" w14:textId="77777777" w:rsidR="001623F0" w:rsidRDefault="001623F0" w:rsidP="001623F0">
      <w:pPr>
        <w:jc w:val="both"/>
        <w:rPr>
          <w:b/>
          <w:bCs/>
        </w:rPr>
      </w:pPr>
      <w:r w:rsidRPr="00CF7E1B">
        <w:t xml:space="preserve">The basis of </w:t>
      </w:r>
      <w:r w:rsidRPr="00212951">
        <w:t>preparation</w:t>
      </w:r>
      <w:r>
        <w:t xml:space="preserve"> </w:t>
      </w:r>
      <w:r w:rsidRPr="00CF7E1B">
        <w:t>described applies to both Controlled and Territorial financial statements except where specified otherwise</w:t>
      </w:r>
      <w:r>
        <w:t>.</w:t>
      </w:r>
    </w:p>
    <w:p w14:paraId="6A7F1678" w14:textId="77777777" w:rsidR="001623F0" w:rsidRDefault="001623F0" w:rsidP="001623F0">
      <w:pPr>
        <w:pStyle w:val="Appxhead2"/>
        <w:jc w:val="both"/>
      </w:pPr>
      <w:r>
        <w:t>Reporting Period</w:t>
      </w:r>
    </w:p>
    <w:p w14:paraId="288DFCA5" w14:textId="77777777" w:rsidR="001623F0" w:rsidRDefault="001623F0" w:rsidP="001623F0">
      <w:pPr>
        <w:jc w:val="both"/>
        <w:rPr>
          <w:rFonts w:cs="Calibri"/>
          <w:b/>
          <w:bCs/>
        </w:rPr>
      </w:pPr>
      <w:r w:rsidRPr="00CF7E1B">
        <w:rPr>
          <w:rFonts w:cs="Calibri"/>
        </w:rPr>
        <w:t>These financial statements state the financial performance, changes in equity and cash flows of the Agency for the year end</w:t>
      </w:r>
      <w:r>
        <w:rPr>
          <w:rFonts w:cs="Calibri"/>
        </w:rPr>
        <w:t>ed</w:t>
      </w:r>
      <w:r w:rsidRPr="00CF7E1B">
        <w:rPr>
          <w:rFonts w:cs="Calibri"/>
        </w:rPr>
        <w:t xml:space="preserve"> 30</w:t>
      </w:r>
      <w:r>
        <w:rPr>
          <w:rFonts w:cs="Calibri"/>
        </w:rPr>
        <w:t xml:space="preserve"> </w:t>
      </w:r>
      <w:r w:rsidRPr="00CF7E1B">
        <w:rPr>
          <w:rFonts w:cs="Calibri"/>
        </w:rPr>
        <w:t>June</w:t>
      </w:r>
      <w:r>
        <w:rPr>
          <w:rFonts w:cs="Calibri"/>
        </w:rPr>
        <w:t xml:space="preserve"> 2020</w:t>
      </w:r>
      <w:r w:rsidRPr="00CF7E1B">
        <w:rPr>
          <w:rFonts w:cs="Calibri"/>
        </w:rPr>
        <w:t xml:space="preserve"> together with the financial position of the Agency as at 30</w:t>
      </w:r>
      <w:r>
        <w:rPr>
          <w:rFonts w:cs="Calibri"/>
        </w:rPr>
        <w:t> </w:t>
      </w:r>
      <w:r w:rsidRPr="00CF7E1B">
        <w:rPr>
          <w:rFonts w:cs="Calibri"/>
        </w:rPr>
        <w:t>June</w:t>
      </w:r>
      <w:r>
        <w:rPr>
          <w:rFonts w:cs="Calibri"/>
        </w:rPr>
        <w:t> 2020</w:t>
      </w:r>
      <w:r w:rsidRPr="00CF7E1B">
        <w:rPr>
          <w:rFonts w:cs="Calibri"/>
        </w:rPr>
        <w:t>.</w:t>
      </w:r>
    </w:p>
    <w:p w14:paraId="6A2213DD" w14:textId="77777777" w:rsidR="001623F0" w:rsidRPr="008645EA" w:rsidRDefault="001623F0" w:rsidP="001623F0">
      <w:pPr>
        <w:pStyle w:val="reference"/>
        <w:jc w:val="both"/>
      </w:pPr>
      <w:r w:rsidRPr="008732C1">
        <w:rPr>
          <w:b/>
        </w:rPr>
        <w:t>Reference:</w:t>
      </w:r>
      <w:r>
        <w:rPr>
          <w:b/>
        </w:rPr>
        <w:t xml:space="preserve"> </w:t>
      </w:r>
      <w:r w:rsidRPr="008645EA">
        <w:t>AASB 101.51(c)</w:t>
      </w:r>
    </w:p>
    <w:p w14:paraId="386101E4" w14:textId="77777777" w:rsidR="001623F0" w:rsidRDefault="001623F0" w:rsidP="001623F0">
      <w:pPr>
        <w:jc w:val="both"/>
      </w:pPr>
    </w:p>
    <w:p w14:paraId="7C926449" w14:textId="77777777" w:rsidR="001623F0" w:rsidRDefault="001623F0" w:rsidP="001623F0">
      <w:pPr>
        <w:pStyle w:val="Appxhead2"/>
        <w:jc w:val="both"/>
      </w:pPr>
      <w:r>
        <w:t>Comparative Figures</w:t>
      </w:r>
    </w:p>
    <w:p w14:paraId="171E4A45" w14:textId="77777777" w:rsidR="001623F0" w:rsidRPr="00C303D0" w:rsidRDefault="001623F0" w:rsidP="001623F0">
      <w:pPr>
        <w:pStyle w:val="Appxhead3"/>
        <w:jc w:val="both"/>
      </w:pPr>
      <w:r w:rsidRPr="00C303D0">
        <w:t>Budget Figures</w:t>
      </w:r>
    </w:p>
    <w:p w14:paraId="0013F563" w14:textId="2ADF6B4B" w:rsidR="001623F0" w:rsidRPr="00CF7E1B" w:rsidRDefault="001623F0" w:rsidP="001623F0">
      <w:pPr>
        <w:jc w:val="both"/>
      </w:pPr>
      <w:r w:rsidRPr="00CF7E1B">
        <w:t xml:space="preserve">To facilitate a comparison with the Budget Papers, as required by the </w:t>
      </w:r>
      <w:r>
        <w:t>FMA</w:t>
      </w:r>
      <w:r w:rsidRPr="00CF7E1B">
        <w:t xml:space="preserve">, budget information for </w:t>
      </w:r>
      <w:r>
        <w:t>20</w:t>
      </w:r>
      <w:r w:rsidR="00F21677">
        <w:t>20</w:t>
      </w:r>
      <w:r>
        <w:t>-2</w:t>
      </w:r>
      <w:r w:rsidR="00F21677">
        <w:t>1</w:t>
      </w:r>
      <w:r w:rsidRPr="00CF7E1B">
        <w:t xml:space="preserve"> has been presented in the financial statements.  Budget numbers in the financial statements are the original budget numbers that appear in the Budget Papers.  </w:t>
      </w:r>
    </w:p>
    <w:p w14:paraId="18B992E9" w14:textId="77777777" w:rsidR="001623F0" w:rsidRDefault="001623F0" w:rsidP="001623F0">
      <w:pPr>
        <w:pStyle w:val="reference"/>
        <w:jc w:val="both"/>
      </w:pPr>
      <w:r w:rsidRPr="005C05BC">
        <w:rPr>
          <w:b/>
        </w:rPr>
        <w:t>Reference</w:t>
      </w:r>
      <w:r w:rsidRPr="0059724D">
        <w:t xml:space="preserve">: </w:t>
      </w:r>
      <w:r>
        <w:t xml:space="preserve"> </w:t>
      </w:r>
      <w:r w:rsidRPr="0059724D">
        <w:t>FMA 27(2) &amp; 63(2)</w:t>
      </w:r>
    </w:p>
    <w:p w14:paraId="2245B41D" w14:textId="77777777" w:rsidR="001623F0" w:rsidRDefault="001623F0" w:rsidP="001623F0">
      <w:pPr>
        <w:jc w:val="both"/>
      </w:pPr>
    </w:p>
    <w:p w14:paraId="671B77E5" w14:textId="77777777" w:rsidR="001623F0" w:rsidRPr="00D828C2" w:rsidRDefault="001623F0" w:rsidP="001623F0">
      <w:pPr>
        <w:pStyle w:val="Appxhead3"/>
        <w:jc w:val="both"/>
      </w:pPr>
      <w:r w:rsidRPr="00D828C2">
        <w:t>Prior Year Comparatives</w:t>
      </w:r>
    </w:p>
    <w:p w14:paraId="23D37F22" w14:textId="77777777" w:rsidR="001623F0" w:rsidRPr="00D828C2" w:rsidRDefault="001623F0" w:rsidP="001623F0">
      <w:pPr>
        <w:jc w:val="both"/>
      </w:pPr>
      <w:r w:rsidRPr="00D828C2">
        <w:t xml:space="preserve">Comparative information has been disclosed in respect of the previous period for amounts reported in the financial statements, except where an Australian Accounting Standard does not require comparative information to be disclosed. </w:t>
      </w:r>
    </w:p>
    <w:p w14:paraId="03C10742" w14:textId="77777777" w:rsidR="001623F0" w:rsidRPr="00D828C2" w:rsidRDefault="001623F0" w:rsidP="001623F0">
      <w:pPr>
        <w:pStyle w:val="reference"/>
        <w:jc w:val="both"/>
      </w:pPr>
      <w:r w:rsidRPr="00D828C2">
        <w:rPr>
          <w:b/>
        </w:rPr>
        <w:t>Reference</w:t>
      </w:r>
      <w:r w:rsidRPr="00D828C2">
        <w:t>: AASB 101.38</w:t>
      </w:r>
    </w:p>
    <w:p w14:paraId="1F402288" w14:textId="77777777" w:rsidR="001623F0" w:rsidRPr="00D828C2" w:rsidRDefault="001623F0" w:rsidP="001623F0">
      <w:pPr>
        <w:jc w:val="both"/>
        <w:rPr>
          <w:rFonts w:cs="Calibri"/>
        </w:rPr>
      </w:pPr>
    </w:p>
    <w:p w14:paraId="7A796DAE" w14:textId="77777777" w:rsidR="001623F0" w:rsidRPr="00D828C2" w:rsidRDefault="001623F0" w:rsidP="001623F0">
      <w:pPr>
        <w:jc w:val="both"/>
        <w:rPr>
          <w:rFonts w:cs="Calibri"/>
          <w:b/>
        </w:rPr>
      </w:pPr>
      <w:r w:rsidRPr="00D828C2">
        <w:rPr>
          <w:rFonts w:cs="Calibri"/>
        </w:rPr>
        <w:t>Where the presentation or classification of items in the financial statements is amended, the comparative amounts have been reclassified where practical.  Where a reclassification has occurred, the nature, amount and reason for the reclassification is provided.</w:t>
      </w:r>
    </w:p>
    <w:p w14:paraId="1F71A7D8" w14:textId="77777777" w:rsidR="001623F0" w:rsidRPr="00D828C2" w:rsidRDefault="001623F0" w:rsidP="001623F0">
      <w:pPr>
        <w:pStyle w:val="reference"/>
        <w:jc w:val="both"/>
      </w:pPr>
      <w:r w:rsidRPr="00D828C2">
        <w:rPr>
          <w:b/>
        </w:rPr>
        <w:t>Reference</w:t>
      </w:r>
      <w:r w:rsidRPr="00D828C2">
        <w:t>: AASB 101.41</w:t>
      </w:r>
    </w:p>
    <w:p w14:paraId="68D42115" w14:textId="77777777" w:rsidR="001623F0" w:rsidRPr="00BD22DD" w:rsidRDefault="001623F0" w:rsidP="001623F0">
      <w:pPr>
        <w:pStyle w:val="Appxhead3"/>
        <w:jc w:val="both"/>
      </w:pPr>
      <w:r w:rsidRPr="00BD22DD">
        <w:t>Rounding</w:t>
      </w:r>
    </w:p>
    <w:p w14:paraId="2D060623" w14:textId="77777777" w:rsidR="001623F0" w:rsidRDefault="001623F0" w:rsidP="001623F0">
      <w:pPr>
        <w:jc w:val="both"/>
        <w:rPr>
          <w:rFonts w:cs="Calibri"/>
        </w:rPr>
      </w:pPr>
      <w:r w:rsidRPr="00CF7E1B">
        <w:rPr>
          <w:rFonts w:cs="Calibri"/>
        </w:rPr>
        <w:t>All amounts in the financial statements have been rounded to the nearest thousand dollars ($’000).  Use of “</w:t>
      </w:r>
      <w:r w:rsidRPr="00CF7E1B">
        <w:rPr>
          <w:rFonts w:cs="Calibri"/>
        </w:rPr>
        <w:noBreakHyphen/>
        <w:t>” represents zero amounts or amounts rounded down to zero</w:t>
      </w:r>
      <w:r>
        <w:rPr>
          <w:rFonts w:cs="Calibri"/>
        </w:rPr>
        <w:t>.</w:t>
      </w:r>
    </w:p>
    <w:p w14:paraId="5B262895" w14:textId="77777777" w:rsidR="001623F0" w:rsidRDefault="001623F0" w:rsidP="001623F0">
      <w:pPr>
        <w:pStyle w:val="reference"/>
        <w:jc w:val="both"/>
      </w:pPr>
      <w:r w:rsidRPr="00244838">
        <w:rPr>
          <w:b/>
        </w:rPr>
        <w:t>Reference</w:t>
      </w:r>
      <w:r w:rsidRPr="008645EA">
        <w:t>:</w:t>
      </w:r>
      <w:r>
        <w:t xml:space="preserve"> </w:t>
      </w:r>
      <w:r w:rsidRPr="008645EA">
        <w:t>AASB 101.51(e) &amp; 53</w:t>
      </w:r>
    </w:p>
    <w:p w14:paraId="61EFBAFD" w14:textId="77777777" w:rsidR="001623F0" w:rsidRDefault="001623F0" w:rsidP="001623F0"/>
    <w:p w14:paraId="52DF0AB3" w14:textId="77777777" w:rsidR="000A07A1" w:rsidRDefault="000A07A1" w:rsidP="001623F0">
      <w:pPr>
        <w:rPr>
          <w:rFonts w:ascii="Arial" w:eastAsia="Times New Roman" w:hAnsi="Arial"/>
          <w:b/>
          <w:caps/>
          <w:sz w:val="28"/>
          <w:szCs w:val="28"/>
          <w:lang w:eastAsia="en-US"/>
        </w:rPr>
      </w:pPr>
    </w:p>
    <w:p w14:paraId="44E5541A" w14:textId="7C7941D2" w:rsidR="001623F0" w:rsidRPr="00AF5C9D" w:rsidRDefault="001623F0" w:rsidP="001623F0">
      <w:pPr>
        <w:rPr>
          <w:rFonts w:ascii="Arial" w:eastAsia="Times New Roman" w:hAnsi="Arial"/>
          <w:b/>
          <w:caps/>
          <w:sz w:val="28"/>
          <w:szCs w:val="28"/>
          <w:lang w:eastAsia="en-US"/>
        </w:rPr>
      </w:pPr>
      <w:r w:rsidRPr="00AF5C9D">
        <w:rPr>
          <w:rFonts w:ascii="Arial" w:eastAsia="Times New Roman" w:hAnsi="Arial"/>
          <w:b/>
          <w:caps/>
          <w:sz w:val="28"/>
          <w:szCs w:val="28"/>
          <w:lang w:eastAsia="en-US"/>
        </w:rPr>
        <w:lastRenderedPageBreak/>
        <w:t>GOING CONCERN</w:t>
      </w:r>
    </w:p>
    <w:p w14:paraId="2CD83B45" w14:textId="77777777" w:rsidR="001623F0" w:rsidRDefault="001623F0" w:rsidP="001623F0">
      <w:pPr>
        <w:spacing w:after="120"/>
        <w:jc w:val="both"/>
        <w:rPr>
          <w:rFonts w:cs="Calibri"/>
        </w:rPr>
      </w:pPr>
      <w:r w:rsidRPr="00212951">
        <w:rPr>
          <w:rFonts w:cs="Calibri"/>
        </w:rPr>
        <w:t xml:space="preserve">As at 30 June </w:t>
      </w:r>
      <w:r>
        <w:rPr>
          <w:rFonts w:cs="Calibri"/>
        </w:rPr>
        <w:t>2020</w:t>
      </w:r>
      <w:r w:rsidRPr="00212951">
        <w:rPr>
          <w:rFonts w:cs="Calibri"/>
        </w:rPr>
        <w:t>, ‘Example Agency’s current liabilities ($</w:t>
      </w:r>
      <w:r>
        <w:rPr>
          <w:rFonts w:cs="Calibri"/>
        </w:rPr>
        <w:t>xxx</w:t>
      </w:r>
      <w:r w:rsidRPr="00212951">
        <w:rPr>
          <w:rFonts w:cs="Calibri"/>
        </w:rPr>
        <w:t xml:space="preserve">) exceed its current assets </w:t>
      </w:r>
      <w:r w:rsidRPr="00556813">
        <w:rPr>
          <w:rFonts w:cs="Calibri"/>
        </w:rPr>
        <w:t>($</w:t>
      </w:r>
      <w:r>
        <w:rPr>
          <w:rFonts w:cs="Calibri"/>
        </w:rPr>
        <w:t>xxx</w:t>
      </w:r>
      <w:r w:rsidRPr="00556813">
        <w:rPr>
          <w:rFonts w:cs="Calibri"/>
        </w:rPr>
        <w:t xml:space="preserve">) </w:t>
      </w:r>
      <w:r w:rsidRPr="00212951">
        <w:rPr>
          <w:rFonts w:cs="Calibri"/>
        </w:rPr>
        <w:t xml:space="preserve">by </w:t>
      </w:r>
      <w:r w:rsidRPr="00556813">
        <w:rPr>
          <w:rFonts w:cs="Calibri"/>
        </w:rPr>
        <w:t>$</w:t>
      </w:r>
      <w:r>
        <w:rPr>
          <w:rFonts w:cs="Calibri"/>
        </w:rPr>
        <w:t>xxx</w:t>
      </w:r>
      <w:r w:rsidRPr="00212951">
        <w:rPr>
          <w:rFonts w:cs="Calibri"/>
        </w:rPr>
        <w:t>.  However, this is not considered a liquidity risk as its cash needs are funded through appropriation by the ACT Government on a cash-needs basis.  This is consistent with the whole-of-Government cash management regime, which requires excess cash balances to be held centrally rather than within individual agency bank accounts</w:t>
      </w:r>
    </w:p>
    <w:p w14:paraId="7E668707" w14:textId="64D9AB48" w:rsidR="001623F0" w:rsidRPr="00D828C2" w:rsidRDefault="001623F0" w:rsidP="001623F0">
      <w:pPr>
        <w:jc w:val="both"/>
        <w:rPr>
          <w:szCs w:val="22"/>
        </w:rPr>
      </w:pPr>
      <w:r w:rsidRPr="00D828C2">
        <w:t>The 20</w:t>
      </w:r>
      <w:r w:rsidR="00F21677">
        <w:t>20</w:t>
      </w:r>
      <w:r w:rsidRPr="00D828C2">
        <w:t>-2</w:t>
      </w:r>
      <w:r w:rsidR="00F21677">
        <w:t>1</w:t>
      </w:r>
      <w:r w:rsidRPr="00D828C2">
        <w:t xml:space="preserve"> financial statements have been prepared on a going concern basis as ‘Example Agency’ has been funded in 202</w:t>
      </w:r>
      <w:r w:rsidR="00F21677">
        <w:t>1</w:t>
      </w:r>
      <w:r w:rsidRPr="00D828C2">
        <w:t>-2</w:t>
      </w:r>
      <w:r w:rsidR="00F21677">
        <w:t>2</w:t>
      </w:r>
      <w:r w:rsidRPr="00D828C2">
        <w:t xml:space="preserve"> under section 7 of the </w:t>
      </w:r>
      <w:r w:rsidRPr="00D828C2">
        <w:rPr>
          <w:i/>
          <w:iCs/>
        </w:rPr>
        <w:t>Financial Management Act 1996</w:t>
      </w:r>
      <w:r w:rsidRPr="00D828C2">
        <w:t xml:space="preserve"> pending funding in the 202</w:t>
      </w:r>
      <w:r w:rsidR="00F21677">
        <w:t>1</w:t>
      </w:r>
      <w:r w:rsidRPr="00D828C2">
        <w:t>-2</w:t>
      </w:r>
      <w:r w:rsidR="00F21677">
        <w:t>2</w:t>
      </w:r>
      <w:r w:rsidRPr="00D828C2">
        <w:t xml:space="preserve"> Budget and the 202</w:t>
      </w:r>
      <w:r w:rsidR="004D582F">
        <w:t>1</w:t>
      </w:r>
      <w:r w:rsidRPr="00D828C2">
        <w:t>-2</w:t>
      </w:r>
      <w:r w:rsidR="004D582F">
        <w:t>2</w:t>
      </w:r>
      <w:r w:rsidRPr="00D828C2">
        <w:t xml:space="preserve"> Budget Papers </w:t>
      </w:r>
      <w:r w:rsidRPr="00D828C2">
        <w:rPr>
          <w:strike/>
        </w:rPr>
        <w:t xml:space="preserve">include </w:t>
      </w:r>
      <w:r w:rsidRPr="00D828C2">
        <w:t>including forward estimates for ‘Example Agency’. The 202</w:t>
      </w:r>
      <w:r w:rsidR="004D582F">
        <w:t>1</w:t>
      </w:r>
      <w:r w:rsidRPr="00D828C2">
        <w:t>-2</w:t>
      </w:r>
      <w:r w:rsidR="004D582F">
        <w:t>2</w:t>
      </w:r>
      <w:r w:rsidRPr="00D828C2">
        <w:t xml:space="preserve"> Budget will be presented to the Legislative Assembly subsequent to the signing of ‘Example Agency’s’ 20</w:t>
      </w:r>
      <w:r w:rsidR="004D582F">
        <w:t>20</w:t>
      </w:r>
      <w:r w:rsidRPr="00D828C2">
        <w:t>-2</w:t>
      </w:r>
      <w:r w:rsidR="004D582F">
        <w:t>1</w:t>
      </w:r>
      <w:r w:rsidRPr="00D828C2">
        <w:t xml:space="preserve"> financial statements.</w:t>
      </w:r>
    </w:p>
    <w:p w14:paraId="3E5703E4" w14:textId="77777777" w:rsidR="001623F0" w:rsidRPr="00D828C2" w:rsidRDefault="001623F0" w:rsidP="001623F0">
      <w:pPr>
        <w:pStyle w:val="reference"/>
        <w:jc w:val="both"/>
      </w:pPr>
      <w:r w:rsidRPr="00D828C2">
        <w:rPr>
          <w:b/>
        </w:rPr>
        <w:t xml:space="preserve">Reference: </w:t>
      </w:r>
      <w:r w:rsidRPr="00D828C2">
        <w:t>ACT Treasury Directorate Finance Memorandum 2006/11</w:t>
      </w:r>
    </w:p>
    <w:p w14:paraId="2B3D0E7B" w14:textId="77777777" w:rsidR="001623F0" w:rsidRDefault="001623F0" w:rsidP="001623F0">
      <w:pPr>
        <w:jc w:val="both"/>
        <w:rPr>
          <w:sz w:val="20"/>
          <w:lang w:bidi="en-US"/>
        </w:rPr>
      </w:pPr>
      <w:r>
        <w:t xml:space="preserve">                       </w:t>
      </w:r>
      <w:r w:rsidRPr="00B50766">
        <w:rPr>
          <w:sz w:val="20"/>
          <w:lang w:bidi="en-US"/>
        </w:rPr>
        <w:t>AASB 101.25-26</w:t>
      </w:r>
    </w:p>
    <w:p w14:paraId="6061578D" w14:textId="77777777" w:rsidR="001623F0" w:rsidRPr="00730066" w:rsidRDefault="001623F0" w:rsidP="001623F0">
      <w:pPr>
        <w:spacing w:before="360" w:after="120"/>
        <w:jc w:val="both"/>
        <w:rPr>
          <w:rFonts w:ascii="Arial" w:eastAsia="Times New Roman" w:hAnsi="Arial"/>
          <w:b/>
          <w:caps/>
          <w:color w:val="C54B0A" w:themeColor="accent5" w:themeShade="BF"/>
          <w:sz w:val="28"/>
          <w:szCs w:val="28"/>
          <w:lang w:eastAsia="en-US"/>
        </w:rPr>
      </w:pPr>
      <w:r w:rsidRPr="00730066">
        <w:rPr>
          <w:rFonts w:ascii="Arial" w:eastAsia="Times New Roman" w:hAnsi="Arial"/>
          <w:b/>
          <w:caps/>
          <w:color w:val="C54B0A" w:themeColor="accent5" w:themeShade="BF"/>
          <w:sz w:val="28"/>
          <w:szCs w:val="28"/>
          <w:lang w:eastAsia="en-US"/>
        </w:rPr>
        <w:t xml:space="preserve">Impact of COVID-19 </w:t>
      </w:r>
    </w:p>
    <w:p w14:paraId="1C32F2BF" w14:textId="0C153740" w:rsidR="00C1517D" w:rsidRPr="00E369F8" w:rsidRDefault="001623F0" w:rsidP="003D2ABC">
      <w:pPr>
        <w:pStyle w:val="Bullet1"/>
        <w:numPr>
          <w:ilvl w:val="0"/>
          <w:numId w:val="0"/>
        </w:numPr>
        <w:rPr>
          <w:color w:val="C54B0A" w:themeColor="accent5" w:themeShade="BF"/>
          <w:sz w:val="21"/>
          <w:szCs w:val="21"/>
        </w:rPr>
      </w:pPr>
      <w:r w:rsidRPr="00E369F8">
        <w:rPr>
          <w:color w:val="C54B0A" w:themeColor="accent5" w:themeShade="BF"/>
          <w:sz w:val="21"/>
          <w:szCs w:val="21"/>
        </w:rPr>
        <w:t xml:space="preserve">‘Example Agency’ has assessed the impact of the COVID-19 pandemic on its financial statements. From this assessment ‘Example Agency’ has concluded that COVID-19 has had a material impact on </w:t>
      </w:r>
      <w:r w:rsidR="003D2ABC" w:rsidRPr="00E369F8">
        <w:rPr>
          <w:color w:val="C54B0A" w:themeColor="accent5" w:themeShade="BF"/>
          <w:sz w:val="21"/>
          <w:szCs w:val="21"/>
        </w:rPr>
        <w:t xml:space="preserve">certain aspects of </w:t>
      </w:r>
      <w:r w:rsidRPr="00E369F8">
        <w:rPr>
          <w:color w:val="C54B0A" w:themeColor="accent5" w:themeShade="BF"/>
          <w:sz w:val="21"/>
          <w:szCs w:val="21"/>
        </w:rPr>
        <w:t>its operations.</w:t>
      </w:r>
      <w:r w:rsidR="003D2ABC" w:rsidRPr="00E369F8">
        <w:rPr>
          <w:color w:val="C54B0A" w:themeColor="accent5" w:themeShade="BF"/>
          <w:sz w:val="21"/>
          <w:szCs w:val="21"/>
        </w:rPr>
        <w:t xml:space="preserve"> </w:t>
      </w:r>
      <w:r w:rsidR="000C5E44" w:rsidRPr="00E369F8">
        <w:rPr>
          <w:color w:val="C54B0A" w:themeColor="accent5" w:themeShade="BF"/>
          <w:sz w:val="21"/>
          <w:szCs w:val="21"/>
        </w:rPr>
        <w:t>‘Example Agency’ has received additional appropriation through budget initiatives to fund additional employees and capital projects.</w:t>
      </w:r>
      <w:r w:rsidR="007435EC" w:rsidRPr="00E369F8">
        <w:rPr>
          <w:color w:val="C54B0A" w:themeColor="accent5" w:themeShade="BF"/>
          <w:sz w:val="21"/>
          <w:szCs w:val="21"/>
        </w:rPr>
        <w:t xml:space="preserve"> ‘Example </w:t>
      </w:r>
      <w:r w:rsidR="000C5E44" w:rsidRPr="00E369F8">
        <w:rPr>
          <w:color w:val="C54B0A" w:themeColor="accent5" w:themeShade="BF"/>
          <w:sz w:val="21"/>
          <w:szCs w:val="21"/>
        </w:rPr>
        <w:t>Agency</w:t>
      </w:r>
      <w:r w:rsidR="007435EC" w:rsidRPr="00E369F8">
        <w:rPr>
          <w:color w:val="C54B0A" w:themeColor="accent5" w:themeShade="BF"/>
          <w:sz w:val="21"/>
          <w:szCs w:val="21"/>
        </w:rPr>
        <w:t>’s</w:t>
      </w:r>
      <w:r w:rsidR="000C5E44" w:rsidRPr="00E369F8">
        <w:rPr>
          <w:color w:val="C54B0A" w:themeColor="accent5" w:themeShade="BF"/>
          <w:sz w:val="21"/>
          <w:szCs w:val="21"/>
        </w:rPr>
        <w:t xml:space="preserve">’ </w:t>
      </w:r>
      <w:r w:rsidR="007435EC" w:rsidRPr="00E369F8">
        <w:rPr>
          <w:color w:val="C54B0A" w:themeColor="accent5" w:themeShade="BF"/>
          <w:sz w:val="21"/>
          <w:szCs w:val="21"/>
        </w:rPr>
        <w:t xml:space="preserve">own source revenue has been negatively impacted with the amount of public transport </w:t>
      </w:r>
      <w:r w:rsidR="007E3900" w:rsidRPr="00E369F8">
        <w:rPr>
          <w:color w:val="C54B0A" w:themeColor="accent5" w:themeShade="BF"/>
          <w:sz w:val="21"/>
          <w:szCs w:val="21"/>
        </w:rPr>
        <w:t xml:space="preserve">fare </w:t>
      </w:r>
      <w:r w:rsidR="007435EC" w:rsidRPr="00E369F8">
        <w:rPr>
          <w:color w:val="C54B0A" w:themeColor="accent5" w:themeShade="BF"/>
          <w:sz w:val="21"/>
          <w:szCs w:val="21"/>
        </w:rPr>
        <w:t xml:space="preserve">revenue much lower than pre pandemic levels. ‘Example Agency’ has </w:t>
      </w:r>
      <w:r w:rsidR="000C5E44" w:rsidRPr="00E369F8">
        <w:rPr>
          <w:color w:val="C54B0A" w:themeColor="accent5" w:themeShade="BF"/>
          <w:sz w:val="21"/>
          <w:szCs w:val="21"/>
        </w:rPr>
        <w:t xml:space="preserve">also waived amounts owing to it and has had </w:t>
      </w:r>
      <w:r w:rsidR="007435EC" w:rsidRPr="00E369F8">
        <w:rPr>
          <w:color w:val="C54B0A" w:themeColor="accent5" w:themeShade="BF"/>
          <w:sz w:val="21"/>
          <w:szCs w:val="21"/>
        </w:rPr>
        <w:t xml:space="preserve">an </w:t>
      </w:r>
      <w:r w:rsidR="000C5E44" w:rsidRPr="00E369F8">
        <w:rPr>
          <w:color w:val="C54B0A" w:themeColor="accent5" w:themeShade="BF"/>
          <w:sz w:val="21"/>
          <w:szCs w:val="21"/>
        </w:rPr>
        <w:t xml:space="preserve">event </w:t>
      </w:r>
      <w:r w:rsidR="007435EC" w:rsidRPr="00E369F8">
        <w:rPr>
          <w:color w:val="C54B0A" w:themeColor="accent5" w:themeShade="BF"/>
          <w:sz w:val="21"/>
          <w:szCs w:val="21"/>
        </w:rPr>
        <w:t xml:space="preserve">which </w:t>
      </w:r>
      <w:r w:rsidR="00BF7747" w:rsidRPr="00E369F8">
        <w:rPr>
          <w:color w:val="C54B0A" w:themeColor="accent5" w:themeShade="BF"/>
          <w:sz w:val="21"/>
          <w:szCs w:val="21"/>
        </w:rPr>
        <w:t>has</w:t>
      </w:r>
      <w:r w:rsidR="000C5E44" w:rsidRPr="00E369F8">
        <w:rPr>
          <w:color w:val="C54B0A" w:themeColor="accent5" w:themeShade="BF"/>
          <w:sz w:val="21"/>
          <w:szCs w:val="21"/>
        </w:rPr>
        <w:t xml:space="preserve"> occurred after balance date.  All material COVID-19 disclosures are included in the note to which they relate.  </w:t>
      </w:r>
    </w:p>
    <w:p w14:paraId="291F8760" w14:textId="069BA5C4" w:rsidR="00B0598D" w:rsidRPr="00E369F8" w:rsidRDefault="000C5E44" w:rsidP="003D2ABC">
      <w:pPr>
        <w:pStyle w:val="Bullet1"/>
        <w:numPr>
          <w:ilvl w:val="0"/>
          <w:numId w:val="0"/>
        </w:numPr>
        <w:rPr>
          <w:color w:val="C54B0A" w:themeColor="accent5" w:themeShade="BF"/>
          <w:sz w:val="21"/>
          <w:szCs w:val="21"/>
        </w:rPr>
      </w:pPr>
      <w:r w:rsidRPr="00E369F8">
        <w:rPr>
          <w:color w:val="C54B0A" w:themeColor="accent5" w:themeShade="BF"/>
          <w:sz w:val="21"/>
          <w:szCs w:val="21"/>
        </w:rPr>
        <w:t xml:space="preserve">These impacts are expected to continue in the foreseeable future with the continuation of restrictions caused by the pandemic.    </w:t>
      </w:r>
    </w:p>
    <w:p w14:paraId="4661602C" w14:textId="77777777" w:rsidR="001623F0" w:rsidRDefault="001623F0" w:rsidP="001623F0">
      <w:pPr>
        <w:pStyle w:val="Bullet1"/>
        <w:numPr>
          <w:ilvl w:val="0"/>
          <w:numId w:val="0"/>
        </w:numPr>
        <w:ind w:left="360"/>
        <w:rPr>
          <w:color w:val="C54B0A" w:themeColor="accent5" w:themeShade="BF"/>
        </w:rPr>
      </w:pPr>
    </w:p>
    <w:p w14:paraId="1AF7D616" w14:textId="77777777" w:rsidR="001623F0" w:rsidRDefault="001623F0" w:rsidP="001623F0">
      <w:pPr>
        <w:pStyle w:val="Bullet1"/>
        <w:numPr>
          <w:ilvl w:val="0"/>
          <w:numId w:val="0"/>
        </w:numPr>
        <w:ind w:left="360"/>
        <w:rPr>
          <w:color w:val="C54B0A" w:themeColor="accent5" w:themeShade="BF"/>
        </w:rPr>
      </w:pPr>
    </w:p>
    <w:p w14:paraId="1F353814" w14:textId="77777777" w:rsidR="001623F0" w:rsidRDefault="001623F0" w:rsidP="001623F0">
      <w:pPr>
        <w:pStyle w:val="Bullet1"/>
        <w:numPr>
          <w:ilvl w:val="0"/>
          <w:numId w:val="0"/>
        </w:numPr>
        <w:ind w:left="360"/>
        <w:rPr>
          <w:color w:val="C54B0A" w:themeColor="accent5" w:themeShade="BF"/>
        </w:rPr>
      </w:pPr>
    </w:p>
    <w:p w14:paraId="53A84B66" w14:textId="77777777" w:rsidR="001623F0" w:rsidRDefault="001623F0" w:rsidP="001623F0">
      <w:pPr>
        <w:pStyle w:val="Bullet1"/>
        <w:numPr>
          <w:ilvl w:val="0"/>
          <w:numId w:val="0"/>
        </w:numPr>
        <w:ind w:left="360"/>
        <w:rPr>
          <w:color w:val="C54B0A" w:themeColor="accent5" w:themeShade="BF"/>
        </w:rPr>
      </w:pPr>
    </w:p>
    <w:p w14:paraId="08CF5382" w14:textId="77777777" w:rsidR="001623F0" w:rsidRDefault="001623F0" w:rsidP="001623F0">
      <w:pPr>
        <w:pStyle w:val="Bullet1"/>
        <w:numPr>
          <w:ilvl w:val="0"/>
          <w:numId w:val="0"/>
        </w:numPr>
        <w:ind w:left="360"/>
        <w:rPr>
          <w:color w:val="C54B0A" w:themeColor="accent5" w:themeShade="BF"/>
        </w:rPr>
      </w:pPr>
    </w:p>
    <w:p w14:paraId="2590627F" w14:textId="77777777" w:rsidR="001623F0" w:rsidRDefault="001623F0" w:rsidP="001623F0">
      <w:pPr>
        <w:pStyle w:val="Bullet1"/>
        <w:numPr>
          <w:ilvl w:val="0"/>
          <w:numId w:val="0"/>
        </w:numPr>
        <w:ind w:left="360"/>
        <w:rPr>
          <w:color w:val="C54B0A" w:themeColor="accent5" w:themeShade="BF"/>
        </w:rPr>
      </w:pPr>
    </w:p>
    <w:p w14:paraId="605DB71E" w14:textId="77777777" w:rsidR="001623F0" w:rsidRDefault="001623F0" w:rsidP="001623F0">
      <w:pPr>
        <w:pStyle w:val="Bullet1"/>
        <w:numPr>
          <w:ilvl w:val="0"/>
          <w:numId w:val="0"/>
        </w:numPr>
        <w:ind w:left="360"/>
        <w:rPr>
          <w:color w:val="C54B0A" w:themeColor="accent5" w:themeShade="BF"/>
        </w:rPr>
      </w:pPr>
    </w:p>
    <w:p w14:paraId="6B09D3B8" w14:textId="77777777" w:rsidR="001623F0" w:rsidRDefault="001623F0" w:rsidP="001623F0">
      <w:pPr>
        <w:pStyle w:val="Bullet1"/>
        <w:numPr>
          <w:ilvl w:val="0"/>
          <w:numId w:val="0"/>
        </w:numPr>
        <w:ind w:left="360"/>
        <w:rPr>
          <w:color w:val="C54B0A" w:themeColor="accent5" w:themeShade="BF"/>
        </w:rPr>
      </w:pPr>
    </w:p>
    <w:p w14:paraId="35F0BD8F" w14:textId="77777777" w:rsidR="001623F0" w:rsidRDefault="001623F0" w:rsidP="001623F0">
      <w:pPr>
        <w:pStyle w:val="Bullet1"/>
        <w:numPr>
          <w:ilvl w:val="0"/>
          <w:numId w:val="0"/>
        </w:numPr>
        <w:ind w:left="360"/>
        <w:rPr>
          <w:color w:val="C54B0A" w:themeColor="accent5" w:themeShade="BF"/>
        </w:rPr>
      </w:pPr>
    </w:p>
    <w:p w14:paraId="21F07283" w14:textId="77777777" w:rsidR="001623F0" w:rsidRDefault="001623F0" w:rsidP="001623F0">
      <w:pPr>
        <w:pStyle w:val="Bullet1"/>
        <w:numPr>
          <w:ilvl w:val="0"/>
          <w:numId w:val="0"/>
        </w:numPr>
        <w:ind w:left="360"/>
        <w:rPr>
          <w:color w:val="C54B0A" w:themeColor="accent5" w:themeShade="BF"/>
        </w:rPr>
      </w:pPr>
    </w:p>
    <w:p w14:paraId="7ADE3B27" w14:textId="77777777" w:rsidR="001623F0" w:rsidRDefault="001623F0" w:rsidP="001623F0">
      <w:pPr>
        <w:pStyle w:val="Bullet1"/>
        <w:numPr>
          <w:ilvl w:val="0"/>
          <w:numId w:val="0"/>
        </w:numPr>
        <w:ind w:left="360"/>
        <w:rPr>
          <w:color w:val="C54B0A" w:themeColor="accent5" w:themeShade="BF"/>
        </w:rPr>
      </w:pPr>
    </w:p>
    <w:p w14:paraId="4D9007EE" w14:textId="77777777" w:rsidR="001623F0" w:rsidRDefault="001623F0" w:rsidP="001623F0">
      <w:pPr>
        <w:pStyle w:val="Bullet1"/>
        <w:numPr>
          <w:ilvl w:val="0"/>
          <w:numId w:val="0"/>
        </w:numPr>
        <w:ind w:left="360"/>
        <w:rPr>
          <w:color w:val="C54B0A" w:themeColor="accent5" w:themeShade="BF"/>
        </w:rPr>
      </w:pPr>
    </w:p>
    <w:p w14:paraId="22463D85" w14:textId="77777777" w:rsidR="001623F0" w:rsidRDefault="001623F0" w:rsidP="001623F0">
      <w:pPr>
        <w:pStyle w:val="Bullet1"/>
        <w:numPr>
          <w:ilvl w:val="0"/>
          <w:numId w:val="0"/>
        </w:numPr>
        <w:ind w:left="360"/>
        <w:rPr>
          <w:color w:val="C54B0A" w:themeColor="accent5" w:themeShade="BF"/>
        </w:rPr>
      </w:pPr>
    </w:p>
    <w:p w14:paraId="1711A8CA" w14:textId="465C1057" w:rsidR="001623F0" w:rsidRDefault="001623F0" w:rsidP="001623F0">
      <w:pPr>
        <w:pStyle w:val="Bullet1"/>
        <w:numPr>
          <w:ilvl w:val="0"/>
          <w:numId w:val="0"/>
        </w:numPr>
        <w:ind w:left="360"/>
        <w:rPr>
          <w:color w:val="C54B0A" w:themeColor="accent5" w:themeShade="BF"/>
        </w:rPr>
      </w:pPr>
    </w:p>
    <w:p w14:paraId="54EBA4E8" w14:textId="6F22472C" w:rsidR="00F5633C" w:rsidRDefault="00F5633C" w:rsidP="001623F0">
      <w:pPr>
        <w:pStyle w:val="Bullet1"/>
        <w:numPr>
          <w:ilvl w:val="0"/>
          <w:numId w:val="0"/>
        </w:numPr>
        <w:ind w:left="360"/>
        <w:rPr>
          <w:color w:val="C54B0A" w:themeColor="accent5" w:themeShade="BF"/>
        </w:rPr>
      </w:pPr>
    </w:p>
    <w:p w14:paraId="11115C99" w14:textId="621A0590" w:rsidR="00F5633C" w:rsidRDefault="00F5633C" w:rsidP="001623F0">
      <w:pPr>
        <w:pStyle w:val="Bullet1"/>
        <w:numPr>
          <w:ilvl w:val="0"/>
          <w:numId w:val="0"/>
        </w:numPr>
        <w:ind w:left="360"/>
        <w:rPr>
          <w:color w:val="C54B0A" w:themeColor="accent5" w:themeShade="BF"/>
        </w:rPr>
      </w:pPr>
    </w:p>
    <w:p w14:paraId="1B54570E" w14:textId="0D9C8397" w:rsidR="00F5633C" w:rsidRDefault="00F5633C" w:rsidP="001623F0">
      <w:pPr>
        <w:pStyle w:val="Bullet1"/>
        <w:numPr>
          <w:ilvl w:val="0"/>
          <w:numId w:val="0"/>
        </w:numPr>
        <w:ind w:left="360"/>
        <w:rPr>
          <w:color w:val="C54B0A" w:themeColor="accent5" w:themeShade="BF"/>
        </w:rPr>
      </w:pPr>
    </w:p>
    <w:p w14:paraId="4870E09E" w14:textId="2D65E00C" w:rsidR="00F5633C" w:rsidRDefault="00F5633C" w:rsidP="001623F0">
      <w:pPr>
        <w:pStyle w:val="Bullet1"/>
        <w:numPr>
          <w:ilvl w:val="0"/>
          <w:numId w:val="0"/>
        </w:numPr>
        <w:ind w:left="360"/>
        <w:rPr>
          <w:color w:val="C54B0A" w:themeColor="accent5" w:themeShade="BF"/>
        </w:rPr>
      </w:pPr>
    </w:p>
    <w:p w14:paraId="3850ED40" w14:textId="13AA6F45" w:rsidR="00F5633C" w:rsidRDefault="00F5633C" w:rsidP="001623F0">
      <w:pPr>
        <w:pStyle w:val="Bullet1"/>
        <w:numPr>
          <w:ilvl w:val="0"/>
          <w:numId w:val="0"/>
        </w:numPr>
        <w:ind w:left="360"/>
        <w:rPr>
          <w:color w:val="C54B0A" w:themeColor="accent5" w:themeShade="BF"/>
        </w:rPr>
      </w:pPr>
    </w:p>
    <w:p w14:paraId="54685628" w14:textId="77777777" w:rsidR="00F5633C" w:rsidRDefault="00F5633C" w:rsidP="001623F0">
      <w:pPr>
        <w:pStyle w:val="Bullet1"/>
        <w:numPr>
          <w:ilvl w:val="0"/>
          <w:numId w:val="0"/>
        </w:numPr>
        <w:ind w:left="360"/>
        <w:rPr>
          <w:color w:val="C54B0A" w:themeColor="accent5" w:themeShade="BF"/>
        </w:rPr>
        <w:sectPr w:rsidR="00F5633C" w:rsidSect="000715C4">
          <w:headerReference w:type="default" r:id="rId19"/>
          <w:pgSz w:w="11906" w:h="16838" w:code="9"/>
          <w:pgMar w:top="1276" w:right="1418" w:bottom="993" w:left="1418" w:header="567" w:footer="184" w:gutter="0"/>
          <w:cols w:space="708"/>
          <w:docGrid w:linePitch="360"/>
        </w:sectPr>
      </w:pPr>
    </w:p>
    <w:p w14:paraId="506AB34E" w14:textId="77777777" w:rsidR="00F5633C" w:rsidRPr="00731AD1" w:rsidRDefault="00F5633C" w:rsidP="00731AD1">
      <w:pPr>
        <w:pStyle w:val="Normal1"/>
        <w:spacing w:after="240"/>
        <w:jc w:val="center"/>
        <w:rPr>
          <w:rFonts w:asciiTheme="majorHAnsi" w:hAnsiTheme="majorHAnsi" w:cstheme="majorHAnsi"/>
          <w:b/>
          <w:bCs/>
          <w:sz w:val="32"/>
          <w:szCs w:val="32"/>
        </w:rPr>
      </w:pPr>
      <w:bookmarkStart w:id="104" w:name="_Toc43899049"/>
      <w:bookmarkStart w:id="105" w:name="OLE_LINK4"/>
      <w:r w:rsidRPr="00731AD1">
        <w:rPr>
          <w:rFonts w:asciiTheme="majorHAnsi" w:hAnsiTheme="majorHAnsi" w:cstheme="majorHAnsi"/>
          <w:b/>
          <w:bCs/>
          <w:sz w:val="32"/>
          <w:szCs w:val="32"/>
        </w:rPr>
        <w:lastRenderedPageBreak/>
        <w:t>Appendix B – Significant Accounting Policies</w:t>
      </w:r>
      <w:bookmarkEnd w:id="104"/>
    </w:p>
    <w:bookmarkEnd w:id="105"/>
    <w:p w14:paraId="286D8A95" w14:textId="77777777" w:rsidR="00F5633C" w:rsidRPr="00D828C2" w:rsidRDefault="00F5633C" w:rsidP="00F5633C">
      <w:pPr>
        <w:spacing w:after="240"/>
        <w:jc w:val="both"/>
        <w:rPr>
          <w:rFonts w:cs="Calibri"/>
        </w:rPr>
      </w:pPr>
      <w:r w:rsidRPr="00D828C2">
        <w:rPr>
          <w:rFonts w:cs="Calibri"/>
        </w:rPr>
        <w:t xml:space="preserve">Appendix B – Significant Accounting Policies applies to both the Controlled and Territorial financial statements. Accounting policies specific to the Territorial Financial Statements are listed below under the heading </w:t>
      </w:r>
      <w:r w:rsidRPr="00D828C2">
        <w:rPr>
          <w:rFonts w:cs="Calibri"/>
          <w:szCs w:val="24"/>
        </w:rPr>
        <w:t>Territorial – Significant Accounting Policies</w:t>
      </w:r>
      <w:r w:rsidRPr="00D828C2">
        <w:rPr>
          <w:rFonts w:cs="Calibri"/>
        </w:rPr>
        <w:t>.</w:t>
      </w:r>
    </w:p>
    <w:p w14:paraId="0D6A4867" w14:textId="77777777" w:rsidR="00F5633C" w:rsidRPr="00D828C2" w:rsidRDefault="00F5633C" w:rsidP="00F5633C">
      <w:pPr>
        <w:pStyle w:val="Appxhead2"/>
        <w:jc w:val="both"/>
        <w:rPr>
          <w:snapToGrid w:val="0"/>
        </w:rPr>
      </w:pPr>
      <w:r w:rsidRPr="00D828C2">
        <w:rPr>
          <w:snapToGrid w:val="0"/>
        </w:rPr>
        <w:t>Significant Accounting Policies – Income</w:t>
      </w:r>
    </w:p>
    <w:p w14:paraId="41685BD4" w14:textId="77777777" w:rsidR="00F5633C" w:rsidRPr="00D828C2" w:rsidRDefault="00F5633C" w:rsidP="00F5633C">
      <w:pPr>
        <w:pStyle w:val="Appxhead2"/>
        <w:jc w:val="both"/>
        <w:rPr>
          <w:rFonts w:ascii="Arial Bold" w:hAnsi="Arial Bold"/>
        </w:rPr>
      </w:pPr>
      <w:r w:rsidRPr="00D828C2">
        <w:rPr>
          <w:rFonts w:ascii="Arial Bold" w:hAnsi="Arial Bold"/>
        </w:rPr>
        <w:t xml:space="preserve">Revenue Recognition </w:t>
      </w:r>
    </w:p>
    <w:p w14:paraId="5B97A7A2" w14:textId="77777777" w:rsidR="00F5633C" w:rsidRPr="00D828C2" w:rsidRDefault="00F5633C" w:rsidP="00F5633C">
      <w:pPr>
        <w:jc w:val="both"/>
      </w:pPr>
      <w:r w:rsidRPr="00D828C2">
        <w:t>Revenue is recognised in accordance with AASB 15 Revenue from Contracts with Customers where the contract is enforceable and contains sufficiently specific performance obligations, otherwise revenue is in the scope of AASB 1058 Income of not-for-Profit Entities.</w:t>
      </w:r>
    </w:p>
    <w:p w14:paraId="77D767E5" w14:textId="77777777" w:rsidR="00F5633C" w:rsidRPr="00D828C2" w:rsidRDefault="00F5633C" w:rsidP="00F5633C">
      <w:pPr>
        <w:jc w:val="both"/>
        <w:rPr>
          <w:b/>
        </w:rPr>
      </w:pPr>
      <w:r w:rsidRPr="00D828C2">
        <w:rPr>
          <w:b/>
        </w:rPr>
        <w:t>AASB 15</w:t>
      </w:r>
    </w:p>
    <w:p w14:paraId="1DB9B80D" w14:textId="77777777" w:rsidR="00F5633C" w:rsidRPr="00D828C2" w:rsidRDefault="00F5633C" w:rsidP="00F5633C">
      <w:pPr>
        <w:jc w:val="both"/>
      </w:pPr>
      <w:r w:rsidRPr="00D828C2">
        <w:t>The core principle of AASB 15 is that revenue is recognised on a basis that reflects the transfer of promised goods or services to customers at an amount that reflects the consideration the entity expects to receive in exchange for those goods or services.  Revenue is recognised by applying a five step model as follows:</w:t>
      </w:r>
    </w:p>
    <w:p w14:paraId="78D687F0" w14:textId="77777777" w:rsidR="00F5633C" w:rsidRPr="00D828C2" w:rsidRDefault="00F5633C" w:rsidP="00F5633C">
      <w:pPr>
        <w:pStyle w:val="ListParagraph"/>
        <w:numPr>
          <w:ilvl w:val="1"/>
          <w:numId w:val="34"/>
        </w:numPr>
        <w:spacing w:after="0" w:line="240" w:lineRule="auto"/>
        <w:ind w:left="709"/>
        <w:jc w:val="both"/>
      </w:pPr>
      <w:r w:rsidRPr="00D828C2">
        <w:t>identify the contract with the customer;</w:t>
      </w:r>
    </w:p>
    <w:p w14:paraId="5929EB63" w14:textId="77777777" w:rsidR="00F5633C" w:rsidRPr="00D828C2" w:rsidRDefault="00F5633C" w:rsidP="00F5633C">
      <w:pPr>
        <w:pStyle w:val="ListParagraph"/>
        <w:numPr>
          <w:ilvl w:val="1"/>
          <w:numId w:val="34"/>
        </w:numPr>
        <w:spacing w:after="0" w:line="240" w:lineRule="auto"/>
        <w:ind w:left="709"/>
        <w:jc w:val="both"/>
      </w:pPr>
      <w:r w:rsidRPr="00D828C2">
        <w:t>identify the performance obligations;</w:t>
      </w:r>
    </w:p>
    <w:p w14:paraId="38380FB4" w14:textId="77777777" w:rsidR="00F5633C" w:rsidRPr="00D828C2" w:rsidRDefault="00F5633C" w:rsidP="00F5633C">
      <w:pPr>
        <w:pStyle w:val="ListParagraph"/>
        <w:numPr>
          <w:ilvl w:val="1"/>
          <w:numId w:val="34"/>
        </w:numPr>
        <w:spacing w:after="0" w:line="240" w:lineRule="auto"/>
        <w:ind w:left="709"/>
        <w:jc w:val="both"/>
      </w:pPr>
      <w:r w:rsidRPr="00D828C2">
        <w:t>determine the transaction price;</w:t>
      </w:r>
    </w:p>
    <w:p w14:paraId="59BF44F4" w14:textId="77777777" w:rsidR="00F5633C" w:rsidRPr="00D828C2" w:rsidRDefault="00F5633C" w:rsidP="00F5633C">
      <w:pPr>
        <w:pStyle w:val="ListParagraph"/>
        <w:numPr>
          <w:ilvl w:val="1"/>
          <w:numId w:val="34"/>
        </w:numPr>
        <w:spacing w:after="0" w:line="240" w:lineRule="auto"/>
        <w:ind w:left="709"/>
        <w:jc w:val="both"/>
      </w:pPr>
      <w:r w:rsidRPr="00D828C2">
        <w:t>allocate the transaction price; and</w:t>
      </w:r>
    </w:p>
    <w:p w14:paraId="19C5394E" w14:textId="77777777" w:rsidR="00F5633C" w:rsidRPr="00D828C2" w:rsidRDefault="00F5633C" w:rsidP="00F5633C">
      <w:pPr>
        <w:pStyle w:val="ListParagraph"/>
        <w:numPr>
          <w:ilvl w:val="1"/>
          <w:numId w:val="34"/>
        </w:numPr>
        <w:spacing w:after="0" w:line="240" w:lineRule="auto"/>
        <w:ind w:left="709"/>
        <w:jc w:val="both"/>
      </w:pPr>
      <w:r w:rsidRPr="00D828C2">
        <w:t>recognise revenue as or when control of the performance obligation is transferred to the customer.</w:t>
      </w:r>
    </w:p>
    <w:p w14:paraId="3E34380F" w14:textId="77777777" w:rsidR="00F5633C" w:rsidRPr="00D828C2" w:rsidRDefault="00F5633C" w:rsidP="00F5633C">
      <w:pPr>
        <w:jc w:val="both"/>
      </w:pPr>
    </w:p>
    <w:p w14:paraId="74575F4D" w14:textId="77777777" w:rsidR="00F5633C" w:rsidRPr="00D828C2" w:rsidRDefault="00F5633C" w:rsidP="00F5633C">
      <w:pPr>
        <w:jc w:val="both"/>
      </w:pPr>
      <w:r w:rsidRPr="00D828C2">
        <w:t>Generally, the timing of the payment for sale of goods and rendering of services corresponds closely to the timing of satisfaction of the performance obligations, however where there is a difference, it will result in the recognition of a receivable, contract asset or contract liability.</w:t>
      </w:r>
    </w:p>
    <w:p w14:paraId="5352DC5E" w14:textId="77777777" w:rsidR="00F5633C" w:rsidRPr="00D828C2" w:rsidRDefault="00F5633C" w:rsidP="00F5633C">
      <w:pPr>
        <w:jc w:val="both"/>
      </w:pPr>
      <w:r w:rsidRPr="00D828C2">
        <w:t>None of the revenue streams of the Agency have any significant financing terms as there is less than 12 months between receipt of funds and satisfaction of performance obligations</w:t>
      </w:r>
    </w:p>
    <w:p w14:paraId="2E4F7D56" w14:textId="77777777" w:rsidR="00F5633C" w:rsidRPr="00D828C2" w:rsidRDefault="00F5633C" w:rsidP="00F5633C">
      <w:pPr>
        <w:jc w:val="both"/>
        <w:rPr>
          <w:b/>
        </w:rPr>
      </w:pPr>
      <w:r w:rsidRPr="00D828C2">
        <w:rPr>
          <w:b/>
        </w:rPr>
        <w:t>AASB 1058</w:t>
      </w:r>
    </w:p>
    <w:p w14:paraId="3A88155F" w14:textId="77777777" w:rsidR="00F5633C" w:rsidRPr="00D828C2" w:rsidRDefault="00F5633C" w:rsidP="00F5633C">
      <w:pPr>
        <w:jc w:val="both"/>
      </w:pPr>
      <w:r w:rsidRPr="00D828C2">
        <w:t>Where revenue streams are in the scope of AASB 1058, the Agency recognises the asset received (generally cash or other financial asset) at fair value, recognises any related amount (e.g. liability or equity) in accordance with an accounting standard and recognises revenue as the residual between the fair value of the asset and the related amount on receipt of the asset.</w:t>
      </w:r>
    </w:p>
    <w:p w14:paraId="11A8C225" w14:textId="77777777" w:rsidR="00F5633C" w:rsidRPr="00D828C2" w:rsidRDefault="00F5633C" w:rsidP="00F5633C">
      <w:pPr>
        <w:pStyle w:val="Appxhead2"/>
        <w:rPr>
          <w:snapToGrid w:val="0"/>
        </w:rPr>
      </w:pPr>
      <w:r w:rsidRPr="00D828C2">
        <w:rPr>
          <w:snapToGrid w:val="0"/>
        </w:rPr>
        <w:t xml:space="preserve">Note 4 – </w:t>
      </w:r>
      <w:r w:rsidRPr="00D828C2">
        <w:t>Controlled Recurrent Payments</w:t>
      </w:r>
    </w:p>
    <w:p w14:paraId="122CB6BF" w14:textId="77777777" w:rsidR="00F5633C" w:rsidRPr="00D828C2" w:rsidRDefault="00F5633C" w:rsidP="00F5633C">
      <w:pPr>
        <w:jc w:val="both"/>
        <w:rPr>
          <w:rFonts w:cs="Calibri"/>
        </w:rPr>
      </w:pPr>
      <w:r w:rsidRPr="00D828C2">
        <w:rPr>
          <w:rFonts w:cs="Calibri"/>
        </w:rPr>
        <w:t>Controlled Recurrent Payments are recognised as revenue when the Agency gains control over the funding.  Control over appropriated funds is obtained upon receipt of cash.</w:t>
      </w:r>
    </w:p>
    <w:p w14:paraId="586B84CB" w14:textId="77777777" w:rsidR="00F5633C" w:rsidRPr="00D828C2" w:rsidRDefault="00F5633C" w:rsidP="00F5633C">
      <w:pPr>
        <w:pStyle w:val="reference"/>
        <w:rPr>
          <w:sz w:val="18"/>
          <w:szCs w:val="18"/>
        </w:rPr>
      </w:pPr>
      <w:r w:rsidRPr="00D828C2">
        <w:rPr>
          <w:b/>
          <w:sz w:val="18"/>
          <w:szCs w:val="18"/>
        </w:rPr>
        <w:t>Reference</w:t>
      </w:r>
      <w:r w:rsidRPr="00D828C2">
        <w:rPr>
          <w:sz w:val="18"/>
          <w:szCs w:val="18"/>
        </w:rPr>
        <w:t>:  AASB 1058.10</w:t>
      </w:r>
    </w:p>
    <w:p w14:paraId="3CA0BD76" w14:textId="7D911E85" w:rsidR="00F5633C" w:rsidRDefault="00F5633C" w:rsidP="001623F0">
      <w:pPr>
        <w:pStyle w:val="Bullet1"/>
        <w:numPr>
          <w:ilvl w:val="0"/>
          <w:numId w:val="0"/>
        </w:numPr>
        <w:ind w:left="360"/>
        <w:rPr>
          <w:color w:val="C54B0A" w:themeColor="accent5" w:themeShade="BF"/>
        </w:rPr>
      </w:pPr>
    </w:p>
    <w:p w14:paraId="3949B993" w14:textId="77777777" w:rsidR="00F5633C" w:rsidRPr="004F5A3C" w:rsidRDefault="00F5633C" w:rsidP="00F5633C">
      <w:r w:rsidRPr="00A604C3">
        <w:rPr>
          <w:rFonts w:ascii="Arial" w:hAnsi="Arial" w:cs="Arial"/>
          <w:b/>
          <w:smallCaps/>
        </w:rPr>
        <w:t>Impairment of Assets</w:t>
      </w:r>
      <w:r>
        <w:rPr>
          <w:rFonts w:ascii="Arial" w:hAnsi="Arial" w:cs="Arial"/>
          <w:b/>
          <w:smallCaps/>
        </w:rPr>
        <w:t xml:space="preserve"> - Continued</w:t>
      </w:r>
    </w:p>
    <w:p w14:paraId="5C611E08" w14:textId="77777777" w:rsidR="00F5633C" w:rsidRPr="00B55F98" w:rsidRDefault="00F5633C" w:rsidP="00F5633C">
      <w:pPr>
        <w:jc w:val="both"/>
      </w:pPr>
      <w:r w:rsidRPr="00B55F98">
        <w:t>Impairment losses for plant and equipment, leasehold improvements and intangible assets are recognised in the Operating Statement</w:t>
      </w:r>
      <w:r>
        <w:t xml:space="preserve"> (see Model Financial Statements - </w:t>
      </w:r>
      <w:r w:rsidRPr="00BF0D95">
        <w:t>Note 1</w:t>
      </w:r>
      <w:r>
        <w:t>8</w:t>
      </w:r>
      <w:r w:rsidRPr="00BF0D95">
        <w:t xml:space="preserve"> Waivers, </w:t>
      </w:r>
      <w:r>
        <w:t>I</w:t>
      </w:r>
      <w:r w:rsidRPr="00BF0D95">
        <w:t xml:space="preserve">mpairment </w:t>
      </w:r>
      <w:r>
        <w:t>L</w:t>
      </w:r>
      <w:r w:rsidRPr="00BF0D95">
        <w:t xml:space="preserve">osses and </w:t>
      </w:r>
      <w:r>
        <w:t>W</w:t>
      </w:r>
      <w:r w:rsidRPr="00BF0D95">
        <w:t>rite-offs)</w:t>
      </w:r>
      <w:r w:rsidRPr="00B55F98">
        <w:t xml:space="preserve">, as plant and equipment and intangibles are carried at cost, and leasehold improvements are </w:t>
      </w:r>
      <w:r w:rsidRPr="00B55F98">
        <w:lastRenderedPageBreak/>
        <w:t xml:space="preserve">carried at fair value, but do not have an Asset Revaluation Surplus attached to them. The carrying amount of the asset is reduced to its recoverable amount. </w:t>
      </w:r>
    </w:p>
    <w:p w14:paraId="2657CE2F" w14:textId="77777777" w:rsidR="00F5633C" w:rsidRDefault="00F5633C" w:rsidP="00F5633C">
      <w:pPr>
        <w:jc w:val="both"/>
        <w:rPr>
          <w:rFonts w:cs="Calibri"/>
          <w:szCs w:val="20"/>
        </w:rPr>
      </w:pPr>
      <w:r w:rsidRPr="00B55F98">
        <w:rPr>
          <w:rFonts w:cs="Calibri"/>
          <w:szCs w:val="20"/>
        </w:rPr>
        <w:t>Non-financial assets that have previously been impaired are reviewed for possible reversal of impairment at each reporting date</w:t>
      </w:r>
      <w:r>
        <w:rPr>
          <w:rFonts w:cs="Calibri"/>
          <w:szCs w:val="20"/>
        </w:rPr>
        <w:t>.</w:t>
      </w:r>
    </w:p>
    <w:p w14:paraId="118DAFE7" w14:textId="77777777" w:rsidR="00F5633C" w:rsidRPr="00D828C2" w:rsidRDefault="00F5633C" w:rsidP="00F5633C">
      <w:pPr>
        <w:pStyle w:val="Appxhead2"/>
        <w:rPr>
          <w:snapToGrid w:val="0"/>
        </w:rPr>
      </w:pPr>
      <w:r w:rsidRPr="00D828C2">
        <w:rPr>
          <w:snapToGrid w:val="0"/>
        </w:rPr>
        <w:t>Note 28 – Investment Properties</w:t>
      </w:r>
    </w:p>
    <w:p w14:paraId="03A1E7B2" w14:textId="77777777" w:rsidR="00F5633C" w:rsidRPr="00D828C2" w:rsidRDefault="00F5633C" w:rsidP="00F5633C">
      <w:pPr>
        <w:jc w:val="both"/>
        <w:rPr>
          <w:rFonts w:cs="Calibri"/>
          <w:szCs w:val="20"/>
        </w:rPr>
      </w:pPr>
      <w:r w:rsidRPr="00D828C2">
        <w:rPr>
          <w:rFonts w:cs="Calibri"/>
        </w:rPr>
        <w:t xml:space="preserve">Investment properties are measured at fair value.  They are valued annually as at the end of the reporting period.  Changes in fair values are recorded in the Operating Statement </w:t>
      </w:r>
      <w:r w:rsidRPr="00D828C2">
        <w:rPr>
          <w:rFonts w:cs="Calibri"/>
          <w:szCs w:val="20"/>
        </w:rPr>
        <w:t>(see Model Financial Statements – Note 17 Other Expenses or Note 9 Gains from Disposals, Derecognition and Remeasurement of Assets).</w:t>
      </w:r>
      <w:r w:rsidRPr="00D828C2">
        <w:rPr>
          <w:rFonts w:cs="Calibri"/>
        </w:rPr>
        <w:t xml:space="preserve"> Investment properties are not depreciated.</w:t>
      </w:r>
    </w:p>
    <w:p w14:paraId="754242AC" w14:textId="77777777" w:rsidR="00F5633C" w:rsidRPr="00D828C2" w:rsidRDefault="00F5633C" w:rsidP="00F5633C">
      <w:pPr>
        <w:pStyle w:val="reference"/>
      </w:pPr>
      <w:r w:rsidRPr="00D828C2">
        <w:rPr>
          <w:b/>
        </w:rPr>
        <w:t>Reference</w:t>
      </w:r>
      <w:r w:rsidRPr="00D828C2">
        <w:t>: AASB 140.75(a) &amp; (e), AASB 13.15</w:t>
      </w:r>
    </w:p>
    <w:p w14:paraId="0A04A45E" w14:textId="77777777" w:rsidR="00F5633C" w:rsidRPr="00D828C2" w:rsidRDefault="00F5633C" w:rsidP="00F5633C">
      <w:pPr>
        <w:pStyle w:val="Appxhead2"/>
        <w:rPr>
          <w:snapToGrid w:val="0"/>
        </w:rPr>
      </w:pPr>
      <w:r w:rsidRPr="00D828C2">
        <w:rPr>
          <w:snapToGrid w:val="0"/>
        </w:rPr>
        <w:t>Note 29 – Intangible Assets</w:t>
      </w:r>
    </w:p>
    <w:p w14:paraId="6F226291" w14:textId="77777777" w:rsidR="00F5633C" w:rsidRPr="00D828C2" w:rsidRDefault="00F5633C" w:rsidP="00F5633C">
      <w:pPr>
        <w:jc w:val="both"/>
        <w:rPr>
          <w:lang w:val="en-US"/>
        </w:rPr>
      </w:pPr>
      <w:r w:rsidRPr="00D828C2">
        <w:rPr>
          <w:lang w:val="en-US"/>
        </w:rPr>
        <w:t xml:space="preserve">The Agency’s intangible assets are comprised of internally generated and externally acquired software for internal use. Externally acquired software is </w:t>
      </w:r>
      <w:proofErr w:type="spellStart"/>
      <w:r w:rsidRPr="00D828C2">
        <w:rPr>
          <w:lang w:val="en-US"/>
        </w:rPr>
        <w:t>recognised</w:t>
      </w:r>
      <w:proofErr w:type="spellEnd"/>
      <w:r w:rsidRPr="00D828C2">
        <w:rPr>
          <w:lang w:val="en-US"/>
        </w:rPr>
        <w:t xml:space="preserve"> and</w:t>
      </w:r>
      <w:r w:rsidRPr="00D828C2">
        <w:t xml:space="preserve"> capitalised</w:t>
      </w:r>
      <w:r w:rsidRPr="00D828C2">
        <w:rPr>
          <w:lang w:val="en-US"/>
        </w:rPr>
        <w:t xml:space="preserve"> when:</w:t>
      </w:r>
    </w:p>
    <w:p w14:paraId="152C4C44" w14:textId="77777777" w:rsidR="00F5633C" w:rsidRPr="00D828C2" w:rsidRDefault="00F5633C" w:rsidP="00F5633C">
      <w:pPr>
        <w:tabs>
          <w:tab w:val="left" w:pos="426"/>
        </w:tabs>
        <w:autoSpaceDE w:val="0"/>
        <w:autoSpaceDN w:val="0"/>
        <w:adjustRightInd w:val="0"/>
        <w:ind w:left="318" w:hanging="284"/>
        <w:jc w:val="both"/>
        <w:rPr>
          <w:rFonts w:cs="Calibri"/>
          <w:lang w:val="en-US"/>
        </w:rPr>
      </w:pPr>
      <w:r w:rsidRPr="00D828C2">
        <w:rPr>
          <w:rFonts w:cs="Calibri"/>
          <w:lang w:val="en-US"/>
        </w:rPr>
        <w:t>(a) it is probable that the expected future economic benefits attributable to the software will flow to the Agency;</w:t>
      </w:r>
    </w:p>
    <w:p w14:paraId="5F767C48" w14:textId="77777777" w:rsidR="00F5633C" w:rsidRPr="00D828C2" w:rsidRDefault="00F5633C" w:rsidP="00F5633C">
      <w:pPr>
        <w:tabs>
          <w:tab w:val="left" w:pos="601"/>
        </w:tabs>
        <w:autoSpaceDE w:val="0"/>
        <w:autoSpaceDN w:val="0"/>
        <w:adjustRightInd w:val="0"/>
        <w:spacing w:after="60"/>
        <w:ind w:left="346" w:hanging="312"/>
        <w:jc w:val="both"/>
        <w:rPr>
          <w:rFonts w:cs="Calibri"/>
          <w:lang w:val="en-US"/>
        </w:rPr>
      </w:pPr>
      <w:r w:rsidRPr="00D828C2">
        <w:rPr>
          <w:rFonts w:cs="Calibri"/>
          <w:lang w:val="en-US"/>
        </w:rPr>
        <w:t>(b) the cost of the software can be measured reliably; and</w:t>
      </w:r>
    </w:p>
    <w:p w14:paraId="5F8ABD1B" w14:textId="77777777" w:rsidR="00F5633C" w:rsidRPr="00D828C2" w:rsidRDefault="00F5633C" w:rsidP="00F5633C">
      <w:pPr>
        <w:tabs>
          <w:tab w:val="left" w:pos="601"/>
          <w:tab w:val="left" w:pos="4920"/>
        </w:tabs>
        <w:autoSpaceDE w:val="0"/>
        <w:autoSpaceDN w:val="0"/>
        <w:adjustRightInd w:val="0"/>
        <w:spacing w:after="60"/>
        <w:ind w:left="346" w:hanging="312"/>
        <w:jc w:val="both"/>
        <w:rPr>
          <w:rFonts w:cs="Calibri"/>
          <w:lang w:val="en-US"/>
        </w:rPr>
      </w:pPr>
      <w:r w:rsidRPr="00D828C2">
        <w:rPr>
          <w:rFonts w:cs="Calibri"/>
          <w:lang w:val="en-US"/>
        </w:rPr>
        <w:t>(c) the acquisition cost is equal to or exceeds $50,000.</w:t>
      </w:r>
      <w:r w:rsidRPr="00D828C2">
        <w:rPr>
          <w:rFonts w:cs="Calibri"/>
          <w:lang w:val="en-US"/>
        </w:rPr>
        <w:tab/>
      </w:r>
    </w:p>
    <w:p w14:paraId="6885A4AD" w14:textId="77777777" w:rsidR="00F5633C" w:rsidRPr="00D828C2" w:rsidRDefault="00F5633C" w:rsidP="00F5633C">
      <w:pPr>
        <w:pStyle w:val="reference"/>
        <w:ind w:left="1560" w:hanging="993"/>
        <w:jc w:val="both"/>
      </w:pPr>
      <w:r w:rsidRPr="00D828C2">
        <w:rPr>
          <w:b/>
        </w:rPr>
        <w:t>Reference:</w:t>
      </w:r>
      <w:r w:rsidRPr="00D828C2">
        <w:t xml:space="preserve"> AASB 138.21 &amp; 57, Model Financial Statements Guidelines: 1.6 Application – ACT Disclosure Policy </w:t>
      </w:r>
    </w:p>
    <w:p w14:paraId="6A0B61F4" w14:textId="77777777" w:rsidR="00F5633C" w:rsidRPr="00D828C2" w:rsidRDefault="00F5633C" w:rsidP="00F5633C">
      <w:pPr>
        <w:jc w:val="both"/>
      </w:pPr>
    </w:p>
    <w:p w14:paraId="51B9B710" w14:textId="77777777" w:rsidR="00F5633C" w:rsidRPr="00D828C2" w:rsidRDefault="00F5633C" w:rsidP="00F5633C">
      <w:pPr>
        <w:jc w:val="both"/>
        <w:rPr>
          <w:lang w:val="en-US"/>
        </w:rPr>
      </w:pPr>
      <w:r w:rsidRPr="00D828C2">
        <w:rPr>
          <w:lang w:val="en-US"/>
        </w:rPr>
        <w:t xml:space="preserve">Internally generated software is </w:t>
      </w:r>
      <w:proofErr w:type="spellStart"/>
      <w:r w:rsidRPr="00D828C2">
        <w:rPr>
          <w:lang w:val="en-US"/>
        </w:rPr>
        <w:t>recognised</w:t>
      </w:r>
      <w:proofErr w:type="spellEnd"/>
      <w:r w:rsidRPr="00D828C2">
        <w:rPr>
          <w:lang w:val="en-US"/>
        </w:rPr>
        <w:t xml:space="preserve"> when it meets the general recognition criteria outlined above and where it also meets the specific recognition criteria relating to intangible assets arising from the development phase of an internal project.</w:t>
      </w:r>
    </w:p>
    <w:p w14:paraId="5CB0D074" w14:textId="77777777" w:rsidR="00F5633C" w:rsidRPr="00D828C2" w:rsidRDefault="00F5633C" w:rsidP="00F5633C">
      <w:pPr>
        <w:pStyle w:val="reference"/>
        <w:ind w:left="1560" w:hanging="993"/>
        <w:jc w:val="both"/>
      </w:pPr>
      <w:r w:rsidRPr="00D828C2">
        <w:rPr>
          <w:b/>
        </w:rPr>
        <w:t>Reference</w:t>
      </w:r>
      <w:r w:rsidRPr="00D828C2">
        <w:t xml:space="preserve">: AASB 138.118(a) &amp; (b), Model Financial Statement Guidelines - 1.6 Application – ACT Disclosure Policy </w:t>
      </w:r>
    </w:p>
    <w:p w14:paraId="0639E4B6" w14:textId="77777777" w:rsidR="00F5633C" w:rsidRDefault="00F5633C" w:rsidP="00F5633C">
      <w:pPr>
        <w:jc w:val="both"/>
      </w:pPr>
    </w:p>
    <w:p w14:paraId="7607C32D" w14:textId="77777777" w:rsidR="00F5633C" w:rsidRPr="00164947" w:rsidRDefault="00F5633C" w:rsidP="00F5633C">
      <w:pPr>
        <w:autoSpaceDE w:val="0"/>
        <w:autoSpaceDN w:val="0"/>
        <w:adjustRightInd w:val="0"/>
        <w:spacing w:after="120"/>
        <w:jc w:val="both"/>
        <w:rPr>
          <w:rFonts w:cs="Calibri"/>
          <w:lang w:val="en-US"/>
        </w:rPr>
      </w:pPr>
      <w:proofErr w:type="spellStart"/>
      <w:r w:rsidRPr="00164947">
        <w:rPr>
          <w:rFonts w:cs="Calibri"/>
          <w:lang w:val="en-US"/>
        </w:rPr>
        <w:t>Capitalised</w:t>
      </w:r>
      <w:proofErr w:type="spellEnd"/>
      <w:r w:rsidRPr="00164947">
        <w:rPr>
          <w:rFonts w:cs="Calibri"/>
          <w:lang w:val="en-US"/>
        </w:rPr>
        <w:t xml:space="preserve"> software has a finite useful life. Software is </w:t>
      </w:r>
      <w:proofErr w:type="spellStart"/>
      <w:r w:rsidRPr="00164947">
        <w:rPr>
          <w:rFonts w:cs="Calibri"/>
          <w:lang w:val="en-US"/>
        </w:rPr>
        <w:t>amortised</w:t>
      </w:r>
      <w:proofErr w:type="spellEnd"/>
      <w:r w:rsidRPr="00164947">
        <w:rPr>
          <w:rFonts w:cs="Calibri"/>
          <w:lang w:val="en-US"/>
        </w:rPr>
        <w:t xml:space="preserve"> on a straight-line basis over its useful life, over a period not exceeding 5 years.</w:t>
      </w:r>
    </w:p>
    <w:p w14:paraId="22D783DE" w14:textId="77777777" w:rsidR="00F5633C" w:rsidRDefault="00F5633C" w:rsidP="00F5633C">
      <w:pPr>
        <w:jc w:val="both"/>
        <w:rPr>
          <w:rFonts w:cs="Calibri"/>
          <w:lang w:val="en-US"/>
        </w:rPr>
      </w:pPr>
      <w:r w:rsidRPr="00164947">
        <w:rPr>
          <w:rFonts w:cs="Calibri"/>
          <w:lang w:val="en-US"/>
        </w:rPr>
        <w:t>Intangible Assets are measured at cost.</w:t>
      </w:r>
    </w:p>
    <w:p w14:paraId="40EAB27E" w14:textId="77777777" w:rsidR="00F5633C" w:rsidRDefault="00F5633C" w:rsidP="00F5633C">
      <w:pPr>
        <w:pStyle w:val="Appxhead2"/>
        <w:rPr>
          <w:snapToGrid w:val="0"/>
        </w:rPr>
      </w:pPr>
      <w:r w:rsidRPr="00CA3EF1">
        <w:rPr>
          <w:snapToGrid w:val="0"/>
        </w:rPr>
        <w:t xml:space="preserve">Significant Accounting Policies </w:t>
      </w:r>
      <w:r>
        <w:rPr>
          <w:snapToGrid w:val="0"/>
        </w:rPr>
        <w:t>–</w:t>
      </w:r>
      <w:r w:rsidRPr="00CA3EF1">
        <w:rPr>
          <w:snapToGrid w:val="0"/>
        </w:rPr>
        <w:t xml:space="preserve"> Liabilities</w:t>
      </w:r>
    </w:p>
    <w:p w14:paraId="06CE5342" w14:textId="77777777" w:rsidR="00F5633C" w:rsidRPr="00166671" w:rsidRDefault="00F5633C" w:rsidP="00F5633C">
      <w:pPr>
        <w:pStyle w:val="Appxhead2"/>
      </w:pPr>
      <w:r w:rsidRPr="00166671">
        <w:t xml:space="preserve">Liabilities </w:t>
      </w:r>
      <w:r>
        <w:t>–</w:t>
      </w:r>
      <w:r w:rsidRPr="00166671">
        <w:t xml:space="preserve"> Current and Non-Current </w:t>
      </w:r>
    </w:p>
    <w:p w14:paraId="345CC965" w14:textId="77777777" w:rsidR="00F5633C" w:rsidRPr="007F66A6" w:rsidRDefault="00F5633C" w:rsidP="00F5633C">
      <w:pPr>
        <w:jc w:val="both"/>
      </w:pPr>
      <w:r w:rsidRPr="00CF7E1B">
        <w:t>Liabilities are classified as</w:t>
      </w:r>
      <w:r>
        <w:t xml:space="preserve"> c</w:t>
      </w:r>
      <w:r w:rsidRPr="00CF7E1B">
        <w:t xml:space="preserve">urrent when they are due to be settled within 12 months after the reporting date or the Agency does not have an unconditional right to defer settlement of the liability for at least 12 months after the reporting date. </w:t>
      </w:r>
      <w:r>
        <w:t xml:space="preserve"> L</w:t>
      </w:r>
      <w:r w:rsidRPr="00CF7E1B">
        <w:t>iabilities</w:t>
      </w:r>
      <w:r>
        <w:t>,</w:t>
      </w:r>
      <w:r w:rsidRPr="00CF7E1B">
        <w:t xml:space="preserve"> which do not fall within the current classification</w:t>
      </w:r>
      <w:r>
        <w:t>,</w:t>
      </w:r>
      <w:r w:rsidRPr="00CF7E1B">
        <w:t xml:space="preserve"> are classified as non-current.</w:t>
      </w:r>
      <w:r>
        <w:t xml:space="preserve"> </w:t>
      </w:r>
      <w:r w:rsidRPr="002F3A6D">
        <w:rPr>
          <w:b/>
          <w:sz w:val="18"/>
          <w:szCs w:val="18"/>
        </w:rPr>
        <w:t>Reference</w:t>
      </w:r>
      <w:r w:rsidRPr="002F3A6D">
        <w:rPr>
          <w:sz w:val="18"/>
          <w:szCs w:val="18"/>
        </w:rPr>
        <w:t>: AASB 101.60 &amp; 69</w:t>
      </w:r>
    </w:p>
    <w:p w14:paraId="66A6E6EE" w14:textId="77777777" w:rsidR="00F5633C" w:rsidRDefault="00F5633C" w:rsidP="00F5633C">
      <w:pPr>
        <w:pStyle w:val="Appxhead2"/>
        <w:jc w:val="both"/>
      </w:pPr>
      <w:r>
        <w:t xml:space="preserve">Note 32 – </w:t>
      </w:r>
      <w:r w:rsidRPr="004A06A8">
        <w:t>Payables</w:t>
      </w:r>
    </w:p>
    <w:p w14:paraId="2BF61DFE" w14:textId="223C7132" w:rsidR="00F5633C" w:rsidRDefault="00F5633C" w:rsidP="00F5633C">
      <w:pPr>
        <w:jc w:val="both"/>
      </w:pPr>
      <w:r w:rsidRPr="00CF7E1B">
        <w:t xml:space="preserve">Payables are initially recognised </w:t>
      </w:r>
      <w:r w:rsidRPr="006726A9">
        <w:t>at fair value based on the transaction cost</w:t>
      </w:r>
      <w:r w:rsidRPr="00A556B6">
        <w:rPr>
          <w:color w:val="FF0000"/>
        </w:rPr>
        <w:t xml:space="preserve"> </w:t>
      </w:r>
      <w:r w:rsidRPr="00CF7E1B">
        <w:t>and subsequent to initial recognition</w:t>
      </w:r>
      <w:r>
        <w:t xml:space="preserve"> </w:t>
      </w:r>
      <w:r w:rsidRPr="006726A9">
        <w:t>at amortised cost</w:t>
      </w:r>
      <w:r w:rsidRPr="00CF7E1B">
        <w:t xml:space="preserve">, with any adjustments to the carrying amount being recorded in the Operating </w:t>
      </w:r>
      <w:r w:rsidRPr="00CF7E1B">
        <w:lastRenderedPageBreak/>
        <w:t xml:space="preserve">Statement.  All amounts are </w:t>
      </w:r>
      <w:r w:rsidRPr="00F5633C">
        <w:rPr>
          <w:color w:val="C54B0A" w:themeColor="accent5" w:themeShade="BF"/>
        </w:rPr>
        <w:t>now</w:t>
      </w:r>
      <w:r>
        <w:t xml:space="preserve"> </w:t>
      </w:r>
      <w:r w:rsidRPr="00CF7E1B">
        <w:t xml:space="preserve">normally settled within </w:t>
      </w:r>
      <w:r w:rsidRPr="00F5633C">
        <w:t>&lt;</w:t>
      </w:r>
      <w:r w:rsidRPr="00F5633C">
        <w:rPr>
          <w:strike/>
          <w:color w:val="C54B0A" w:themeColor="accent5" w:themeShade="BF"/>
        </w:rPr>
        <w:t>30</w:t>
      </w:r>
      <w:r w:rsidRPr="00F5633C">
        <w:rPr>
          <w:color w:val="C54B0A" w:themeColor="accent5" w:themeShade="BF"/>
        </w:rPr>
        <w:t>14</w:t>
      </w:r>
      <w:r w:rsidRPr="00CF7E1B">
        <w:t> days&gt; after the invoice date</w:t>
      </w:r>
      <w:r w:rsidRPr="00F5633C">
        <w:t xml:space="preserve"> </w:t>
      </w:r>
      <w:r w:rsidRPr="00F5633C">
        <w:rPr>
          <w:color w:val="C54B0A" w:themeColor="accent5" w:themeShade="BF"/>
        </w:rPr>
        <w:t>given</w:t>
      </w:r>
      <w:r>
        <w:t xml:space="preserve"> </w:t>
      </w:r>
      <w:r w:rsidRPr="00F5633C">
        <w:rPr>
          <w:color w:val="C54B0A" w:themeColor="accent5" w:themeShade="BF"/>
        </w:rPr>
        <w:t xml:space="preserve">the ACT Government accelerated the payments </w:t>
      </w:r>
      <w:r w:rsidR="00BF7747">
        <w:rPr>
          <w:color w:val="C54B0A" w:themeColor="accent5" w:themeShade="BF"/>
        </w:rPr>
        <w:t>of</w:t>
      </w:r>
      <w:r w:rsidRPr="00F5633C">
        <w:rPr>
          <w:color w:val="C54B0A" w:themeColor="accent5" w:themeShade="BF"/>
        </w:rPr>
        <w:t xml:space="preserve"> invoices for local enterprises recognising the importance of cash flow to small and medium enterprises</w:t>
      </w:r>
      <w:r w:rsidR="00B12D74">
        <w:rPr>
          <w:color w:val="C54B0A" w:themeColor="accent5" w:themeShade="BF"/>
        </w:rPr>
        <w:t xml:space="preserve"> given the COVID-19 pandemic</w:t>
      </w:r>
      <w:r w:rsidRPr="00F5633C">
        <w:rPr>
          <w:color w:val="C54B0A" w:themeColor="accent5" w:themeShade="BF"/>
        </w:rPr>
        <w:t>.</w:t>
      </w:r>
    </w:p>
    <w:p w14:paraId="1BE95179" w14:textId="77777777" w:rsidR="00F5633C" w:rsidRPr="00CF7E1B" w:rsidRDefault="00F5633C" w:rsidP="00F5633C">
      <w:pPr>
        <w:pStyle w:val="reference"/>
        <w:jc w:val="both"/>
      </w:pPr>
      <w:r w:rsidRPr="00E54C63">
        <w:rPr>
          <w:b/>
        </w:rPr>
        <w:t>Reference</w:t>
      </w:r>
      <w:r>
        <w:t xml:space="preserve">: </w:t>
      </w:r>
      <w:r w:rsidRPr="00D9121C">
        <w:t>AASB 7.21</w:t>
      </w:r>
    </w:p>
    <w:p w14:paraId="60E74B46" w14:textId="77777777" w:rsidR="00F5633C" w:rsidRPr="00D828C2" w:rsidRDefault="00F5633C" w:rsidP="00F5633C">
      <w:pPr>
        <w:jc w:val="both"/>
      </w:pPr>
      <w:r w:rsidRPr="00D828C2">
        <w:t xml:space="preserve">Payables include Trade Payables, Accrued Expenses and Other Payables.  </w:t>
      </w:r>
    </w:p>
    <w:p w14:paraId="59987CEB" w14:textId="36094DAF" w:rsidR="001623F0" w:rsidRDefault="00F5633C" w:rsidP="000F57B1">
      <w:pPr>
        <w:sectPr w:rsidR="001623F0" w:rsidSect="000715C4">
          <w:headerReference w:type="default" r:id="rId20"/>
          <w:pgSz w:w="11906" w:h="16838" w:code="9"/>
          <w:pgMar w:top="1276" w:right="1418" w:bottom="993" w:left="1418" w:header="567" w:footer="184" w:gutter="0"/>
          <w:cols w:space="708"/>
          <w:docGrid w:linePitch="360"/>
        </w:sectPr>
      </w:pPr>
      <w:r>
        <w:br w:type="page"/>
      </w:r>
    </w:p>
    <w:p w14:paraId="6E5FB3BB" w14:textId="77777777" w:rsidR="00B0598D" w:rsidRDefault="00B0598D" w:rsidP="00B0598D">
      <w:pPr>
        <w:spacing w:after="0" w:line="240" w:lineRule="auto"/>
      </w:pPr>
    </w:p>
    <w:p w14:paraId="369427E9" w14:textId="687F0D82" w:rsidR="008517A1" w:rsidRDefault="008517A1" w:rsidP="00E70895">
      <w:pPr>
        <w:pStyle w:val="Bullet1"/>
        <w:numPr>
          <w:ilvl w:val="0"/>
          <w:numId w:val="0"/>
        </w:numPr>
        <w:ind w:left="360"/>
        <w:rPr>
          <w:sz w:val="21"/>
          <w:szCs w:val="21"/>
        </w:rPr>
      </w:pPr>
    </w:p>
    <w:p w14:paraId="2BE31D36" w14:textId="42E466D3" w:rsidR="00B0598D" w:rsidRDefault="00B0598D" w:rsidP="00E70895">
      <w:pPr>
        <w:pStyle w:val="Bullet1"/>
        <w:numPr>
          <w:ilvl w:val="0"/>
          <w:numId w:val="0"/>
        </w:numPr>
        <w:ind w:left="360"/>
        <w:rPr>
          <w:sz w:val="21"/>
          <w:szCs w:val="21"/>
        </w:rPr>
      </w:pPr>
    </w:p>
    <w:p w14:paraId="4F498E0F" w14:textId="53DBB462" w:rsidR="00B0598D" w:rsidRDefault="00B0598D" w:rsidP="00E70895">
      <w:pPr>
        <w:pStyle w:val="Bullet1"/>
        <w:numPr>
          <w:ilvl w:val="0"/>
          <w:numId w:val="0"/>
        </w:numPr>
        <w:ind w:left="360"/>
        <w:rPr>
          <w:sz w:val="21"/>
          <w:szCs w:val="21"/>
        </w:rPr>
      </w:pPr>
    </w:p>
    <w:p w14:paraId="2EA3F2C3" w14:textId="77777777" w:rsidR="00B0598D" w:rsidRDefault="00B0598D" w:rsidP="00E70895">
      <w:pPr>
        <w:pStyle w:val="Bullet1"/>
        <w:numPr>
          <w:ilvl w:val="0"/>
          <w:numId w:val="0"/>
        </w:numPr>
        <w:ind w:left="360"/>
        <w:rPr>
          <w:sz w:val="21"/>
          <w:szCs w:val="21"/>
        </w:rPr>
      </w:pPr>
    </w:p>
    <w:p w14:paraId="75834431" w14:textId="77777777" w:rsidR="008517A1" w:rsidRDefault="008517A1" w:rsidP="00E70895">
      <w:pPr>
        <w:pStyle w:val="Bullet1"/>
        <w:numPr>
          <w:ilvl w:val="0"/>
          <w:numId w:val="0"/>
        </w:numPr>
        <w:ind w:left="360"/>
        <w:rPr>
          <w:sz w:val="21"/>
          <w:szCs w:val="21"/>
        </w:rPr>
      </w:pPr>
    </w:p>
    <w:p w14:paraId="3AE47B5F" w14:textId="1DEDABE6" w:rsidR="00632F54" w:rsidRPr="00632F54" w:rsidRDefault="00515609" w:rsidP="002233F8">
      <w:r>
        <w:rPr>
          <w:b/>
          <w:noProof/>
          <w:color w:val="FF0000"/>
        </w:rPr>
        <mc:AlternateContent>
          <mc:Choice Requires="wps">
            <w:drawing>
              <wp:anchor distT="0" distB="0" distL="114300" distR="114300" simplePos="0" relativeHeight="251685888" behindDoc="0" locked="0" layoutInCell="1" allowOverlap="1" wp14:anchorId="151649BD" wp14:editId="72C7EBB0">
                <wp:simplePos x="0" y="0"/>
                <wp:positionH relativeFrom="column">
                  <wp:posOffset>2128190</wp:posOffset>
                </wp:positionH>
                <wp:positionV relativeFrom="paragraph">
                  <wp:posOffset>4045174</wp:posOffset>
                </wp:positionV>
                <wp:extent cx="11099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09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D66A0"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7.55pt,318.5pt" to="176.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" strokecolor="#2f2f2f [3044]"/>
            </w:pict>
          </mc:Fallback>
        </mc:AlternateContent>
      </w:r>
      <w:r>
        <w:rPr>
          <w:b/>
          <w:noProof/>
          <w:color w:val="FF0000"/>
        </w:rPr>
        <mc:AlternateContent>
          <mc:Choice Requires="wps">
            <w:drawing>
              <wp:anchor distT="0" distB="0" distL="114300" distR="114300" simplePos="0" relativeHeight="251684864" behindDoc="0" locked="0" layoutInCell="1" allowOverlap="1" wp14:anchorId="4FCB02C1" wp14:editId="09474F22">
                <wp:simplePos x="0" y="0"/>
                <wp:positionH relativeFrom="column">
                  <wp:posOffset>1245503</wp:posOffset>
                </wp:positionH>
                <wp:positionV relativeFrom="paragraph">
                  <wp:posOffset>4024032</wp:posOffset>
                </wp:positionV>
                <wp:extent cx="8456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45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E74DB"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8.05pt,316.85pt" to="104.7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" strokecolor="#2f2f2f [3044]"/>
            </w:pict>
          </mc:Fallback>
        </mc:AlternateContent>
      </w:r>
      <w:bookmarkStart w:id="106" w:name="_Toc457377884"/>
      <w:bookmarkEnd w:id="106"/>
      <w:r w:rsidR="006D2273">
        <w:rPr>
          <w:noProof/>
        </w:rPr>
        <w:drawing>
          <wp:anchor distT="0" distB="0" distL="114300" distR="114300" simplePos="0" relativeHeight="251681792" behindDoc="1" locked="0" layoutInCell="1" allowOverlap="1" wp14:anchorId="7375332D" wp14:editId="7239403A">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bookmarkStart w:id="107" w:name="_Toc55814473"/>
      <w:bookmarkStart w:id="108" w:name="_Toc55815582"/>
      <w:bookmarkStart w:id="109" w:name="_Toc57269502"/>
      <w:bookmarkStart w:id="110" w:name="_Toc58395019"/>
      <w:r w:rsidR="00496C0F">
        <w:rPr>
          <w:noProof/>
        </w:rPr>
        <w:drawing>
          <wp:anchor distT="0" distB="0" distL="114300" distR="114300" simplePos="0" relativeHeight="251658240" behindDoc="0" locked="0" layoutInCell="1" allowOverlap="1" wp14:anchorId="1961ED14" wp14:editId="5CD0E36B">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54B160D4" wp14:editId="33DC808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21F6" w14:textId="77777777" w:rsidR="00211746" w:rsidRPr="000016B9" w:rsidRDefault="00211746" w:rsidP="004D2EBC">
                            <w:pPr>
                              <w:pStyle w:val="Intro"/>
                              <w:rPr>
                                <w:caps/>
                                <w:color w:val="FFFFFF"/>
                              </w:rPr>
                            </w:pPr>
                            <w:r>
                              <w:rPr>
                                <w:color w:val="FFFFFF"/>
                              </w:rPr>
                              <w:t>Chief Minister, Treasury and Economic Development Directorate</w:t>
                            </w:r>
                          </w:p>
                          <w:p w14:paraId="7610C570" w14:textId="13D73E21" w:rsidR="00211746" w:rsidRPr="000016B9" w:rsidRDefault="00211746" w:rsidP="004D2EBC">
                            <w:pPr>
                              <w:pStyle w:val="Intro"/>
                              <w:rPr>
                                <w:caps/>
                                <w:color w:val="FFFFFF"/>
                              </w:rPr>
                            </w:pPr>
                            <w:r>
                              <w:rPr>
                                <w:color w:val="FFFFFF"/>
                              </w:rPr>
                              <w:t>June 2021</w:t>
                            </w:r>
                          </w:p>
                          <w:p w14:paraId="0EF20222" w14:textId="5C7021E4" w:rsidR="00211746" w:rsidRPr="003D4DBC" w:rsidRDefault="00211746" w:rsidP="000016B9">
                            <w:pPr>
                              <w:pStyle w:val="Intro"/>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160D4"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" filled="f" stroked="f">
                <v:textbox style="mso-fit-shape-to-text:t">
                  <w:txbxContent>
                    <w:p w14:paraId="54D121F6" w14:textId="77777777" w:rsidR="00211746" w:rsidRPr="000016B9" w:rsidRDefault="00211746" w:rsidP="004D2EBC">
                      <w:pPr>
                        <w:pStyle w:val="Intro"/>
                        <w:rPr>
                          <w:caps/>
                          <w:color w:val="FFFFFF"/>
                        </w:rPr>
                      </w:pPr>
                      <w:r>
                        <w:rPr>
                          <w:color w:val="FFFFFF"/>
                        </w:rPr>
                        <w:t>Chief Minister, Treasury and Economic Development Directorate</w:t>
                      </w:r>
                    </w:p>
                    <w:p w14:paraId="7610C570" w14:textId="13D73E21" w:rsidR="00211746" w:rsidRPr="000016B9" w:rsidRDefault="00211746" w:rsidP="004D2EBC">
                      <w:pPr>
                        <w:pStyle w:val="Intro"/>
                        <w:rPr>
                          <w:caps/>
                          <w:color w:val="FFFFFF"/>
                        </w:rPr>
                      </w:pPr>
                      <w:r>
                        <w:rPr>
                          <w:color w:val="FFFFFF"/>
                        </w:rPr>
                        <w:t>June 2021</w:t>
                      </w:r>
                    </w:p>
                    <w:p w14:paraId="0EF20222" w14:textId="5C7021E4" w:rsidR="00211746" w:rsidRPr="003D4DBC" w:rsidRDefault="00211746" w:rsidP="000016B9">
                      <w:pPr>
                        <w:pStyle w:val="Intro"/>
                        <w:rPr>
                          <w:color w:val="FFFFFF" w:themeColor="background1"/>
                        </w:rPr>
                      </w:pPr>
                    </w:p>
                  </w:txbxContent>
                </v:textbox>
                <w10:wrap anchory="page"/>
              </v:shape>
            </w:pict>
          </mc:Fallback>
        </mc:AlternateContent>
      </w:r>
      <w:bookmarkEnd w:id="107"/>
      <w:bookmarkEnd w:id="108"/>
      <w:bookmarkEnd w:id="109"/>
      <w:bookmarkEnd w:id="110"/>
    </w:p>
    <w:sectPr w:rsidR="00632F54" w:rsidRPr="00632F54" w:rsidSect="000715C4">
      <w:headerReference w:type="default" r:id="rId22"/>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225D" w14:textId="77777777" w:rsidR="00211746" w:rsidRDefault="00211746" w:rsidP="00665B9F">
      <w:pPr>
        <w:spacing w:after="0" w:line="240" w:lineRule="auto"/>
      </w:pPr>
      <w:r>
        <w:separator/>
      </w:r>
    </w:p>
  </w:endnote>
  <w:endnote w:type="continuationSeparator" w:id="0">
    <w:p w14:paraId="7F47C52D" w14:textId="77777777" w:rsidR="00211746" w:rsidRDefault="00211746"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FC31" w14:textId="77777777" w:rsidR="00211746" w:rsidRDefault="00211746" w:rsidP="00665B9F">
      <w:pPr>
        <w:spacing w:after="0" w:line="240" w:lineRule="auto"/>
      </w:pPr>
      <w:r>
        <w:separator/>
      </w:r>
    </w:p>
  </w:footnote>
  <w:footnote w:type="continuationSeparator" w:id="0">
    <w:p w14:paraId="544A156F" w14:textId="77777777" w:rsidR="00211746" w:rsidRDefault="00211746" w:rsidP="00665B9F">
      <w:pPr>
        <w:spacing w:after="0" w:line="240" w:lineRule="auto"/>
      </w:pPr>
      <w:r>
        <w:continuationSeparator/>
      </w:r>
    </w:p>
  </w:footnote>
  <w:footnote w:id="1">
    <w:p w14:paraId="362B9B00" w14:textId="53A3B207" w:rsidR="00211746" w:rsidRPr="001843A4" w:rsidRDefault="00211746">
      <w:pPr>
        <w:pStyle w:val="FootnoteText"/>
        <w:rPr>
          <w:rFonts w:cs="Cambria"/>
          <w:sz w:val="18"/>
          <w:szCs w:val="18"/>
        </w:rPr>
      </w:pPr>
      <w:r>
        <w:rPr>
          <w:rStyle w:val="FootnoteReference"/>
        </w:rPr>
        <w:footnoteRef/>
      </w:r>
      <w:r>
        <w:t xml:space="preserve"> </w:t>
      </w:r>
      <w:r w:rsidRPr="001843A4">
        <w:rPr>
          <w:rFonts w:cs="Cambria"/>
          <w:sz w:val="18"/>
          <w:szCs w:val="18"/>
        </w:rPr>
        <w:t>For assistance in determining whether an item is material</w:t>
      </w:r>
      <w:r>
        <w:rPr>
          <w:rFonts w:cs="Cambria"/>
          <w:sz w:val="18"/>
          <w:szCs w:val="18"/>
        </w:rPr>
        <w:t>,</w:t>
      </w:r>
      <w:r w:rsidRPr="001843A4">
        <w:rPr>
          <w:rFonts w:cs="Cambria"/>
          <w:sz w:val="18"/>
          <w:szCs w:val="18"/>
        </w:rPr>
        <w:t xml:space="preserve"> agencies can look at AASB Practice Statement 2 </w:t>
      </w:r>
      <w:r w:rsidRPr="001843A4">
        <w:rPr>
          <w:rFonts w:cs="Cambria"/>
          <w:i/>
          <w:iCs/>
          <w:sz w:val="18"/>
          <w:szCs w:val="18"/>
        </w:rPr>
        <w:t>Making Materiality Judgements</w:t>
      </w:r>
      <w:r w:rsidRPr="001843A4">
        <w:rPr>
          <w:rFonts w:cs="Cambria"/>
          <w:sz w:val="18"/>
          <w:szCs w:val="18"/>
        </w:rPr>
        <w:t xml:space="preserve"> and the 2019-20 Model Financial Statements Section 1.2.</w:t>
      </w:r>
    </w:p>
  </w:footnote>
  <w:footnote w:id="2">
    <w:p w14:paraId="7D3CC60D" w14:textId="77777777" w:rsidR="00211746" w:rsidRPr="00747DCD" w:rsidRDefault="00211746" w:rsidP="00C9295B">
      <w:pPr>
        <w:pStyle w:val="FootnoteText"/>
        <w:rPr>
          <w:color w:val="auto"/>
        </w:rPr>
      </w:pPr>
    </w:p>
  </w:footnote>
  <w:footnote w:id="3">
    <w:p w14:paraId="1F86D9BC" w14:textId="77777777" w:rsidR="00211746" w:rsidRDefault="00211746" w:rsidP="00C9295B"/>
    <w:p w14:paraId="135BC243" w14:textId="77777777" w:rsidR="00211746" w:rsidRPr="00747DCD" w:rsidRDefault="00211746" w:rsidP="00C9295B">
      <w:pPr>
        <w:pStyle w:val="FootnoteText"/>
        <w:rPr>
          <w:color w:val="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1671" w14:textId="3FE23D1C" w:rsidR="00211746" w:rsidRPr="00F71EED" w:rsidRDefault="00344231" w:rsidP="009F0619">
    <w:pPr>
      <w:pStyle w:val="Header"/>
      <w:rPr>
        <w:b/>
        <w:bCs/>
        <w:color w:val="7030A0"/>
        <w:sz w:val="22"/>
        <w:szCs w:val="22"/>
      </w:rPr>
    </w:pPr>
    <w:r w:rsidRPr="00F71EED">
      <w:rPr>
        <w:b/>
        <w:bCs/>
        <w:color w:val="7030A0"/>
        <w:sz w:val="22"/>
        <w:szCs w:val="22"/>
      </w:rPr>
      <w:t>AAGP 204 - COVID-19 Disclosures and Workpapers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568D" w14:textId="77777777" w:rsidR="00211746" w:rsidRPr="00371BF4" w:rsidRDefault="00211746" w:rsidP="009F0619">
    <w:pPr>
      <w:pStyle w:val="headerhead"/>
    </w:pPr>
    <w:r w:rsidRPr="00371BF4">
      <w:t>‘Example Agency’</w:t>
    </w:r>
  </w:p>
  <w:p w14:paraId="4314D751" w14:textId="361061F9" w:rsidR="00211746" w:rsidRPr="009F0619" w:rsidRDefault="00211746" w:rsidP="009F0619">
    <w:pPr>
      <w:pStyle w:val="headerhead"/>
      <w:rPr>
        <w:szCs w:val="36"/>
      </w:rPr>
    </w:pPr>
    <w:r w:rsidRPr="00371BF4">
      <w:t>Financial Statements For the Year Ended 30 June 20</w:t>
    </w:r>
    <w: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A70" w14:textId="77777777" w:rsidR="00211746" w:rsidRPr="00371BF4" w:rsidRDefault="00211746" w:rsidP="009F0619">
    <w:pPr>
      <w:pStyle w:val="headerhead"/>
    </w:pPr>
    <w:r w:rsidRPr="00371BF4">
      <w:t>‘Example Agency’</w:t>
    </w:r>
  </w:p>
  <w:p w14:paraId="28980A92" w14:textId="77777777" w:rsidR="00211746" w:rsidRPr="00371BF4" w:rsidRDefault="00211746" w:rsidP="009F0619">
    <w:pPr>
      <w:pStyle w:val="headerhead"/>
    </w:pPr>
    <w:r w:rsidRPr="00371BF4">
      <w:t>Notes to and Forming Part of the Financial Statements</w:t>
    </w:r>
  </w:p>
  <w:p w14:paraId="6BDA3923" w14:textId="77777777" w:rsidR="00211746" w:rsidRPr="009F0619" w:rsidRDefault="00211746" w:rsidP="009F0619">
    <w:pPr>
      <w:pStyle w:val="headerhead"/>
      <w:rPr>
        <w:szCs w:val="36"/>
      </w:rPr>
    </w:pPr>
    <w:r w:rsidRPr="00371BF4">
      <w:t>For the Year Ended 30 June 20</w:t>
    </w:r>
    <w: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3223" w14:textId="77777777" w:rsidR="00211746" w:rsidRPr="00371BF4" w:rsidRDefault="00211746" w:rsidP="002C5CC0">
    <w:pPr>
      <w:pStyle w:val="headerhead"/>
    </w:pPr>
    <w:r w:rsidRPr="00371BF4">
      <w:t>‘Example Agency’</w:t>
    </w:r>
  </w:p>
  <w:p w14:paraId="778A2960" w14:textId="02201070" w:rsidR="00211746" w:rsidRPr="00371BF4" w:rsidRDefault="00211746" w:rsidP="002C5CC0">
    <w:pPr>
      <w:pStyle w:val="headerhead"/>
    </w:pPr>
    <w:r w:rsidRPr="00371BF4">
      <w:t>Notes to and Forming Part of the Financial Statements</w:t>
    </w:r>
  </w:p>
  <w:p w14:paraId="0A623EB7" w14:textId="69A786D9" w:rsidR="00211746" w:rsidRPr="002C5CC0" w:rsidRDefault="00211746" w:rsidP="002C5CC0">
    <w:pPr>
      <w:pStyle w:val="headerhead"/>
    </w:pPr>
    <w:r w:rsidRPr="00371BF4">
      <w:t>For the Year Ended 30 June 20</w:t>
    </w:r>
    <w:r>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F8C9" w14:textId="60F9E37A" w:rsidR="00211746" w:rsidRPr="001623F0" w:rsidRDefault="00211746" w:rsidP="001623F0">
    <w:pPr>
      <w:pStyle w:val="headerhead"/>
    </w:pPr>
    <w:r w:rsidRPr="00804B11">
      <w:rPr>
        <w:szCs w:val="24"/>
      </w:rPr>
      <w:t xml:space="preserve">Appendix A - </w:t>
    </w:r>
    <w:r w:rsidRPr="00804B11">
      <w:t>Basis of Preparation of the Financial Statements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E1C2" w14:textId="456EC696" w:rsidR="00211746" w:rsidRPr="001623F0" w:rsidRDefault="00211746" w:rsidP="00F5633C">
    <w:pPr>
      <w:pStyle w:val="headerhead"/>
    </w:pPr>
    <w:r>
      <w:t xml:space="preserve">Appendix B – Significant Accounting Policies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2BB0" w14:textId="3FC8034A" w:rsidR="00211746" w:rsidRPr="003826C2" w:rsidRDefault="00211746" w:rsidP="003826C2">
    <w:pPr>
      <w:pStyle w:val="Header"/>
      <w:jc w:val="center"/>
      <w:rPr>
        <w:rFonts w:ascii="Calibri" w:eastAsia="Times New Roman" w:hAnsi="Calibri" w:cs="Arial"/>
        <w:b/>
        <w:caps/>
        <w:sz w:val="22"/>
        <w:szCs w:val="16"/>
        <w:lang w:eastAsia="en-US"/>
      </w:rPr>
    </w:pPr>
    <w:r w:rsidRPr="00B0598D">
      <w:rPr>
        <w:rFonts w:ascii="Calibri" w:eastAsia="Times New Roman" w:hAnsi="Calibri" w:cs="Arial"/>
        <w:b/>
        <w:caps/>
        <w:sz w:val="22"/>
        <w:szCs w:val="16"/>
        <w:lang w:eastAsia="en-US"/>
      </w:rPr>
      <w:t>Appendix D- Change IN Accounting Policy and Accounting Estimates, AND Correction Prior Period Error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5788"/>
    <w:multiLevelType w:val="hybridMultilevel"/>
    <w:tmpl w:val="4D1C8224"/>
    <w:lvl w:ilvl="0" w:tplc="0C090001">
      <w:start w:val="1"/>
      <w:numFmt w:val="bullet"/>
      <w:lvlText w:val=""/>
      <w:lvlJc w:val="left"/>
      <w:pPr>
        <w:ind w:left="2205" w:hanging="360"/>
      </w:pPr>
      <w:rPr>
        <w:rFonts w:ascii="Symbol" w:hAnsi="Symbol" w:hint="default"/>
      </w:rPr>
    </w:lvl>
    <w:lvl w:ilvl="1" w:tplc="0C090003">
      <w:start w:val="1"/>
      <w:numFmt w:val="bullet"/>
      <w:lvlText w:val="o"/>
      <w:lvlJc w:val="left"/>
      <w:pPr>
        <w:ind w:left="2925" w:hanging="360"/>
      </w:pPr>
      <w:rPr>
        <w:rFonts w:ascii="Courier New" w:hAnsi="Courier New" w:cs="Courier New" w:hint="default"/>
      </w:rPr>
    </w:lvl>
    <w:lvl w:ilvl="2" w:tplc="008437A4">
      <w:start w:val="4"/>
      <w:numFmt w:val="bullet"/>
      <w:lvlText w:val="-"/>
      <w:lvlJc w:val="left"/>
      <w:pPr>
        <w:ind w:left="3645" w:hanging="360"/>
      </w:pPr>
      <w:rPr>
        <w:rFonts w:ascii="Calibri" w:eastAsia="Times New Roman" w:hAnsi="Calibri" w:cs="Calibri"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2" w15:restartNumberingAfterBreak="0">
    <w:nsid w:val="05DB4FEF"/>
    <w:multiLevelType w:val="hybridMultilevel"/>
    <w:tmpl w:val="7C74E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87F93"/>
    <w:multiLevelType w:val="hybridMultilevel"/>
    <w:tmpl w:val="826E1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60FF8"/>
    <w:multiLevelType w:val="hybridMultilevel"/>
    <w:tmpl w:val="CE3EBEB0"/>
    <w:lvl w:ilvl="0" w:tplc="A47CABF4">
      <w:start w:val="1"/>
      <w:numFmt w:val="lowerLetter"/>
      <w:lvlText w:val="(%1)"/>
      <w:lvlJc w:val="left"/>
      <w:pPr>
        <w:ind w:left="720" w:hanging="360"/>
      </w:pPr>
      <w:rPr>
        <w:rFonts w:asciiTheme="minorHAnsi" w:hAnsiTheme="minorHAnsi" w:hint="default"/>
        <w:sz w:val="20"/>
        <w:szCs w:val="20"/>
      </w:rPr>
    </w:lvl>
    <w:lvl w:ilvl="1" w:tplc="1AA0D2C0">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1F64C9"/>
    <w:multiLevelType w:val="hybridMultilevel"/>
    <w:tmpl w:val="86D4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723DAF"/>
    <w:multiLevelType w:val="hybridMultilevel"/>
    <w:tmpl w:val="3336E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9758F5"/>
    <w:multiLevelType w:val="hybridMultilevel"/>
    <w:tmpl w:val="CCDCB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C0C0E"/>
    <w:multiLevelType w:val="hybridMultilevel"/>
    <w:tmpl w:val="DF682204"/>
    <w:lvl w:ilvl="0" w:tplc="0C090001">
      <w:start w:val="1"/>
      <w:numFmt w:val="bullet"/>
      <w:lvlText w:val=""/>
      <w:lvlJc w:val="left"/>
      <w:pPr>
        <w:ind w:left="720" w:hanging="360"/>
      </w:pPr>
      <w:rPr>
        <w:rFonts w:ascii="Symbol" w:hAnsi="Symbol" w:hint="default"/>
      </w:rPr>
    </w:lvl>
    <w:lvl w:ilvl="1" w:tplc="74CACDDA">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F10BDD"/>
    <w:multiLevelType w:val="hybridMultilevel"/>
    <w:tmpl w:val="A79EC5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020E9F"/>
    <w:multiLevelType w:val="multilevel"/>
    <w:tmpl w:val="572A491C"/>
    <w:lvl w:ilvl="0">
      <w:start w:val="1"/>
      <w:numFmt w:val="decimal"/>
      <w:pStyle w:val="Heading1"/>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C85276E"/>
    <w:multiLevelType w:val="hybridMultilevel"/>
    <w:tmpl w:val="002AC664"/>
    <w:lvl w:ilvl="0" w:tplc="0CB6EA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8A3B40"/>
    <w:multiLevelType w:val="hybridMultilevel"/>
    <w:tmpl w:val="7FCC1564"/>
    <w:lvl w:ilvl="0" w:tplc="EF94C3F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6A566F"/>
    <w:multiLevelType w:val="hybridMultilevel"/>
    <w:tmpl w:val="7D827734"/>
    <w:lvl w:ilvl="0" w:tplc="773250FA">
      <w:start w:val="3"/>
      <w:numFmt w:val="decimal"/>
      <w:pStyle w:val="NoteTitle"/>
      <w:lvlText w:val="Note %1."/>
      <w:lvlJc w:val="left"/>
      <w:pPr>
        <w:tabs>
          <w:tab w:val="num" w:pos="1701"/>
        </w:tabs>
        <w:ind w:left="1701" w:hanging="1134"/>
      </w:pPr>
      <w:rPr>
        <w:rFonts w:hint="default"/>
        <w:b/>
        <w:caps/>
      </w:rPr>
    </w:lvl>
    <w:lvl w:ilvl="1" w:tplc="04090001">
      <w:start w:val="1"/>
      <w:numFmt w:val="bullet"/>
      <w:lvlText w:val=""/>
      <w:lvlJc w:val="left"/>
      <w:pPr>
        <w:tabs>
          <w:tab w:val="num" w:pos="-1794"/>
        </w:tabs>
        <w:ind w:left="-1794" w:hanging="360"/>
      </w:pPr>
      <w:rPr>
        <w:rFonts w:ascii="Symbol" w:hAnsi="Symbol" w:hint="default"/>
      </w:rPr>
    </w:lvl>
    <w:lvl w:ilvl="2" w:tplc="363E5A42">
      <w:start w:val="1"/>
      <w:numFmt w:val="lowerLetter"/>
      <w:lvlText w:val="%3)"/>
      <w:lvlJc w:val="left"/>
      <w:pPr>
        <w:tabs>
          <w:tab w:val="num" w:pos="-894"/>
        </w:tabs>
        <w:ind w:left="-894" w:hanging="360"/>
      </w:pPr>
      <w:rPr>
        <w:rFonts w:hint="default"/>
      </w:rPr>
    </w:lvl>
    <w:lvl w:ilvl="3" w:tplc="0409000F" w:tentative="1">
      <w:start w:val="1"/>
      <w:numFmt w:val="decimal"/>
      <w:lvlText w:val="%4."/>
      <w:lvlJc w:val="left"/>
      <w:pPr>
        <w:tabs>
          <w:tab w:val="num" w:pos="-354"/>
        </w:tabs>
        <w:ind w:left="-354" w:hanging="360"/>
      </w:pPr>
    </w:lvl>
    <w:lvl w:ilvl="4" w:tplc="04090019" w:tentative="1">
      <w:start w:val="1"/>
      <w:numFmt w:val="lowerLetter"/>
      <w:lvlText w:val="%5."/>
      <w:lvlJc w:val="left"/>
      <w:pPr>
        <w:tabs>
          <w:tab w:val="num" w:pos="366"/>
        </w:tabs>
        <w:ind w:left="366" w:hanging="360"/>
      </w:pPr>
    </w:lvl>
    <w:lvl w:ilvl="5" w:tplc="0409001B" w:tentative="1">
      <w:start w:val="1"/>
      <w:numFmt w:val="lowerRoman"/>
      <w:lvlText w:val="%6."/>
      <w:lvlJc w:val="right"/>
      <w:pPr>
        <w:tabs>
          <w:tab w:val="num" w:pos="1086"/>
        </w:tabs>
        <w:ind w:left="1086" w:hanging="180"/>
      </w:pPr>
    </w:lvl>
    <w:lvl w:ilvl="6" w:tplc="0409000F" w:tentative="1">
      <w:start w:val="1"/>
      <w:numFmt w:val="decimal"/>
      <w:lvlText w:val="%7."/>
      <w:lvlJc w:val="left"/>
      <w:pPr>
        <w:tabs>
          <w:tab w:val="num" w:pos="1806"/>
        </w:tabs>
        <w:ind w:left="1806" w:hanging="360"/>
      </w:pPr>
    </w:lvl>
    <w:lvl w:ilvl="7" w:tplc="04090019" w:tentative="1">
      <w:start w:val="1"/>
      <w:numFmt w:val="lowerLetter"/>
      <w:lvlText w:val="%8."/>
      <w:lvlJc w:val="left"/>
      <w:pPr>
        <w:tabs>
          <w:tab w:val="num" w:pos="2526"/>
        </w:tabs>
        <w:ind w:left="2526" w:hanging="360"/>
      </w:pPr>
    </w:lvl>
    <w:lvl w:ilvl="8" w:tplc="0409001B" w:tentative="1">
      <w:start w:val="1"/>
      <w:numFmt w:val="lowerRoman"/>
      <w:lvlText w:val="%9."/>
      <w:lvlJc w:val="right"/>
      <w:pPr>
        <w:tabs>
          <w:tab w:val="num" w:pos="3246"/>
        </w:tabs>
        <w:ind w:left="3246" w:hanging="180"/>
      </w:pPr>
    </w:lvl>
  </w:abstractNum>
  <w:abstractNum w:abstractNumId="15" w15:restartNumberingAfterBreak="0">
    <w:nsid w:val="2F5B6AF6"/>
    <w:multiLevelType w:val="multilevel"/>
    <w:tmpl w:val="43A44730"/>
    <w:lvl w:ilvl="0">
      <w:start w:val="3"/>
      <w:numFmt w:val="decimal"/>
      <w:lvlText w:val="%1."/>
      <w:lvlJc w:val="left"/>
      <w:pPr>
        <w:ind w:left="2062"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108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16" w15:restartNumberingAfterBreak="0">
    <w:nsid w:val="33807029"/>
    <w:multiLevelType w:val="hybridMultilevel"/>
    <w:tmpl w:val="555064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6EE018A"/>
    <w:multiLevelType w:val="hybridMultilevel"/>
    <w:tmpl w:val="6BD2B7E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7A43F00"/>
    <w:multiLevelType w:val="hybridMultilevel"/>
    <w:tmpl w:val="3BCC825C"/>
    <w:lvl w:ilvl="0" w:tplc="DCB01058">
      <w:start w:val="1"/>
      <w:numFmt w:val="lowerLetter"/>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2B6E9A"/>
    <w:multiLevelType w:val="hybridMultilevel"/>
    <w:tmpl w:val="AC5272CC"/>
    <w:lvl w:ilvl="0" w:tplc="FEA6C046">
      <w:start w:val="1"/>
      <w:numFmt w:val="bullet"/>
      <w:pStyle w:val="Commentary-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751"/>
        </w:tabs>
        <w:ind w:left="751"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96A1DD1"/>
    <w:multiLevelType w:val="hybridMultilevel"/>
    <w:tmpl w:val="C0CC0DF4"/>
    <w:lvl w:ilvl="0" w:tplc="919451C0">
      <w:start w:val="1"/>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385E90"/>
    <w:multiLevelType w:val="hybridMultilevel"/>
    <w:tmpl w:val="E476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D5D87"/>
    <w:multiLevelType w:val="hybridMultilevel"/>
    <w:tmpl w:val="7FBCD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AFE7AF6"/>
    <w:multiLevelType w:val="hybridMultilevel"/>
    <w:tmpl w:val="DAEE5FDA"/>
    <w:lvl w:ilvl="0" w:tplc="B23EA472">
      <w:start w:val="1"/>
      <w:numFmt w:val="lowerRoman"/>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BE6468C"/>
    <w:multiLevelType w:val="hybridMultilevel"/>
    <w:tmpl w:val="176E5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5FE361A8"/>
    <w:multiLevelType w:val="hybridMultilevel"/>
    <w:tmpl w:val="9A923E62"/>
    <w:lvl w:ilvl="0" w:tplc="E96C8AFE">
      <w:start w:val="1"/>
      <w:numFmt w:val="lowerRoman"/>
      <w:pStyle w:val="NotesNumber"/>
      <w:lvlText w:val="(%1)"/>
      <w:lvlJc w:val="left"/>
      <w:pPr>
        <w:tabs>
          <w:tab w:val="num" w:pos="1428"/>
        </w:tabs>
        <w:ind w:left="708" w:firstLine="0"/>
      </w:pPr>
      <w:rPr>
        <w:rFonts w:hint="default"/>
      </w:rPr>
    </w:lvl>
    <w:lvl w:ilvl="1" w:tplc="04090019">
      <w:start w:val="1"/>
      <w:numFmt w:val="lowerLetter"/>
      <w:lvlText w:val="%2."/>
      <w:lvlJc w:val="left"/>
      <w:pPr>
        <w:tabs>
          <w:tab w:val="num" w:pos="1004"/>
        </w:tabs>
        <w:ind w:left="1004" w:hanging="360"/>
      </w:pPr>
    </w:lvl>
    <w:lvl w:ilvl="2" w:tplc="0409001B">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29" w15:restartNumberingAfterBreak="0">
    <w:nsid w:val="64893582"/>
    <w:multiLevelType w:val="hybridMultilevel"/>
    <w:tmpl w:val="2E8E4B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FB7EB6"/>
    <w:multiLevelType w:val="hybridMultilevel"/>
    <w:tmpl w:val="ADBCA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0458F2"/>
    <w:multiLevelType w:val="hybridMultilevel"/>
    <w:tmpl w:val="DC241192"/>
    <w:lvl w:ilvl="0" w:tplc="8AB82F52">
      <w:start w:val="1"/>
      <w:numFmt w:val="decimal"/>
      <w:pStyle w:val="Heading3"/>
      <w:lvlText w:val="1.1.%1"/>
      <w:lvlJc w:val="righ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5E268B"/>
    <w:multiLevelType w:val="hybridMultilevel"/>
    <w:tmpl w:val="D0A24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E66D4D"/>
    <w:multiLevelType w:val="hybridMultilevel"/>
    <w:tmpl w:val="ECAE57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440927"/>
    <w:multiLevelType w:val="hybridMultilevel"/>
    <w:tmpl w:val="36CA509A"/>
    <w:lvl w:ilvl="0" w:tplc="6E54E720">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30"/>
  </w:num>
  <w:num w:numId="2">
    <w:abstractNumId w:val="25"/>
  </w:num>
  <w:num w:numId="3">
    <w:abstractNumId w:val="20"/>
  </w:num>
  <w:num w:numId="4">
    <w:abstractNumId w:val="9"/>
  </w:num>
  <w:num w:numId="5">
    <w:abstractNumId w:val="22"/>
  </w:num>
  <w:num w:numId="6">
    <w:abstractNumId w:val="0"/>
  </w:num>
  <w:num w:numId="7">
    <w:abstractNumId w:val="32"/>
  </w:num>
  <w:num w:numId="8">
    <w:abstractNumId w:val="11"/>
  </w:num>
  <w:num w:numId="9">
    <w:abstractNumId w:val="15"/>
  </w:num>
  <w:num w:numId="10">
    <w:abstractNumId w:val="16"/>
  </w:num>
  <w:num w:numId="11">
    <w:abstractNumId w:val="1"/>
  </w:num>
  <w:num w:numId="12">
    <w:abstractNumId w:val="33"/>
  </w:num>
  <w:num w:numId="13">
    <w:abstractNumId w:val="19"/>
  </w:num>
  <w:num w:numId="14">
    <w:abstractNumId w:val="24"/>
  </w:num>
  <w:num w:numId="15">
    <w:abstractNumId w:val="18"/>
  </w:num>
  <w:num w:numId="16">
    <w:abstractNumId w:val="5"/>
  </w:num>
  <w:num w:numId="17">
    <w:abstractNumId w:val="7"/>
  </w:num>
  <w:num w:numId="18">
    <w:abstractNumId w:val="34"/>
  </w:num>
  <w:num w:numId="19">
    <w:abstractNumId w:val="29"/>
  </w:num>
  <w:num w:numId="20">
    <w:abstractNumId w:val="27"/>
  </w:num>
  <w:num w:numId="21">
    <w:abstractNumId w:val="28"/>
  </w:num>
  <w:num w:numId="22">
    <w:abstractNumId w:val="14"/>
  </w:num>
  <w:num w:numId="23">
    <w:abstractNumId w:val="8"/>
  </w:num>
  <w:num w:numId="24">
    <w:abstractNumId w:val="13"/>
  </w:num>
  <w:num w:numId="25">
    <w:abstractNumId w:val="17"/>
  </w:num>
  <w:num w:numId="26">
    <w:abstractNumId w:val="3"/>
  </w:num>
  <w:num w:numId="27">
    <w:abstractNumId w:val="31"/>
  </w:num>
  <w:num w:numId="28">
    <w:abstractNumId w:val="6"/>
  </w:num>
  <w:num w:numId="29">
    <w:abstractNumId w:val="23"/>
  </w:num>
  <w:num w:numId="30">
    <w:abstractNumId w:val="12"/>
  </w:num>
  <w:num w:numId="31">
    <w:abstractNumId w:val="35"/>
  </w:num>
  <w:num w:numId="32">
    <w:abstractNumId w:val="26"/>
  </w:num>
  <w:num w:numId="33">
    <w:abstractNumId w:val="2"/>
  </w:num>
  <w:num w:numId="34">
    <w:abstractNumId w:val="4"/>
  </w:num>
  <w:num w:numId="35">
    <w:abstractNumId w:val="10"/>
  </w:num>
  <w:num w:numId="3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6B9"/>
    <w:rsid w:val="00001E92"/>
    <w:rsid w:val="0000540D"/>
    <w:rsid w:val="000068D5"/>
    <w:rsid w:val="000077CF"/>
    <w:rsid w:val="000173BB"/>
    <w:rsid w:val="00023942"/>
    <w:rsid w:val="00030790"/>
    <w:rsid w:val="00030CC1"/>
    <w:rsid w:val="00031343"/>
    <w:rsid w:val="00034546"/>
    <w:rsid w:val="00034D25"/>
    <w:rsid w:val="000350DF"/>
    <w:rsid w:val="000362BF"/>
    <w:rsid w:val="00036B92"/>
    <w:rsid w:val="00036E95"/>
    <w:rsid w:val="000419C1"/>
    <w:rsid w:val="00041B1A"/>
    <w:rsid w:val="00042F22"/>
    <w:rsid w:val="00043B50"/>
    <w:rsid w:val="000446A5"/>
    <w:rsid w:val="000476A2"/>
    <w:rsid w:val="0005170A"/>
    <w:rsid w:val="0005196D"/>
    <w:rsid w:val="0005585A"/>
    <w:rsid w:val="000607A6"/>
    <w:rsid w:val="000650AF"/>
    <w:rsid w:val="00065CEA"/>
    <w:rsid w:val="00067597"/>
    <w:rsid w:val="00070067"/>
    <w:rsid w:val="000715C4"/>
    <w:rsid w:val="00074450"/>
    <w:rsid w:val="0007453E"/>
    <w:rsid w:val="00076803"/>
    <w:rsid w:val="000774AD"/>
    <w:rsid w:val="00077772"/>
    <w:rsid w:val="00077EC9"/>
    <w:rsid w:val="00081893"/>
    <w:rsid w:val="00081934"/>
    <w:rsid w:val="0008209D"/>
    <w:rsid w:val="000821F6"/>
    <w:rsid w:val="00083ED8"/>
    <w:rsid w:val="00090A83"/>
    <w:rsid w:val="00092030"/>
    <w:rsid w:val="000930A3"/>
    <w:rsid w:val="000947FC"/>
    <w:rsid w:val="00095ECF"/>
    <w:rsid w:val="000960BB"/>
    <w:rsid w:val="000A07A1"/>
    <w:rsid w:val="000A0C92"/>
    <w:rsid w:val="000A15B3"/>
    <w:rsid w:val="000A2FFC"/>
    <w:rsid w:val="000A344C"/>
    <w:rsid w:val="000A493C"/>
    <w:rsid w:val="000A6B63"/>
    <w:rsid w:val="000A77B9"/>
    <w:rsid w:val="000A7FB3"/>
    <w:rsid w:val="000B0AB1"/>
    <w:rsid w:val="000B13CB"/>
    <w:rsid w:val="000C21E4"/>
    <w:rsid w:val="000C3F1E"/>
    <w:rsid w:val="000C5705"/>
    <w:rsid w:val="000C5E44"/>
    <w:rsid w:val="000C6C34"/>
    <w:rsid w:val="000C6FB6"/>
    <w:rsid w:val="000D5F0C"/>
    <w:rsid w:val="000D6CBD"/>
    <w:rsid w:val="000E5786"/>
    <w:rsid w:val="000F182C"/>
    <w:rsid w:val="000F57B1"/>
    <w:rsid w:val="000F5CCD"/>
    <w:rsid w:val="000F5D86"/>
    <w:rsid w:val="000F6963"/>
    <w:rsid w:val="00101F0C"/>
    <w:rsid w:val="0010489B"/>
    <w:rsid w:val="0011020F"/>
    <w:rsid w:val="001108D6"/>
    <w:rsid w:val="0011392B"/>
    <w:rsid w:val="00113D54"/>
    <w:rsid w:val="001165ED"/>
    <w:rsid w:val="0011798B"/>
    <w:rsid w:val="00125BB4"/>
    <w:rsid w:val="00127B38"/>
    <w:rsid w:val="0013020B"/>
    <w:rsid w:val="001302DE"/>
    <w:rsid w:val="00132334"/>
    <w:rsid w:val="00132E5A"/>
    <w:rsid w:val="001369CB"/>
    <w:rsid w:val="00137FB9"/>
    <w:rsid w:val="00143F5D"/>
    <w:rsid w:val="001451C4"/>
    <w:rsid w:val="0015010B"/>
    <w:rsid w:val="00150DAB"/>
    <w:rsid w:val="00152EB7"/>
    <w:rsid w:val="0016080C"/>
    <w:rsid w:val="001623DE"/>
    <w:rsid w:val="001623F0"/>
    <w:rsid w:val="00171E30"/>
    <w:rsid w:val="0017396E"/>
    <w:rsid w:val="00175495"/>
    <w:rsid w:val="00177117"/>
    <w:rsid w:val="00177D52"/>
    <w:rsid w:val="001843A4"/>
    <w:rsid w:val="00190BAD"/>
    <w:rsid w:val="00190F88"/>
    <w:rsid w:val="001912A2"/>
    <w:rsid w:val="0019535A"/>
    <w:rsid w:val="00196497"/>
    <w:rsid w:val="001966FA"/>
    <w:rsid w:val="00197666"/>
    <w:rsid w:val="001A0139"/>
    <w:rsid w:val="001A0956"/>
    <w:rsid w:val="001A3E5F"/>
    <w:rsid w:val="001A6D55"/>
    <w:rsid w:val="001A7A42"/>
    <w:rsid w:val="001B20B8"/>
    <w:rsid w:val="001B22DE"/>
    <w:rsid w:val="001B4170"/>
    <w:rsid w:val="001C1FF2"/>
    <w:rsid w:val="001C21E6"/>
    <w:rsid w:val="001D4F89"/>
    <w:rsid w:val="001D7944"/>
    <w:rsid w:val="001E73DD"/>
    <w:rsid w:val="001E7690"/>
    <w:rsid w:val="001E76BA"/>
    <w:rsid w:val="001F41D6"/>
    <w:rsid w:val="001F6597"/>
    <w:rsid w:val="002009BA"/>
    <w:rsid w:val="00203031"/>
    <w:rsid w:val="0020321B"/>
    <w:rsid w:val="00203514"/>
    <w:rsid w:val="00203525"/>
    <w:rsid w:val="00207B68"/>
    <w:rsid w:val="00207F12"/>
    <w:rsid w:val="002110E8"/>
    <w:rsid w:val="002113F9"/>
    <w:rsid w:val="00211746"/>
    <w:rsid w:val="002133F0"/>
    <w:rsid w:val="00214A8E"/>
    <w:rsid w:val="00215465"/>
    <w:rsid w:val="00220FB0"/>
    <w:rsid w:val="00221AFA"/>
    <w:rsid w:val="002233F8"/>
    <w:rsid w:val="002306CB"/>
    <w:rsid w:val="00232CA9"/>
    <w:rsid w:val="00235A66"/>
    <w:rsid w:val="002372BC"/>
    <w:rsid w:val="00242CC9"/>
    <w:rsid w:val="002467D9"/>
    <w:rsid w:val="00246AAC"/>
    <w:rsid w:val="002479CE"/>
    <w:rsid w:val="00250E88"/>
    <w:rsid w:val="002528B1"/>
    <w:rsid w:val="00254269"/>
    <w:rsid w:val="002563C3"/>
    <w:rsid w:val="0026278F"/>
    <w:rsid w:val="002655BF"/>
    <w:rsid w:val="0026580E"/>
    <w:rsid w:val="00270BC8"/>
    <w:rsid w:val="00272191"/>
    <w:rsid w:val="00272911"/>
    <w:rsid w:val="002730B4"/>
    <w:rsid w:val="00276C60"/>
    <w:rsid w:val="00276F0B"/>
    <w:rsid w:val="002846D8"/>
    <w:rsid w:val="002851C3"/>
    <w:rsid w:val="00285F0D"/>
    <w:rsid w:val="00287E5D"/>
    <w:rsid w:val="00293855"/>
    <w:rsid w:val="0029668D"/>
    <w:rsid w:val="002A0832"/>
    <w:rsid w:val="002A093C"/>
    <w:rsid w:val="002A13BA"/>
    <w:rsid w:val="002A5458"/>
    <w:rsid w:val="002B2DF4"/>
    <w:rsid w:val="002B3EE7"/>
    <w:rsid w:val="002C0DEE"/>
    <w:rsid w:val="002C2961"/>
    <w:rsid w:val="002C4EF6"/>
    <w:rsid w:val="002C5825"/>
    <w:rsid w:val="002C5CC0"/>
    <w:rsid w:val="002C61C2"/>
    <w:rsid w:val="002C6B74"/>
    <w:rsid w:val="002D24E0"/>
    <w:rsid w:val="002D2A91"/>
    <w:rsid w:val="002D33BC"/>
    <w:rsid w:val="002D35C5"/>
    <w:rsid w:val="002D6623"/>
    <w:rsid w:val="002D7AE7"/>
    <w:rsid w:val="002E04EC"/>
    <w:rsid w:val="002E0821"/>
    <w:rsid w:val="002E10C5"/>
    <w:rsid w:val="002E31A5"/>
    <w:rsid w:val="002E7655"/>
    <w:rsid w:val="002F00C7"/>
    <w:rsid w:val="002F053D"/>
    <w:rsid w:val="002F084E"/>
    <w:rsid w:val="002F3300"/>
    <w:rsid w:val="002F58DD"/>
    <w:rsid w:val="002F7CCE"/>
    <w:rsid w:val="003010B0"/>
    <w:rsid w:val="003026B2"/>
    <w:rsid w:val="00305283"/>
    <w:rsid w:val="00306ACE"/>
    <w:rsid w:val="00322413"/>
    <w:rsid w:val="003238CE"/>
    <w:rsid w:val="00324F8B"/>
    <w:rsid w:val="003250E4"/>
    <w:rsid w:val="00325E15"/>
    <w:rsid w:val="0032603F"/>
    <w:rsid w:val="0032731A"/>
    <w:rsid w:val="00330ABC"/>
    <w:rsid w:val="00333BA8"/>
    <w:rsid w:val="003346C0"/>
    <w:rsid w:val="00334AA8"/>
    <w:rsid w:val="00337A1C"/>
    <w:rsid w:val="003409C1"/>
    <w:rsid w:val="00340BD0"/>
    <w:rsid w:val="003438FF"/>
    <w:rsid w:val="003439ED"/>
    <w:rsid w:val="00344169"/>
    <w:rsid w:val="00344231"/>
    <w:rsid w:val="00344952"/>
    <w:rsid w:val="00345486"/>
    <w:rsid w:val="00346E13"/>
    <w:rsid w:val="00351982"/>
    <w:rsid w:val="00354F6D"/>
    <w:rsid w:val="003633F5"/>
    <w:rsid w:val="003638AF"/>
    <w:rsid w:val="00372CE7"/>
    <w:rsid w:val="0037340A"/>
    <w:rsid w:val="00373BBE"/>
    <w:rsid w:val="00376A58"/>
    <w:rsid w:val="00376AA1"/>
    <w:rsid w:val="003826C2"/>
    <w:rsid w:val="003849C2"/>
    <w:rsid w:val="00384AEA"/>
    <w:rsid w:val="003857D4"/>
    <w:rsid w:val="003A0D59"/>
    <w:rsid w:val="003A34CD"/>
    <w:rsid w:val="003A4E79"/>
    <w:rsid w:val="003A641C"/>
    <w:rsid w:val="003A6F39"/>
    <w:rsid w:val="003B13F4"/>
    <w:rsid w:val="003B4644"/>
    <w:rsid w:val="003B610B"/>
    <w:rsid w:val="003B6E9B"/>
    <w:rsid w:val="003C33A9"/>
    <w:rsid w:val="003C41C3"/>
    <w:rsid w:val="003C58A9"/>
    <w:rsid w:val="003C6121"/>
    <w:rsid w:val="003C7D40"/>
    <w:rsid w:val="003D2ABC"/>
    <w:rsid w:val="003D4DBC"/>
    <w:rsid w:val="003E14B6"/>
    <w:rsid w:val="003E1FF0"/>
    <w:rsid w:val="003E2A82"/>
    <w:rsid w:val="003E34DD"/>
    <w:rsid w:val="003E62B8"/>
    <w:rsid w:val="003F08BC"/>
    <w:rsid w:val="003F23B2"/>
    <w:rsid w:val="0040217A"/>
    <w:rsid w:val="00404316"/>
    <w:rsid w:val="004048E8"/>
    <w:rsid w:val="00411A3D"/>
    <w:rsid w:val="00412BA9"/>
    <w:rsid w:val="00417746"/>
    <w:rsid w:val="0042164B"/>
    <w:rsid w:val="00425223"/>
    <w:rsid w:val="00432D00"/>
    <w:rsid w:val="00433307"/>
    <w:rsid w:val="00433DDA"/>
    <w:rsid w:val="0043729D"/>
    <w:rsid w:val="00440D17"/>
    <w:rsid w:val="00441DCA"/>
    <w:rsid w:val="004439BD"/>
    <w:rsid w:val="004477AA"/>
    <w:rsid w:val="004502A1"/>
    <w:rsid w:val="00451537"/>
    <w:rsid w:val="00452B15"/>
    <w:rsid w:val="00454987"/>
    <w:rsid w:val="00455421"/>
    <w:rsid w:val="004563B4"/>
    <w:rsid w:val="0046292F"/>
    <w:rsid w:val="00462EA4"/>
    <w:rsid w:val="00463968"/>
    <w:rsid w:val="004640C9"/>
    <w:rsid w:val="00467A0F"/>
    <w:rsid w:val="00474450"/>
    <w:rsid w:val="00481CE3"/>
    <w:rsid w:val="004820F0"/>
    <w:rsid w:val="00482E0B"/>
    <w:rsid w:val="00485020"/>
    <w:rsid w:val="004866D3"/>
    <w:rsid w:val="0048774F"/>
    <w:rsid w:val="0049216D"/>
    <w:rsid w:val="00496C0F"/>
    <w:rsid w:val="00496CD4"/>
    <w:rsid w:val="004A0783"/>
    <w:rsid w:val="004A2E3B"/>
    <w:rsid w:val="004A57AB"/>
    <w:rsid w:val="004A728D"/>
    <w:rsid w:val="004B0813"/>
    <w:rsid w:val="004B4981"/>
    <w:rsid w:val="004B6B86"/>
    <w:rsid w:val="004C10AE"/>
    <w:rsid w:val="004C1925"/>
    <w:rsid w:val="004C2EB1"/>
    <w:rsid w:val="004C409F"/>
    <w:rsid w:val="004C6D2D"/>
    <w:rsid w:val="004D0225"/>
    <w:rsid w:val="004D2EBC"/>
    <w:rsid w:val="004D44FD"/>
    <w:rsid w:val="004D582F"/>
    <w:rsid w:val="004E69B5"/>
    <w:rsid w:val="004F131E"/>
    <w:rsid w:val="004F1BB5"/>
    <w:rsid w:val="004F2528"/>
    <w:rsid w:val="004F3D98"/>
    <w:rsid w:val="004F5B70"/>
    <w:rsid w:val="004F74DA"/>
    <w:rsid w:val="004F7CB7"/>
    <w:rsid w:val="00500830"/>
    <w:rsid w:val="005014D9"/>
    <w:rsid w:val="00502663"/>
    <w:rsid w:val="00503E7E"/>
    <w:rsid w:val="00503F7F"/>
    <w:rsid w:val="005045B4"/>
    <w:rsid w:val="00504CBF"/>
    <w:rsid w:val="005054A1"/>
    <w:rsid w:val="00510FCE"/>
    <w:rsid w:val="005115E8"/>
    <w:rsid w:val="00512E77"/>
    <w:rsid w:val="00513DB1"/>
    <w:rsid w:val="00515609"/>
    <w:rsid w:val="00515DD2"/>
    <w:rsid w:val="00526563"/>
    <w:rsid w:val="00526710"/>
    <w:rsid w:val="00526F30"/>
    <w:rsid w:val="00527612"/>
    <w:rsid w:val="00531666"/>
    <w:rsid w:val="0053763A"/>
    <w:rsid w:val="00553805"/>
    <w:rsid w:val="00554E4D"/>
    <w:rsid w:val="005638F1"/>
    <w:rsid w:val="005654E8"/>
    <w:rsid w:val="00570409"/>
    <w:rsid w:val="00572596"/>
    <w:rsid w:val="00572D4E"/>
    <w:rsid w:val="005747F8"/>
    <w:rsid w:val="0057659D"/>
    <w:rsid w:val="00576BB3"/>
    <w:rsid w:val="00576D35"/>
    <w:rsid w:val="00577AA3"/>
    <w:rsid w:val="00582C3F"/>
    <w:rsid w:val="0058377A"/>
    <w:rsid w:val="00586AC8"/>
    <w:rsid w:val="00597D83"/>
    <w:rsid w:val="005A0681"/>
    <w:rsid w:val="005A1AFD"/>
    <w:rsid w:val="005A3291"/>
    <w:rsid w:val="005A352E"/>
    <w:rsid w:val="005A4AA1"/>
    <w:rsid w:val="005A5959"/>
    <w:rsid w:val="005A60DB"/>
    <w:rsid w:val="005B369E"/>
    <w:rsid w:val="005B37DA"/>
    <w:rsid w:val="005B593F"/>
    <w:rsid w:val="005C32E0"/>
    <w:rsid w:val="005C54B5"/>
    <w:rsid w:val="005C72CC"/>
    <w:rsid w:val="005D1F71"/>
    <w:rsid w:val="005D5D9F"/>
    <w:rsid w:val="005D6B08"/>
    <w:rsid w:val="005E5305"/>
    <w:rsid w:val="005E7CA0"/>
    <w:rsid w:val="005F3898"/>
    <w:rsid w:val="005F520A"/>
    <w:rsid w:val="005F65FD"/>
    <w:rsid w:val="00600374"/>
    <w:rsid w:val="00601C53"/>
    <w:rsid w:val="00602C36"/>
    <w:rsid w:val="006046C7"/>
    <w:rsid w:val="006046FF"/>
    <w:rsid w:val="00610F1B"/>
    <w:rsid w:val="00610F6E"/>
    <w:rsid w:val="006117C8"/>
    <w:rsid w:val="00613185"/>
    <w:rsid w:val="00613F07"/>
    <w:rsid w:val="00615E32"/>
    <w:rsid w:val="0062060D"/>
    <w:rsid w:val="00622565"/>
    <w:rsid w:val="00622BDA"/>
    <w:rsid w:val="006245F7"/>
    <w:rsid w:val="00624B4C"/>
    <w:rsid w:val="00625E31"/>
    <w:rsid w:val="00627FFC"/>
    <w:rsid w:val="0063036E"/>
    <w:rsid w:val="00632F54"/>
    <w:rsid w:val="00633AF4"/>
    <w:rsid w:val="00635023"/>
    <w:rsid w:val="00635C80"/>
    <w:rsid w:val="0063673A"/>
    <w:rsid w:val="006431FB"/>
    <w:rsid w:val="00645F61"/>
    <w:rsid w:val="00646714"/>
    <w:rsid w:val="00650217"/>
    <w:rsid w:val="006514DC"/>
    <w:rsid w:val="006515F5"/>
    <w:rsid w:val="00654DF7"/>
    <w:rsid w:val="006550A5"/>
    <w:rsid w:val="0065663C"/>
    <w:rsid w:val="006610FF"/>
    <w:rsid w:val="006646CF"/>
    <w:rsid w:val="00665B9F"/>
    <w:rsid w:val="006677C9"/>
    <w:rsid w:val="00672EC3"/>
    <w:rsid w:val="00676623"/>
    <w:rsid w:val="00680C6F"/>
    <w:rsid w:val="00682950"/>
    <w:rsid w:val="00685229"/>
    <w:rsid w:val="006858D3"/>
    <w:rsid w:val="00685918"/>
    <w:rsid w:val="00685A21"/>
    <w:rsid w:val="006875BB"/>
    <w:rsid w:val="006908AF"/>
    <w:rsid w:val="006926DC"/>
    <w:rsid w:val="0069624A"/>
    <w:rsid w:val="006A018E"/>
    <w:rsid w:val="006A2843"/>
    <w:rsid w:val="006A5EA3"/>
    <w:rsid w:val="006A6360"/>
    <w:rsid w:val="006A7B38"/>
    <w:rsid w:val="006B24D4"/>
    <w:rsid w:val="006B4B44"/>
    <w:rsid w:val="006B6D9B"/>
    <w:rsid w:val="006C1037"/>
    <w:rsid w:val="006C2224"/>
    <w:rsid w:val="006C27F8"/>
    <w:rsid w:val="006C4278"/>
    <w:rsid w:val="006D0B57"/>
    <w:rsid w:val="006D1CA1"/>
    <w:rsid w:val="006D2273"/>
    <w:rsid w:val="006D52C4"/>
    <w:rsid w:val="006D5CDC"/>
    <w:rsid w:val="006D6C8E"/>
    <w:rsid w:val="006E0D6D"/>
    <w:rsid w:val="006E70A3"/>
    <w:rsid w:val="006F5582"/>
    <w:rsid w:val="006F5FA4"/>
    <w:rsid w:val="006F7929"/>
    <w:rsid w:val="007017BB"/>
    <w:rsid w:val="00701E1F"/>
    <w:rsid w:val="007028FD"/>
    <w:rsid w:val="007034F9"/>
    <w:rsid w:val="00711605"/>
    <w:rsid w:val="007123E5"/>
    <w:rsid w:val="00715BBF"/>
    <w:rsid w:val="00715F26"/>
    <w:rsid w:val="007212BC"/>
    <w:rsid w:val="0072744A"/>
    <w:rsid w:val="00727A25"/>
    <w:rsid w:val="00730066"/>
    <w:rsid w:val="0073089A"/>
    <w:rsid w:val="00730C58"/>
    <w:rsid w:val="00731AD1"/>
    <w:rsid w:val="00731AE2"/>
    <w:rsid w:val="00732F0D"/>
    <w:rsid w:val="007374C8"/>
    <w:rsid w:val="00737D34"/>
    <w:rsid w:val="00742630"/>
    <w:rsid w:val="007435EC"/>
    <w:rsid w:val="007445FF"/>
    <w:rsid w:val="00752EAD"/>
    <w:rsid w:val="007611D0"/>
    <w:rsid w:val="0076130E"/>
    <w:rsid w:val="00762C72"/>
    <w:rsid w:val="0076392F"/>
    <w:rsid w:val="00764CC8"/>
    <w:rsid w:val="007704AA"/>
    <w:rsid w:val="00770D11"/>
    <w:rsid w:val="007712A4"/>
    <w:rsid w:val="00776841"/>
    <w:rsid w:val="00777666"/>
    <w:rsid w:val="007804BF"/>
    <w:rsid w:val="0078083E"/>
    <w:rsid w:val="00780AAC"/>
    <w:rsid w:val="007903B1"/>
    <w:rsid w:val="0079069F"/>
    <w:rsid w:val="007A1059"/>
    <w:rsid w:val="007A1238"/>
    <w:rsid w:val="007A1CF4"/>
    <w:rsid w:val="007A280C"/>
    <w:rsid w:val="007A40FA"/>
    <w:rsid w:val="007A6A50"/>
    <w:rsid w:val="007A6CAD"/>
    <w:rsid w:val="007A7ECB"/>
    <w:rsid w:val="007B40CC"/>
    <w:rsid w:val="007B4AAC"/>
    <w:rsid w:val="007B4D93"/>
    <w:rsid w:val="007B6A19"/>
    <w:rsid w:val="007B6DB4"/>
    <w:rsid w:val="007C4FD7"/>
    <w:rsid w:val="007C6F9D"/>
    <w:rsid w:val="007D1FEC"/>
    <w:rsid w:val="007D26DC"/>
    <w:rsid w:val="007D5471"/>
    <w:rsid w:val="007D5985"/>
    <w:rsid w:val="007D649B"/>
    <w:rsid w:val="007D700E"/>
    <w:rsid w:val="007D7A09"/>
    <w:rsid w:val="007E3900"/>
    <w:rsid w:val="007E7418"/>
    <w:rsid w:val="007E76A2"/>
    <w:rsid w:val="007F000B"/>
    <w:rsid w:val="007F094A"/>
    <w:rsid w:val="007F0ADE"/>
    <w:rsid w:val="007F1370"/>
    <w:rsid w:val="00807008"/>
    <w:rsid w:val="00810221"/>
    <w:rsid w:val="00810457"/>
    <w:rsid w:val="008153D1"/>
    <w:rsid w:val="00815AAF"/>
    <w:rsid w:val="00817EC4"/>
    <w:rsid w:val="00820BCA"/>
    <w:rsid w:val="00821671"/>
    <w:rsid w:val="00825590"/>
    <w:rsid w:val="008266EE"/>
    <w:rsid w:val="008266F2"/>
    <w:rsid w:val="00826FDC"/>
    <w:rsid w:val="00832B4A"/>
    <w:rsid w:val="00833D2A"/>
    <w:rsid w:val="008353FF"/>
    <w:rsid w:val="00840FBE"/>
    <w:rsid w:val="008423B9"/>
    <w:rsid w:val="00844A14"/>
    <w:rsid w:val="008459DC"/>
    <w:rsid w:val="00851354"/>
    <w:rsid w:val="008517A1"/>
    <w:rsid w:val="008520E6"/>
    <w:rsid w:val="008545F3"/>
    <w:rsid w:val="00857AC5"/>
    <w:rsid w:val="0086011C"/>
    <w:rsid w:val="0086024E"/>
    <w:rsid w:val="00860677"/>
    <w:rsid w:val="00860B3E"/>
    <w:rsid w:val="00861253"/>
    <w:rsid w:val="0086439B"/>
    <w:rsid w:val="008705A4"/>
    <w:rsid w:val="00871EBE"/>
    <w:rsid w:val="00873B4A"/>
    <w:rsid w:val="0087531A"/>
    <w:rsid w:val="00875C35"/>
    <w:rsid w:val="0087736B"/>
    <w:rsid w:val="00881736"/>
    <w:rsid w:val="00884A54"/>
    <w:rsid w:val="00886A94"/>
    <w:rsid w:val="0089332C"/>
    <w:rsid w:val="008A2D11"/>
    <w:rsid w:val="008A593B"/>
    <w:rsid w:val="008B0021"/>
    <w:rsid w:val="008B0182"/>
    <w:rsid w:val="008B1866"/>
    <w:rsid w:val="008B4747"/>
    <w:rsid w:val="008B62C9"/>
    <w:rsid w:val="008B7B78"/>
    <w:rsid w:val="008C36C4"/>
    <w:rsid w:val="008C38CB"/>
    <w:rsid w:val="008C4B48"/>
    <w:rsid w:val="008C58CC"/>
    <w:rsid w:val="008C5DC9"/>
    <w:rsid w:val="008D2D94"/>
    <w:rsid w:val="008D3070"/>
    <w:rsid w:val="008D37D2"/>
    <w:rsid w:val="008D3A55"/>
    <w:rsid w:val="008E1495"/>
    <w:rsid w:val="008E6747"/>
    <w:rsid w:val="008E6A6E"/>
    <w:rsid w:val="008F372D"/>
    <w:rsid w:val="009007F3"/>
    <w:rsid w:val="009016F8"/>
    <w:rsid w:val="00904155"/>
    <w:rsid w:val="009046B9"/>
    <w:rsid w:val="0090578F"/>
    <w:rsid w:val="00912F86"/>
    <w:rsid w:val="009255A3"/>
    <w:rsid w:val="0092592D"/>
    <w:rsid w:val="00926C67"/>
    <w:rsid w:val="00927E92"/>
    <w:rsid w:val="00932354"/>
    <w:rsid w:val="00936F16"/>
    <w:rsid w:val="00937B2B"/>
    <w:rsid w:val="00941A30"/>
    <w:rsid w:val="009441EE"/>
    <w:rsid w:val="00947539"/>
    <w:rsid w:val="00947779"/>
    <w:rsid w:val="009501AD"/>
    <w:rsid w:val="0095211D"/>
    <w:rsid w:val="0095577E"/>
    <w:rsid w:val="009559E9"/>
    <w:rsid w:val="0096313F"/>
    <w:rsid w:val="00963453"/>
    <w:rsid w:val="0096470E"/>
    <w:rsid w:val="00966ABA"/>
    <w:rsid w:val="00971451"/>
    <w:rsid w:val="00973894"/>
    <w:rsid w:val="00975520"/>
    <w:rsid w:val="009804A2"/>
    <w:rsid w:val="0098328A"/>
    <w:rsid w:val="00987D99"/>
    <w:rsid w:val="00990721"/>
    <w:rsid w:val="00991147"/>
    <w:rsid w:val="0099346C"/>
    <w:rsid w:val="009947B8"/>
    <w:rsid w:val="009972DF"/>
    <w:rsid w:val="009979A0"/>
    <w:rsid w:val="009A5058"/>
    <w:rsid w:val="009B0676"/>
    <w:rsid w:val="009B07C2"/>
    <w:rsid w:val="009B0821"/>
    <w:rsid w:val="009B0E16"/>
    <w:rsid w:val="009B195F"/>
    <w:rsid w:val="009B196B"/>
    <w:rsid w:val="009B5C4E"/>
    <w:rsid w:val="009B7419"/>
    <w:rsid w:val="009C0369"/>
    <w:rsid w:val="009C15CB"/>
    <w:rsid w:val="009C26B5"/>
    <w:rsid w:val="009C68A2"/>
    <w:rsid w:val="009D4D1E"/>
    <w:rsid w:val="009E0518"/>
    <w:rsid w:val="009E0EDC"/>
    <w:rsid w:val="009E1BB2"/>
    <w:rsid w:val="009E391E"/>
    <w:rsid w:val="009E4212"/>
    <w:rsid w:val="009E4EC4"/>
    <w:rsid w:val="009E51BD"/>
    <w:rsid w:val="009E682D"/>
    <w:rsid w:val="009F0219"/>
    <w:rsid w:val="009F0619"/>
    <w:rsid w:val="009F6F88"/>
    <w:rsid w:val="00A0224F"/>
    <w:rsid w:val="00A040F4"/>
    <w:rsid w:val="00A07BB1"/>
    <w:rsid w:val="00A15F87"/>
    <w:rsid w:val="00A17526"/>
    <w:rsid w:val="00A20913"/>
    <w:rsid w:val="00A2344E"/>
    <w:rsid w:val="00A25032"/>
    <w:rsid w:val="00A27027"/>
    <w:rsid w:val="00A316F9"/>
    <w:rsid w:val="00A324CC"/>
    <w:rsid w:val="00A343EF"/>
    <w:rsid w:val="00A476A2"/>
    <w:rsid w:val="00A50170"/>
    <w:rsid w:val="00A529B3"/>
    <w:rsid w:val="00A53F9C"/>
    <w:rsid w:val="00A541B9"/>
    <w:rsid w:val="00A56397"/>
    <w:rsid w:val="00A56436"/>
    <w:rsid w:val="00A6033C"/>
    <w:rsid w:val="00A62714"/>
    <w:rsid w:val="00A65782"/>
    <w:rsid w:val="00A669CC"/>
    <w:rsid w:val="00A71462"/>
    <w:rsid w:val="00A73BCF"/>
    <w:rsid w:val="00A745AF"/>
    <w:rsid w:val="00A75E41"/>
    <w:rsid w:val="00A776FA"/>
    <w:rsid w:val="00A7771C"/>
    <w:rsid w:val="00A80C2F"/>
    <w:rsid w:val="00A8133E"/>
    <w:rsid w:val="00A838AB"/>
    <w:rsid w:val="00A86BCD"/>
    <w:rsid w:val="00A87B55"/>
    <w:rsid w:val="00A87BEB"/>
    <w:rsid w:val="00A93E44"/>
    <w:rsid w:val="00AA396A"/>
    <w:rsid w:val="00AA42D2"/>
    <w:rsid w:val="00AA4D3A"/>
    <w:rsid w:val="00AA4F81"/>
    <w:rsid w:val="00AA618D"/>
    <w:rsid w:val="00AA6E5F"/>
    <w:rsid w:val="00AA714D"/>
    <w:rsid w:val="00AB3779"/>
    <w:rsid w:val="00AB6DED"/>
    <w:rsid w:val="00AB7D32"/>
    <w:rsid w:val="00AC02DF"/>
    <w:rsid w:val="00AC5820"/>
    <w:rsid w:val="00AC747D"/>
    <w:rsid w:val="00AD251D"/>
    <w:rsid w:val="00AD5CEA"/>
    <w:rsid w:val="00AD606C"/>
    <w:rsid w:val="00AE1834"/>
    <w:rsid w:val="00AE1E4E"/>
    <w:rsid w:val="00AE2693"/>
    <w:rsid w:val="00AE34FE"/>
    <w:rsid w:val="00AE3905"/>
    <w:rsid w:val="00AE3E57"/>
    <w:rsid w:val="00AE4769"/>
    <w:rsid w:val="00AE507F"/>
    <w:rsid w:val="00AE52FF"/>
    <w:rsid w:val="00AE6BD7"/>
    <w:rsid w:val="00AF0C54"/>
    <w:rsid w:val="00AF112C"/>
    <w:rsid w:val="00AF15CF"/>
    <w:rsid w:val="00AF4E7F"/>
    <w:rsid w:val="00AF5C9D"/>
    <w:rsid w:val="00AF6C0B"/>
    <w:rsid w:val="00B019BE"/>
    <w:rsid w:val="00B02277"/>
    <w:rsid w:val="00B024D0"/>
    <w:rsid w:val="00B044BA"/>
    <w:rsid w:val="00B0598D"/>
    <w:rsid w:val="00B12D74"/>
    <w:rsid w:val="00B20F85"/>
    <w:rsid w:val="00B22CD5"/>
    <w:rsid w:val="00B23196"/>
    <w:rsid w:val="00B2360B"/>
    <w:rsid w:val="00B25A2E"/>
    <w:rsid w:val="00B320D9"/>
    <w:rsid w:val="00B403F4"/>
    <w:rsid w:val="00B40C9A"/>
    <w:rsid w:val="00B40CCC"/>
    <w:rsid w:val="00B41841"/>
    <w:rsid w:val="00B42A6D"/>
    <w:rsid w:val="00B43A54"/>
    <w:rsid w:val="00B44063"/>
    <w:rsid w:val="00B45B84"/>
    <w:rsid w:val="00B4646B"/>
    <w:rsid w:val="00B507E5"/>
    <w:rsid w:val="00B51C5D"/>
    <w:rsid w:val="00B525C2"/>
    <w:rsid w:val="00B52648"/>
    <w:rsid w:val="00B52FED"/>
    <w:rsid w:val="00B531FF"/>
    <w:rsid w:val="00B556F6"/>
    <w:rsid w:val="00B6033D"/>
    <w:rsid w:val="00B6508B"/>
    <w:rsid w:val="00B70B52"/>
    <w:rsid w:val="00B71D00"/>
    <w:rsid w:val="00B72098"/>
    <w:rsid w:val="00B745BE"/>
    <w:rsid w:val="00B76330"/>
    <w:rsid w:val="00B7638A"/>
    <w:rsid w:val="00B815E1"/>
    <w:rsid w:val="00B82896"/>
    <w:rsid w:val="00B8431A"/>
    <w:rsid w:val="00B84D04"/>
    <w:rsid w:val="00B86450"/>
    <w:rsid w:val="00B87AEA"/>
    <w:rsid w:val="00B90D00"/>
    <w:rsid w:val="00B9233A"/>
    <w:rsid w:val="00B93219"/>
    <w:rsid w:val="00B9431F"/>
    <w:rsid w:val="00B94B4B"/>
    <w:rsid w:val="00BB3989"/>
    <w:rsid w:val="00BC21E9"/>
    <w:rsid w:val="00BC6211"/>
    <w:rsid w:val="00BD0DB1"/>
    <w:rsid w:val="00BD5BBD"/>
    <w:rsid w:val="00BE2925"/>
    <w:rsid w:val="00BF07A0"/>
    <w:rsid w:val="00BF0D1D"/>
    <w:rsid w:val="00BF7747"/>
    <w:rsid w:val="00C0465E"/>
    <w:rsid w:val="00C053E2"/>
    <w:rsid w:val="00C07999"/>
    <w:rsid w:val="00C07F65"/>
    <w:rsid w:val="00C10C11"/>
    <w:rsid w:val="00C13883"/>
    <w:rsid w:val="00C140C2"/>
    <w:rsid w:val="00C1517D"/>
    <w:rsid w:val="00C156C9"/>
    <w:rsid w:val="00C158CA"/>
    <w:rsid w:val="00C169F0"/>
    <w:rsid w:val="00C179FF"/>
    <w:rsid w:val="00C17A32"/>
    <w:rsid w:val="00C17AE1"/>
    <w:rsid w:val="00C21938"/>
    <w:rsid w:val="00C25316"/>
    <w:rsid w:val="00C30FA2"/>
    <w:rsid w:val="00C348AF"/>
    <w:rsid w:val="00C34A60"/>
    <w:rsid w:val="00C34F4D"/>
    <w:rsid w:val="00C34F93"/>
    <w:rsid w:val="00C37957"/>
    <w:rsid w:val="00C403DB"/>
    <w:rsid w:val="00C43531"/>
    <w:rsid w:val="00C447D2"/>
    <w:rsid w:val="00C44BC5"/>
    <w:rsid w:val="00C44D0C"/>
    <w:rsid w:val="00C47CC4"/>
    <w:rsid w:val="00C52E3C"/>
    <w:rsid w:val="00C54947"/>
    <w:rsid w:val="00C5519F"/>
    <w:rsid w:val="00C55A3A"/>
    <w:rsid w:val="00C55B8B"/>
    <w:rsid w:val="00C57EFC"/>
    <w:rsid w:val="00C62F7D"/>
    <w:rsid w:val="00C76FA2"/>
    <w:rsid w:val="00C777B3"/>
    <w:rsid w:val="00C801E3"/>
    <w:rsid w:val="00C81BB2"/>
    <w:rsid w:val="00C82173"/>
    <w:rsid w:val="00C837F2"/>
    <w:rsid w:val="00C856C3"/>
    <w:rsid w:val="00C85938"/>
    <w:rsid w:val="00C879EB"/>
    <w:rsid w:val="00C91093"/>
    <w:rsid w:val="00C9295B"/>
    <w:rsid w:val="00C973B7"/>
    <w:rsid w:val="00C979DA"/>
    <w:rsid w:val="00CA1CA1"/>
    <w:rsid w:val="00CA266B"/>
    <w:rsid w:val="00CA4AB5"/>
    <w:rsid w:val="00CA74C1"/>
    <w:rsid w:val="00CB5751"/>
    <w:rsid w:val="00CB5B48"/>
    <w:rsid w:val="00CB7CEE"/>
    <w:rsid w:val="00CC1CF4"/>
    <w:rsid w:val="00CC4B29"/>
    <w:rsid w:val="00CC4BF1"/>
    <w:rsid w:val="00CC4D22"/>
    <w:rsid w:val="00CD16B5"/>
    <w:rsid w:val="00CE2ADD"/>
    <w:rsid w:val="00CE4288"/>
    <w:rsid w:val="00CE4301"/>
    <w:rsid w:val="00CE5298"/>
    <w:rsid w:val="00CE6681"/>
    <w:rsid w:val="00CE7372"/>
    <w:rsid w:val="00CF3DE7"/>
    <w:rsid w:val="00CF5A26"/>
    <w:rsid w:val="00CF5CC6"/>
    <w:rsid w:val="00CF7C69"/>
    <w:rsid w:val="00D05E52"/>
    <w:rsid w:val="00D05F63"/>
    <w:rsid w:val="00D06DD7"/>
    <w:rsid w:val="00D12505"/>
    <w:rsid w:val="00D1364C"/>
    <w:rsid w:val="00D17E41"/>
    <w:rsid w:val="00D2026C"/>
    <w:rsid w:val="00D202C8"/>
    <w:rsid w:val="00D21FC2"/>
    <w:rsid w:val="00D249CA"/>
    <w:rsid w:val="00D24D5E"/>
    <w:rsid w:val="00D24F1A"/>
    <w:rsid w:val="00D27EEF"/>
    <w:rsid w:val="00D333DE"/>
    <w:rsid w:val="00D3675D"/>
    <w:rsid w:val="00D36954"/>
    <w:rsid w:val="00D40533"/>
    <w:rsid w:val="00D41C21"/>
    <w:rsid w:val="00D4278C"/>
    <w:rsid w:val="00D44651"/>
    <w:rsid w:val="00D51B7A"/>
    <w:rsid w:val="00D53521"/>
    <w:rsid w:val="00D53A68"/>
    <w:rsid w:val="00D5471F"/>
    <w:rsid w:val="00D5768A"/>
    <w:rsid w:val="00D57726"/>
    <w:rsid w:val="00D620C5"/>
    <w:rsid w:val="00D63564"/>
    <w:rsid w:val="00D672BE"/>
    <w:rsid w:val="00D71DBF"/>
    <w:rsid w:val="00D727C7"/>
    <w:rsid w:val="00D72E45"/>
    <w:rsid w:val="00D760F0"/>
    <w:rsid w:val="00D77856"/>
    <w:rsid w:val="00D92EA6"/>
    <w:rsid w:val="00D935FC"/>
    <w:rsid w:val="00D97B27"/>
    <w:rsid w:val="00DA0213"/>
    <w:rsid w:val="00DA07DA"/>
    <w:rsid w:val="00DA1478"/>
    <w:rsid w:val="00DA2398"/>
    <w:rsid w:val="00DA37A4"/>
    <w:rsid w:val="00DA40E5"/>
    <w:rsid w:val="00DA4885"/>
    <w:rsid w:val="00DA5AF1"/>
    <w:rsid w:val="00DB04F9"/>
    <w:rsid w:val="00DB064A"/>
    <w:rsid w:val="00DB0E17"/>
    <w:rsid w:val="00DB1915"/>
    <w:rsid w:val="00DB2F55"/>
    <w:rsid w:val="00DB76EC"/>
    <w:rsid w:val="00DC5368"/>
    <w:rsid w:val="00DD1627"/>
    <w:rsid w:val="00DD35A4"/>
    <w:rsid w:val="00DD3BB0"/>
    <w:rsid w:val="00DD6496"/>
    <w:rsid w:val="00DD6585"/>
    <w:rsid w:val="00DD7FA7"/>
    <w:rsid w:val="00DE0CB0"/>
    <w:rsid w:val="00DE4195"/>
    <w:rsid w:val="00DE6E9F"/>
    <w:rsid w:val="00DF0404"/>
    <w:rsid w:val="00DF5A9B"/>
    <w:rsid w:val="00DF62B2"/>
    <w:rsid w:val="00DF6C17"/>
    <w:rsid w:val="00DF793D"/>
    <w:rsid w:val="00E00EF4"/>
    <w:rsid w:val="00E020B6"/>
    <w:rsid w:val="00E03570"/>
    <w:rsid w:val="00E03D9C"/>
    <w:rsid w:val="00E04A5C"/>
    <w:rsid w:val="00E05033"/>
    <w:rsid w:val="00E05A06"/>
    <w:rsid w:val="00E07E0D"/>
    <w:rsid w:val="00E1173F"/>
    <w:rsid w:val="00E20794"/>
    <w:rsid w:val="00E20F89"/>
    <w:rsid w:val="00E2181C"/>
    <w:rsid w:val="00E21EA3"/>
    <w:rsid w:val="00E256D6"/>
    <w:rsid w:val="00E25875"/>
    <w:rsid w:val="00E25F01"/>
    <w:rsid w:val="00E278FC"/>
    <w:rsid w:val="00E27E63"/>
    <w:rsid w:val="00E30105"/>
    <w:rsid w:val="00E30862"/>
    <w:rsid w:val="00E30CBC"/>
    <w:rsid w:val="00E32262"/>
    <w:rsid w:val="00E369F8"/>
    <w:rsid w:val="00E436BE"/>
    <w:rsid w:val="00E4388B"/>
    <w:rsid w:val="00E43D74"/>
    <w:rsid w:val="00E43F8B"/>
    <w:rsid w:val="00E46204"/>
    <w:rsid w:val="00E54E3B"/>
    <w:rsid w:val="00E561E7"/>
    <w:rsid w:val="00E639C0"/>
    <w:rsid w:val="00E64385"/>
    <w:rsid w:val="00E666BB"/>
    <w:rsid w:val="00E670FD"/>
    <w:rsid w:val="00E673CB"/>
    <w:rsid w:val="00E70793"/>
    <w:rsid w:val="00E70895"/>
    <w:rsid w:val="00E7135B"/>
    <w:rsid w:val="00E72471"/>
    <w:rsid w:val="00E72C46"/>
    <w:rsid w:val="00E7305D"/>
    <w:rsid w:val="00E73B61"/>
    <w:rsid w:val="00E753AA"/>
    <w:rsid w:val="00E76B40"/>
    <w:rsid w:val="00E817B2"/>
    <w:rsid w:val="00E82307"/>
    <w:rsid w:val="00E82BD5"/>
    <w:rsid w:val="00E850F8"/>
    <w:rsid w:val="00E86AE6"/>
    <w:rsid w:val="00E90588"/>
    <w:rsid w:val="00E92C5A"/>
    <w:rsid w:val="00E93F07"/>
    <w:rsid w:val="00E96962"/>
    <w:rsid w:val="00E97133"/>
    <w:rsid w:val="00EB201E"/>
    <w:rsid w:val="00EC7585"/>
    <w:rsid w:val="00EC7B5C"/>
    <w:rsid w:val="00ED05D3"/>
    <w:rsid w:val="00ED1FB3"/>
    <w:rsid w:val="00EE1737"/>
    <w:rsid w:val="00EE1FEC"/>
    <w:rsid w:val="00EF0435"/>
    <w:rsid w:val="00EF0DF8"/>
    <w:rsid w:val="00EF1231"/>
    <w:rsid w:val="00EF1E3C"/>
    <w:rsid w:val="00EF4637"/>
    <w:rsid w:val="00EF63A6"/>
    <w:rsid w:val="00EF6410"/>
    <w:rsid w:val="00F04053"/>
    <w:rsid w:val="00F05A1C"/>
    <w:rsid w:val="00F05E53"/>
    <w:rsid w:val="00F06A05"/>
    <w:rsid w:val="00F07CB6"/>
    <w:rsid w:val="00F11E01"/>
    <w:rsid w:val="00F14166"/>
    <w:rsid w:val="00F141C9"/>
    <w:rsid w:val="00F15362"/>
    <w:rsid w:val="00F21677"/>
    <w:rsid w:val="00F24640"/>
    <w:rsid w:val="00F259AC"/>
    <w:rsid w:val="00F31D0B"/>
    <w:rsid w:val="00F33186"/>
    <w:rsid w:val="00F33D14"/>
    <w:rsid w:val="00F35740"/>
    <w:rsid w:val="00F41F56"/>
    <w:rsid w:val="00F42747"/>
    <w:rsid w:val="00F43E6B"/>
    <w:rsid w:val="00F45FBE"/>
    <w:rsid w:val="00F46FCC"/>
    <w:rsid w:val="00F47ECA"/>
    <w:rsid w:val="00F5042B"/>
    <w:rsid w:val="00F5066C"/>
    <w:rsid w:val="00F50862"/>
    <w:rsid w:val="00F51F3D"/>
    <w:rsid w:val="00F53D3C"/>
    <w:rsid w:val="00F55B58"/>
    <w:rsid w:val="00F55D37"/>
    <w:rsid w:val="00F5633C"/>
    <w:rsid w:val="00F5731A"/>
    <w:rsid w:val="00F60C0E"/>
    <w:rsid w:val="00F61744"/>
    <w:rsid w:val="00F6228B"/>
    <w:rsid w:val="00F65712"/>
    <w:rsid w:val="00F65D04"/>
    <w:rsid w:val="00F67789"/>
    <w:rsid w:val="00F711BC"/>
    <w:rsid w:val="00F71EED"/>
    <w:rsid w:val="00F74EEF"/>
    <w:rsid w:val="00F826ED"/>
    <w:rsid w:val="00F86EA1"/>
    <w:rsid w:val="00F875BD"/>
    <w:rsid w:val="00F93023"/>
    <w:rsid w:val="00F972CA"/>
    <w:rsid w:val="00F9781B"/>
    <w:rsid w:val="00F97F67"/>
    <w:rsid w:val="00FA023D"/>
    <w:rsid w:val="00FA6322"/>
    <w:rsid w:val="00FA7FA7"/>
    <w:rsid w:val="00FB1226"/>
    <w:rsid w:val="00FB3938"/>
    <w:rsid w:val="00FB470D"/>
    <w:rsid w:val="00FB67DA"/>
    <w:rsid w:val="00FB7CF5"/>
    <w:rsid w:val="00FC0434"/>
    <w:rsid w:val="00FC46CF"/>
    <w:rsid w:val="00FC5285"/>
    <w:rsid w:val="00FC56C4"/>
    <w:rsid w:val="00FC70CA"/>
    <w:rsid w:val="00FD256A"/>
    <w:rsid w:val="00FD70F0"/>
    <w:rsid w:val="00FE0459"/>
    <w:rsid w:val="00FE064B"/>
    <w:rsid w:val="00FE0F8C"/>
    <w:rsid w:val="00FE110B"/>
    <w:rsid w:val="00FE478B"/>
    <w:rsid w:val="00FE491A"/>
    <w:rsid w:val="00FE631C"/>
    <w:rsid w:val="00FF0A9E"/>
    <w:rsid w:val="00FF667B"/>
    <w:rsid w:val="00FF7224"/>
    <w:rsid w:val="00FF74ED"/>
    <w:rsid w:val="00FF76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DC505"/>
  <w15:docId w15:val="{DC83F2AE-6BA7-4F0C-8186-38CC104C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rPr>
      <w:rFonts w:cs="Times New Roman"/>
      <w:sz w:val="21"/>
      <w:szCs w:val="21"/>
      <w:lang w:eastAsia="en-AU"/>
    </w:rPr>
  </w:style>
  <w:style w:type="paragraph" w:styleId="Heading1">
    <w:name w:val="heading 1"/>
    <w:basedOn w:val="Normal"/>
    <w:next w:val="Heading2"/>
    <w:link w:val="Heading1Char"/>
    <w:qFormat/>
    <w:rsid w:val="00F93023"/>
    <w:pPr>
      <w:keepNext/>
      <w:numPr>
        <w:numId w:val="8"/>
      </w:numPr>
      <w:suppressAutoHyphens/>
      <w:spacing w:before="360" w:line="440" w:lineRule="exact"/>
      <w:outlineLvl w:val="0"/>
    </w:pPr>
    <w:rPr>
      <w:rFonts w:eastAsiaTheme="majorEastAsia" w:cstheme="majorBidi"/>
      <w:b/>
      <w:bCs/>
      <w:caps/>
      <w:color w:val="482D8C" w:themeColor="background2"/>
      <w:spacing w:val="-20"/>
      <w:kern w:val="36"/>
      <w:sz w:val="44"/>
      <w:szCs w:val="48"/>
    </w:rPr>
  </w:style>
  <w:style w:type="paragraph" w:styleId="Heading2">
    <w:name w:val="heading 2"/>
    <w:basedOn w:val="Normal"/>
    <w:next w:val="Heading3"/>
    <w:link w:val="Heading2Char"/>
    <w:unhideWhenUsed/>
    <w:qFormat/>
    <w:rsid w:val="00B22CD5"/>
    <w:pPr>
      <w:keepNext/>
      <w:suppressAutoHyphens/>
      <w:spacing w:before="240" w:after="60" w:line="300" w:lineRule="exact"/>
      <w:outlineLvl w:val="1"/>
    </w:pPr>
    <w:rPr>
      <w:b/>
      <w:caps/>
      <w:color w:val="AB4399"/>
      <w:sz w:val="38"/>
      <w:szCs w:val="36"/>
    </w:rPr>
  </w:style>
  <w:style w:type="paragraph" w:styleId="Heading3">
    <w:name w:val="heading 3"/>
    <w:basedOn w:val="bulletnumbers"/>
    <w:next w:val="Normal"/>
    <w:link w:val="Heading3Char"/>
    <w:unhideWhenUsed/>
    <w:qFormat/>
    <w:rsid w:val="00610F6E"/>
    <w:pPr>
      <w:keepNext/>
      <w:numPr>
        <w:numId w:val="7"/>
      </w:numPr>
      <w:suppressAutoHyphens/>
      <w:spacing w:before="240" w:after="60" w:line="240" w:lineRule="exact"/>
      <w:outlineLvl w:val="2"/>
    </w:pPr>
    <w:rPr>
      <w:b/>
      <w:color w:val="D189C4" w:themeColor="accent3" w:themeTint="99"/>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Heading2"/>
    <w:next w:val="Normal"/>
    <w:link w:val="Heading9Char"/>
    <w:rsid w:val="005D1F71"/>
    <w:pPr>
      <w:tabs>
        <w:tab w:val="num" w:pos="1584"/>
      </w:tabs>
      <w:suppressAutoHyphens w:val="0"/>
      <w:spacing w:after="120" w:line="240" w:lineRule="auto"/>
      <w:ind w:left="1584" w:hanging="1584"/>
      <w:outlineLvl w:val="8"/>
    </w:pPr>
    <w:rPr>
      <w:rFonts w:ascii="Arial Bold" w:eastAsia="Times New Roman" w:hAnsi="Arial Bold"/>
      <w:color w:val="auto"/>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023"/>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B22CD5"/>
    <w:rPr>
      <w:rFonts w:cs="Times New Roman"/>
      <w:b/>
      <w:caps/>
      <w:color w:val="AB4399"/>
      <w:sz w:val="38"/>
      <w:szCs w:val="36"/>
      <w:lang w:eastAsia="en-AU"/>
    </w:rPr>
  </w:style>
  <w:style w:type="character" w:customStyle="1" w:styleId="Heading3Char">
    <w:name w:val="Heading 3 Char"/>
    <w:basedOn w:val="DefaultParagraphFont"/>
    <w:link w:val="Heading3"/>
    <w:rsid w:val="00610F6E"/>
    <w:rPr>
      <w:rFonts w:cs="Times New Roman"/>
      <w:b/>
      <w:color w:val="D189C4" w:themeColor="accent3" w:themeTint="99"/>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DE0CB0"/>
    <w:pPr>
      <w:keepNext/>
      <w:tabs>
        <w:tab w:val="left" w:pos="630"/>
        <w:tab w:val="right" w:leader="dot" w:pos="9060"/>
      </w:tabs>
      <w:spacing w:before="12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DE0CB0"/>
    <w:pPr>
      <w:keepNext/>
      <w:tabs>
        <w:tab w:val="left" w:pos="1320"/>
        <w:tab w:val="right" w:leader="dot" w:pos="9060"/>
      </w:tabs>
      <w:spacing w:before="12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OLG List Paragraph Bullets"/>
    <w:basedOn w:val="Normal"/>
    <w:link w:val="ListParagraphChar"/>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uiPriority w:val="99"/>
    <w:semiHidden/>
    <w:unhideWhenUsed/>
    <w:rsid w:val="000D6CBD"/>
    <w:rPr>
      <w:sz w:val="16"/>
      <w:szCs w:val="16"/>
    </w:rPr>
  </w:style>
  <w:style w:type="paragraph" w:styleId="CommentText">
    <w:name w:val="annotation text"/>
    <w:basedOn w:val="Normal"/>
    <w:link w:val="CommentTextChar"/>
    <w:uiPriority w:val="99"/>
    <w:unhideWhenUsed/>
    <w:rsid w:val="000D6CBD"/>
    <w:pPr>
      <w:spacing w:line="240" w:lineRule="auto"/>
    </w:pPr>
    <w:rPr>
      <w:sz w:val="20"/>
      <w:szCs w:val="20"/>
    </w:rPr>
  </w:style>
  <w:style w:type="character" w:customStyle="1" w:styleId="CommentTextChar">
    <w:name w:val="Comment Text Char"/>
    <w:basedOn w:val="DefaultParagraphFont"/>
    <w:link w:val="CommentText"/>
    <w:uiPriority w:val="99"/>
    <w:rsid w:val="000D6CB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6CBD"/>
    <w:rPr>
      <w:b/>
      <w:bCs/>
    </w:rPr>
  </w:style>
  <w:style w:type="character" w:customStyle="1" w:styleId="CommentSubjectChar">
    <w:name w:val="Comment Subject Char"/>
    <w:basedOn w:val="CommentTextChar"/>
    <w:link w:val="CommentSubject"/>
    <w:uiPriority w:val="99"/>
    <w:semiHidden/>
    <w:rsid w:val="000D6CBD"/>
    <w:rPr>
      <w:rFonts w:cs="Times New Roman"/>
      <w:b/>
      <w:bCs/>
      <w:sz w:val="20"/>
      <w:szCs w:val="20"/>
      <w:lang w:eastAsia="en-AU"/>
    </w:rPr>
  </w:style>
  <w:style w:type="paragraph" w:styleId="BodyText2">
    <w:name w:val="Body Text 2"/>
    <w:basedOn w:val="Normal"/>
    <w:link w:val="BodyText2Char"/>
    <w:uiPriority w:val="99"/>
    <w:semiHidden/>
    <w:unhideWhenUsed/>
    <w:rsid w:val="00C403DB"/>
    <w:pPr>
      <w:spacing w:after="120" w:line="480" w:lineRule="auto"/>
    </w:pPr>
  </w:style>
  <w:style w:type="character" w:customStyle="1" w:styleId="BodyText2Char">
    <w:name w:val="Body Text 2 Char"/>
    <w:basedOn w:val="DefaultParagraphFont"/>
    <w:link w:val="BodyText2"/>
    <w:uiPriority w:val="99"/>
    <w:semiHidden/>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 w:type="paragraph" w:customStyle="1" w:styleId="reference">
    <w:name w:val="reference"/>
    <w:basedOn w:val="Normal"/>
    <w:link w:val="referenceChar"/>
    <w:qFormat/>
    <w:rsid w:val="006A7B38"/>
    <w:pPr>
      <w:shd w:val="clear" w:color="auto" w:fill="F2F2F2"/>
      <w:spacing w:after="0" w:line="240" w:lineRule="auto"/>
      <w:ind w:left="567" w:right="567"/>
    </w:pPr>
    <w:rPr>
      <w:rFonts w:ascii="Calibri" w:eastAsia="Times New Roman" w:hAnsi="Calibri"/>
      <w:sz w:val="20"/>
      <w:szCs w:val="16"/>
      <w:lang w:eastAsia="en-US" w:bidi="en-US"/>
    </w:rPr>
  </w:style>
  <w:style w:type="character" w:customStyle="1" w:styleId="referenceChar">
    <w:name w:val="reference Char"/>
    <w:link w:val="reference"/>
    <w:rsid w:val="006A7B38"/>
    <w:rPr>
      <w:rFonts w:ascii="Calibri" w:eastAsia="Times New Roman" w:hAnsi="Calibri" w:cs="Times New Roman"/>
      <w:sz w:val="20"/>
      <w:szCs w:val="16"/>
      <w:shd w:val="clear" w:color="auto" w:fill="F2F2F2"/>
      <w:lang w:bidi="en-US"/>
    </w:rPr>
  </w:style>
  <w:style w:type="character" w:customStyle="1" w:styleId="ListParagraphChar">
    <w:name w:val="List Paragraph Char"/>
    <w:aliases w:val="OLG List Paragraph Bullets Char"/>
    <w:link w:val="ListParagraph"/>
    <w:uiPriority w:val="34"/>
    <w:rsid w:val="006A7B38"/>
    <w:rPr>
      <w:rFonts w:cs="Times New Roman"/>
      <w:sz w:val="21"/>
      <w:szCs w:val="21"/>
      <w:lang w:eastAsia="en-AU"/>
    </w:rPr>
  </w:style>
  <w:style w:type="character" w:customStyle="1" w:styleId="Heading9Char">
    <w:name w:val="Heading 9 Char"/>
    <w:basedOn w:val="DefaultParagraphFont"/>
    <w:link w:val="Heading9"/>
    <w:rsid w:val="005D1F71"/>
    <w:rPr>
      <w:rFonts w:ascii="Arial Bold" w:eastAsia="Times New Roman" w:hAnsi="Arial Bold" w:cs="Times New Roman"/>
      <w:b/>
      <w:caps/>
      <w:sz w:val="28"/>
      <w:szCs w:val="24"/>
    </w:rPr>
  </w:style>
  <w:style w:type="paragraph" w:customStyle="1" w:styleId="TableReference">
    <w:name w:val="Table Reference"/>
    <w:basedOn w:val="Normal"/>
    <w:rsid w:val="0062060D"/>
    <w:pPr>
      <w:spacing w:after="0" w:line="240" w:lineRule="auto"/>
    </w:pPr>
    <w:rPr>
      <w:rFonts w:ascii="Calibri" w:eastAsia="Times New Roman" w:hAnsi="Calibri"/>
      <w:color w:val="008000"/>
      <w:sz w:val="12"/>
      <w:szCs w:val="14"/>
      <w:lang w:eastAsia="en-US"/>
    </w:rPr>
  </w:style>
  <w:style w:type="paragraph" w:customStyle="1" w:styleId="CommentaryTitle">
    <w:name w:val="Commentary Title"/>
    <w:basedOn w:val="Normal"/>
    <w:rsid w:val="0062060D"/>
    <w:pPr>
      <w:pageBreakBefore/>
      <w:spacing w:before="120" w:after="360" w:line="240" w:lineRule="auto"/>
    </w:pPr>
    <w:rPr>
      <w:rFonts w:ascii="Calibri" w:eastAsia="Times New Roman" w:hAnsi="Calibri"/>
      <w:b/>
      <w:bCs/>
      <w:sz w:val="22"/>
      <w:szCs w:val="24"/>
      <w:lang w:eastAsia="en-US"/>
    </w:rPr>
  </w:style>
  <w:style w:type="paragraph" w:customStyle="1" w:styleId="TableTitle">
    <w:name w:val="Table Title"/>
    <w:basedOn w:val="Normal"/>
    <w:next w:val="Normal"/>
    <w:rsid w:val="0062060D"/>
    <w:pPr>
      <w:spacing w:after="0" w:line="240" w:lineRule="auto"/>
      <w:jc w:val="right"/>
    </w:pPr>
    <w:rPr>
      <w:rFonts w:ascii="Calibri" w:eastAsia="Times New Roman" w:hAnsi="Calibri"/>
      <w:b/>
      <w:bCs/>
      <w:sz w:val="18"/>
      <w:szCs w:val="18"/>
      <w:lang w:eastAsia="en-US"/>
    </w:rPr>
  </w:style>
  <w:style w:type="paragraph" w:customStyle="1" w:styleId="TableText0">
    <w:name w:val="Table Text"/>
    <w:basedOn w:val="Normal"/>
    <w:next w:val="Normal"/>
    <w:rsid w:val="0062060D"/>
    <w:pPr>
      <w:spacing w:before="40" w:after="0" w:line="240" w:lineRule="auto"/>
    </w:pPr>
    <w:rPr>
      <w:rFonts w:ascii="Calibri" w:eastAsia="Times New Roman" w:hAnsi="Calibri"/>
      <w:sz w:val="18"/>
      <w:szCs w:val="18"/>
      <w:lang w:eastAsia="en-US"/>
    </w:rPr>
  </w:style>
  <w:style w:type="paragraph" w:customStyle="1" w:styleId="CommentaryText">
    <w:name w:val="Commentary Text"/>
    <w:basedOn w:val="Normal"/>
    <w:rsid w:val="0062060D"/>
    <w:pPr>
      <w:spacing w:after="120" w:line="240" w:lineRule="auto"/>
      <w:jc w:val="both"/>
    </w:pPr>
    <w:rPr>
      <w:rFonts w:ascii="Calibri" w:eastAsia="Times New Roman" w:hAnsi="Calibri"/>
      <w:sz w:val="20"/>
      <w:szCs w:val="16"/>
      <w:lang w:eastAsia="en-US"/>
    </w:rPr>
  </w:style>
  <w:style w:type="paragraph" w:customStyle="1" w:styleId="CommentaryHeading">
    <w:name w:val="Commentary Heading"/>
    <w:basedOn w:val="Normal"/>
    <w:rsid w:val="0062060D"/>
    <w:pPr>
      <w:keepNext/>
      <w:spacing w:before="120" w:after="60" w:line="240" w:lineRule="auto"/>
    </w:pPr>
    <w:rPr>
      <w:rFonts w:ascii="Calibri" w:eastAsia="Times New Roman" w:hAnsi="Calibri"/>
      <w:b/>
      <w:bCs/>
      <w:sz w:val="20"/>
      <w:szCs w:val="18"/>
      <w:lang w:eastAsia="en-US"/>
    </w:rPr>
  </w:style>
  <w:style w:type="paragraph" w:customStyle="1" w:styleId="Reference0">
    <w:name w:val="Reference"/>
    <w:basedOn w:val="TableTitle"/>
    <w:rsid w:val="0062060D"/>
    <w:pPr>
      <w:jc w:val="left"/>
    </w:pPr>
    <w:rPr>
      <w:sz w:val="20"/>
    </w:rPr>
  </w:style>
  <w:style w:type="paragraph" w:customStyle="1" w:styleId="Commentary-Bullet">
    <w:name w:val="Commentary - Bullet"/>
    <w:basedOn w:val="CommentaryText"/>
    <w:rsid w:val="0062060D"/>
    <w:pPr>
      <w:numPr>
        <w:numId w:val="13"/>
      </w:numPr>
      <w:tabs>
        <w:tab w:val="left" w:pos="3306"/>
      </w:tabs>
      <w:spacing w:after="60"/>
    </w:pPr>
  </w:style>
  <w:style w:type="paragraph" w:customStyle="1" w:styleId="headerhead">
    <w:name w:val="headerhead"/>
    <w:basedOn w:val="Normal"/>
    <w:link w:val="headerheadChar"/>
    <w:qFormat/>
    <w:rsid w:val="003826C2"/>
    <w:pPr>
      <w:spacing w:after="0" w:line="240" w:lineRule="auto"/>
      <w:jc w:val="center"/>
    </w:pPr>
    <w:rPr>
      <w:rFonts w:ascii="Calibri" w:eastAsia="Times New Roman" w:hAnsi="Calibri" w:cs="Arial"/>
      <w:b/>
      <w:caps/>
      <w:sz w:val="22"/>
      <w:szCs w:val="16"/>
      <w:lang w:eastAsia="en-US"/>
    </w:rPr>
  </w:style>
  <w:style w:type="character" w:customStyle="1" w:styleId="headerheadChar">
    <w:name w:val="headerhead Char"/>
    <w:link w:val="headerhead"/>
    <w:rsid w:val="003826C2"/>
    <w:rPr>
      <w:rFonts w:ascii="Calibri" w:eastAsia="Times New Roman" w:hAnsi="Calibri" w:cs="Arial"/>
      <w:b/>
      <w:caps/>
      <w:szCs w:val="16"/>
    </w:rPr>
  </w:style>
  <w:style w:type="paragraph" w:customStyle="1" w:styleId="Appxhead2">
    <w:name w:val="Appxhead2"/>
    <w:basedOn w:val="Normal"/>
    <w:link w:val="Appxhead2Char"/>
    <w:qFormat/>
    <w:rsid w:val="00B0598D"/>
    <w:pPr>
      <w:spacing w:before="240" w:after="120" w:line="240" w:lineRule="auto"/>
    </w:pPr>
    <w:rPr>
      <w:rFonts w:ascii="Arial" w:eastAsia="Times New Roman" w:hAnsi="Arial"/>
      <w:b/>
      <w:caps/>
      <w:sz w:val="28"/>
      <w:szCs w:val="28"/>
      <w:lang w:eastAsia="en-US"/>
    </w:rPr>
  </w:style>
  <w:style w:type="character" w:customStyle="1" w:styleId="Appxhead2Char">
    <w:name w:val="Appxhead2 Char"/>
    <w:link w:val="Appxhead2"/>
    <w:rsid w:val="00B0598D"/>
    <w:rPr>
      <w:rFonts w:ascii="Arial" w:eastAsia="Times New Roman" w:hAnsi="Arial" w:cs="Times New Roman"/>
      <w:b/>
      <w:caps/>
      <w:sz w:val="28"/>
      <w:szCs w:val="28"/>
    </w:rPr>
  </w:style>
  <w:style w:type="paragraph" w:customStyle="1" w:styleId="NotesNumber">
    <w:name w:val="Notes Number"/>
    <w:basedOn w:val="Normal"/>
    <w:rsid w:val="002C5CC0"/>
    <w:pPr>
      <w:numPr>
        <w:numId w:val="21"/>
      </w:numPr>
      <w:spacing w:after="0" w:line="240" w:lineRule="auto"/>
    </w:pPr>
    <w:rPr>
      <w:rFonts w:ascii="Calibri" w:eastAsia="Times New Roman" w:hAnsi="Calibri"/>
      <w:iCs/>
      <w:sz w:val="20"/>
      <w:szCs w:val="20"/>
      <w:lang w:eastAsia="en-US"/>
    </w:rPr>
  </w:style>
  <w:style w:type="paragraph" w:customStyle="1" w:styleId="NoteTitle">
    <w:name w:val="Note Title"/>
    <w:basedOn w:val="Normal"/>
    <w:rsid w:val="002C5CC0"/>
    <w:pPr>
      <w:numPr>
        <w:numId w:val="22"/>
      </w:numPr>
      <w:spacing w:after="240" w:line="240" w:lineRule="auto"/>
    </w:pPr>
    <w:rPr>
      <w:rFonts w:ascii="Calibri" w:eastAsia="Times New Roman" w:hAnsi="Calibri"/>
      <w:b/>
      <w:caps/>
      <w:sz w:val="22"/>
      <w:szCs w:val="16"/>
      <w:lang w:eastAsia="en-US"/>
    </w:rPr>
  </w:style>
  <w:style w:type="character" w:customStyle="1" w:styleId="apple-style-span">
    <w:name w:val="apple-style-span"/>
    <w:basedOn w:val="DefaultParagraphFont"/>
    <w:rsid w:val="002C5CC0"/>
  </w:style>
  <w:style w:type="paragraph" w:customStyle="1" w:styleId="NormalSF">
    <w:name w:val="Normal SF"/>
    <w:basedOn w:val="Normal"/>
    <w:qFormat/>
    <w:rsid w:val="002C5CC0"/>
    <w:pPr>
      <w:keepLines/>
      <w:spacing w:before="120" w:after="120" w:line="240" w:lineRule="auto"/>
    </w:pPr>
    <w:rPr>
      <w:rFonts w:ascii="Calibri" w:eastAsia="Times New Roman" w:hAnsi="Calibri"/>
      <w:sz w:val="22"/>
      <w:szCs w:val="24"/>
      <w:lang w:val="en-US"/>
    </w:rPr>
  </w:style>
  <w:style w:type="paragraph" w:customStyle="1" w:styleId="CommentaryReference">
    <w:name w:val="Commentary Reference"/>
    <w:basedOn w:val="Normal"/>
    <w:rsid w:val="000A77B9"/>
    <w:pPr>
      <w:spacing w:after="0" w:line="240" w:lineRule="auto"/>
    </w:pPr>
    <w:rPr>
      <w:rFonts w:ascii="Calibri" w:eastAsia="Times New Roman" w:hAnsi="Calibri"/>
      <w:sz w:val="14"/>
      <w:szCs w:val="16"/>
      <w:lang w:eastAsia="en-US"/>
    </w:rPr>
  </w:style>
  <w:style w:type="paragraph" w:customStyle="1" w:styleId="Appxhead3">
    <w:name w:val="Appxhead3"/>
    <w:basedOn w:val="Normal"/>
    <w:link w:val="Appxhead3Char"/>
    <w:qFormat/>
    <w:rsid w:val="00AF5C9D"/>
    <w:pPr>
      <w:spacing w:before="120" w:after="60" w:line="240" w:lineRule="auto"/>
    </w:pPr>
    <w:rPr>
      <w:rFonts w:ascii="Arial" w:eastAsia="Times New Roman" w:hAnsi="Arial" w:cs="Arial"/>
      <w:b/>
      <w:smallCaps/>
      <w:sz w:val="22"/>
      <w:szCs w:val="16"/>
      <w:lang w:eastAsia="en-US"/>
    </w:rPr>
  </w:style>
  <w:style w:type="character" w:customStyle="1" w:styleId="Appxhead3Char">
    <w:name w:val="Appxhead3 Char"/>
    <w:link w:val="Appxhead3"/>
    <w:rsid w:val="00AF5C9D"/>
    <w:rPr>
      <w:rFonts w:ascii="Arial" w:eastAsia="Times New Roman" w:hAnsi="Arial" w:cs="Arial"/>
      <w:b/>
      <w:smallCaps/>
      <w:szCs w:val="16"/>
    </w:rPr>
  </w:style>
  <w:style w:type="paragraph" w:styleId="FootnoteText">
    <w:name w:val="footnote text"/>
    <w:basedOn w:val="Normal"/>
    <w:link w:val="FootnoteTextChar"/>
    <w:semiHidden/>
    <w:rsid w:val="00C9295B"/>
    <w:pPr>
      <w:spacing w:after="0" w:line="240" w:lineRule="auto"/>
    </w:pPr>
    <w:rPr>
      <w:rFonts w:ascii="Calibri" w:eastAsia="Times New Roman" w:hAnsi="Calibri"/>
      <w:color w:val="008000"/>
      <w:sz w:val="16"/>
      <w:szCs w:val="16"/>
      <w:lang w:eastAsia="en-US"/>
    </w:rPr>
  </w:style>
  <w:style w:type="character" w:customStyle="1" w:styleId="FootnoteTextChar">
    <w:name w:val="Footnote Text Char"/>
    <w:basedOn w:val="DefaultParagraphFont"/>
    <w:link w:val="FootnoteText"/>
    <w:semiHidden/>
    <w:rsid w:val="00C9295B"/>
    <w:rPr>
      <w:rFonts w:ascii="Calibri" w:eastAsia="Times New Roman" w:hAnsi="Calibri" w:cs="Times New Roman"/>
      <w:color w:val="008000"/>
      <w:sz w:val="16"/>
      <w:szCs w:val="16"/>
    </w:rPr>
  </w:style>
  <w:style w:type="character" w:customStyle="1" w:styleId="UnresolvedMention1">
    <w:name w:val="Unresolved Mention1"/>
    <w:basedOn w:val="DefaultParagraphFont"/>
    <w:uiPriority w:val="99"/>
    <w:semiHidden/>
    <w:unhideWhenUsed/>
    <w:rsid w:val="009F0619"/>
    <w:rPr>
      <w:color w:val="605E5C"/>
      <w:shd w:val="clear" w:color="auto" w:fill="E1DFDD"/>
    </w:rPr>
  </w:style>
  <w:style w:type="paragraph" w:styleId="NormalWeb">
    <w:name w:val="Normal (Web)"/>
    <w:basedOn w:val="Normal"/>
    <w:uiPriority w:val="99"/>
    <w:semiHidden/>
    <w:unhideWhenUsed/>
    <w:rsid w:val="00A745AF"/>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5B3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58">
      <w:bodyDiv w:val="1"/>
      <w:marLeft w:val="0"/>
      <w:marRight w:val="0"/>
      <w:marTop w:val="0"/>
      <w:marBottom w:val="0"/>
      <w:divBdr>
        <w:top w:val="none" w:sz="0" w:space="0" w:color="auto"/>
        <w:left w:val="none" w:sz="0" w:space="0" w:color="auto"/>
        <w:bottom w:val="none" w:sz="0" w:space="0" w:color="auto"/>
        <w:right w:val="none" w:sz="0" w:space="0" w:color="auto"/>
      </w:divBdr>
    </w:div>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636616940">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treasury.act.gov.au/accounting/"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asb.gov.au/admin/file/content102/c3/AASB19009_COVID19_FA.pdf" TargetMode="Externa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3.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4.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27</TotalTime>
  <Pages>19</Pages>
  <Words>5398</Words>
  <Characters>30772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Bourke, Natasha</dc:creator>
  <cp:lastModifiedBy>Palfreyman, Hamish</cp:lastModifiedBy>
  <cp:revision>4</cp:revision>
  <cp:lastPrinted>2021-06-09T23:02:00Z</cp:lastPrinted>
  <dcterms:created xsi:type="dcterms:W3CDTF">2022-06-05T02:44:00Z</dcterms:created>
  <dcterms:modified xsi:type="dcterms:W3CDTF">2022-06-07T04:02:00Z</dcterms:modified>
</cp:coreProperties>
</file>