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55017" w14:textId="19341E1E" w:rsidR="005E69BD" w:rsidRPr="001628EB" w:rsidRDefault="000615B0">
      <w:pPr>
        <w:spacing w:before="0" w:after="160" w:line="259" w:lineRule="auto"/>
        <w:rPr>
          <w:rFonts w:ascii="Arial" w:hAnsi="Arial"/>
          <w:b/>
          <w:caps/>
          <w:color w:val="000000" w:themeColor="text1"/>
          <w:kern w:val="28"/>
          <w:sz w:val="44"/>
        </w:rPr>
      </w:pPr>
      <w:r>
        <w:rPr>
          <w:noProof/>
        </w:rPr>
        <w:drawing>
          <wp:anchor distT="0" distB="0" distL="114300" distR="114300" simplePos="0" relativeHeight="251656191" behindDoc="1" locked="0" layoutInCell="1" allowOverlap="1" wp14:anchorId="7838AA5C" wp14:editId="3F91256A">
            <wp:simplePos x="0" y="0"/>
            <wp:positionH relativeFrom="column">
              <wp:posOffset>-326390</wp:posOffset>
            </wp:positionH>
            <wp:positionV relativeFrom="paragraph">
              <wp:posOffset>-408940</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r:link="rId1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r w:rsidR="00E850D8">
        <w:rPr>
          <w:noProof/>
        </w:rPr>
        <mc:AlternateContent>
          <mc:Choice Requires="wps">
            <w:drawing>
              <wp:anchor distT="0" distB="0" distL="114300" distR="114300" simplePos="0" relativeHeight="251661312" behindDoc="0" locked="0" layoutInCell="1" allowOverlap="1" wp14:anchorId="20A8DC39" wp14:editId="71F5CE98">
                <wp:simplePos x="0" y="0"/>
                <wp:positionH relativeFrom="margin">
                  <wp:align>right</wp:align>
                </wp:positionH>
                <wp:positionV relativeFrom="paragraph">
                  <wp:posOffset>1499235</wp:posOffset>
                </wp:positionV>
                <wp:extent cx="5162550" cy="25209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0" cy="2520950"/>
                        </a:xfrm>
                        <a:prstGeom prst="rect">
                          <a:avLst/>
                        </a:prstGeom>
                        <a:noFill/>
                        <a:ln w="6350">
                          <a:noFill/>
                        </a:ln>
                      </wps:spPr>
                      <wps:txbx>
                        <w:txbxContent>
                          <w:p w14:paraId="75479141" w14:textId="12E589A2" w:rsidR="00F939BC" w:rsidRDefault="008863F0" w:rsidP="00D17F50">
                            <w:pPr>
                              <w:pStyle w:val="Title"/>
                              <w:spacing w:after="0"/>
                            </w:pPr>
                            <w:bookmarkStart w:id="0" w:name="_Toc86403636"/>
                            <w:bookmarkStart w:id="1" w:name="_Toc87450299"/>
                            <w:bookmarkStart w:id="2" w:name="_Toc99018931"/>
                            <w:r>
                              <w:t>ACT Population Projections</w:t>
                            </w:r>
                          </w:p>
                          <w:p w14:paraId="559C6E90" w14:textId="77777777" w:rsidR="00F939BC" w:rsidRPr="00F939BC" w:rsidRDefault="008863F0" w:rsidP="00D17F50">
                            <w:pPr>
                              <w:pStyle w:val="Subtitle"/>
                              <w:jc w:val="left"/>
                            </w:pPr>
                            <w:r>
                              <w:t>202</w:t>
                            </w:r>
                            <w:r w:rsidR="00A55FAA">
                              <w:t>2</w:t>
                            </w:r>
                            <w:r>
                              <w:t xml:space="preserve"> to 2060</w:t>
                            </w:r>
                          </w:p>
                          <w:p w14:paraId="6D4A5F34" w14:textId="77777777" w:rsidR="00F939BC" w:rsidRPr="00222C35" w:rsidRDefault="00F939BC" w:rsidP="00D17F50">
                            <w:pPr>
                              <w:pStyle w:val="IntroParagraph"/>
                              <w:spacing w:before="0" w:after="0"/>
                              <w:rPr>
                                <w:color w:val="FFFFFF" w:themeColor="background1"/>
                              </w:rPr>
                            </w:pPr>
                          </w:p>
                          <w:p w14:paraId="59334660" w14:textId="77777777" w:rsidR="008F50CA" w:rsidRDefault="008F50CA"/>
                          <w:p w14:paraId="1FC37179" w14:textId="1F1FADB7" w:rsidR="00F939BC" w:rsidRDefault="008863F0" w:rsidP="00D17F50">
                            <w:pPr>
                              <w:pStyle w:val="Title"/>
                              <w:spacing w:after="0"/>
                            </w:pPr>
                            <w:r>
                              <w:t>ACT Population Projections</w:t>
                            </w:r>
                            <w:bookmarkEnd w:id="0"/>
                            <w:bookmarkEnd w:id="1"/>
                            <w:bookmarkEnd w:id="2"/>
                          </w:p>
                          <w:p w14:paraId="6B887E2D" w14:textId="3EBCDACD" w:rsidR="00F939BC" w:rsidRPr="00F939BC" w:rsidRDefault="008863F0" w:rsidP="00D17F50">
                            <w:pPr>
                              <w:pStyle w:val="Subtitle"/>
                              <w:jc w:val="left"/>
                            </w:pPr>
                            <w:r>
                              <w:t>202</w:t>
                            </w:r>
                            <w:r w:rsidR="00A55FAA">
                              <w:t>2</w:t>
                            </w:r>
                            <w:r>
                              <w:t xml:space="preserve"> to 2060</w:t>
                            </w:r>
                          </w:p>
                          <w:p w14:paraId="67F06E80" w14:textId="7613A4C5" w:rsidR="00F939BC" w:rsidRPr="00222C35" w:rsidRDefault="00F939BC" w:rsidP="00D17F50">
                            <w:pPr>
                              <w:pStyle w:val="IntroParagraph"/>
                              <w:spacing w:before="0" w:after="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8DC39" id="_x0000_t202" coordsize="21600,21600" o:spt="202" path="m,l,21600r21600,l21600,xe">
                <v:stroke joinstyle="miter"/>
                <v:path gradientshapeok="t" o:connecttype="rect"/>
              </v:shapetype>
              <v:shape id="Text Box 4" o:spid="_x0000_s1026" type="#_x0000_t202" style="position:absolute;margin-left:355.3pt;margin-top:118.05pt;width:406.5pt;height:19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" filled="f" stroked="f" strokeweight=".5pt">
                <v:textbox>
                  <w:txbxContent>
                    <w:p w14:paraId="75479141" w14:textId="12E589A2" w:rsidR="00F939BC" w:rsidRDefault="008863F0" w:rsidP="00D17F50">
                      <w:pPr>
                        <w:pStyle w:val="Title"/>
                        <w:spacing w:after="0"/>
                      </w:pPr>
                      <w:bookmarkStart w:id="3" w:name="_Toc86403636"/>
                      <w:bookmarkStart w:id="4" w:name="_Toc87450299"/>
                      <w:bookmarkStart w:id="5" w:name="_Toc99018931"/>
                      <w:r>
                        <w:t>ACT Population Projections</w:t>
                      </w:r>
                    </w:p>
                    <w:p w14:paraId="559C6E90" w14:textId="77777777" w:rsidR="00F939BC" w:rsidRPr="00F939BC" w:rsidRDefault="008863F0" w:rsidP="00D17F50">
                      <w:pPr>
                        <w:pStyle w:val="Subtitle"/>
                        <w:jc w:val="left"/>
                      </w:pPr>
                      <w:r>
                        <w:t>202</w:t>
                      </w:r>
                      <w:r w:rsidR="00A55FAA">
                        <w:t>2</w:t>
                      </w:r>
                      <w:r>
                        <w:t xml:space="preserve"> to 2060</w:t>
                      </w:r>
                    </w:p>
                    <w:p w14:paraId="6D4A5F34" w14:textId="77777777" w:rsidR="00F939BC" w:rsidRPr="00222C35" w:rsidRDefault="00F939BC" w:rsidP="00D17F50">
                      <w:pPr>
                        <w:pStyle w:val="IntroParagraph"/>
                        <w:spacing w:before="0" w:after="0"/>
                        <w:rPr>
                          <w:color w:val="FFFFFF" w:themeColor="background1"/>
                        </w:rPr>
                      </w:pPr>
                    </w:p>
                    <w:p w14:paraId="59334660" w14:textId="77777777" w:rsidR="008F50CA" w:rsidRDefault="008F50CA"/>
                    <w:p w14:paraId="1FC37179" w14:textId="1F1FADB7" w:rsidR="00F939BC" w:rsidRDefault="008863F0" w:rsidP="00D17F50">
                      <w:pPr>
                        <w:pStyle w:val="Title"/>
                        <w:spacing w:after="0"/>
                      </w:pPr>
                      <w:r>
                        <w:t>ACT Population Projections</w:t>
                      </w:r>
                      <w:bookmarkEnd w:id="3"/>
                      <w:bookmarkEnd w:id="4"/>
                      <w:bookmarkEnd w:id="5"/>
                    </w:p>
                    <w:p w14:paraId="6B887E2D" w14:textId="3EBCDACD" w:rsidR="00F939BC" w:rsidRPr="00F939BC" w:rsidRDefault="008863F0" w:rsidP="00D17F50">
                      <w:pPr>
                        <w:pStyle w:val="Subtitle"/>
                        <w:jc w:val="left"/>
                      </w:pPr>
                      <w:r>
                        <w:t>202</w:t>
                      </w:r>
                      <w:r w:rsidR="00A55FAA">
                        <w:t>2</w:t>
                      </w:r>
                      <w:r>
                        <w:t xml:space="preserve"> to 2060</w:t>
                      </w:r>
                    </w:p>
                    <w:p w14:paraId="67F06E80" w14:textId="7613A4C5" w:rsidR="00F939BC" w:rsidRPr="00222C35" w:rsidRDefault="00F939BC" w:rsidP="00D17F50">
                      <w:pPr>
                        <w:pStyle w:val="IntroParagraph"/>
                        <w:spacing w:before="0" w:after="0"/>
                        <w:rPr>
                          <w:color w:val="FFFFFF" w:themeColor="background1"/>
                        </w:rPr>
                      </w:pPr>
                    </w:p>
                  </w:txbxContent>
                </v:textbox>
                <w10:wrap anchorx="margin"/>
              </v:shape>
            </w:pict>
          </mc:Fallback>
        </mc:AlternateContent>
      </w:r>
      <w:r w:rsidR="00E850D8">
        <w:rPr>
          <w:noProof/>
        </w:rPr>
        <mc:AlternateContent>
          <mc:Choice Requires="wps">
            <w:drawing>
              <wp:anchor distT="0" distB="0" distL="114300" distR="114300" simplePos="0" relativeHeight="251660288" behindDoc="0" locked="0" layoutInCell="1" allowOverlap="1" wp14:anchorId="6B1C93A3" wp14:editId="37C6CC99">
                <wp:simplePos x="0" y="0"/>
                <wp:positionH relativeFrom="column">
                  <wp:posOffset>-51435</wp:posOffset>
                </wp:positionH>
                <wp:positionV relativeFrom="paragraph">
                  <wp:posOffset>8962390</wp:posOffset>
                </wp:positionV>
                <wp:extent cx="5080000" cy="457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457200"/>
                        </a:xfrm>
                        <a:prstGeom prst="rect">
                          <a:avLst/>
                        </a:prstGeom>
                        <a:noFill/>
                        <a:ln w="6350">
                          <a:noFill/>
                        </a:ln>
                      </wps:spPr>
                      <wps:txbx>
                        <w:txbxContent>
                          <w:p w14:paraId="23987812" w14:textId="1642093C" w:rsidR="00222C35" w:rsidRPr="00825C83" w:rsidRDefault="00C4439A" w:rsidP="008F4C1C">
                            <w:pPr>
                              <w:pStyle w:val="Directoratename"/>
                            </w:pPr>
                            <w:r>
                              <w:t>Chief Minister</w:t>
                            </w:r>
                            <w:r w:rsidR="00EA217E">
                              <w:t>,</w:t>
                            </w:r>
                            <w:r>
                              <w:t xml:space="preserve"> Treasury and Economic Development</w:t>
                            </w:r>
                            <w:r w:rsidR="00483345" w:rsidRPr="00825C83">
                              <w:t xml:space="preserve"> </w:t>
                            </w:r>
                            <w:r w:rsidR="008F4C1C">
                              <w:t>D</w:t>
                            </w:r>
                            <w:r w:rsidR="00483345" w:rsidRPr="00825C83">
                              <w:t>irectorate</w:t>
                            </w:r>
                          </w:p>
                          <w:p w14:paraId="2B430223" w14:textId="77777777" w:rsidR="008F50CA" w:rsidRDefault="008F50CA"/>
                          <w:p w14:paraId="6216E613" w14:textId="77777777" w:rsidR="00222C35" w:rsidRPr="00825C83" w:rsidRDefault="00C4439A" w:rsidP="008F4C1C">
                            <w:pPr>
                              <w:pStyle w:val="Directoratename"/>
                            </w:pPr>
                            <w:r>
                              <w:t>Chief Minister’s</w:t>
                            </w:r>
                            <w:r w:rsidR="00EA217E">
                              <w:t>,</w:t>
                            </w:r>
                            <w:r>
                              <w:t xml:space="preserve"> Treasury and Economic Development</w:t>
                            </w:r>
                            <w:r w:rsidR="00483345" w:rsidRPr="00825C83">
                              <w:t xml:space="preserve"> </w:t>
                            </w:r>
                            <w:r w:rsidR="008F4C1C">
                              <w:t>D</w:t>
                            </w:r>
                            <w:r w:rsidR="00483345"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C93A3" id="Text Box 1" o:spid="_x0000_s1027" type="#_x0000_t202" style="position:absolute;margin-left:-4.05pt;margin-top:705.7pt;width:400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" filled="f" stroked="f" strokeweight=".5pt">
                <v:textbox>
                  <w:txbxContent>
                    <w:p w14:paraId="23987812" w14:textId="1642093C" w:rsidR="00222C35" w:rsidRPr="00825C83" w:rsidRDefault="00C4439A" w:rsidP="008F4C1C">
                      <w:pPr>
                        <w:pStyle w:val="Directoratename"/>
                      </w:pPr>
                      <w:r>
                        <w:t>Chief Minister</w:t>
                      </w:r>
                      <w:r w:rsidR="00EA217E">
                        <w:t>,</w:t>
                      </w:r>
                      <w:r>
                        <w:t xml:space="preserve"> Treasury and Economic Development</w:t>
                      </w:r>
                      <w:r w:rsidR="00483345" w:rsidRPr="00825C83">
                        <w:t xml:space="preserve"> </w:t>
                      </w:r>
                      <w:r w:rsidR="008F4C1C">
                        <w:t>D</w:t>
                      </w:r>
                      <w:r w:rsidR="00483345" w:rsidRPr="00825C83">
                        <w:t>irectorate</w:t>
                      </w:r>
                    </w:p>
                    <w:p w14:paraId="2B430223" w14:textId="77777777" w:rsidR="008F50CA" w:rsidRDefault="008F50CA"/>
                    <w:p w14:paraId="6216E613" w14:textId="77777777" w:rsidR="00222C35" w:rsidRPr="00825C83" w:rsidRDefault="00C4439A" w:rsidP="008F4C1C">
                      <w:pPr>
                        <w:pStyle w:val="Directoratename"/>
                      </w:pPr>
                      <w:r>
                        <w:t>Chief Minister’s</w:t>
                      </w:r>
                      <w:r w:rsidR="00EA217E">
                        <w:t>,</w:t>
                      </w:r>
                      <w:r>
                        <w:t xml:space="preserve"> Treasury and Economic Development</w:t>
                      </w:r>
                      <w:r w:rsidR="00483345" w:rsidRPr="00825C83">
                        <w:t xml:space="preserve"> </w:t>
                      </w:r>
                      <w:r w:rsidR="008F4C1C">
                        <w:t>D</w:t>
                      </w:r>
                      <w:r w:rsidR="00483345" w:rsidRPr="00825C83">
                        <w:t>irectorate</w:t>
                      </w:r>
                    </w:p>
                  </w:txbxContent>
                </v:textbox>
              </v:shape>
            </w:pict>
          </mc:Fallback>
        </mc:AlternateContent>
      </w:r>
      <w:r w:rsidR="008E3B95">
        <w:rPr>
          <w:noProof/>
          <w:color w:val="000000" w:themeColor="text1"/>
        </w:rPr>
        <w:drawing>
          <wp:anchor distT="0" distB="0" distL="114300" distR="114300" simplePos="0" relativeHeight="251657216" behindDoc="0" locked="0" layoutInCell="1" allowOverlap="1" wp14:anchorId="61CEEF2A" wp14:editId="68004B34">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3" w:name="OLE_LINK2"/>
      <w:bookmarkEnd w:id="3"/>
      <w:r w:rsidR="005E69BD">
        <w:br w:type="page"/>
      </w:r>
    </w:p>
    <w:p w14:paraId="2926E197" w14:textId="77777777" w:rsidR="009266DD" w:rsidRDefault="009266DD" w:rsidP="00825C83">
      <w:pPr>
        <w:pStyle w:val="Heading1"/>
        <w:sectPr w:rsidR="009266DD" w:rsidSect="00F51125">
          <w:headerReference w:type="even" r:id="rId14"/>
          <w:headerReference w:type="default" r:id="rId15"/>
          <w:footerReference w:type="even" r:id="rId16"/>
          <w:footerReference w:type="default" r:id="rId17"/>
          <w:type w:val="continuous"/>
          <w:pgSz w:w="11907" w:h="16840" w:code="9"/>
          <w:pgMar w:top="1134" w:right="1134" w:bottom="1701" w:left="1134" w:header="567" w:footer="254" w:gutter="0"/>
          <w:cols w:num="2" w:space="720"/>
          <w:titlePg/>
          <w:docGrid w:linePitch="299"/>
        </w:sectPr>
      </w:pPr>
    </w:p>
    <w:sdt>
      <w:sdtPr>
        <w:rPr>
          <w:rFonts w:ascii="Calibri" w:eastAsia="Times New Roman" w:hAnsi="Calibri" w:cs="Times New Roman"/>
          <w:color w:val="auto"/>
          <w:sz w:val="22"/>
          <w:szCs w:val="20"/>
          <w:lang w:val="en-AU"/>
        </w:rPr>
        <w:id w:val="-1671102888"/>
        <w:docPartObj>
          <w:docPartGallery w:val="Table of Contents"/>
          <w:docPartUnique/>
        </w:docPartObj>
      </w:sdtPr>
      <w:sdtEndPr>
        <w:rPr>
          <w:b/>
          <w:bCs/>
          <w:noProof/>
        </w:rPr>
      </w:sdtEndPr>
      <w:sdtContent>
        <w:p w14:paraId="597EDED0" w14:textId="4AF8BBBF" w:rsidR="00FB2E1A" w:rsidRDefault="008863F0" w:rsidP="00FB2E1A">
          <w:pPr>
            <w:pStyle w:val="TOCHeading"/>
            <w:rPr>
              <w:rFonts w:asciiTheme="minorHAnsi" w:eastAsiaTheme="minorEastAsia" w:hAnsiTheme="minorHAnsi" w:cstheme="minorBidi"/>
              <w:noProof/>
              <w:szCs w:val="22"/>
              <w:lang w:eastAsia="en-AU"/>
            </w:rPr>
          </w:pPr>
          <w:r w:rsidRPr="00621FEE">
            <w:rPr>
              <w:b/>
              <w:bCs/>
            </w:rPr>
            <w:t>Contents</w:t>
          </w:r>
          <w:r>
            <w:fldChar w:fldCharType="begin"/>
          </w:r>
          <w:r>
            <w:instrText xml:space="preserve"> TOC \o "1-3" \h \z \u </w:instrText>
          </w:r>
          <w:r>
            <w:fldChar w:fldCharType="separate"/>
          </w:r>
        </w:p>
        <w:p w14:paraId="7336B224" w14:textId="08DF63B8" w:rsidR="00FB2E1A" w:rsidRDefault="00EF3757">
          <w:pPr>
            <w:pStyle w:val="TOC1"/>
            <w:rPr>
              <w:rFonts w:asciiTheme="minorHAnsi" w:eastAsiaTheme="minorEastAsia" w:hAnsiTheme="minorHAnsi" w:cstheme="minorBidi"/>
              <w:noProof/>
              <w:szCs w:val="22"/>
              <w:lang w:eastAsia="en-AU"/>
            </w:rPr>
          </w:pPr>
          <w:hyperlink w:anchor="_Toc99018932" w:history="1">
            <w:r w:rsidR="00FB2E1A" w:rsidRPr="004819CD">
              <w:rPr>
                <w:rStyle w:val="Hyperlink"/>
                <w:noProof/>
              </w:rPr>
              <w:t>Executive Summary</w:t>
            </w:r>
            <w:r w:rsidR="00FB2E1A">
              <w:rPr>
                <w:noProof/>
                <w:webHidden/>
              </w:rPr>
              <w:tab/>
            </w:r>
            <w:r w:rsidR="00FB2E1A">
              <w:rPr>
                <w:noProof/>
                <w:webHidden/>
              </w:rPr>
              <w:fldChar w:fldCharType="begin"/>
            </w:r>
            <w:r w:rsidR="00FB2E1A">
              <w:rPr>
                <w:noProof/>
                <w:webHidden/>
              </w:rPr>
              <w:instrText xml:space="preserve"> PAGEREF _Toc99018932 \h </w:instrText>
            </w:r>
            <w:r w:rsidR="00FB2E1A">
              <w:rPr>
                <w:noProof/>
                <w:webHidden/>
              </w:rPr>
            </w:r>
            <w:r w:rsidR="00FB2E1A">
              <w:rPr>
                <w:noProof/>
                <w:webHidden/>
              </w:rPr>
              <w:fldChar w:fldCharType="separate"/>
            </w:r>
            <w:r>
              <w:rPr>
                <w:noProof/>
                <w:webHidden/>
              </w:rPr>
              <w:t>3</w:t>
            </w:r>
            <w:r w:rsidR="00FB2E1A">
              <w:rPr>
                <w:noProof/>
                <w:webHidden/>
              </w:rPr>
              <w:fldChar w:fldCharType="end"/>
            </w:r>
          </w:hyperlink>
        </w:p>
        <w:p w14:paraId="145D1474" w14:textId="7655C4ED" w:rsidR="00FB2E1A" w:rsidRDefault="00EF3757">
          <w:pPr>
            <w:pStyle w:val="TOC1"/>
            <w:rPr>
              <w:rFonts w:asciiTheme="minorHAnsi" w:eastAsiaTheme="minorEastAsia" w:hAnsiTheme="minorHAnsi" w:cstheme="minorBidi"/>
              <w:noProof/>
              <w:szCs w:val="22"/>
              <w:lang w:eastAsia="en-AU"/>
            </w:rPr>
          </w:pPr>
          <w:hyperlink w:anchor="_Toc99018933" w:history="1">
            <w:r w:rsidR="00FB2E1A" w:rsidRPr="004819CD">
              <w:rPr>
                <w:rStyle w:val="Hyperlink"/>
                <w:noProof/>
              </w:rPr>
              <w:t>Introduction</w:t>
            </w:r>
            <w:r w:rsidR="00FB2E1A">
              <w:rPr>
                <w:noProof/>
                <w:webHidden/>
              </w:rPr>
              <w:tab/>
            </w:r>
            <w:r w:rsidR="00FB2E1A">
              <w:rPr>
                <w:noProof/>
                <w:webHidden/>
              </w:rPr>
              <w:fldChar w:fldCharType="begin"/>
            </w:r>
            <w:r w:rsidR="00FB2E1A">
              <w:rPr>
                <w:noProof/>
                <w:webHidden/>
              </w:rPr>
              <w:instrText xml:space="preserve"> PAGEREF _Toc99018933 \h </w:instrText>
            </w:r>
            <w:r w:rsidR="00FB2E1A">
              <w:rPr>
                <w:noProof/>
                <w:webHidden/>
              </w:rPr>
            </w:r>
            <w:r w:rsidR="00FB2E1A">
              <w:rPr>
                <w:noProof/>
                <w:webHidden/>
              </w:rPr>
              <w:fldChar w:fldCharType="separate"/>
            </w:r>
            <w:r>
              <w:rPr>
                <w:noProof/>
                <w:webHidden/>
              </w:rPr>
              <w:t>4</w:t>
            </w:r>
            <w:r w:rsidR="00FB2E1A">
              <w:rPr>
                <w:noProof/>
                <w:webHidden/>
              </w:rPr>
              <w:fldChar w:fldCharType="end"/>
            </w:r>
          </w:hyperlink>
        </w:p>
        <w:p w14:paraId="51E665E7" w14:textId="23BD71EE" w:rsidR="00FB2E1A" w:rsidRDefault="00EF3757">
          <w:pPr>
            <w:pStyle w:val="TOC1"/>
            <w:rPr>
              <w:rFonts w:asciiTheme="minorHAnsi" w:eastAsiaTheme="minorEastAsia" w:hAnsiTheme="minorHAnsi" w:cstheme="minorBidi"/>
              <w:noProof/>
              <w:szCs w:val="22"/>
              <w:lang w:eastAsia="en-AU"/>
            </w:rPr>
          </w:pPr>
          <w:hyperlink w:anchor="_Toc99018934" w:history="1">
            <w:r w:rsidR="00FB2E1A" w:rsidRPr="004819CD">
              <w:rPr>
                <w:rStyle w:val="Hyperlink"/>
                <w:noProof/>
              </w:rPr>
              <w:t>Main results</w:t>
            </w:r>
            <w:r w:rsidR="00FB2E1A">
              <w:rPr>
                <w:noProof/>
                <w:webHidden/>
              </w:rPr>
              <w:tab/>
            </w:r>
            <w:r w:rsidR="00FB2E1A">
              <w:rPr>
                <w:noProof/>
                <w:webHidden/>
              </w:rPr>
              <w:fldChar w:fldCharType="begin"/>
            </w:r>
            <w:r w:rsidR="00FB2E1A">
              <w:rPr>
                <w:noProof/>
                <w:webHidden/>
              </w:rPr>
              <w:instrText xml:space="preserve"> PAGEREF _Toc99018934 \h </w:instrText>
            </w:r>
            <w:r w:rsidR="00FB2E1A">
              <w:rPr>
                <w:noProof/>
                <w:webHidden/>
              </w:rPr>
            </w:r>
            <w:r w:rsidR="00FB2E1A">
              <w:rPr>
                <w:noProof/>
                <w:webHidden/>
              </w:rPr>
              <w:fldChar w:fldCharType="separate"/>
            </w:r>
            <w:r>
              <w:rPr>
                <w:noProof/>
                <w:webHidden/>
              </w:rPr>
              <w:t>5</w:t>
            </w:r>
            <w:r w:rsidR="00FB2E1A">
              <w:rPr>
                <w:noProof/>
                <w:webHidden/>
              </w:rPr>
              <w:fldChar w:fldCharType="end"/>
            </w:r>
          </w:hyperlink>
        </w:p>
        <w:p w14:paraId="0EE03EDD" w14:textId="66EBD1A4" w:rsidR="00FB2E1A" w:rsidRDefault="00EF3757">
          <w:pPr>
            <w:pStyle w:val="TOC1"/>
            <w:rPr>
              <w:rFonts w:asciiTheme="minorHAnsi" w:eastAsiaTheme="minorEastAsia" w:hAnsiTheme="minorHAnsi" w:cstheme="minorBidi"/>
              <w:noProof/>
              <w:szCs w:val="22"/>
              <w:lang w:eastAsia="en-AU"/>
            </w:rPr>
          </w:pPr>
          <w:hyperlink w:anchor="_Toc99018935" w:history="1">
            <w:r w:rsidR="00FB2E1A" w:rsidRPr="004819CD">
              <w:rPr>
                <w:rStyle w:val="Hyperlink"/>
                <w:noProof/>
              </w:rPr>
              <w:t>Methodology</w:t>
            </w:r>
            <w:r w:rsidR="00FB2E1A">
              <w:rPr>
                <w:noProof/>
                <w:webHidden/>
              </w:rPr>
              <w:tab/>
            </w:r>
            <w:r w:rsidR="00FB2E1A">
              <w:rPr>
                <w:noProof/>
                <w:webHidden/>
              </w:rPr>
              <w:fldChar w:fldCharType="begin"/>
            </w:r>
            <w:r w:rsidR="00FB2E1A">
              <w:rPr>
                <w:noProof/>
                <w:webHidden/>
              </w:rPr>
              <w:instrText xml:space="preserve"> PAGEREF _Toc99018935 \h </w:instrText>
            </w:r>
            <w:r w:rsidR="00FB2E1A">
              <w:rPr>
                <w:noProof/>
                <w:webHidden/>
              </w:rPr>
            </w:r>
            <w:r w:rsidR="00FB2E1A">
              <w:rPr>
                <w:noProof/>
                <w:webHidden/>
              </w:rPr>
              <w:fldChar w:fldCharType="separate"/>
            </w:r>
            <w:r>
              <w:rPr>
                <w:noProof/>
                <w:webHidden/>
              </w:rPr>
              <w:t>13</w:t>
            </w:r>
            <w:r w:rsidR="00FB2E1A">
              <w:rPr>
                <w:noProof/>
                <w:webHidden/>
              </w:rPr>
              <w:fldChar w:fldCharType="end"/>
            </w:r>
          </w:hyperlink>
        </w:p>
        <w:p w14:paraId="4BD865FF" w14:textId="5D93E9D3" w:rsidR="00FB2E1A" w:rsidRDefault="00EF3757">
          <w:pPr>
            <w:pStyle w:val="TOC1"/>
            <w:rPr>
              <w:rFonts w:asciiTheme="minorHAnsi" w:eastAsiaTheme="minorEastAsia" w:hAnsiTheme="minorHAnsi" w:cstheme="minorBidi"/>
              <w:noProof/>
              <w:szCs w:val="22"/>
              <w:lang w:eastAsia="en-AU"/>
            </w:rPr>
          </w:pPr>
          <w:hyperlink w:anchor="_Toc99018936" w:history="1">
            <w:r w:rsidR="00FB2E1A" w:rsidRPr="004819CD">
              <w:rPr>
                <w:rStyle w:val="Hyperlink"/>
                <w:noProof/>
              </w:rPr>
              <w:t>Assumptions</w:t>
            </w:r>
            <w:r w:rsidR="00FB2E1A">
              <w:rPr>
                <w:noProof/>
                <w:webHidden/>
              </w:rPr>
              <w:tab/>
            </w:r>
            <w:r w:rsidR="00FB2E1A">
              <w:rPr>
                <w:noProof/>
                <w:webHidden/>
              </w:rPr>
              <w:fldChar w:fldCharType="begin"/>
            </w:r>
            <w:r w:rsidR="00FB2E1A">
              <w:rPr>
                <w:noProof/>
                <w:webHidden/>
              </w:rPr>
              <w:instrText xml:space="preserve"> PAGEREF _Toc99018936 \h </w:instrText>
            </w:r>
            <w:r w:rsidR="00FB2E1A">
              <w:rPr>
                <w:noProof/>
                <w:webHidden/>
              </w:rPr>
            </w:r>
            <w:r w:rsidR="00FB2E1A">
              <w:rPr>
                <w:noProof/>
                <w:webHidden/>
              </w:rPr>
              <w:fldChar w:fldCharType="separate"/>
            </w:r>
            <w:r>
              <w:rPr>
                <w:noProof/>
                <w:webHidden/>
              </w:rPr>
              <w:t>14</w:t>
            </w:r>
            <w:r w:rsidR="00FB2E1A">
              <w:rPr>
                <w:noProof/>
                <w:webHidden/>
              </w:rPr>
              <w:fldChar w:fldCharType="end"/>
            </w:r>
          </w:hyperlink>
        </w:p>
        <w:p w14:paraId="47CDCCF1" w14:textId="1B770BD2" w:rsidR="00FB2E1A" w:rsidRDefault="00EF3757">
          <w:pPr>
            <w:pStyle w:val="TOC2"/>
            <w:tabs>
              <w:tab w:val="right" w:leader="dot" w:pos="9629"/>
            </w:tabs>
            <w:rPr>
              <w:rFonts w:asciiTheme="minorHAnsi" w:eastAsiaTheme="minorEastAsia" w:hAnsiTheme="minorHAnsi" w:cstheme="minorBidi"/>
              <w:noProof/>
              <w:szCs w:val="22"/>
              <w:lang w:eastAsia="en-AU"/>
            </w:rPr>
          </w:pPr>
          <w:hyperlink w:anchor="_Toc99018937" w:history="1">
            <w:r w:rsidR="00FB2E1A" w:rsidRPr="004819CD">
              <w:rPr>
                <w:rStyle w:val="Hyperlink"/>
                <w:noProof/>
              </w:rPr>
              <w:t>Fertility</w:t>
            </w:r>
            <w:r w:rsidR="00FB2E1A">
              <w:rPr>
                <w:noProof/>
                <w:webHidden/>
              </w:rPr>
              <w:tab/>
            </w:r>
            <w:r w:rsidR="00FB2E1A">
              <w:rPr>
                <w:noProof/>
                <w:webHidden/>
              </w:rPr>
              <w:fldChar w:fldCharType="begin"/>
            </w:r>
            <w:r w:rsidR="00FB2E1A">
              <w:rPr>
                <w:noProof/>
                <w:webHidden/>
              </w:rPr>
              <w:instrText xml:space="preserve"> PAGEREF _Toc99018937 \h </w:instrText>
            </w:r>
            <w:r w:rsidR="00FB2E1A">
              <w:rPr>
                <w:noProof/>
                <w:webHidden/>
              </w:rPr>
            </w:r>
            <w:r w:rsidR="00FB2E1A">
              <w:rPr>
                <w:noProof/>
                <w:webHidden/>
              </w:rPr>
              <w:fldChar w:fldCharType="separate"/>
            </w:r>
            <w:r>
              <w:rPr>
                <w:noProof/>
                <w:webHidden/>
              </w:rPr>
              <w:t>14</w:t>
            </w:r>
            <w:r w:rsidR="00FB2E1A">
              <w:rPr>
                <w:noProof/>
                <w:webHidden/>
              </w:rPr>
              <w:fldChar w:fldCharType="end"/>
            </w:r>
          </w:hyperlink>
        </w:p>
        <w:p w14:paraId="3D3C0335" w14:textId="349E0B4D" w:rsidR="00FB2E1A" w:rsidRDefault="00EF3757">
          <w:pPr>
            <w:pStyle w:val="TOC2"/>
            <w:tabs>
              <w:tab w:val="right" w:leader="dot" w:pos="9629"/>
            </w:tabs>
            <w:rPr>
              <w:rFonts w:asciiTheme="minorHAnsi" w:eastAsiaTheme="minorEastAsia" w:hAnsiTheme="minorHAnsi" w:cstheme="minorBidi"/>
              <w:noProof/>
              <w:szCs w:val="22"/>
              <w:lang w:eastAsia="en-AU"/>
            </w:rPr>
          </w:pPr>
          <w:hyperlink w:anchor="_Toc99018938" w:history="1">
            <w:r w:rsidR="00FB2E1A" w:rsidRPr="004819CD">
              <w:rPr>
                <w:rStyle w:val="Hyperlink"/>
                <w:noProof/>
              </w:rPr>
              <w:t>Mortality</w:t>
            </w:r>
            <w:r w:rsidR="00FB2E1A">
              <w:rPr>
                <w:noProof/>
                <w:webHidden/>
              </w:rPr>
              <w:tab/>
            </w:r>
            <w:r w:rsidR="00FB2E1A">
              <w:rPr>
                <w:noProof/>
                <w:webHidden/>
              </w:rPr>
              <w:fldChar w:fldCharType="begin"/>
            </w:r>
            <w:r w:rsidR="00FB2E1A">
              <w:rPr>
                <w:noProof/>
                <w:webHidden/>
              </w:rPr>
              <w:instrText xml:space="preserve"> PAGEREF _Toc99018938 \h </w:instrText>
            </w:r>
            <w:r w:rsidR="00FB2E1A">
              <w:rPr>
                <w:noProof/>
                <w:webHidden/>
              </w:rPr>
            </w:r>
            <w:r w:rsidR="00FB2E1A">
              <w:rPr>
                <w:noProof/>
                <w:webHidden/>
              </w:rPr>
              <w:fldChar w:fldCharType="separate"/>
            </w:r>
            <w:r>
              <w:rPr>
                <w:noProof/>
                <w:webHidden/>
              </w:rPr>
              <w:t>14</w:t>
            </w:r>
            <w:r w:rsidR="00FB2E1A">
              <w:rPr>
                <w:noProof/>
                <w:webHidden/>
              </w:rPr>
              <w:fldChar w:fldCharType="end"/>
            </w:r>
          </w:hyperlink>
        </w:p>
        <w:p w14:paraId="4253D0EF" w14:textId="459C0F7A" w:rsidR="00FB2E1A" w:rsidRDefault="00EF3757">
          <w:pPr>
            <w:pStyle w:val="TOC2"/>
            <w:tabs>
              <w:tab w:val="right" w:leader="dot" w:pos="9629"/>
            </w:tabs>
            <w:rPr>
              <w:rFonts w:asciiTheme="minorHAnsi" w:eastAsiaTheme="minorEastAsia" w:hAnsiTheme="minorHAnsi" w:cstheme="minorBidi"/>
              <w:noProof/>
              <w:szCs w:val="22"/>
              <w:lang w:eastAsia="en-AU"/>
            </w:rPr>
          </w:pPr>
          <w:hyperlink w:anchor="_Toc99018939" w:history="1">
            <w:r w:rsidR="00FB2E1A" w:rsidRPr="004819CD">
              <w:rPr>
                <w:rStyle w:val="Hyperlink"/>
                <w:noProof/>
              </w:rPr>
              <w:t>Overseas migration</w:t>
            </w:r>
            <w:r w:rsidR="00FB2E1A">
              <w:rPr>
                <w:noProof/>
                <w:webHidden/>
              </w:rPr>
              <w:tab/>
            </w:r>
            <w:r w:rsidR="00FB2E1A">
              <w:rPr>
                <w:noProof/>
                <w:webHidden/>
              </w:rPr>
              <w:fldChar w:fldCharType="begin"/>
            </w:r>
            <w:r w:rsidR="00FB2E1A">
              <w:rPr>
                <w:noProof/>
                <w:webHidden/>
              </w:rPr>
              <w:instrText xml:space="preserve"> PAGEREF _Toc99018939 \h </w:instrText>
            </w:r>
            <w:r w:rsidR="00FB2E1A">
              <w:rPr>
                <w:noProof/>
                <w:webHidden/>
              </w:rPr>
            </w:r>
            <w:r w:rsidR="00FB2E1A">
              <w:rPr>
                <w:noProof/>
                <w:webHidden/>
              </w:rPr>
              <w:fldChar w:fldCharType="separate"/>
            </w:r>
            <w:r>
              <w:rPr>
                <w:noProof/>
                <w:webHidden/>
              </w:rPr>
              <w:t>15</w:t>
            </w:r>
            <w:r w:rsidR="00FB2E1A">
              <w:rPr>
                <w:noProof/>
                <w:webHidden/>
              </w:rPr>
              <w:fldChar w:fldCharType="end"/>
            </w:r>
          </w:hyperlink>
        </w:p>
        <w:p w14:paraId="24834202" w14:textId="216875D5" w:rsidR="00FB2E1A" w:rsidRDefault="00EF3757">
          <w:pPr>
            <w:pStyle w:val="TOC2"/>
            <w:tabs>
              <w:tab w:val="right" w:leader="dot" w:pos="9629"/>
            </w:tabs>
            <w:rPr>
              <w:rFonts w:asciiTheme="minorHAnsi" w:eastAsiaTheme="minorEastAsia" w:hAnsiTheme="minorHAnsi" w:cstheme="minorBidi"/>
              <w:noProof/>
              <w:szCs w:val="22"/>
              <w:lang w:eastAsia="en-AU"/>
            </w:rPr>
          </w:pPr>
          <w:hyperlink w:anchor="_Toc99018940" w:history="1">
            <w:r w:rsidR="00FB2E1A" w:rsidRPr="004819CD">
              <w:rPr>
                <w:rStyle w:val="Hyperlink"/>
                <w:noProof/>
              </w:rPr>
              <w:t>Interstate migration</w:t>
            </w:r>
            <w:r w:rsidR="00FB2E1A">
              <w:rPr>
                <w:noProof/>
                <w:webHidden/>
              </w:rPr>
              <w:tab/>
            </w:r>
            <w:r w:rsidR="00FB2E1A">
              <w:rPr>
                <w:noProof/>
                <w:webHidden/>
              </w:rPr>
              <w:fldChar w:fldCharType="begin"/>
            </w:r>
            <w:r w:rsidR="00FB2E1A">
              <w:rPr>
                <w:noProof/>
                <w:webHidden/>
              </w:rPr>
              <w:instrText xml:space="preserve"> PAGEREF _Toc99018940 \h </w:instrText>
            </w:r>
            <w:r w:rsidR="00FB2E1A">
              <w:rPr>
                <w:noProof/>
                <w:webHidden/>
              </w:rPr>
            </w:r>
            <w:r w:rsidR="00FB2E1A">
              <w:rPr>
                <w:noProof/>
                <w:webHidden/>
              </w:rPr>
              <w:fldChar w:fldCharType="separate"/>
            </w:r>
            <w:r>
              <w:rPr>
                <w:noProof/>
                <w:webHidden/>
              </w:rPr>
              <w:t>15</w:t>
            </w:r>
            <w:r w:rsidR="00FB2E1A">
              <w:rPr>
                <w:noProof/>
                <w:webHidden/>
              </w:rPr>
              <w:fldChar w:fldCharType="end"/>
            </w:r>
          </w:hyperlink>
        </w:p>
        <w:p w14:paraId="5A8810C1" w14:textId="3EF3DDF4" w:rsidR="00FB2E1A" w:rsidRDefault="00EF3757">
          <w:pPr>
            <w:pStyle w:val="TOC1"/>
            <w:rPr>
              <w:rFonts w:asciiTheme="minorHAnsi" w:eastAsiaTheme="minorEastAsia" w:hAnsiTheme="minorHAnsi" w:cstheme="minorBidi"/>
              <w:noProof/>
              <w:szCs w:val="22"/>
              <w:lang w:eastAsia="en-AU"/>
            </w:rPr>
          </w:pPr>
          <w:hyperlink w:anchor="_Toc99018941" w:history="1">
            <w:r w:rsidR="00FB2E1A" w:rsidRPr="004819CD">
              <w:rPr>
                <w:rStyle w:val="Hyperlink"/>
                <w:noProof/>
              </w:rPr>
              <w:t>Limitations and Uncertainty</w:t>
            </w:r>
            <w:r w:rsidR="00FB2E1A">
              <w:rPr>
                <w:noProof/>
                <w:webHidden/>
              </w:rPr>
              <w:tab/>
            </w:r>
            <w:r w:rsidR="00FB2E1A">
              <w:rPr>
                <w:noProof/>
                <w:webHidden/>
              </w:rPr>
              <w:fldChar w:fldCharType="begin"/>
            </w:r>
            <w:r w:rsidR="00FB2E1A">
              <w:rPr>
                <w:noProof/>
                <w:webHidden/>
              </w:rPr>
              <w:instrText xml:space="preserve"> PAGEREF _Toc99018941 \h </w:instrText>
            </w:r>
            <w:r w:rsidR="00FB2E1A">
              <w:rPr>
                <w:noProof/>
                <w:webHidden/>
              </w:rPr>
            </w:r>
            <w:r w:rsidR="00FB2E1A">
              <w:rPr>
                <w:noProof/>
                <w:webHidden/>
              </w:rPr>
              <w:fldChar w:fldCharType="separate"/>
            </w:r>
            <w:r>
              <w:rPr>
                <w:noProof/>
                <w:webHidden/>
              </w:rPr>
              <w:t>17</w:t>
            </w:r>
            <w:r w:rsidR="00FB2E1A">
              <w:rPr>
                <w:noProof/>
                <w:webHidden/>
              </w:rPr>
              <w:fldChar w:fldCharType="end"/>
            </w:r>
          </w:hyperlink>
        </w:p>
        <w:p w14:paraId="30F7A7A3" w14:textId="2D16FFDB" w:rsidR="00FB2E1A" w:rsidRDefault="00EF3757">
          <w:pPr>
            <w:pStyle w:val="TOC2"/>
            <w:tabs>
              <w:tab w:val="left" w:pos="1760"/>
              <w:tab w:val="right" w:leader="dot" w:pos="9629"/>
            </w:tabs>
            <w:rPr>
              <w:rFonts w:asciiTheme="minorHAnsi" w:eastAsiaTheme="minorEastAsia" w:hAnsiTheme="minorHAnsi" w:cstheme="minorBidi"/>
              <w:noProof/>
              <w:szCs w:val="22"/>
              <w:lang w:eastAsia="en-AU"/>
            </w:rPr>
          </w:pPr>
          <w:hyperlink w:anchor="_Toc99018942" w:history="1">
            <w:r w:rsidR="00FB2E1A" w:rsidRPr="004819CD">
              <w:rPr>
                <w:rStyle w:val="Hyperlink"/>
                <w:noProof/>
              </w:rPr>
              <w:t>Appendix A –</w:t>
            </w:r>
            <w:r w:rsidR="00FB2E1A">
              <w:rPr>
                <w:rFonts w:asciiTheme="minorHAnsi" w:eastAsiaTheme="minorEastAsia" w:hAnsiTheme="minorHAnsi" w:cstheme="minorBidi"/>
                <w:noProof/>
                <w:szCs w:val="22"/>
                <w:lang w:eastAsia="en-AU"/>
              </w:rPr>
              <w:tab/>
            </w:r>
            <w:r w:rsidR="00FB2E1A" w:rsidRPr="004819CD">
              <w:rPr>
                <w:rStyle w:val="Hyperlink"/>
                <w:noProof/>
              </w:rPr>
              <w:t>Quality framework for the population projections</w:t>
            </w:r>
            <w:r w:rsidR="00FB2E1A">
              <w:rPr>
                <w:noProof/>
                <w:webHidden/>
              </w:rPr>
              <w:tab/>
            </w:r>
            <w:r w:rsidR="00FB2E1A">
              <w:rPr>
                <w:noProof/>
                <w:webHidden/>
              </w:rPr>
              <w:fldChar w:fldCharType="begin"/>
            </w:r>
            <w:r w:rsidR="00FB2E1A">
              <w:rPr>
                <w:noProof/>
                <w:webHidden/>
              </w:rPr>
              <w:instrText xml:space="preserve"> PAGEREF _Toc99018942 \h </w:instrText>
            </w:r>
            <w:r w:rsidR="00FB2E1A">
              <w:rPr>
                <w:noProof/>
                <w:webHidden/>
              </w:rPr>
            </w:r>
            <w:r w:rsidR="00FB2E1A">
              <w:rPr>
                <w:noProof/>
                <w:webHidden/>
              </w:rPr>
              <w:fldChar w:fldCharType="separate"/>
            </w:r>
            <w:r>
              <w:rPr>
                <w:noProof/>
                <w:webHidden/>
              </w:rPr>
              <w:t>19</w:t>
            </w:r>
            <w:r w:rsidR="00FB2E1A">
              <w:rPr>
                <w:noProof/>
                <w:webHidden/>
              </w:rPr>
              <w:fldChar w:fldCharType="end"/>
            </w:r>
          </w:hyperlink>
        </w:p>
        <w:p w14:paraId="428CD82F" w14:textId="622A3937" w:rsidR="008863F0" w:rsidRDefault="008863F0">
          <w:r>
            <w:rPr>
              <w:b/>
              <w:bCs/>
              <w:noProof/>
            </w:rPr>
            <w:fldChar w:fldCharType="end"/>
          </w:r>
        </w:p>
      </w:sdtContent>
    </w:sdt>
    <w:p w14:paraId="7BDDAA32" w14:textId="2691278B" w:rsidR="008863F0" w:rsidRDefault="008863F0">
      <w:pPr>
        <w:spacing w:before="0" w:after="160" w:line="259" w:lineRule="auto"/>
        <w:rPr>
          <w:rFonts w:ascii="Arial" w:hAnsi="Arial"/>
          <w:b/>
          <w:color w:val="7030A0"/>
          <w:kern w:val="28"/>
          <w:sz w:val="44"/>
        </w:rPr>
      </w:pPr>
      <w:r>
        <w:br w:type="page"/>
      </w:r>
    </w:p>
    <w:p w14:paraId="3D7EB9CC" w14:textId="5BF008E8" w:rsidR="00761BFE" w:rsidRDefault="008863F0" w:rsidP="00761BFE">
      <w:pPr>
        <w:pStyle w:val="Heading1"/>
      </w:pPr>
      <w:bookmarkStart w:id="4" w:name="_Toc99018932"/>
      <w:r>
        <w:lastRenderedPageBreak/>
        <w:t>Executive Summary</w:t>
      </w:r>
      <w:bookmarkEnd w:id="4"/>
    </w:p>
    <w:p w14:paraId="24D313C5" w14:textId="0E43BC38" w:rsidR="00D20C9E" w:rsidRPr="00FD2CED" w:rsidRDefault="006532D3" w:rsidP="0030774F">
      <w:r>
        <w:t xml:space="preserve">Population projections are an important </w:t>
      </w:r>
      <w:r w:rsidR="00B93AB7">
        <w:t>component for</w:t>
      </w:r>
      <w:r>
        <w:t xml:space="preserve"> many aspects of planning</w:t>
      </w:r>
      <w:r w:rsidR="00FC6931">
        <w:t>, research</w:t>
      </w:r>
      <w:r w:rsidR="00EA217E">
        <w:t xml:space="preserve"> and policy development and advice</w:t>
      </w:r>
      <w:r>
        <w:t xml:space="preserve">. This </w:t>
      </w:r>
      <w:r w:rsidR="00EF62B4">
        <w:t>paper</w:t>
      </w:r>
      <w:r w:rsidR="00412F63">
        <w:t>, a product of the ACT Public Service (ACTPS),</w:t>
      </w:r>
      <w:r>
        <w:t xml:space="preserve"> </w:t>
      </w:r>
      <w:r w:rsidR="00EF62B4">
        <w:t>presents updated population</w:t>
      </w:r>
      <w:r>
        <w:t xml:space="preserve"> projections</w:t>
      </w:r>
      <w:r w:rsidR="00B93AB7">
        <w:t xml:space="preserve"> for the Australian Capital Territory</w:t>
      </w:r>
      <w:r w:rsidR="00EF62B4">
        <w:t xml:space="preserve"> to </w:t>
      </w:r>
      <w:r w:rsidR="00833FC8">
        <w:t xml:space="preserve">June </w:t>
      </w:r>
      <w:r w:rsidR="00EF62B4">
        <w:t>2060</w:t>
      </w:r>
      <w:r>
        <w:t xml:space="preserve">. </w:t>
      </w:r>
      <w:r w:rsidR="000B768A">
        <w:t>The ACT Government last released f</w:t>
      </w:r>
      <w:r w:rsidR="00EF62B4">
        <w:t xml:space="preserve">orty-year projections </w:t>
      </w:r>
      <w:r w:rsidR="0018446C">
        <w:t>in 2019</w:t>
      </w:r>
      <w:r w:rsidR="00EF62B4">
        <w:t xml:space="preserve">, with projections prepared in collaboration with the </w:t>
      </w:r>
      <w:r w:rsidR="0030774F">
        <w:t>Australian Bureau of Statistics (</w:t>
      </w:r>
      <w:r w:rsidR="00EF62B4">
        <w:t>ABS</w:t>
      </w:r>
      <w:r w:rsidR="0030774F">
        <w:t>)</w:t>
      </w:r>
      <w:r w:rsidR="00EF62B4">
        <w:t xml:space="preserve">. </w:t>
      </w:r>
      <w:r w:rsidR="0030774F">
        <w:t xml:space="preserve">Building on this work, the ACT Treasury has prepared these projections </w:t>
      </w:r>
      <w:r w:rsidR="00EC6E7F">
        <w:t>in collaboration with</w:t>
      </w:r>
      <w:r w:rsidR="00D20C9E">
        <w:t xml:space="preserve"> the School of Demography </w:t>
      </w:r>
      <w:r>
        <w:t>at</w:t>
      </w:r>
      <w:r w:rsidR="00D20C9E">
        <w:t xml:space="preserve"> the Australian National University</w:t>
      </w:r>
      <w:r w:rsidR="00FA3DCA">
        <w:t xml:space="preserve"> based on official data sources</w:t>
      </w:r>
      <w:r w:rsidR="008841A2">
        <w:t xml:space="preserve"> and modelling until </w:t>
      </w:r>
      <w:r w:rsidR="00544059">
        <w:t xml:space="preserve">October </w:t>
      </w:r>
      <w:r w:rsidR="008841A2">
        <w:t>2022</w:t>
      </w:r>
      <w:r w:rsidR="00D20C9E">
        <w:t>.</w:t>
      </w:r>
      <w:r>
        <w:t xml:space="preserve"> </w:t>
      </w:r>
      <w:r w:rsidR="000B768A">
        <w:t>The projections incorporate d</w:t>
      </w:r>
      <w:r w:rsidR="00DA3ED4">
        <w:t>ata from Census</w:t>
      </w:r>
      <w:r w:rsidR="007E2C0A">
        <w:t xml:space="preserve"> 2021</w:t>
      </w:r>
      <w:r w:rsidR="00697666">
        <w:t>, which showed a</w:t>
      </w:r>
      <w:r w:rsidR="00BE1962">
        <w:t xml:space="preserve"> 5 per cent</w:t>
      </w:r>
      <w:r w:rsidR="00697666">
        <w:t xml:space="preserve"> upgrade</w:t>
      </w:r>
      <w:r w:rsidR="00BE1962">
        <w:t xml:space="preserve"> to the ACT population in comparison to Estimated Resident Population (ERP) derived from the 2016 Census</w:t>
      </w:r>
      <w:r w:rsidR="00261B2D">
        <w:t xml:space="preserve"> (known as rebasing)</w:t>
      </w:r>
      <w:r w:rsidR="00DA3ED4" w:rsidRPr="00FD2CED">
        <w:t>.</w:t>
      </w:r>
    </w:p>
    <w:p w14:paraId="2F2B9635" w14:textId="77F869B4" w:rsidR="00B61767" w:rsidRPr="00FD2CED" w:rsidRDefault="00761BFE" w:rsidP="00761BFE">
      <w:r w:rsidRPr="00FD2CED">
        <w:t>Population in the ACT is projected to grow to a</w:t>
      </w:r>
      <w:r w:rsidR="00C24CC4" w:rsidRPr="00FD2CED">
        <w:t>pproximately</w:t>
      </w:r>
      <w:r w:rsidRPr="00FD2CED">
        <w:t xml:space="preserve"> </w:t>
      </w:r>
      <w:r w:rsidR="00A55FAA" w:rsidRPr="00FD2CED">
        <w:t>784</w:t>
      </w:r>
      <w:r w:rsidRPr="00FD2CED">
        <w:t xml:space="preserve">,000 </w:t>
      </w:r>
      <w:r w:rsidR="00F62EF9" w:rsidRPr="00FD2CED">
        <w:t xml:space="preserve">persons </w:t>
      </w:r>
      <w:r w:rsidR="00833FC8" w:rsidRPr="00FD2CED">
        <w:t>by June</w:t>
      </w:r>
      <w:r w:rsidRPr="00FD2CED">
        <w:t xml:space="preserve"> 2060</w:t>
      </w:r>
      <w:r w:rsidR="00F93F4D" w:rsidRPr="00FD2CED">
        <w:t xml:space="preserve">. </w:t>
      </w:r>
      <w:r w:rsidR="00C24CC4" w:rsidRPr="00FD2CED">
        <w:t>Much</w:t>
      </w:r>
      <w:r w:rsidR="000F597A" w:rsidRPr="00FD2CED">
        <w:t xml:space="preserve"> of the growth is expected to come from </w:t>
      </w:r>
      <w:r w:rsidR="00942F83" w:rsidRPr="00FD2CED">
        <w:t xml:space="preserve">net migration, </w:t>
      </w:r>
      <w:r w:rsidR="009253C4" w:rsidRPr="00FD2CED">
        <w:t xml:space="preserve">consisting of net overseas migration and net interstate migration, </w:t>
      </w:r>
      <w:r w:rsidR="00942F83" w:rsidRPr="00FD2CED">
        <w:t xml:space="preserve">further </w:t>
      </w:r>
      <w:r w:rsidR="00D45A74">
        <w:t>supported</w:t>
      </w:r>
      <w:r w:rsidR="00D45A74" w:rsidRPr="00FD2CED">
        <w:t xml:space="preserve"> </w:t>
      </w:r>
      <w:r w:rsidR="00942F83" w:rsidRPr="00FD2CED">
        <w:t xml:space="preserve">by </w:t>
      </w:r>
      <w:r w:rsidR="00D45A74">
        <w:t xml:space="preserve">the </w:t>
      </w:r>
      <w:r w:rsidR="000F597A" w:rsidRPr="00FD2CED">
        <w:t>natural increase (births minus deaths)</w:t>
      </w:r>
      <w:r w:rsidR="00D45A74">
        <w:t xml:space="preserve"> in the population</w:t>
      </w:r>
      <w:r w:rsidR="000F597A" w:rsidRPr="00FD2CED">
        <w:t>.</w:t>
      </w:r>
      <w:r w:rsidR="00F93F4D" w:rsidRPr="00FD2CED">
        <w:t xml:space="preserve"> </w:t>
      </w:r>
      <w:r w:rsidR="0001360D" w:rsidRPr="00FD2CED">
        <w:t>T</w:t>
      </w:r>
      <w:r w:rsidR="00F93F4D" w:rsidRPr="00FD2CED">
        <w:t xml:space="preserve">he projected population for </w:t>
      </w:r>
      <w:r w:rsidR="0054228C">
        <w:t xml:space="preserve">June </w:t>
      </w:r>
      <w:r w:rsidR="00F93F4D" w:rsidRPr="00FD2CED">
        <w:t>2058 is a</w:t>
      </w:r>
      <w:r w:rsidR="00B43019" w:rsidRPr="00FD2CED">
        <w:t>round</w:t>
      </w:r>
      <w:r w:rsidR="00F93F4D" w:rsidRPr="00FD2CED">
        <w:t xml:space="preserve"> </w:t>
      </w:r>
      <w:r w:rsidR="00833FC8" w:rsidRPr="00FD2CED">
        <w:t>6</w:t>
      </w:r>
      <w:r w:rsidR="00920D3A" w:rsidRPr="00FD2CED">
        <w:t>3</w:t>
      </w:r>
      <w:r w:rsidR="00F93F4D" w:rsidRPr="00FD2CED">
        <w:t xml:space="preserve">,000 </w:t>
      </w:r>
      <w:r w:rsidR="00F62EF9" w:rsidRPr="00FD2CED">
        <w:t xml:space="preserve">persons </w:t>
      </w:r>
      <w:r w:rsidR="00BE1962" w:rsidRPr="00FD2CED">
        <w:t xml:space="preserve">higher </w:t>
      </w:r>
      <w:r w:rsidR="00F93F4D" w:rsidRPr="00FD2CED">
        <w:t xml:space="preserve">than the </w:t>
      </w:r>
      <w:r w:rsidR="00314552" w:rsidRPr="00FD2CED">
        <w:t xml:space="preserve">previous </w:t>
      </w:r>
      <w:r w:rsidR="00F93F4D" w:rsidRPr="00FD2CED">
        <w:t xml:space="preserve">projections published in 2019. </w:t>
      </w:r>
      <w:r w:rsidR="0018446C" w:rsidRPr="00FD2CED">
        <w:t xml:space="preserve">This change reflects </w:t>
      </w:r>
      <w:r w:rsidR="0001360D" w:rsidRPr="00FD2CED">
        <w:t>data from</w:t>
      </w:r>
      <w:r w:rsidR="0018446C" w:rsidRPr="00FD2CED">
        <w:t xml:space="preserve"> </w:t>
      </w:r>
      <w:r w:rsidR="00BE1962" w:rsidRPr="00FD2CED">
        <w:t xml:space="preserve">Census </w:t>
      </w:r>
      <w:r w:rsidR="007E2C0A" w:rsidRPr="00FD2CED">
        <w:t xml:space="preserve">2021 </w:t>
      </w:r>
      <w:r w:rsidR="000B768A">
        <w:t>that shows</w:t>
      </w:r>
      <w:r w:rsidR="00BE1962" w:rsidRPr="00FD2CED">
        <w:t xml:space="preserve"> </w:t>
      </w:r>
      <w:r w:rsidR="009253C4" w:rsidRPr="00FD2CED">
        <w:t>net migration into the ACT</w:t>
      </w:r>
      <w:r w:rsidR="00BE1962" w:rsidRPr="00FD2CED">
        <w:t xml:space="preserve"> to be significantly higher than the ABS previously estimated</w:t>
      </w:r>
      <w:r w:rsidR="000B768A">
        <w:t xml:space="preserve"> –</w:t>
      </w:r>
      <w:r w:rsidR="00BE1962" w:rsidRPr="00FD2CED">
        <w:t xml:space="preserve"> </w:t>
      </w:r>
      <w:r w:rsidR="000B768A">
        <w:t>strong net migration</w:t>
      </w:r>
      <w:r w:rsidR="009253C4" w:rsidRPr="00FD2CED">
        <w:t xml:space="preserve"> is expected to persist over the projection period.</w:t>
      </w:r>
      <w:r w:rsidR="007A1897" w:rsidRPr="00FD2CED">
        <w:t xml:space="preserve"> </w:t>
      </w:r>
    </w:p>
    <w:p w14:paraId="0023CF4D" w14:textId="36DE8F55" w:rsidR="008D651D" w:rsidRDefault="008D651D" w:rsidP="00761BFE">
      <w:r w:rsidRPr="00FD2CED">
        <w:t xml:space="preserve">The median age in the ACT is expected to </w:t>
      </w:r>
      <w:r w:rsidR="00811413">
        <w:t>only rise</w:t>
      </w:r>
      <w:r w:rsidR="00811413" w:rsidRPr="00FD2CED">
        <w:t xml:space="preserve"> </w:t>
      </w:r>
      <w:r w:rsidRPr="00FD2CED">
        <w:t>from 3</w:t>
      </w:r>
      <w:r w:rsidR="00A55FAA" w:rsidRPr="00FD2CED">
        <w:t>5</w:t>
      </w:r>
      <w:r w:rsidRPr="00FD2CED">
        <w:t xml:space="preserve"> years in 202</w:t>
      </w:r>
      <w:r w:rsidR="00C43551" w:rsidRPr="00FD2CED">
        <w:t>1</w:t>
      </w:r>
      <w:r w:rsidRPr="00FD2CED">
        <w:t xml:space="preserve"> to </w:t>
      </w:r>
      <w:r w:rsidR="00920D3A" w:rsidRPr="00FD2CED">
        <w:t xml:space="preserve">37 </w:t>
      </w:r>
      <w:r w:rsidRPr="00FD2CED">
        <w:t xml:space="preserve">years in 2060. Migration </w:t>
      </w:r>
      <w:r w:rsidR="006123D6">
        <w:t>tends to put downward pressure on median wage</w:t>
      </w:r>
      <w:r w:rsidRPr="00FD2CED">
        <w:t xml:space="preserve">, as </w:t>
      </w:r>
      <w:r w:rsidR="00C43551" w:rsidRPr="00FD2CED">
        <w:t>most</w:t>
      </w:r>
      <w:r w:rsidRPr="00FD2CED">
        <w:t xml:space="preserve"> migrants tend to enter in their mid-20s.</w:t>
      </w:r>
    </w:p>
    <w:p w14:paraId="1990318D" w14:textId="3B56130E" w:rsidR="000854D2" w:rsidRDefault="006123D6" w:rsidP="00761BFE">
      <w:r>
        <w:t>The pattern of p</w:t>
      </w:r>
      <w:r w:rsidR="006532D3">
        <w:t>opulation g</w:t>
      </w:r>
      <w:r w:rsidR="00C24CC4">
        <w:t xml:space="preserve">rowth </w:t>
      </w:r>
      <w:r>
        <w:t xml:space="preserve">varies </w:t>
      </w:r>
      <w:r w:rsidR="00C24CC4">
        <w:t>across ACT</w:t>
      </w:r>
      <w:r w:rsidR="008E03AA">
        <w:t xml:space="preserve"> </w:t>
      </w:r>
      <w:r>
        <w:t xml:space="preserve">suburbs </w:t>
      </w:r>
      <w:r w:rsidR="00DA470A">
        <w:t>based on</w:t>
      </w:r>
      <w:r w:rsidR="006532D3">
        <w:t xml:space="preserve"> </w:t>
      </w:r>
      <w:r w:rsidR="0018446C">
        <w:t xml:space="preserve">the date that a </w:t>
      </w:r>
      <w:r w:rsidR="006532D3">
        <w:t>district</w:t>
      </w:r>
      <w:r w:rsidR="0018446C">
        <w:t xml:space="preserve"> or</w:t>
      </w:r>
      <w:r w:rsidR="006532D3">
        <w:t xml:space="preserve"> suburb</w:t>
      </w:r>
      <w:r w:rsidR="0018446C">
        <w:t xml:space="preserve"> was first </w:t>
      </w:r>
      <w:r w:rsidR="000854D2">
        <w:t>released</w:t>
      </w:r>
      <w:r w:rsidR="008D651D">
        <w:t>, subsequent</w:t>
      </w:r>
      <w:r w:rsidR="0018446C">
        <w:t xml:space="preserve"> development activity</w:t>
      </w:r>
      <w:r w:rsidR="000854D2">
        <w:t>, and finally ageing</w:t>
      </w:r>
      <w:r w:rsidR="00C24CC4">
        <w:t xml:space="preserve">. </w:t>
      </w:r>
      <w:r w:rsidR="00DA470A">
        <w:t>As a result</w:t>
      </w:r>
      <w:r w:rsidR="008B09FE">
        <w:t>,</w:t>
      </w:r>
      <w:r w:rsidR="00DA470A">
        <w:t xml:space="preserve"> districts </w:t>
      </w:r>
      <w:r w:rsidR="005448A4">
        <w:t>and s</w:t>
      </w:r>
      <w:r w:rsidR="0018446C">
        <w:t xml:space="preserve">uburbs have distinct lifecycles, growing quickly as land is released and new families move in, then ageing </w:t>
      </w:r>
      <w:r w:rsidR="000854D2">
        <w:t xml:space="preserve">over time. </w:t>
      </w:r>
    </w:p>
    <w:p w14:paraId="613246F4" w14:textId="3C3AC7F4" w:rsidR="00A11530" w:rsidRDefault="00A11530" w:rsidP="00761BFE">
      <w:r>
        <w:t xml:space="preserve">At the small area geography level, </w:t>
      </w:r>
      <w:r w:rsidR="005448A4">
        <w:t xml:space="preserve">the </w:t>
      </w:r>
      <w:r w:rsidR="00B61767">
        <w:t xml:space="preserve">Molonglo </w:t>
      </w:r>
      <w:r>
        <w:t xml:space="preserve">Valley (Molonglo) district (approximated by </w:t>
      </w:r>
      <w:r w:rsidR="001937F5">
        <w:t xml:space="preserve">the ABS </w:t>
      </w:r>
      <w:r>
        <w:t>Statistical Area 3 (SA3)) is expected to grow the fastest over the 40</w:t>
      </w:r>
      <w:r w:rsidR="00F374F1">
        <w:noBreakHyphen/>
      </w:r>
      <w:r>
        <w:t>year period</w:t>
      </w:r>
      <w:r w:rsidR="00C24CC4">
        <w:t xml:space="preserve"> compared to the other districts. </w:t>
      </w:r>
      <w:r w:rsidR="00F57C50">
        <w:t>However, w</w:t>
      </w:r>
      <w:r w:rsidR="00C24CC4">
        <w:t xml:space="preserve">ithin the timeframe of </w:t>
      </w:r>
      <w:r w:rsidR="000854D2">
        <w:t xml:space="preserve">the </w:t>
      </w:r>
      <w:r w:rsidR="00C24CC4">
        <w:t>projections</w:t>
      </w:r>
      <w:r w:rsidR="00F57C50">
        <w:t>,</w:t>
      </w:r>
      <w:r>
        <w:t xml:space="preserve"> Belconnen is projected to remain the largest </w:t>
      </w:r>
      <w:r w:rsidR="008D651D">
        <w:t>district</w:t>
      </w:r>
      <w:r>
        <w:t xml:space="preserve">. At the suburb level (approximated by Statistical Area 2 (SA2)), </w:t>
      </w:r>
      <w:r w:rsidR="00030AAB" w:rsidRPr="00A55FAA">
        <w:t xml:space="preserve">Kambah and Ngunnawal are expected to remain the largest suburbs over the period </w:t>
      </w:r>
      <w:r w:rsidR="00030D56">
        <w:t>projected at the SA2 level (</w:t>
      </w:r>
      <w:r w:rsidR="00B411B0">
        <w:t xml:space="preserve">June </w:t>
      </w:r>
      <w:r w:rsidR="0059511C" w:rsidRPr="00A55FAA">
        <w:t>202</w:t>
      </w:r>
      <w:r w:rsidR="00A55FAA" w:rsidRPr="00306F9C">
        <w:t>2</w:t>
      </w:r>
      <w:r w:rsidR="0059511C" w:rsidRPr="00A55FAA">
        <w:t xml:space="preserve"> </w:t>
      </w:r>
      <w:r w:rsidR="00030AAB" w:rsidRPr="00A55FAA">
        <w:t xml:space="preserve">to </w:t>
      </w:r>
      <w:r w:rsidR="00B411B0">
        <w:t xml:space="preserve">June </w:t>
      </w:r>
      <w:r w:rsidR="0059511C" w:rsidRPr="00A55FAA">
        <w:t>2026</w:t>
      </w:r>
      <w:r w:rsidR="00030D56">
        <w:t>)</w:t>
      </w:r>
      <w:r w:rsidR="00703AFD" w:rsidRPr="00A55FAA">
        <w:t>.</w:t>
      </w:r>
      <w:r w:rsidR="00F57C50">
        <w:t xml:space="preserve"> </w:t>
      </w:r>
    </w:p>
    <w:p w14:paraId="04E809DA" w14:textId="68862EFE" w:rsidR="00E403DE" w:rsidRDefault="00DF7B31" w:rsidP="00761BFE">
      <w:r>
        <w:t>The updated projections incorporate a</w:t>
      </w:r>
      <w:r w:rsidR="00C24CC4">
        <w:t xml:space="preserve"> new set of </w:t>
      </w:r>
      <w:r w:rsidR="00A11530">
        <w:t>assumptions</w:t>
      </w:r>
      <w:r w:rsidR="00C1156F">
        <w:t>,</w:t>
      </w:r>
      <w:r w:rsidR="00A11530">
        <w:t xml:space="preserve"> </w:t>
      </w:r>
      <w:r>
        <w:t>which</w:t>
      </w:r>
      <w:r w:rsidR="00314552">
        <w:t xml:space="preserve"> take account of the impact of </w:t>
      </w:r>
      <w:r w:rsidR="00DA470A">
        <w:br/>
      </w:r>
      <w:r w:rsidR="00314552">
        <w:t>COVID-19 for</w:t>
      </w:r>
      <w:r w:rsidR="00A11530">
        <w:t xml:space="preserve"> international migra</w:t>
      </w:r>
      <w:r w:rsidR="00314552">
        <w:t>nt</w:t>
      </w:r>
      <w:r w:rsidR="00A11530">
        <w:t xml:space="preserve"> cohorts</w:t>
      </w:r>
      <w:r w:rsidR="00314552">
        <w:t>.</w:t>
      </w:r>
      <w:r w:rsidR="00EF0E4A">
        <w:t xml:space="preserve"> The p</w:t>
      </w:r>
      <w:r w:rsidR="008B7C60">
        <w:t xml:space="preserve">opulation projections are based on assumptions </w:t>
      </w:r>
      <w:r>
        <w:t>needed</w:t>
      </w:r>
      <w:r w:rsidR="008B7C60">
        <w:t xml:space="preserve"> to produce</w:t>
      </w:r>
      <w:r w:rsidR="00C1156F">
        <w:t xml:space="preserve"> </w:t>
      </w:r>
      <w:r w:rsidR="00E403DE">
        <w:t>40</w:t>
      </w:r>
      <w:r>
        <w:noBreakHyphen/>
      </w:r>
      <w:r w:rsidR="00E403DE">
        <w:t>year</w:t>
      </w:r>
      <w:r w:rsidR="00C1156F">
        <w:t xml:space="preserve"> district and suburb level population projections. </w:t>
      </w:r>
      <w:r w:rsidR="00E403DE">
        <w:t>T</w:t>
      </w:r>
      <w:r w:rsidR="00E403DE" w:rsidRPr="00697943">
        <w:t>he</w:t>
      </w:r>
      <w:r w:rsidR="005C2FAC">
        <w:t>refore, the</w:t>
      </w:r>
      <w:r w:rsidR="00E403DE" w:rsidRPr="00697943">
        <w:t xml:space="preserve"> population projections contained in this document </w:t>
      </w:r>
      <w:r>
        <w:t xml:space="preserve">are indicative and </w:t>
      </w:r>
      <w:r w:rsidR="00E403DE" w:rsidRPr="00697943">
        <w:t>should not be interpreted as precise predictions</w:t>
      </w:r>
      <w:r>
        <w:t>.</w:t>
      </w:r>
    </w:p>
    <w:p w14:paraId="074412EE" w14:textId="228910D1" w:rsidR="008863F0" w:rsidRDefault="00F62EF9" w:rsidP="009129CD">
      <w:pPr>
        <w:spacing w:before="0" w:after="160" w:line="259" w:lineRule="auto"/>
      </w:pPr>
      <w:r>
        <w:t xml:space="preserve">Treasury has created upside and downside scenarios </w:t>
      </w:r>
      <w:r w:rsidR="00314552">
        <w:t>from</w:t>
      </w:r>
      <w:r>
        <w:t xml:space="preserve"> the baseline set of population projections</w:t>
      </w:r>
      <w:r w:rsidR="00E90471">
        <w:t xml:space="preserve"> to </w:t>
      </w:r>
      <w:r w:rsidR="00EF0E4A">
        <w:t>provide further information</w:t>
      </w:r>
      <w:r w:rsidR="00314552">
        <w:t xml:space="preserve">. </w:t>
      </w:r>
      <w:r w:rsidR="00DF7B31">
        <w:t>T</w:t>
      </w:r>
      <w:r>
        <w:t>he assumptions in the baseline projections</w:t>
      </w:r>
      <w:r w:rsidR="00DF7B31">
        <w:t xml:space="preserve"> are varied for these scenarios</w:t>
      </w:r>
      <w:r w:rsidR="00E403DE">
        <w:t>. However, no changes have been assumed to current policy positions in areas that can impact the growth of the Territory</w:t>
      </w:r>
      <w:r>
        <w:t xml:space="preserve">. </w:t>
      </w:r>
      <w:r w:rsidRPr="00945BA6">
        <w:t xml:space="preserve">ACT population </w:t>
      </w:r>
      <w:r w:rsidR="00DF7B31">
        <w:t>is</w:t>
      </w:r>
      <w:r w:rsidRPr="00945BA6">
        <w:t xml:space="preserve"> expected to range between </w:t>
      </w:r>
      <w:r w:rsidR="00302CD1" w:rsidRPr="00945BA6">
        <w:t>759</w:t>
      </w:r>
      <w:r w:rsidRPr="00945BA6">
        <w:t xml:space="preserve">,000 and </w:t>
      </w:r>
      <w:r w:rsidR="00A55FAA" w:rsidRPr="00945BA6">
        <w:t>817</w:t>
      </w:r>
      <w:r w:rsidRPr="00945BA6">
        <w:t>,000 persons</w:t>
      </w:r>
      <w:r w:rsidR="006123D6" w:rsidRPr="006123D6">
        <w:t xml:space="preserve"> </w:t>
      </w:r>
      <w:r w:rsidR="008837BB">
        <w:t>by June</w:t>
      </w:r>
      <w:r w:rsidR="008837BB" w:rsidRPr="00945BA6">
        <w:t xml:space="preserve"> </w:t>
      </w:r>
      <w:r w:rsidR="006123D6" w:rsidRPr="00945BA6">
        <w:t>2060</w:t>
      </w:r>
      <w:r w:rsidR="006123D6">
        <w:t xml:space="preserve"> under alternative </w:t>
      </w:r>
      <w:r w:rsidR="006123D6" w:rsidRPr="00945BA6">
        <w:t>upside and downside scenarios</w:t>
      </w:r>
      <w:r w:rsidRPr="00945BA6">
        <w:t>.</w:t>
      </w:r>
    </w:p>
    <w:p w14:paraId="7D9EA527" w14:textId="13168457" w:rsidR="00A11530" w:rsidRDefault="003F68D9">
      <w:pPr>
        <w:spacing w:before="0" w:after="160" w:line="259" w:lineRule="auto"/>
      </w:pPr>
      <w:r>
        <w:t xml:space="preserve">Going forward, Treasury intends </w:t>
      </w:r>
      <w:r w:rsidR="00412F63">
        <w:t>to update the estimates annually or as required, in comparison to the previous frequency of once in two years.</w:t>
      </w:r>
      <w:r>
        <w:t xml:space="preserve"> ACTPS will plan the release of </w:t>
      </w:r>
      <w:r w:rsidR="00030D56">
        <w:t xml:space="preserve">updated </w:t>
      </w:r>
      <w:r>
        <w:t>report</w:t>
      </w:r>
      <w:r w:rsidR="00030D56">
        <w:t>s</w:t>
      </w:r>
      <w:r>
        <w:t xml:space="preserve"> accordingly.</w:t>
      </w:r>
      <w:r w:rsidR="00A11530">
        <w:br w:type="page"/>
      </w:r>
    </w:p>
    <w:p w14:paraId="23609F2B" w14:textId="1A3C94AC" w:rsidR="008863F0" w:rsidRDefault="008863F0" w:rsidP="00825C83">
      <w:pPr>
        <w:pStyle w:val="Heading1"/>
      </w:pPr>
      <w:bookmarkStart w:id="5" w:name="_Toc99018933"/>
      <w:r>
        <w:lastRenderedPageBreak/>
        <w:t>Introduction</w:t>
      </w:r>
      <w:bookmarkEnd w:id="5"/>
    </w:p>
    <w:p w14:paraId="1FA2B9F9" w14:textId="54A1A488" w:rsidR="008125D8" w:rsidRDefault="00376FFF" w:rsidP="00376FFF">
      <w:pPr>
        <w:pStyle w:val="IntroParagraph"/>
      </w:pPr>
      <w:r>
        <w:t xml:space="preserve">This report presents the ACT Government’s population projections by single year </w:t>
      </w:r>
      <w:r w:rsidR="004A61B1">
        <w:t xml:space="preserve">of </w:t>
      </w:r>
      <w:r>
        <w:t xml:space="preserve">age, </w:t>
      </w:r>
      <w:r w:rsidR="004A61B1">
        <w:t xml:space="preserve">by </w:t>
      </w:r>
      <w:r w:rsidR="00945BA6">
        <w:t>sex</w:t>
      </w:r>
      <w:r w:rsidR="00FD4673">
        <w:t xml:space="preserve"> (male/female)</w:t>
      </w:r>
      <w:r>
        <w:t xml:space="preserve"> and </w:t>
      </w:r>
      <w:r w:rsidR="004A61B1">
        <w:t xml:space="preserve">by </w:t>
      </w:r>
      <w:r>
        <w:t>small geographic area</w:t>
      </w:r>
      <w:r w:rsidR="000615B0">
        <w:t>s</w:t>
      </w:r>
      <w:r w:rsidR="004A61B1">
        <w:t>. The base year is</w:t>
      </w:r>
      <w:r>
        <w:t xml:space="preserve"> </w:t>
      </w:r>
      <w:r w:rsidR="004A61B1">
        <w:t xml:space="preserve">the </w:t>
      </w:r>
      <w:r w:rsidR="000615B0">
        <w:t>estimated resident population</w:t>
      </w:r>
      <w:r w:rsidR="004A61B1">
        <w:t xml:space="preserve"> as at</w:t>
      </w:r>
      <w:r w:rsidR="000615B0">
        <w:t xml:space="preserve"> </w:t>
      </w:r>
      <w:r w:rsidR="004A61B1">
        <w:t xml:space="preserve">30 June </w:t>
      </w:r>
      <w:r w:rsidR="0059511C">
        <w:t>2021</w:t>
      </w:r>
      <w:r>
        <w:t xml:space="preserve">. Projections over the period </w:t>
      </w:r>
      <w:r w:rsidR="00361AA5">
        <w:t xml:space="preserve">June </w:t>
      </w:r>
      <w:r w:rsidR="0059511C">
        <w:t xml:space="preserve">2022 </w:t>
      </w:r>
      <w:r>
        <w:t xml:space="preserve">to </w:t>
      </w:r>
      <w:r w:rsidR="00361AA5">
        <w:t xml:space="preserve">June </w:t>
      </w:r>
      <w:r w:rsidR="0059511C">
        <w:t xml:space="preserve">2026 </w:t>
      </w:r>
      <w:r>
        <w:t xml:space="preserve">are presented up to the Statistical Area 2 (SA2) level by single year age and </w:t>
      </w:r>
      <w:r w:rsidR="00945BA6">
        <w:t>sex</w:t>
      </w:r>
      <w:r w:rsidR="000245CE">
        <w:t>.</w:t>
      </w:r>
      <w:r>
        <w:t xml:space="preserve"> </w:t>
      </w:r>
      <w:r w:rsidR="000245CE">
        <w:t>P</w:t>
      </w:r>
      <w:r>
        <w:t xml:space="preserve">rojections over the period </w:t>
      </w:r>
      <w:r w:rsidR="00361AA5">
        <w:t xml:space="preserve">June </w:t>
      </w:r>
      <w:r w:rsidR="0059511C">
        <w:t xml:space="preserve">2022 </w:t>
      </w:r>
      <w:r>
        <w:t xml:space="preserve">to </w:t>
      </w:r>
      <w:r w:rsidR="00361AA5">
        <w:t xml:space="preserve">June </w:t>
      </w:r>
      <w:r>
        <w:t xml:space="preserve">2060 are presented up to the Statistical Area 3 (SA3) level by single year age and </w:t>
      </w:r>
      <w:r w:rsidR="00945BA6">
        <w:t>sex</w:t>
      </w:r>
      <w:r>
        <w:t>.</w:t>
      </w:r>
      <w:r w:rsidR="00CF65D0">
        <w:t xml:space="preserve"> </w:t>
      </w:r>
      <w:r w:rsidR="00C045D3">
        <w:t>Both SA2 and SA3 geographies are in accordance with Australian Statistical Geography Standard (ASGS) 2016.</w:t>
      </w:r>
    </w:p>
    <w:p w14:paraId="3469FD57" w14:textId="1F0C725B" w:rsidR="000245CE" w:rsidRDefault="000245CE" w:rsidP="000245CE">
      <w:r>
        <w:t>The purpose of th</w:t>
      </w:r>
      <w:r w:rsidR="00C2318B">
        <w:t xml:space="preserve">is report </w:t>
      </w:r>
      <w:r>
        <w:t xml:space="preserve">is to provide updated </w:t>
      </w:r>
      <w:r w:rsidR="00C2318B">
        <w:t xml:space="preserve">population projections for the </w:t>
      </w:r>
      <w:r>
        <w:t>ACT over the medium term for planning</w:t>
      </w:r>
      <w:r w:rsidR="00FC6931">
        <w:t>,</w:t>
      </w:r>
      <w:r>
        <w:t xml:space="preserve"> </w:t>
      </w:r>
      <w:proofErr w:type="gramStart"/>
      <w:r>
        <w:t>research</w:t>
      </w:r>
      <w:proofErr w:type="gramEnd"/>
      <w:r>
        <w:t xml:space="preserve"> </w:t>
      </w:r>
      <w:r w:rsidR="00FC6931">
        <w:t xml:space="preserve">and policy </w:t>
      </w:r>
      <w:r>
        <w:t xml:space="preserve">purposes. This update to the population projections </w:t>
      </w:r>
      <w:r w:rsidR="00031DA3">
        <w:t>incorporates the</w:t>
      </w:r>
      <w:r>
        <w:t xml:space="preserve"> </w:t>
      </w:r>
      <w:r w:rsidR="00031DA3">
        <w:t>initial estimated</w:t>
      </w:r>
      <w:r w:rsidR="00A805F8">
        <w:t xml:space="preserve"> impact of</w:t>
      </w:r>
      <w:r>
        <w:t xml:space="preserve"> </w:t>
      </w:r>
      <w:r w:rsidR="0059511C">
        <w:t xml:space="preserve">Census 2021 and </w:t>
      </w:r>
      <w:r>
        <w:t xml:space="preserve">COVID-19 </w:t>
      </w:r>
      <w:r w:rsidR="00A805F8">
        <w:t xml:space="preserve">on </w:t>
      </w:r>
      <w:r>
        <w:t xml:space="preserve">population </w:t>
      </w:r>
      <w:r w:rsidR="00A805F8">
        <w:t xml:space="preserve">growth. </w:t>
      </w:r>
      <w:r w:rsidR="00FC6931">
        <w:t xml:space="preserve">Due to </w:t>
      </w:r>
      <w:r w:rsidR="00031DA3">
        <w:t>the pandemic</w:t>
      </w:r>
      <w:r w:rsidR="00FC6931">
        <w:t>,</w:t>
      </w:r>
      <w:r w:rsidR="00031DA3">
        <w:t xml:space="preserve"> there is greater uncertainty around these projections relative to previous years. Reflecting this, t</w:t>
      </w:r>
      <w:r w:rsidR="00A805F8">
        <w:t xml:space="preserve">he </w:t>
      </w:r>
      <w:r>
        <w:t xml:space="preserve">projections </w:t>
      </w:r>
      <w:r w:rsidR="00C2318B">
        <w:t xml:space="preserve">also include for the first time, </w:t>
      </w:r>
      <w:proofErr w:type="gramStart"/>
      <w:r w:rsidR="00C2318B">
        <w:t>upside</w:t>
      </w:r>
      <w:proofErr w:type="gramEnd"/>
      <w:r w:rsidR="00C2318B">
        <w:t xml:space="preserve"> and downside scenarios for the ACT population</w:t>
      </w:r>
      <w:r>
        <w:t>.</w:t>
      </w:r>
    </w:p>
    <w:p w14:paraId="215AF28B" w14:textId="357E1C10" w:rsidR="000245CE" w:rsidRDefault="000245CE" w:rsidP="000245CE">
      <w:r>
        <w:t xml:space="preserve">The onset of COVID-19 since </w:t>
      </w:r>
      <w:r w:rsidR="00FC6931">
        <w:t xml:space="preserve">early </w:t>
      </w:r>
      <w:r>
        <w:t xml:space="preserve">2020 has </w:t>
      </w:r>
      <w:r w:rsidR="00FC6931">
        <w:t xml:space="preserve">been </w:t>
      </w:r>
      <w:r>
        <w:t xml:space="preserve">a major shock to population growth in Australia, including the ACT. Closed borders disrupted international migration, which </w:t>
      </w:r>
      <w:r w:rsidR="00A805F8">
        <w:t xml:space="preserve">previously </w:t>
      </w:r>
      <w:r>
        <w:t xml:space="preserve">contributed 40 </w:t>
      </w:r>
      <w:r w:rsidR="007C7AA1">
        <w:t>to</w:t>
      </w:r>
      <w:r>
        <w:t xml:space="preserve"> 50 per cent of ACT’s population growth. </w:t>
      </w:r>
      <w:r w:rsidR="00031DA3">
        <w:t>T</w:t>
      </w:r>
      <w:r>
        <w:t>he COVID</w:t>
      </w:r>
      <w:r w:rsidR="00031DA3">
        <w:noBreakHyphen/>
      </w:r>
      <w:r>
        <w:t xml:space="preserve">19 disruption </w:t>
      </w:r>
      <w:r w:rsidR="00031DA3">
        <w:t xml:space="preserve">to population flows reduced migrant inflows while </w:t>
      </w:r>
      <w:r w:rsidR="00E403DE">
        <w:t>outflows</w:t>
      </w:r>
      <w:r w:rsidR="00031DA3">
        <w:t xml:space="preserve"> </w:t>
      </w:r>
      <w:r w:rsidR="00E90471">
        <w:t>were</w:t>
      </w:r>
      <w:r w:rsidR="00031DA3">
        <w:t xml:space="preserve"> </w:t>
      </w:r>
      <w:r w:rsidR="00E403DE">
        <w:t>less affected</w:t>
      </w:r>
      <w:r>
        <w:t xml:space="preserve">. </w:t>
      </w:r>
      <w:r w:rsidR="009F4411">
        <w:t>The impact of migrant behaviour in response to COVID-19 on the model</w:t>
      </w:r>
      <w:r w:rsidR="00FC6931">
        <w:t>ling</w:t>
      </w:r>
      <w:r w:rsidR="009F4411">
        <w:t xml:space="preserve"> assumptions add to the uncertainty</w:t>
      </w:r>
      <w:r w:rsidR="00FC6931">
        <w:t xml:space="preserve"> of the projections</w:t>
      </w:r>
      <w:r w:rsidR="009F4411">
        <w:t xml:space="preserve">. </w:t>
      </w:r>
    </w:p>
    <w:p w14:paraId="3A3E64CA" w14:textId="2A8C12C7" w:rsidR="00CF65D0" w:rsidRDefault="008125D8" w:rsidP="008125D8">
      <w:r>
        <w:t xml:space="preserve">ACT Treasury </w:t>
      </w:r>
      <w:r w:rsidR="00CF65D0">
        <w:t>has prepared the</w:t>
      </w:r>
      <w:r w:rsidR="00031DA3">
        <w:t xml:space="preserve"> assumptions underpinning these</w:t>
      </w:r>
      <w:r w:rsidR="00CF65D0">
        <w:t xml:space="preserve"> population projections</w:t>
      </w:r>
      <w:r w:rsidR="00AB3AD2">
        <w:t xml:space="preserve"> in consultation with ACT government directorates</w:t>
      </w:r>
      <w:r w:rsidR="00CF65D0">
        <w:t xml:space="preserve">. </w:t>
      </w:r>
      <w:r w:rsidR="00AB3AD2">
        <w:t>The</w:t>
      </w:r>
      <w:r>
        <w:t xml:space="preserve"> School of Demography at the Australian National University </w:t>
      </w:r>
      <w:r w:rsidR="00AB3AD2">
        <w:t xml:space="preserve">has provided technical expertise which has assisted in developing these assumptions, </w:t>
      </w:r>
      <w:r w:rsidR="00C2318B">
        <w:t xml:space="preserve">as well as </w:t>
      </w:r>
      <w:r w:rsidR="006654D9">
        <w:t>the ACT Treasury’s</w:t>
      </w:r>
      <w:r w:rsidR="00FC6931">
        <w:t xml:space="preserve"> </w:t>
      </w:r>
      <w:r w:rsidR="00AB3AD2">
        <w:t xml:space="preserve">cohort component model used to </w:t>
      </w:r>
      <w:r w:rsidR="006654D9">
        <w:t xml:space="preserve">produce </w:t>
      </w:r>
      <w:r w:rsidR="00AB3AD2">
        <w:t xml:space="preserve">the projections. </w:t>
      </w:r>
      <w:r w:rsidR="005A7F33">
        <w:t>The data underpinning these forecasts were sourced from Australian Bureau of Statistics (ABS) through special data request</w:t>
      </w:r>
      <w:r w:rsidR="005808CC">
        <w:t>s</w:t>
      </w:r>
      <w:r w:rsidR="005A7F33">
        <w:t>.</w:t>
      </w:r>
    </w:p>
    <w:p w14:paraId="3E975C7C" w14:textId="0884CA6E" w:rsidR="008863F0" w:rsidRDefault="00CF65D0" w:rsidP="008125D8">
      <w:pPr>
        <w:rPr>
          <w:rFonts w:ascii="Arial" w:hAnsi="Arial"/>
          <w:kern w:val="28"/>
          <w:sz w:val="44"/>
        </w:rPr>
      </w:pPr>
      <w:r>
        <w:t>The</w:t>
      </w:r>
      <w:r w:rsidR="004E52CE">
        <w:t xml:space="preserve"> </w:t>
      </w:r>
      <w:r w:rsidRPr="00CF65D0">
        <w:rPr>
          <w:i/>
          <w:iCs/>
        </w:rPr>
        <w:t>Main Results</w:t>
      </w:r>
      <w:r>
        <w:t xml:space="preserve"> </w:t>
      </w:r>
      <w:r w:rsidR="00AB3AD2">
        <w:t xml:space="preserve">section outlines the broad results of the </w:t>
      </w:r>
      <w:r>
        <w:t>population projection</w:t>
      </w:r>
      <w:r w:rsidR="00AB3AD2">
        <w:t xml:space="preserve"> model</w:t>
      </w:r>
      <w:r w:rsidR="004E52CE">
        <w:t xml:space="preserve">. </w:t>
      </w:r>
      <w:r w:rsidR="000C0835">
        <w:t xml:space="preserve">The </w:t>
      </w:r>
      <w:r w:rsidR="000C0835" w:rsidRPr="00253C2D">
        <w:rPr>
          <w:i/>
          <w:iCs/>
        </w:rPr>
        <w:t>Assumptions</w:t>
      </w:r>
      <w:r w:rsidR="000C0835">
        <w:t xml:space="preserve"> and </w:t>
      </w:r>
      <w:r w:rsidR="000C0835" w:rsidRPr="00253C2D">
        <w:rPr>
          <w:i/>
          <w:iCs/>
        </w:rPr>
        <w:t>Methodology</w:t>
      </w:r>
      <w:r w:rsidR="000C0835">
        <w:rPr>
          <w:i/>
          <w:iCs/>
        </w:rPr>
        <w:t xml:space="preserve"> </w:t>
      </w:r>
      <w:r w:rsidR="000C0835" w:rsidRPr="000C0835">
        <w:t>sections</w:t>
      </w:r>
      <w:r w:rsidR="000C0835">
        <w:rPr>
          <w:i/>
          <w:iCs/>
        </w:rPr>
        <w:t xml:space="preserve"> </w:t>
      </w:r>
      <w:r w:rsidR="000C0835">
        <w:t xml:space="preserve">outline how the model was constructed. </w:t>
      </w:r>
      <w:r w:rsidR="00E364C4" w:rsidRPr="00143565">
        <w:rPr>
          <w:i/>
          <w:iCs/>
        </w:rPr>
        <w:t>Limitations and Uncertainty</w:t>
      </w:r>
      <w:r w:rsidR="00143565">
        <w:t xml:space="preserve"> </w:t>
      </w:r>
      <w:r w:rsidR="00AB3AD2">
        <w:t xml:space="preserve">surrounding </w:t>
      </w:r>
      <w:r w:rsidR="00143565">
        <w:t>these population projections</w:t>
      </w:r>
      <w:r w:rsidR="004E52CE">
        <w:t xml:space="preserve"> are discussed</w:t>
      </w:r>
      <w:r w:rsidR="00AB3AD2">
        <w:t>,</w:t>
      </w:r>
      <w:r w:rsidR="004E52CE">
        <w:t xml:space="preserve"> highlight</w:t>
      </w:r>
      <w:r w:rsidR="00AB3AD2">
        <w:t>ing</w:t>
      </w:r>
      <w:r w:rsidR="004E52CE">
        <w:t xml:space="preserve"> the impact</w:t>
      </w:r>
      <w:r w:rsidR="002474CA">
        <w:t>s</w:t>
      </w:r>
      <w:r w:rsidR="004E52CE">
        <w:t xml:space="preserve"> of </w:t>
      </w:r>
      <w:r w:rsidR="002474CA">
        <w:t>the availability of final intercensal discrepancy from Census 2021 from the ABS</w:t>
      </w:r>
      <w:r w:rsidR="00143565">
        <w:t xml:space="preserve">. </w:t>
      </w:r>
      <w:r w:rsidR="00A805F8">
        <w:t>U</w:t>
      </w:r>
      <w:r w:rsidR="00143565">
        <w:t xml:space="preserve">pside and downside scenarios </w:t>
      </w:r>
      <w:r w:rsidR="00A805F8">
        <w:t>for the projections are also shown</w:t>
      </w:r>
      <w:r w:rsidR="004E52CE">
        <w:t xml:space="preserve"> for</w:t>
      </w:r>
      <w:r w:rsidR="00253C2D">
        <w:t xml:space="preserve"> the medium term</w:t>
      </w:r>
      <w:r w:rsidR="00143565">
        <w:t>.</w:t>
      </w:r>
      <w:r w:rsidR="00253C2D">
        <w:t xml:space="preserve"> </w:t>
      </w:r>
      <w:r w:rsidR="008863F0">
        <w:br w:type="page"/>
      </w:r>
    </w:p>
    <w:p w14:paraId="07FA76E8" w14:textId="1B544BDE" w:rsidR="008863F0" w:rsidRDefault="008863F0" w:rsidP="00825C83">
      <w:pPr>
        <w:pStyle w:val="Heading1"/>
      </w:pPr>
      <w:bookmarkStart w:id="6" w:name="_Toc99018934"/>
      <w:r>
        <w:lastRenderedPageBreak/>
        <w:t>Main results</w:t>
      </w:r>
      <w:bookmarkEnd w:id="6"/>
    </w:p>
    <w:p w14:paraId="73623DE9" w14:textId="3B8BD37E" w:rsidR="007456BE" w:rsidRDefault="00E27977" w:rsidP="007456BE">
      <w:pPr>
        <w:pStyle w:val="IntroParagraph"/>
      </w:pPr>
      <w:r>
        <w:t xml:space="preserve">The </w:t>
      </w:r>
      <w:r w:rsidR="007456BE">
        <w:t xml:space="preserve">ACT population is expected to increase from </w:t>
      </w:r>
      <w:r w:rsidR="0059511C">
        <w:t>453,558</w:t>
      </w:r>
      <w:r w:rsidR="008B41D7">
        <w:rPr>
          <w:rStyle w:val="FootnoteReference"/>
        </w:rPr>
        <w:footnoteReference w:id="1"/>
      </w:r>
      <w:r w:rsidR="007456BE">
        <w:t xml:space="preserve"> </w:t>
      </w:r>
      <w:r w:rsidR="006821FD">
        <w:t xml:space="preserve">persons </w:t>
      </w:r>
      <w:r w:rsidR="007456BE">
        <w:t xml:space="preserve">in </w:t>
      </w:r>
      <w:r w:rsidR="00361AA5">
        <w:t xml:space="preserve">June </w:t>
      </w:r>
      <w:r w:rsidR="0059511C">
        <w:t xml:space="preserve">2021 </w:t>
      </w:r>
      <w:r w:rsidR="007456BE">
        <w:t xml:space="preserve">to </w:t>
      </w:r>
      <w:r w:rsidR="00D03AFE">
        <w:t>784,043</w:t>
      </w:r>
      <w:r w:rsidR="00361AA5">
        <w:t> </w:t>
      </w:r>
      <w:r w:rsidR="006821FD">
        <w:t xml:space="preserve">persons </w:t>
      </w:r>
      <w:r w:rsidR="007456BE">
        <w:t xml:space="preserve">in </w:t>
      </w:r>
      <w:r w:rsidR="00361AA5">
        <w:t xml:space="preserve">June </w:t>
      </w:r>
      <w:r w:rsidR="007456BE" w:rsidRPr="00945BA6">
        <w:t xml:space="preserve">2060, </w:t>
      </w:r>
      <w:r w:rsidR="00EF4613" w:rsidRPr="00945BA6">
        <w:t xml:space="preserve">an increase of over </w:t>
      </w:r>
      <w:r w:rsidR="00684923" w:rsidRPr="00945BA6">
        <w:t>3</w:t>
      </w:r>
      <w:r w:rsidR="00D03AFE" w:rsidRPr="00945BA6">
        <w:t>3</w:t>
      </w:r>
      <w:r w:rsidR="00EF4613" w:rsidRPr="00945BA6">
        <w:t>0</w:t>
      </w:r>
      <w:r w:rsidR="006C4A2D" w:rsidRPr="00945BA6">
        <w:t>,000 persons. This translates to an a</w:t>
      </w:r>
      <w:r w:rsidR="007456BE" w:rsidRPr="00945BA6">
        <w:t xml:space="preserve">verage </w:t>
      </w:r>
      <w:r w:rsidR="000615B0" w:rsidRPr="00945BA6">
        <w:t xml:space="preserve">annual </w:t>
      </w:r>
      <w:r w:rsidR="007456BE" w:rsidRPr="00945BA6">
        <w:t>growth rate of around 1</w:t>
      </w:r>
      <w:r w:rsidR="00EF4613" w:rsidRPr="00945BA6">
        <w:t>.</w:t>
      </w:r>
      <w:r w:rsidR="00D03AFE" w:rsidRPr="00945BA6">
        <w:t>4</w:t>
      </w:r>
      <w:r w:rsidR="007456BE" w:rsidRPr="00945BA6">
        <w:t xml:space="preserve"> per cent over the </w:t>
      </w:r>
      <w:r w:rsidR="0059511C" w:rsidRPr="00945BA6">
        <w:t>39</w:t>
      </w:r>
      <w:r w:rsidR="007456BE" w:rsidRPr="00945BA6">
        <w:t xml:space="preserve">-year period. </w:t>
      </w:r>
      <w:r w:rsidR="0059511C" w:rsidRPr="00945BA6">
        <w:t>N</w:t>
      </w:r>
      <w:r w:rsidR="004F1F0F" w:rsidRPr="00945BA6">
        <w:t xml:space="preserve">et migration </w:t>
      </w:r>
      <w:r w:rsidR="0059511C" w:rsidRPr="00945BA6">
        <w:t xml:space="preserve">is </w:t>
      </w:r>
      <w:r w:rsidR="004F1F0F" w:rsidRPr="00945BA6">
        <w:t>expected to be the main contributor to population</w:t>
      </w:r>
      <w:r w:rsidR="004F1F0F">
        <w:t xml:space="preserve"> growth over th</w:t>
      </w:r>
      <w:r w:rsidR="00D03AFE">
        <w:t>is</w:t>
      </w:r>
      <w:r w:rsidR="004F1F0F">
        <w:t xml:space="preserve"> period</w:t>
      </w:r>
      <w:r w:rsidR="006821FD">
        <w:t>.</w:t>
      </w:r>
    </w:p>
    <w:p w14:paraId="0BE9AFFF" w14:textId="1E543329" w:rsidR="0069540E" w:rsidRDefault="00507032" w:rsidP="0069540E">
      <w:r>
        <w:t>Figure 1 shows the historical and projected ACT population</w:t>
      </w:r>
      <w:r w:rsidR="009D79BD">
        <w:t xml:space="preserve"> levels </w:t>
      </w:r>
      <w:r w:rsidR="0025736D">
        <w:t>to</w:t>
      </w:r>
      <w:r>
        <w:t xml:space="preserve"> </w:t>
      </w:r>
      <w:r w:rsidR="00361AA5">
        <w:t xml:space="preserve">June </w:t>
      </w:r>
      <w:r>
        <w:t>2060.</w:t>
      </w:r>
      <w:r w:rsidR="00821F2F">
        <w:t xml:space="preserve"> </w:t>
      </w:r>
      <w:r w:rsidR="008901E9">
        <w:t>The ACT population has grown by over 136,000 people since 2000. It is expected to grow by over 330,000 persons to 2060.</w:t>
      </w:r>
      <w:r w:rsidR="0069540E" w:rsidRPr="0069540E">
        <w:t xml:space="preserve"> </w:t>
      </w:r>
      <w:r w:rsidR="0069540E">
        <w:t>Growth rates are expected to increase over the short-term until 2030, offsetting the impacts of the COVID</w:t>
      </w:r>
      <w:r w:rsidR="0069540E">
        <w:noBreakHyphen/>
        <w:t>19 pandemic on long term population growth.</w:t>
      </w:r>
    </w:p>
    <w:p w14:paraId="30721A77" w14:textId="0174AEC2" w:rsidR="001B51E1" w:rsidRPr="007456BE" w:rsidRDefault="001B51E1" w:rsidP="0069540E">
      <w:r>
        <w:t>Unless otherwise mentioned, all references to stock of population in the figures in this report denote population as at 30 June of the year concerned.</w:t>
      </w:r>
    </w:p>
    <w:p w14:paraId="19B658BE" w14:textId="77777777" w:rsidR="00B42AED" w:rsidRDefault="00B42AED" w:rsidP="00B42AED">
      <w:pPr>
        <w:pStyle w:val="TableFiguresheading"/>
        <w:jc w:val="left"/>
      </w:pPr>
      <w:r>
        <w:t xml:space="preserve">Figure 1: Historical and projected population and population growth in the ACT, June 2000 to June 2060 </w:t>
      </w:r>
    </w:p>
    <w:p w14:paraId="06EFF2CF" w14:textId="77777777" w:rsidR="00DA470A" w:rsidRDefault="00BA7B95" w:rsidP="00657DCF">
      <w:r>
        <w:rPr>
          <w:noProof/>
          <w:sz w:val="20"/>
        </w:rPr>
        <w:drawing>
          <wp:inline distT="0" distB="0" distL="0" distR="0" wp14:anchorId="0747E695" wp14:editId="10878B88">
            <wp:extent cx="5797550" cy="2597150"/>
            <wp:effectExtent l="19050" t="19050" r="0" b="0"/>
            <wp:docPr id="10" name="Picture 10" descr="This chart shows change in levels and growth rates for ACT population between 2000 and 2060. The ACT's population is projected to increase from around 454,000 persons in 2021 to around 784,000 persons in 2060. The annual growth rate of ACT population, which was 2.1% in 2020, is projected to reduce to 1.2% by 20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chart shows change in levels and growth rates for ACT population between 2000 and 2060. The ACT's population is projected to increase from around 454,000 persons in 2021 to around 784,000 persons in 2060. The annual growth rate of ACT population, which was 2.1% in 2020, is projected to reduce to 1.2% by 2060.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7550" cy="2597150"/>
                    </a:xfrm>
                    <a:prstGeom prst="rect">
                      <a:avLst/>
                    </a:prstGeom>
                    <a:noFill/>
                    <a:ln w="3175">
                      <a:solidFill>
                        <a:schemeClr val="tx1">
                          <a:lumMod val="50000"/>
                          <a:lumOff val="50000"/>
                        </a:schemeClr>
                      </a:solidFill>
                    </a:ln>
                  </pic:spPr>
                </pic:pic>
              </a:graphicData>
            </a:graphic>
          </wp:inline>
        </w:drawing>
      </w:r>
    </w:p>
    <w:p w14:paraId="6F1E91B7" w14:textId="48C349B8" w:rsidR="00B42AE5" w:rsidRDefault="00761BFE" w:rsidP="00657DCF">
      <w:r>
        <w:t xml:space="preserve">Figure 2 </w:t>
      </w:r>
      <w:r w:rsidR="00656FC4">
        <w:t>provides</w:t>
      </w:r>
      <w:r>
        <w:t xml:space="preserve"> a comparison between the current and previous</w:t>
      </w:r>
      <w:r w:rsidR="00656FC4">
        <w:t>ly published</w:t>
      </w:r>
      <w:r>
        <w:t xml:space="preserve"> population projections</w:t>
      </w:r>
      <w:r w:rsidR="0069540E">
        <w:t xml:space="preserve">. It shows </w:t>
      </w:r>
      <w:r w:rsidR="002474CA">
        <w:t>that the ACT is expected to reach the milestone population of half a million two years earlier</w:t>
      </w:r>
      <w:r w:rsidR="0069540E">
        <w:t xml:space="preserve"> than previously projected</w:t>
      </w:r>
      <w:r>
        <w:t>.</w:t>
      </w:r>
      <w:r w:rsidR="00C11E77">
        <w:t xml:space="preserve"> </w:t>
      </w:r>
      <w:r w:rsidR="002474CA">
        <w:t>Overall, d</w:t>
      </w:r>
      <w:r w:rsidR="002C6A68">
        <w:t xml:space="preserve">espite </w:t>
      </w:r>
      <w:r w:rsidR="00970887">
        <w:t>the</w:t>
      </w:r>
      <w:r w:rsidR="002C6A68">
        <w:t xml:space="preserve"> shock </w:t>
      </w:r>
      <w:r w:rsidR="002C6A68" w:rsidRPr="00945BA6">
        <w:t>from COVID-19 and associated international travel restrictions, t</w:t>
      </w:r>
      <w:r w:rsidR="00B97C5B" w:rsidRPr="00945BA6">
        <w:t>he current population projections indicate a</w:t>
      </w:r>
      <w:r w:rsidR="00672A9E" w:rsidRPr="00945BA6">
        <w:t>n</w:t>
      </w:r>
      <w:r w:rsidR="00B97C5B" w:rsidRPr="00945BA6">
        <w:t xml:space="preserve"> </w:t>
      </w:r>
      <w:r w:rsidR="00672A9E" w:rsidRPr="00945BA6">
        <w:t xml:space="preserve">increase </w:t>
      </w:r>
      <w:r w:rsidR="00B97C5B" w:rsidRPr="00945BA6">
        <w:t xml:space="preserve">in the ACT’s population </w:t>
      </w:r>
      <w:r w:rsidR="0025736D" w:rsidRPr="00945BA6">
        <w:t>of</w:t>
      </w:r>
      <w:r w:rsidR="00B97C5B" w:rsidRPr="00945BA6">
        <w:t xml:space="preserve"> </w:t>
      </w:r>
      <w:r w:rsidR="00261B2D" w:rsidRPr="00945BA6">
        <w:t>63</w:t>
      </w:r>
      <w:r w:rsidR="00B97C5B" w:rsidRPr="00945BA6">
        <w:t xml:space="preserve">,000 </w:t>
      </w:r>
      <w:r w:rsidR="0025736D" w:rsidRPr="00945BA6">
        <w:t>by</w:t>
      </w:r>
      <w:r w:rsidR="00B97C5B" w:rsidRPr="00945BA6">
        <w:t xml:space="preserve"> </w:t>
      </w:r>
      <w:r w:rsidR="007476D5">
        <w:t xml:space="preserve">June </w:t>
      </w:r>
      <w:r w:rsidR="00B97C5B" w:rsidRPr="00945BA6">
        <w:t xml:space="preserve">2058, in comparison to the </w:t>
      </w:r>
      <w:r w:rsidR="0025736D" w:rsidRPr="00945BA6">
        <w:t>projections released in</w:t>
      </w:r>
      <w:r w:rsidR="0025736D">
        <w:t xml:space="preserve"> 2019</w:t>
      </w:r>
      <w:r w:rsidR="00753FDF">
        <w:t xml:space="preserve">. </w:t>
      </w:r>
    </w:p>
    <w:p w14:paraId="09740E03" w14:textId="77777777" w:rsidR="008901E9" w:rsidRDefault="008901E9" w:rsidP="00657DCF"/>
    <w:p w14:paraId="5E8E7622" w14:textId="1A34D585" w:rsidR="00761BFE" w:rsidRPr="0025736D" w:rsidRDefault="00761BFE" w:rsidP="009058EE">
      <w:pPr>
        <w:pStyle w:val="TableFiguresheading"/>
        <w:keepNext/>
        <w:jc w:val="left"/>
      </w:pPr>
      <w:r>
        <w:lastRenderedPageBreak/>
        <w:t>Figure 2: Comparison of current population projections with 2019 projections</w:t>
      </w:r>
      <w:r w:rsidR="00B97C5B">
        <w:t xml:space="preserve">, </w:t>
      </w:r>
      <w:r w:rsidR="00586152">
        <w:t xml:space="preserve">June </w:t>
      </w:r>
      <w:r w:rsidR="00B97C5B">
        <w:t>201</w:t>
      </w:r>
      <w:r w:rsidR="00586152">
        <w:t>8</w:t>
      </w:r>
      <w:r w:rsidR="00B97C5B">
        <w:t xml:space="preserve"> to </w:t>
      </w:r>
      <w:r w:rsidR="00586152">
        <w:t xml:space="preserve">June </w:t>
      </w:r>
      <w:r w:rsidR="00B97C5B">
        <w:t>2058</w:t>
      </w:r>
    </w:p>
    <w:p w14:paraId="0288B494" w14:textId="24AA6D4A" w:rsidR="00261B2D" w:rsidRDefault="00261B2D" w:rsidP="00B97C5B">
      <w:pPr>
        <w:pStyle w:val="TableFiguresheading"/>
        <w:jc w:val="center"/>
      </w:pPr>
    </w:p>
    <w:p w14:paraId="17ACD517" w14:textId="287A94C4" w:rsidR="00BA7B95" w:rsidRDefault="00BA7B95" w:rsidP="00B97C5B">
      <w:pPr>
        <w:pStyle w:val="TableFiguresheading"/>
        <w:jc w:val="center"/>
      </w:pPr>
      <w:r>
        <w:rPr>
          <w:noProof/>
        </w:rPr>
        <w:drawing>
          <wp:inline distT="0" distB="0" distL="0" distR="0" wp14:anchorId="4B742986" wp14:editId="1B4B1316">
            <wp:extent cx="4834255" cy="2743200"/>
            <wp:effectExtent l="19050" t="19050" r="4445" b="0"/>
            <wp:docPr id="12" name="Picture 12" descr="This chart shows change in ACT population levels between the previous set of population projections carried out in 2019 and the latest one. ACT population in 2058 is expected to be about 63,000 persons higher than projected in  2019. The ACT is now expected to cross the milestone of 500,000 persons in 2027, two years earlier than projected in the 2019 population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chart shows change in ACT population levels between the previous set of population projections carried out in 2019 and the latest one. ACT population in 2058 is expected to be about 63,000 persons higher than projected in  2019. The ACT is now expected to cross the milestone of 500,000 persons in 2027, two years earlier than projected in the 2019 population projec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4255" cy="2743200"/>
                    </a:xfrm>
                    <a:prstGeom prst="rect">
                      <a:avLst/>
                    </a:prstGeom>
                    <a:noFill/>
                    <a:ln w="3175">
                      <a:solidFill>
                        <a:schemeClr val="tx1">
                          <a:lumMod val="50000"/>
                          <a:lumOff val="50000"/>
                        </a:schemeClr>
                      </a:solidFill>
                    </a:ln>
                  </pic:spPr>
                </pic:pic>
              </a:graphicData>
            </a:graphic>
          </wp:inline>
        </w:drawing>
      </w:r>
    </w:p>
    <w:p w14:paraId="1170C3B8" w14:textId="7B1B4D2A" w:rsidR="005A37CB" w:rsidRDefault="005A37CB" w:rsidP="00B97C5B">
      <w:pPr>
        <w:pStyle w:val="TableFiguresheading"/>
        <w:jc w:val="center"/>
      </w:pPr>
    </w:p>
    <w:p w14:paraId="2BA5B332" w14:textId="16983717" w:rsidR="00426388" w:rsidRDefault="0069540E" w:rsidP="00D066E6">
      <w:r>
        <w:t>A key d</w:t>
      </w:r>
      <w:r w:rsidR="00D066E6">
        <w:t>ifference</w:t>
      </w:r>
      <w:r>
        <w:t xml:space="preserve"> between the two population projections reports</w:t>
      </w:r>
      <w:r w:rsidR="00D066E6">
        <w:t xml:space="preserve"> </w:t>
      </w:r>
      <w:r>
        <w:t xml:space="preserve">comes from </w:t>
      </w:r>
      <w:r w:rsidR="00D066E6">
        <w:t xml:space="preserve">the </w:t>
      </w:r>
      <w:r w:rsidR="0054228C">
        <w:t>change</w:t>
      </w:r>
      <w:r w:rsidR="00D066E6">
        <w:t xml:space="preserve"> in </w:t>
      </w:r>
      <w:r w:rsidR="0054228C">
        <w:t xml:space="preserve">the </w:t>
      </w:r>
      <w:r w:rsidR="00D066E6">
        <w:t xml:space="preserve">average growth rate of the ACT population </w:t>
      </w:r>
      <w:r w:rsidR="003C4DD7">
        <w:t>because of</w:t>
      </w:r>
      <w:r w:rsidR="00D066E6">
        <w:t xml:space="preserve"> the rebasing exercise that the ABS </w:t>
      </w:r>
      <w:r w:rsidR="003C4DD7">
        <w:t>conducted</w:t>
      </w:r>
      <w:r w:rsidR="00D066E6">
        <w:t xml:space="preserve"> during the release of Census 2021. Figure 3 shows that the a</w:t>
      </w:r>
      <w:r w:rsidR="00D066E6" w:rsidRPr="00426388">
        <w:t xml:space="preserve">verage population growth </w:t>
      </w:r>
      <w:r w:rsidR="00D066E6">
        <w:t xml:space="preserve">for the ACT </w:t>
      </w:r>
      <w:r w:rsidR="00D066E6" w:rsidRPr="00426388">
        <w:t>over the 15-year period between September 2006 and September 2021 increased from 1.7 per cent prior to Census 2021 to 2.0 per cent post Census 2021.</w:t>
      </w:r>
      <w:r w:rsidR="00CC3D3A">
        <w:t xml:space="preserve"> The ABS underestimated the ACT population by a</w:t>
      </w:r>
      <w:r w:rsidR="00D066E6">
        <w:t xml:space="preserve">round 22,000 persons in </w:t>
      </w:r>
      <w:r w:rsidR="00CC3D3A">
        <w:t>its</w:t>
      </w:r>
      <w:r w:rsidR="00D066E6">
        <w:t xml:space="preserve"> E</w:t>
      </w:r>
      <w:r w:rsidR="00F26E82">
        <w:t xml:space="preserve">stimated </w:t>
      </w:r>
      <w:r w:rsidR="00D066E6">
        <w:t>R</w:t>
      </w:r>
      <w:r w:rsidR="00F26E82">
        <w:t xml:space="preserve">esident </w:t>
      </w:r>
      <w:r w:rsidR="00D066E6">
        <w:t>P</w:t>
      </w:r>
      <w:r w:rsidR="00F26E82">
        <w:t>opulation (ERP)</w:t>
      </w:r>
      <w:r w:rsidR="00CC3D3A">
        <w:t xml:space="preserve"> prior to the 2021</w:t>
      </w:r>
      <w:r w:rsidR="00D066E6">
        <w:t xml:space="preserve"> </w:t>
      </w:r>
      <w:r w:rsidR="00CC3D3A">
        <w:t>Census</w:t>
      </w:r>
      <w:r w:rsidR="00D066E6">
        <w:t>.</w:t>
      </w:r>
    </w:p>
    <w:p w14:paraId="3816DF6B" w14:textId="62BF26D8" w:rsidR="00426388" w:rsidRDefault="00426388" w:rsidP="00426388">
      <w:pPr>
        <w:pStyle w:val="TableFiguresheading"/>
        <w:jc w:val="left"/>
      </w:pPr>
      <w:r>
        <w:t xml:space="preserve">Figure 3: Comparison of 15-year average </w:t>
      </w:r>
      <w:r w:rsidR="00416BE4">
        <w:t>ACT population growth rates pre- and post-2021 Census</w:t>
      </w:r>
    </w:p>
    <w:p w14:paraId="4B8A34C2" w14:textId="12E12EE1" w:rsidR="00416BE4" w:rsidRDefault="00416BE4" w:rsidP="00426388">
      <w:pPr>
        <w:pStyle w:val="TableFiguresheading"/>
        <w:jc w:val="left"/>
      </w:pPr>
    </w:p>
    <w:p w14:paraId="63D018D2" w14:textId="3A2AC0A2" w:rsidR="00416BE4" w:rsidRDefault="00416BE4" w:rsidP="00F43BA2">
      <w:pPr>
        <w:pStyle w:val="TableFiguresheading"/>
        <w:jc w:val="center"/>
      </w:pPr>
      <w:r>
        <w:rPr>
          <w:noProof/>
        </w:rPr>
        <w:drawing>
          <wp:inline distT="0" distB="0" distL="0" distR="0" wp14:anchorId="3908728A" wp14:editId="59C6C3FC">
            <wp:extent cx="4828540" cy="2737485"/>
            <wp:effectExtent l="19050" t="19050" r="10160" b="24765"/>
            <wp:docPr id="2" name="Picture 2" descr="This chart shows the change in 15-year average growth rate of ACT population pre- and post-Cenus 2021. The average growth rate of ACT population between September 2006 and September 2021 increased from 1.7% to 2.1% as result of the rebasing exercise carried out post Census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shows the change in 15-year average growth rate of ACT population pre- and post-Cenus 2021. The average growth rate of ACT population between September 2006 and September 2021 increased from 1.7% to 2.1% as result of the rebasing exercise carried out post Census 202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8540" cy="2737485"/>
                    </a:xfrm>
                    <a:prstGeom prst="rect">
                      <a:avLst/>
                    </a:prstGeom>
                    <a:noFill/>
                    <a:ln w="3175">
                      <a:solidFill>
                        <a:schemeClr val="tx1">
                          <a:lumMod val="50000"/>
                          <a:lumOff val="50000"/>
                        </a:schemeClr>
                      </a:solidFill>
                    </a:ln>
                  </pic:spPr>
                </pic:pic>
              </a:graphicData>
            </a:graphic>
          </wp:inline>
        </w:drawing>
      </w:r>
    </w:p>
    <w:p w14:paraId="6EC85059" w14:textId="7761C2DE" w:rsidR="00B36548" w:rsidRDefault="00657DCF" w:rsidP="00657DCF">
      <w:r>
        <w:t xml:space="preserve">There are three </w:t>
      </w:r>
      <w:r w:rsidR="00C237ED">
        <w:t xml:space="preserve">broad </w:t>
      </w:r>
      <w:r>
        <w:t xml:space="preserve">components </w:t>
      </w:r>
      <w:r w:rsidR="00656FC4">
        <w:t>to</w:t>
      </w:r>
      <w:r>
        <w:t xml:space="preserve"> population growth</w:t>
      </w:r>
      <w:r w:rsidR="0029674A">
        <w:t>,</w:t>
      </w:r>
      <w:r>
        <w:t xml:space="preserve"> natural increase, net overseas </w:t>
      </w:r>
      <w:proofErr w:type="gramStart"/>
      <w:r>
        <w:t>migration</w:t>
      </w:r>
      <w:proofErr w:type="gramEnd"/>
      <w:r>
        <w:t xml:space="preserve"> and net interstate migration. </w:t>
      </w:r>
      <w:r w:rsidR="00656FC4">
        <w:t>Prior to the outbreak of</w:t>
      </w:r>
      <w:r w:rsidR="000C0835">
        <w:t xml:space="preserve"> </w:t>
      </w:r>
      <w:r>
        <w:t>COVID-19, net overseas migration account</w:t>
      </w:r>
      <w:r w:rsidR="002B6CC9">
        <w:t>ed</w:t>
      </w:r>
      <w:r>
        <w:t xml:space="preserve"> for </w:t>
      </w:r>
      <w:r w:rsidR="00BF3124">
        <w:t xml:space="preserve">around half </w:t>
      </w:r>
      <w:r>
        <w:t xml:space="preserve">of the annual </w:t>
      </w:r>
      <w:r w:rsidR="00656FC4">
        <w:t xml:space="preserve">growth </w:t>
      </w:r>
      <w:r>
        <w:t>in ACT’s population</w:t>
      </w:r>
      <w:r w:rsidR="00656FC4">
        <w:t xml:space="preserve"> between </w:t>
      </w:r>
      <w:r w:rsidR="001C7734">
        <w:t>2009-</w:t>
      </w:r>
      <w:r w:rsidR="00656FC4">
        <w:t xml:space="preserve">10 and </w:t>
      </w:r>
      <w:r w:rsidR="001C7734">
        <w:t>2018-</w:t>
      </w:r>
      <w:r w:rsidR="00656FC4">
        <w:t>19</w:t>
      </w:r>
      <w:r>
        <w:t xml:space="preserve">. </w:t>
      </w:r>
      <w:r w:rsidR="00357E4B" w:rsidRPr="003D27F1">
        <w:t xml:space="preserve">However, </w:t>
      </w:r>
      <w:r w:rsidR="006F2083" w:rsidRPr="003D27F1">
        <w:t>net overseas migration</w:t>
      </w:r>
      <w:r w:rsidRPr="003D27F1">
        <w:t xml:space="preserve"> </w:t>
      </w:r>
      <w:r w:rsidR="00B36548" w:rsidRPr="003D27F1">
        <w:t>was</w:t>
      </w:r>
      <w:r w:rsidRPr="003D27F1">
        <w:t xml:space="preserve"> severely affected by </w:t>
      </w:r>
      <w:r w:rsidR="00527D51" w:rsidRPr="003D27F1">
        <w:t xml:space="preserve">international </w:t>
      </w:r>
      <w:r w:rsidRPr="003D27F1">
        <w:t xml:space="preserve">border closures </w:t>
      </w:r>
      <w:r w:rsidR="00656FC4" w:rsidRPr="003D27F1">
        <w:t xml:space="preserve">due to COVID-19 </w:t>
      </w:r>
      <w:r w:rsidRPr="003D27F1">
        <w:t xml:space="preserve">and </w:t>
      </w:r>
      <w:r w:rsidR="00B36548" w:rsidRPr="003D27F1">
        <w:t>was</w:t>
      </w:r>
      <w:r w:rsidRPr="003D27F1">
        <w:t xml:space="preserve"> negative in 2020-21</w:t>
      </w:r>
      <w:r w:rsidR="000C0835" w:rsidRPr="00F26E82">
        <w:t>.</w:t>
      </w:r>
      <w:r w:rsidRPr="00F26E82">
        <w:t xml:space="preserve"> </w:t>
      </w:r>
      <w:r w:rsidR="008B09FE">
        <w:br/>
      </w:r>
      <w:r w:rsidR="006F2083" w:rsidRPr="00F26E82">
        <w:lastRenderedPageBreak/>
        <w:t>Net overseas migration is</w:t>
      </w:r>
      <w:r w:rsidRPr="00F26E82">
        <w:t xml:space="preserve"> </w:t>
      </w:r>
      <w:r w:rsidR="009E01B4" w:rsidRPr="00F26E82">
        <w:t>assumed</w:t>
      </w:r>
      <w:r w:rsidRPr="00F26E82">
        <w:t xml:space="preserve"> to </w:t>
      </w:r>
      <w:r w:rsidR="00BF3124">
        <w:t>bounce back</w:t>
      </w:r>
      <w:r w:rsidRPr="00F26E82">
        <w:t xml:space="preserve"> </w:t>
      </w:r>
      <w:r w:rsidR="008545AB">
        <w:t xml:space="preserve">through to </w:t>
      </w:r>
      <w:r w:rsidR="00B42AE5" w:rsidRPr="00F26E82">
        <w:t>202</w:t>
      </w:r>
      <w:r w:rsidR="008545AB">
        <w:t>5</w:t>
      </w:r>
      <w:r w:rsidRPr="00F26E82">
        <w:t>-2</w:t>
      </w:r>
      <w:r w:rsidR="008545AB">
        <w:t>6</w:t>
      </w:r>
      <w:r w:rsidR="00BF3124">
        <w:t xml:space="preserve"> before settling to longer term trends </w:t>
      </w:r>
      <w:r w:rsidR="008545AB">
        <w:t>from</w:t>
      </w:r>
      <w:r w:rsidR="00BF3124">
        <w:t xml:space="preserve"> 2031-32</w:t>
      </w:r>
      <w:r w:rsidR="009E01B4" w:rsidRPr="00F26E82">
        <w:t>.</w:t>
      </w:r>
      <w:r>
        <w:t xml:space="preserve"> </w:t>
      </w:r>
    </w:p>
    <w:p w14:paraId="1502DD3E" w14:textId="2FA5A930" w:rsidR="00657DCF" w:rsidRDefault="00172F9F" w:rsidP="00657DCF">
      <w:r>
        <w:t xml:space="preserve">The intercensal discrepancy in the ABS estimated residential population data is yet to distributed by the ABS between the three broad population components. </w:t>
      </w:r>
      <w:r w:rsidR="00E0104D">
        <w:t xml:space="preserve">While the </w:t>
      </w:r>
      <w:r w:rsidR="00B36548">
        <w:t xml:space="preserve">ABS </w:t>
      </w:r>
      <w:r w:rsidR="00E0104D">
        <w:t>notes</w:t>
      </w:r>
      <w:r w:rsidR="008B31AE">
        <w:t xml:space="preserve"> </w:t>
      </w:r>
      <w:r w:rsidR="00E0104D">
        <w:t>the</w:t>
      </w:r>
      <w:r w:rsidR="00B36548">
        <w:t xml:space="preserve"> increase in </w:t>
      </w:r>
      <w:r w:rsidR="00E0104D">
        <w:t xml:space="preserve">the </w:t>
      </w:r>
      <w:r w:rsidR="00B36548">
        <w:t xml:space="preserve">ACT population </w:t>
      </w:r>
      <w:r w:rsidR="003D27F1">
        <w:t>from</w:t>
      </w:r>
      <w:r w:rsidR="00B36548">
        <w:t xml:space="preserve"> rebasing </w:t>
      </w:r>
      <w:r w:rsidR="003D27F1">
        <w:t>w</w:t>
      </w:r>
      <w:r w:rsidR="00B36548">
        <w:t xml:space="preserve">as </w:t>
      </w:r>
      <w:r w:rsidR="00E2087C">
        <w:t xml:space="preserve">mainly </w:t>
      </w:r>
      <w:r w:rsidR="00B36548">
        <w:t xml:space="preserve">due to </w:t>
      </w:r>
      <w:r w:rsidR="00E2087C">
        <w:t xml:space="preserve">net </w:t>
      </w:r>
      <w:r w:rsidR="00B36548">
        <w:t>migration, updated</w:t>
      </w:r>
      <w:r w:rsidR="003D27F1">
        <w:t xml:space="preserve"> estimates</w:t>
      </w:r>
      <w:r w:rsidR="00B36548">
        <w:t xml:space="preserve"> for net overseas and net interstate migration for the intercensal period </w:t>
      </w:r>
      <w:r w:rsidR="003D27F1">
        <w:t xml:space="preserve">will </w:t>
      </w:r>
      <w:r w:rsidR="001439CF">
        <w:t xml:space="preserve">not </w:t>
      </w:r>
      <w:r w:rsidR="003D27F1">
        <w:t xml:space="preserve">be released </w:t>
      </w:r>
      <w:r w:rsidR="001439CF">
        <w:t>until</w:t>
      </w:r>
      <w:r w:rsidR="00B36548">
        <w:t xml:space="preserve"> June 2023. </w:t>
      </w:r>
      <w:r>
        <w:t xml:space="preserve">In the interim, </w:t>
      </w:r>
      <w:r w:rsidR="00657DCF">
        <w:t xml:space="preserve">Figure </w:t>
      </w:r>
      <w:r w:rsidR="00B36548">
        <w:t xml:space="preserve">4 </w:t>
      </w:r>
      <w:r w:rsidR="00657DCF">
        <w:t xml:space="preserve">shows the historical and projected </w:t>
      </w:r>
      <w:r w:rsidR="006F2083">
        <w:t>net flows</w:t>
      </w:r>
      <w:r w:rsidR="00657DCF">
        <w:t xml:space="preserve"> for </w:t>
      </w:r>
      <w:r>
        <w:t>natural increase</w:t>
      </w:r>
      <w:r w:rsidR="00856C7E">
        <w:t xml:space="preserve"> (NI)</w:t>
      </w:r>
      <w:r>
        <w:t xml:space="preserve"> and net migration, which </w:t>
      </w:r>
      <w:r w:rsidR="001439CF">
        <w:t>combines</w:t>
      </w:r>
      <w:r>
        <w:t>: net overseas migration, net interstate migration and the intercensal discrepancy</w:t>
      </w:r>
      <w:r w:rsidR="00657DCF">
        <w:t>.</w:t>
      </w:r>
      <w:r w:rsidR="00307B83">
        <w:t xml:space="preserve"> </w:t>
      </w:r>
      <w:r w:rsidR="000131F7">
        <w:t xml:space="preserve">After recovering from the impacts of border closures, net migration is expected to return its </w:t>
      </w:r>
      <w:r w:rsidR="00307B83">
        <w:t>underlying trend growth over the forecast horizon and remain a key contributor to the ACT’s population growth.</w:t>
      </w:r>
    </w:p>
    <w:p w14:paraId="46579347" w14:textId="63653C5B" w:rsidR="00657DCF" w:rsidRDefault="00B20924" w:rsidP="00B20924">
      <w:pPr>
        <w:pStyle w:val="TableFiguresheading"/>
        <w:jc w:val="left"/>
      </w:pPr>
      <w:r>
        <w:t xml:space="preserve">Figure </w:t>
      </w:r>
      <w:r w:rsidR="00B36548">
        <w:t>4</w:t>
      </w:r>
      <w:r>
        <w:t>: Population growth by component: historical and projections, 198</w:t>
      </w:r>
      <w:r w:rsidR="00586152">
        <w:t>7-88</w:t>
      </w:r>
      <w:r>
        <w:t xml:space="preserve"> to 20</w:t>
      </w:r>
      <w:r w:rsidR="00586152">
        <w:t>59-</w:t>
      </w:r>
      <w:r>
        <w:t>60</w:t>
      </w:r>
    </w:p>
    <w:p w14:paraId="6D43C901" w14:textId="3454D6EB" w:rsidR="00B20924" w:rsidRDefault="00B20924" w:rsidP="00B20924">
      <w:pPr>
        <w:pStyle w:val="TableFiguresheading"/>
        <w:jc w:val="left"/>
      </w:pPr>
    </w:p>
    <w:p w14:paraId="35C5C446" w14:textId="32FC7248" w:rsidR="00B20924" w:rsidRPr="00B20924" w:rsidRDefault="00B42AE5" w:rsidP="002B6CC9">
      <w:pPr>
        <w:pStyle w:val="TableFiguresheading"/>
        <w:jc w:val="center"/>
      </w:pPr>
      <w:r>
        <w:rPr>
          <w:noProof/>
        </w:rPr>
        <w:drawing>
          <wp:inline distT="0" distB="0" distL="0" distR="0" wp14:anchorId="22EF4025" wp14:editId="7F39815F">
            <wp:extent cx="4834255" cy="2737485"/>
            <wp:effectExtent l="19050" t="19050" r="23495" b="24765"/>
            <wp:docPr id="6" name="Picture 6" descr="This chart shows the actual and projected components of ACT population growth, namely natural increase and net migration. The ACT's natural increase is expected to vary from 3000 to 3200 persons between 2030 and 2060. Projected net migration is expected to increase to around 6,000 persons in the later part of this decade, then reduce for a few years before increasing back to about 6,000 persons around 20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chart shows the actual and projected components of ACT population growth, namely natural increase and net migration. The ACT's natural increase is expected to vary from 3000 to 3200 persons between 2030 and 2060. Projected net migration is expected to increase to around 6,000 persons in the later part of this decade, then reduce for a few years before increasing back to about 6,000 persons around 206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4255" cy="2737485"/>
                    </a:xfrm>
                    <a:prstGeom prst="rect">
                      <a:avLst/>
                    </a:prstGeom>
                    <a:noFill/>
                    <a:ln w="3175">
                      <a:solidFill>
                        <a:schemeClr val="tx1">
                          <a:lumMod val="50000"/>
                          <a:lumOff val="50000"/>
                        </a:schemeClr>
                      </a:solidFill>
                    </a:ln>
                  </pic:spPr>
                </pic:pic>
              </a:graphicData>
            </a:graphic>
          </wp:inline>
        </w:drawing>
      </w:r>
    </w:p>
    <w:p w14:paraId="1BD83710" w14:textId="77777777" w:rsidR="002B6CC9" w:rsidRDefault="002B6CC9">
      <w:pPr>
        <w:spacing w:before="0" w:after="160" w:line="259" w:lineRule="auto"/>
      </w:pPr>
    </w:p>
    <w:p w14:paraId="1B28D479" w14:textId="7AC36CD3" w:rsidR="00357E4B" w:rsidRDefault="00D6486D">
      <w:pPr>
        <w:spacing w:before="0" w:after="160" w:line="259" w:lineRule="auto"/>
      </w:pPr>
      <w:r>
        <w:t>T</w:t>
      </w:r>
      <w:r w:rsidR="002B6CC9">
        <w:t>he estimated age structure of the ACT population</w:t>
      </w:r>
      <w:r>
        <w:t xml:space="preserve"> is an important element of the population projections</w:t>
      </w:r>
      <w:r w:rsidR="00357E4B">
        <w:t xml:space="preserve"> since it informs service planning</w:t>
      </w:r>
      <w:r w:rsidR="002B6CC9">
        <w:t xml:space="preserve">. </w:t>
      </w:r>
      <w:r w:rsidR="009E01B4">
        <w:t xml:space="preserve">All ages contribute positively to ACT population growth between </w:t>
      </w:r>
      <w:r w:rsidR="00042D9B">
        <w:t xml:space="preserve">June </w:t>
      </w:r>
      <w:r w:rsidR="009E01B4">
        <w:t>202</w:t>
      </w:r>
      <w:r w:rsidR="00C663DE">
        <w:t>1</w:t>
      </w:r>
      <w:r w:rsidR="009E01B4">
        <w:t xml:space="preserve"> and </w:t>
      </w:r>
      <w:r w:rsidR="00042D9B">
        <w:t xml:space="preserve">June </w:t>
      </w:r>
      <w:r w:rsidR="009E01B4">
        <w:t xml:space="preserve">2060. </w:t>
      </w:r>
      <w:r w:rsidR="00FD4673">
        <w:t xml:space="preserve">Figure </w:t>
      </w:r>
      <w:r w:rsidR="00B36548">
        <w:t xml:space="preserve">5 </w:t>
      </w:r>
      <w:r w:rsidR="00FD4673">
        <w:t xml:space="preserve">shows a comparison of the age structure </w:t>
      </w:r>
      <w:r w:rsidR="000615B0">
        <w:t xml:space="preserve">from ages 0 to 100+ years </w:t>
      </w:r>
      <w:r w:rsidR="00FD4673">
        <w:t xml:space="preserve">in the ACT between </w:t>
      </w:r>
      <w:r w:rsidR="00042D9B">
        <w:t xml:space="preserve">June </w:t>
      </w:r>
      <w:r w:rsidR="00FD4673">
        <w:t>202</w:t>
      </w:r>
      <w:r w:rsidR="00A046CD">
        <w:t>1</w:t>
      </w:r>
      <w:r w:rsidR="00FD4673">
        <w:t xml:space="preserve"> and </w:t>
      </w:r>
      <w:r w:rsidR="00042D9B">
        <w:t xml:space="preserve">June </w:t>
      </w:r>
      <w:r w:rsidR="00FD4673">
        <w:t xml:space="preserve">2060 disaggregated by </w:t>
      </w:r>
      <w:r w:rsidR="00945BA6">
        <w:t>sex</w:t>
      </w:r>
      <w:r w:rsidR="00FD4673">
        <w:t>.</w:t>
      </w:r>
      <w:r w:rsidR="002072F3">
        <w:t xml:space="preserve"> </w:t>
      </w:r>
    </w:p>
    <w:p w14:paraId="70EAF7D9" w14:textId="211126ED" w:rsidR="00042D9B" w:rsidRPr="00945BA6" w:rsidRDefault="00042D9B" w:rsidP="00042D9B">
      <w:r>
        <w:t xml:space="preserve">Figure 5 shows </w:t>
      </w:r>
      <w:r w:rsidRPr="00945BA6">
        <w:t xml:space="preserve">that there is a similar age structure by sex. In </w:t>
      </w:r>
      <w:r>
        <w:t xml:space="preserve">June </w:t>
      </w:r>
      <w:r w:rsidRPr="00945BA6">
        <w:t xml:space="preserve">2021, the single year age with the highest population for both males and females was age 28. By </w:t>
      </w:r>
      <w:r>
        <w:t xml:space="preserve">June </w:t>
      </w:r>
      <w:r w:rsidRPr="00945BA6">
        <w:t>2060, the single year age with the highest population is expected to be age 29 for both males and females.</w:t>
      </w:r>
    </w:p>
    <w:p w14:paraId="67841969" w14:textId="77777777" w:rsidR="00042D9B" w:rsidRPr="006F2083" w:rsidRDefault="00042D9B">
      <w:pPr>
        <w:spacing w:before="0" w:after="160" w:line="259" w:lineRule="auto"/>
      </w:pPr>
    </w:p>
    <w:p w14:paraId="16CE9B16" w14:textId="07A2F788" w:rsidR="00FD4673" w:rsidRDefault="00FD4673" w:rsidP="008C0992">
      <w:pPr>
        <w:pStyle w:val="TableFiguresheading"/>
        <w:keepNext/>
        <w:jc w:val="left"/>
      </w:pPr>
      <w:r>
        <w:lastRenderedPageBreak/>
        <w:t xml:space="preserve">Figure </w:t>
      </w:r>
      <w:r w:rsidR="00B36548">
        <w:t>5</w:t>
      </w:r>
      <w:r>
        <w:t>: Age structure in the ACT</w:t>
      </w:r>
      <w:r w:rsidR="00CC2D5A">
        <w:t xml:space="preserve">, </w:t>
      </w:r>
      <w:r w:rsidR="00586152">
        <w:t xml:space="preserve">June </w:t>
      </w:r>
      <w:r w:rsidR="00CC2D5A">
        <w:t>202</w:t>
      </w:r>
      <w:r w:rsidR="00A046CD">
        <w:t>1</w:t>
      </w:r>
      <w:r w:rsidR="00CC2D5A">
        <w:t xml:space="preserve"> vs. </w:t>
      </w:r>
      <w:r w:rsidR="00586152">
        <w:t xml:space="preserve">June </w:t>
      </w:r>
      <w:r w:rsidR="00CC2D5A">
        <w:t>2060</w:t>
      </w:r>
    </w:p>
    <w:p w14:paraId="0F4F3D1D" w14:textId="77777777" w:rsidR="00D83771" w:rsidRDefault="00D83771" w:rsidP="008C0992">
      <w:pPr>
        <w:pStyle w:val="TableFiguresheading"/>
        <w:keepNext/>
        <w:jc w:val="left"/>
      </w:pPr>
    </w:p>
    <w:p w14:paraId="7B628915" w14:textId="2378DF1D" w:rsidR="006C4A2D" w:rsidRDefault="00B42AE5" w:rsidP="00FD4673">
      <w:pPr>
        <w:pStyle w:val="TableFiguresheading"/>
        <w:jc w:val="center"/>
      </w:pPr>
      <w:r>
        <w:rPr>
          <w:noProof/>
        </w:rPr>
        <w:drawing>
          <wp:inline distT="0" distB="0" distL="0" distR="0" wp14:anchorId="503DB7E2" wp14:editId="21D86997">
            <wp:extent cx="3204000" cy="2746286"/>
            <wp:effectExtent l="19050" t="19050" r="15875" b="16510"/>
            <wp:docPr id="8" name="Picture 8" descr="This chart shows the ACT population pyramid as at June 2021 and Jun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chart shows the ACT population pyramid as at June 2021 and June 206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4000" cy="2746286"/>
                    </a:xfrm>
                    <a:prstGeom prst="rect">
                      <a:avLst/>
                    </a:prstGeom>
                    <a:ln w="3175">
                      <a:solidFill>
                        <a:schemeClr val="tx1">
                          <a:lumMod val="50000"/>
                          <a:lumOff val="50000"/>
                        </a:schemeClr>
                      </a:solidFill>
                    </a:ln>
                  </pic:spPr>
                </pic:pic>
              </a:graphicData>
            </a:graphic>
          </wp:inline>
        </w:drawing>
      </w:r>
      <w:r w:rsidR="00D23500" w:rsidRPr="00D23500">
        <w:t xml:space="preserve"> </w:t>
      </w:r>
    </w:p>
    <w:p w14:paraId="1522A9DF" w14:textId="194EC2A1" w:rsidR="0096110E" w:rsidRDefault="00B82886" w:rsidP="006C4A2D">
      <w:r w:rsidRPr="00945BA6">
        <w:t xml:space="preserve">The population projections show </w:t>
      </w:r>
      <w:r w:rsidR="00600127" w:rsidRPr="00945BA6">
        <w:t xml:space="preserve">a moderate aging of </w:t>
      </w:r>
      <w:r w:rsidRPr="00945BA6">
        <w:t xml:space="preserve">the ACT </w:t>
      </w:r>
      <w:r w:rsidR="00600127" w:rsidRPr="00945BA6">
        <w:t xml:space="preserve">population, with </w:t>
      </w:r>
      <w:r w:rsidR="0030762E" w:rsidRPr="00945BA6">
        <w:t xml:space="preserve">migration </w:t>
      </w:r>
      <w:r w:rsidR="00600127" w:rsidRPr="00945BA6">
        <w:t xml:space="preserve">continuing to play an </w:t>
      </w:r>
      <w:r w:rsidR="00122C55" w:rsidRPr="00945BA6">
        <w:t>important</w:t>
      </w:r>
      <w:r w:rsidR="0030762E" w:rsidRPr="00945BA6">
        <w:t xml:space="preserve"> </w:t>
      </w:r>
      <w:r w:rsidR="00600127" w:rsidRPr="00945BA6">
        <w:t>contribution</w:t>
      </w:r>
      <w:r w:rsidR="005026B3" w:rsidRPr="00945BA6">
        <w:t xml:space="preserve"> to</w:t>
      </w:r>
      <w:r w:rsidR="00600127" w:rsidRPr="00945BA6">
        <w:t xml:space="preserve"> the age structure of the ACT population</w:t>
      </w:r>
      <w:r w:rsidRPr="00945BA6">
        <w:t xml:space="preserve">. </w:t>
      </w:r>
      <w:r w:rsidR="00287346" w:rsidRPr="00945BA6">
        <w:t xml:space="preserve">The 65+ </w:t>
      </w:r>
      <w:r w:rsidR="005C5C19" w:rsidRPr="00945BA6">
        <w:t xml:space="preserve">years </w:t>
      </w:r>
      <w:r w:rsidR="00287346" w:rsidRPr="00945BA6">
        <w:t xml:space="preserve">age group </w:t>
      </w:r>
      <w:r w:rsidR="009F2680" w:rsidRPr="00945BA6">
        <w:t xml:space="preserve">across both </w:t>
      </w:r>
      <w:r w:rsidR="007476D5" w:rsidRPr="00945BA6">
        <w:t>sexes</w:t>
      </w:r>
      <w:r w:rsidR="009F2680" w:rsidRPr="00945BA6">
        <w:t xml:space="preserve"> is expected to increase from 13</w:t>
      </w:r>
      <w:r w:rsidR="00D0312D" w:rsidRPr="00945BA6">
        <w:t>.</w:t>
      </w:r>
      <w:r w:rsidR="00C760F1">
        <w:t>3</w:t>
      </w:r>
      <w:r w:rsidR="009F2680" w:rsidRPr="00945BA6">
        <w:t xml:space="preserve"> per cent of the population in </w:t>
      </w:r>
      <w:r w:rsidR="00C760F1">
        <w:t xml:space="preserve">June </w:t>
      </w:r>
      <w:r w:rsidR="009F2680" w:rsidRPr="00945BA6">
        <w:t>202</w:t>
      </w:r>
      <w:r w:rsidR="00D0312D" w:rsidRPr="00945BA6">
        <w:t>1</w:t>
      </w:r>
      <w:r w:rsidR="009F2680" w:rsidRPr="00945BA6">
        <w:t xml:space="preserve"> to 1</w:t>
      </w:r>
      <w:r w:rsidR="005026B3" w:rsidRPr="00945BA6">
        <w:t>4</w:t>
      </w:r>
      <w:r w:rsidR="00D0312D" w:rsidRPr="00945BA6">
        <w:t>.6</w:t>
      </w:r>
      <w:r w:rsidR="009F2680" w:rsidRPr="00945BA6">
        <w:t xml:space="preserve"> per cent in </w:t>
      </w:r>
      <w:r w:rsidR="00042D9B">
        <w:t xml:space="preserve">June </w:t>
      </w:r>
      <w:r w:rsidR="009F2680" w:rsidRPr="00945BA6">
        <w:t>2060. In contrast</w:t>
      </w:r>
      <w:r w:rsidRPr="00945BA6">
        <w:t>,</w:t>
      </w:r>
      <w:r w:rsidR="009F2680" w:rsidRPr="00945BA6">
        <w:t xml:space="preserve"> the 0</w:t>
      </w:r>
      <w:r w:rsidRPr="00945BA6">
        <w:t xml:space="preserve"> to</w:t>
      </w:r>
      <w:r w:rsidR="00600127" w:rsidRPr="00945BA6">
        <w:t xml:space="preserve"> </w:t>
      </w:r>
      <w:r w:rsidR="009F2680" w:rsidRPr="00945BA6">
        <w:t xml:space="preserve">14 </w:t>
      </w:r>
      <w:r w:rsidR="005C5C19" w:rsidRPr="00945BA6">
        <w:t xml:space="preserve">years </w:t>
      </w:r>
      <w:r w:rsidR="009F2680" w:rsidRPr="00945BA6">
        <w:t>age group is expected to reduce from 1</w:t>
      </w:r>
      <w:r w:rsidR="00D0312D" w:rsidRPr="00945BA6">
        <w:t>8.5</w:t>
      </w:r>
      <w:r w:rsidR="009F2680" w:rsidRPr="00945BA6">
        <w:t xml:space="preserve"> per cent of the population in</w:t>
      </w:r>
      <w:r w:rsidR="00042D9B">
        <w:t xml:space="preserve"> June</w:t>
      </w:r>
      <w:r w:rsidR="009F2680" w:rsidRPr="00945BA6">
        <w:t xml:space="preserve"> 202</w:t>
      </w:r>
      <w:r w:rsidR="00D0312D" w:rsidRPr="00945BA6">
        <w:t>1</w:t>
      </w:r>
      <w:r w:rsidR="009F2680" w:rsidRPr="00945BA6">
        <w:t xml:space="preserve"> to 17</w:t>
      </w:r>
      <w:r w:rsidR="00D0312D" w:rsidRPr="00945BA6">
        <w:t>.6</w:t>
      </w:r>
      <w:r w:rsidR="009F2680" w:rsidRPr="00945BA6">
        <w:t xml:space="preserve"> per cent of the population in </w:t>
      </w:r>
      <w:r w:rsidR="00C760F1">
        <w:t xml:space="preserve">June </w:t>
      </w:r>
      <w:r w:rsidR="009F2680" w:rsidRPr="00945BA6">
        <w:t xml:space="preserve">2060. </w:t>
      </w:r>
      <w:r w:rsidR="00122C55" w:rsidRPr="00945BA6">
        <w:t xml:space="preserve">Importantly, </w:t>
      </w:r>
      <w:r w:rsidR="005C5C19" w:rsidRPr="00945BA6">
        <w:t>the key age group for labour force participation</w:t>
      </w:r>
      <w:r w:rsidR="00122C55" w:rsidRPr="00945BA6">
        <w:t>,</w:t>
      </w:r>
      <w:r w:rsidR="005C5C19" w:rsidRPr="00945BA6">
        <w:t xml:space="preserve"> 15-64 years</w:t>
      </w:r>
      <w:r w:rsidR="00122C55" w:rsidRPr="00945BA6">
        <w:t>,</w:t>
      </w:r>
      <w:r w:rsidR="005C5C19" w:rsidRPr="00945BA6">
        <w:t xml:space="preserve"> is expected to </w:t>
      </w:r>
      <w:r w:rsidR="00D0312D" w:rsidRPr="00945BA6">
        <w:t xml:space="preserve">decrease </w:t>
      </w:r>
      <w:r w:rsidR="00427C53" w:rsidRPr="00945BA6">
        <w:t>marginally</w:t>
      </w:r>
      <w:r w:rsidR="00122C55" w:rsidRPr="00945BA6">
        <w:t xml:space="preserve"> as a share of the population </w:t>
      </w:r>
      <w:r w:rsidR="005C5C19" w:rsidRPr="00945BA6">
        <w:t>between</w:t>
      </w:r>
      <w:r w:rsidR="005C5C19">
        <w:t xml:space="preserve"> </w:t>
      </w:r>
      <w:r w:rsidR="00C760F1">
        <w:t xml:space="preserve">June </w:t>
      </w:r>
      <w:r w:rsidR="005C5C19">
        <w:t>202</w:t>
      </w:r>
      <w:r w:rsidR="00C760F1">
        <w:t>1</w:t>
      </w:r>
      <w:r w:rsidR="005C5C19">
        <w:t xml:space="preserve"> and </w:t>
      </w:r>
      <w:r w:rsidR="00C760F1">
        <w:t xml:space="preserve">June </w:t>
      </w:r>
      <w:r w:rsidR="005C5C19">
        <w:t>2060</w:t>
      </w:r>
      <w:r w:rsidR="002A0FF0">
        <w:t xml:space="preserve"> (figure </w:t>
      </w:r>
      <w:r w:rsidR="00810DC1">
        <w:t>6</w:t>
      </w:r>
      <w:r w:rsidR="002A0FF0">
        <w:t>)</w:t>
      </w:r>
      <w:r w:rsidR="005C5C19">
        <w:t xml:space="preserve">. </w:t>
      </w:r>
    </w:p>
    <w:p w14:paraId="5D246346" w14:textId="4270278F" w:rsidR="000A7B2F" w:rsidRDefault="00254690" w:rsidP="002A0FF0">
      <w:pPr>
        <w:pStyle w:val="TableFiguresheading"/>
        <w:jc w:val="left"/>
      </w:pPr>
      <w:r>
        <w:t xml:space="preserve">Figure </w:t>
      </w:r>
      <w:r w:rsidR="00810DC1">
        <w:t>6:</w:t>
      </w:r>
      <w:r>
        <w:t xml:space="preserve"> Proportion of various age groups in ACT population, June </w:t>
      </w:r>
      <w:proofErr w:type="gramStart"/>
      <w:r>
        <w:t>202</w:t>
      </w:r>
      <w:r w:rsidR="00C47B4E">
        <w:t>1</w:t>
      </w:r>
      <w:proofErr w:type="gramEnd"/>
      <w:r>
        <w:t xml:space="preserve"> </w:t>
      </w:r>
      <w:r w:rsidR="00810DC1">
        <w:t xml:space="preserve">and </w:t>
      </w:r>
      <w:r>
        <w:t>June 2060</w:t>
      </w:r>
    </w:p>
    <w:p w14:paraId="7064D121" w14:textId="11AC93E9" w:rsidR="00BA7B95" w:rsidRDefault="00C760F1" w:rsidP="002A0FF0">
      <w:pPr>
        <w:jc w:val="center"/>
      </w:pPr>
      <w:r>
        <w:rPr>
          <w:noProof/>
        </w:rPr>
        <w:drawing>
          <wp:inline distT="0" distB="0" distL="0" distR="0" wp14:anchorId="597F6B9D" wp14:editId="66A26EDB">
            <wp:extent cx="4578350" cy="2749550"/>
            <wp:effectExtent l="0" t="0" r="0" b="0"/>
            <wp:docPr id="14" name="Picture 14" descr="This chart compares the proportions of 0-14, 15-64 and 65+ years age groups between 2020 and 2060. While the 0-14 and 15-64 years age groups are projected to reduce by less than a percentage point between 2020 and 2060, the 65+ years age group is expected to increase by 1.3 percentage points over the sam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chart compares the proportions of 0-14, 15-64 and 65+ years age groups between 2020 and 2060. While the 0-14 and 15-64 years age groups are projected to reduce by less than a percentage point between 2020 and 2060, the 65+ years age group is expected to increase by 1.3 percentage points over the same period.&#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0F61F09E" w14:textId="458CAF90" w:rsidR="00FA4C67" w:rsidRDefault="00B82886" w:rsidP="006C4A2D">
      <w:r>
        <w:t>The m</w:t>
      </w:r>
      <w:r w:rsidR="00FA4C67">
        <w:t xml:space="preserve">edian age in the ACT is expected to increase </w:t>
      </w:r>
      <w:r w:rsidR="00FA4C67" w:rsidRPr="00945BA6">
        <w:t>from 3</w:t>
      </w:r>
      <w:r w:rsidR="00C47B4E" w:rsidRPr="00945BA6">
        <w:t>5</w:t>
      </w:r>
      <w:r w:rsidR="00FA4C67" w:rsidRPr="00945BA6">
        <w:t xml:space="preserve"> years </w:t>
      </w:r>
      <w:r w:rsidR="000131F7">
        <w:t>at June</w:t>
      </w:r>
      <w:r w:rsidR="00FA4C67" w:rsidRPr="00945BA6">
        <w:t xml:space="preserve"> 202</w:t>
      </w:r>
      <w:r w:rsidR="00C47B4E" w:rsidRPr="00945BA6">
        <w:t>1</w:t>
      </w:r>
      <w:r w:rsidR="00FA4C67" w:rsidRPr="00945BA6">
        <w:t xml:space="preserve"> to </w:t>
      </w:r>
      <w:r w:rsidR="000131F7">
        <w:t xml:space="preserve">only </w:t>
      </w:r>
      <w:r w:rsidR="00FA4C67" w:rsidRPr="00945BA6">
        <w:t>3</w:t>
      </w:r>
      <w:r w:rsidR="00C47B4E" w:rsidRPr="00945BA6">
        <w:t>7</w:t>
      </w:r>
      <w:r w:rsidR="00FA4C67" w:rsidRPr="00945BA6">
        <w:t xml:space="preserve"> years </w:t>
      </w:r>
      <w:r w:rsidR="000131F7">
        <w:t xml:space="preserve">at June </w:t>
      </w:r>
      <w:r w:rsidR="00FA4C67" w:rsidRPr="00945BA6">
        <w:t>2060</w:t>
      </w:r>
      <w:r w:rsidRPr="00945BA6">
        <w:t xml:space="preserve"> (</w:t>
      </w:r>
      <w:r w:rsidR="00FA4C67" w:rsidRPr="00945BA6">
        <w:t xml:space="preserve">Figure </w:t>
      </w:r>
      <w:r w:rsidR="00810DC1" w:rsidRPr="00945BA6">
        <w:t>7</w:t>
      </w:r>
      <w:r w:rsidRPr="00945BA6">
        <w:t>)</w:t>
      </w:r>
      <w:r w:rsidR="00093EB8" w:rsidRPr="00945BA6">
        <w:t>.</w:t>
      </w:r>
      <w:r w:rsidR="0096110E" w:rsidRPr="00945BA6">
        <w:t xml:space="preserve"> The median age for females was higher than males in 202</w:t>
      </w:r>
      <w:r w:rsidR="005026B3" w:rsidRPr="00945BA6">
        <w:t>1</w:t>
      </w:r>
      <w:r w:rsidR="0096110E" w:rsidRPr="00945BA6">
        <w:t xml:space="preserve">. However, they are expected to gradually converge over the next </w:t>
      </w:r>
      <w:r w:rsidR="00AC3B3D" w:rsidRPr="00945BA6">
        <w:t>39</w:t>
      </w:r>
      <w:r w:rsidR="00684923" w:rsidRPr="00945BA6">
        <w:t xml:space="preserve"> </w:t>
      </w:r>
      <w:r w:rsidR="0096110E" w:rsidRPr="00945BA6">
        <w:t>years</w:t>
      </w:r>
      <w:r w:rsidR="003476C5" w:rsidRPr="00945BA6">
        <w:t>, with median age for females reaching 3</w:t>
      </w:r>
      <w:r w:rsidR="00684923" w:rsidRPr="00945BA6">
        <w:t>7.3</w:t>
      </w:r>
      <w:r w:rsidR="003476C5" w:rsidRPr="00945BA6">
        <w:t xml:space="preserve"> years and that of males 3</w:t>
      </w:r>
      <w:r w:rsidR="00684923" w:rsidRPr="00945BA6">
        <w:t>6.8</w:t>
      </w:r>
      <w:r w:rsidR="003476C5" w:rsidRPr="00945BA6">
        <w:t xml:space="preserve"> years.</w:t>
      </w:r>
    </w:p>
    <w:p w14:paraId="17C2CC02" w14:textId="24A4618D" w:rsidR="00FA4C67" w:rsidRDefault="00FA4C67" w:rsidP="00FA4C67">
      <w:pPr>
        <w:pStyle w:val="TableFiguresheading"/>
        <w:jc w:val="left"/>
      </w:pPr>
      <w:r>
        <w:lastRenderedPageBreak/>
        <w:t xml:space="preserve">Figure </w:t>
      </w:r>
      <w:r w:rsidR="00810DC1">
        <w:t>7</w:t>
      </w:r>
      <w:r>
        <w:t>: ACT median age</w:t>
      </w:r>
      <w:r w:rsidR="00CC2D5A">
        <w:t xml:space="preserve">; females, males and persons, </w:t>
      </w:r>
      <w:r w:rsidR="00CE3D85">
        <w:t xml:space="preserve">June </w:t>
      </w:r>
      <w:r w:rsidR="002A0FF0">
        <w:t xml:space="preserve">1980 </w:t>
      </w:r>
      <w:r w:rsidR="00CC2D5A">
        <w:t xml:space="preserve">to </w:t>
      </w:r>
      <w:r w:rsidR="00CE3D85">
        <w:t xml:space="preserve">June </w:t>
      </w:r>
      <w:r w:rsidR="00CC2D5A">
        <w:t>2060</w:t>
      </w:r>
    </w:p>
    <w:p w14:paraId="1AB68523" w14:textId="77777777" w:rsidR="00D83771" w:rsidRDefault="00D83771" w:rsidP="00FA4C67">
      <w:pPr>
        <w:pStyle w:val="TableFiguresheading"/>
        <w:jc w:val="left"/>
      </w:pPr>
    </w:p>
    <w:p w14:paraId="1DF51C2F" w14:textId="489D5EE1" w:rsidR="00287346" w:rsidRPr="008B41D7" w:rsidRDefault="00684923" w:rsidP="00427C53">
      <w:pPr>
        <w:pStyle w:val="TableFiguresheading"/>
        <w:jc w:val="center"/>
        <w:rPr>
          <w:rFonts w:ascii="Arial" w:hAnsi="Arial"/>
          <w:color w:val="7030A0"/>
          <w:kern w:val="28"/>
          <w:sz w:val="22"/>
          <w:szCs w:val="8"/>
        </w:rPr>
      </w:pPr>
      <w:r>
        <w:rPr>
          <w:rFonts w:ascii="Arial" w:hAnsi="Arial"/>
          <w:noProof/>
          <w:color w:val="7030A0"/>
          <w:kern w:val="28"/>
          <w:sz w:val="22"/>
          <w:szCs w:val="8"/>
        </w:rPr>
        <w:drawing>
          <wp:inline distT="0" distB="0" distL="0" distR="0" wp14:anchorId="583DDC88" wp14:editId="596E22B4">
            <wp:extent cx="4834255" cy="2743200"/>
            <wp:effectExtent l="19050" t="19050" r="23495" b="19050"/>
            <wp:docPr id="17" name="Picture 17" descr="This chart shows the median ages of the ACT population as well as by sex (males/female). While the median age of females was greater than males in 2021, they are expected to converge by 20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chart shows the median ages of the ACT population as well as by sex (males/female). While the median age of females was greater than males in 2021, they are expected to converge by 2060.&#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4255" cy="2743200"/>
                    </a:xfrm>
                    <a:prstGeom prst="rect">
                      <a:avLst/>
                    </a:prstGeom>
                    <a:noFill/>
                    <a:ln w="3175">
                      <a:solidFill>
                        <a:schemeClr val="tx1">
                          <a:lumMod val="50000"/>
                          <a:lumOff val="50000"/>
                        </a:schemeClr>
                      </a:solidFill>
                    </a:ln>
                  </pic:spPr>
                </pic:pic>
              </a:graphicData>
            </a:graphic>
          </wp:inline>
        </w:drawing>
      </w:r>
    </w:p>
    <w:p w14:paraId="46F9AE0E" w14:textId="02D1FCAE" w:rsidR="00FA4C67" w:rsidRDefault="00E01A2F" w:rsidP="00FA4C67">
      <w:r>
        <w:t xml:space="preserve">Population growth across ACT districts </w:t>
      </w:r>
      <w:r w:rsidR="00122C55">
        <w:t>reflects the relative stages of growth relating to the initial release of developments in each district relative to offsetting factors like urban infill and ageing</w:t>
      </w:r>
      <w:r>
        <w:t xml:space="preserve"> over the projection period to </w:t>
      </w:r>
      <w:r w:rsidR="000131F7">
        <w:t xml:space="preserve">June </w:t>
      </w:r>
      <w:r>
        <w:t>2060. T</w:t>
      </w:r>
      <w:r w:rsidR="004C11E8">
        <w:t>able</w:t>
      </w:r>
      <w:r>
        <w:t xml:space="preserve"> 1</w:t>
      </w:r>
      <w:r w:rsidR="004C11E8">
        <w:t xml:space="preserve"> shows the change in population at the ACT </w:t>
      </w:r>
      <w:r w:rsidR="00F62EF9">
        <w:t>district</w:t>
      </w:r>
      <w:r w:rsidR="004C11E8">
        <w:t xml:space="preserve"> level (approximate</w:t>
      </w:r>
      <w:r w:rsidR="00F62EF9">
        <w:t>d</w:t>
      </w:r>
      <w:r w:rsidR="004C11E8">
        <w:t xml:space="preserve"> </w:t>
      </w:r>
      <w:r w:rsidR="00F62EF9">
        <w:t>by the ABS ASGS 2016 structure SA3</w:t>
      </w:r>
      <w:r w:rsidR="004C11E8">
        <w:t>) between 202</w:t>
      </w:r>
      <w:r w:rsidR="00810DC1">
        <w:t>1</w:t>
      </w:r>
      <w:r w:rsidR="004C11E8">
        <w:t xml:space="preserve"> and 2060.</w:t>
      </w:r>
    </w:p>
    <w:p w14:paraId="5901E5FA" w14:textId="40243459" w:rsidR="004C11E8" w:rsidRDefault="004C11E8" w:rsidP="004C11E8">
      <w:pPr>
        <w:pStyle w:val="TableCaption"/>
      </w:pPr>
      <w:r>
        <w:t xml:space="preserve">Table 1: Population change in ACT SA3s between </w:t>
      </w:r>
      <w:r w:rsidR="00CE3D85">
        <w:t xml:space="preserve">June </w:t>
      </w:r>
      <w:r>
        <w:t>202</w:t>
      </w:r>
      <w:r w:rsidR="008D0F03">
        <w:t>1</w:t>
      </w:r>
      <w:r>
        <w:t xml:space="preserve"> and </w:t>
      </w:r>
      <w:r w:rsidR="00CE3D85">
        <w:t xml:space="preserve">June </w:t>
      </w:r>
      <w:r>
        <w:t>2060</w:t>
      </w:r>
    </w:p>
    <w:tbl>
      <w:tblPr>
        <w:tblStyle w:val="ARTableFigures"/>
        <w:tblW w:w="9960" w:type="dxa"/>
        <w:jc w:val="center"/>
        <w:tblLayout w:type="fixed"/>
        <w:tblLook w:val="04A0" w:firstRow="1" w:lastRow="0" w:firstColumn="1" w:lastColumn="0" w:noHBand="0" w:noVBand="1"/>
      </w:tblPr>
      <w:tblGrid>
        <w:gridCol w:w="1862"/>
        <w:gridCol w:w="1276"/>
        <w:gridCol w:w="1418"/>
        <w:gridCol w:w="1275"/>
        <w:gridCol w:w="1418"/>
        <w:gridCol w:w="1276"/>
        <w:gridCol w:w="1435"/>
      </w:tblGrid>
      <w:tr w:rsidR="003B1E3E" w14:paraId="1EC38106" w14:textId="007C7872" w:rsidTr="008C099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000000"/>
              <w:right w:val="single" w:sz="4" w:space="0" w:color="000000"/>
            </w:tcBorders>
          </w:tcPr>
          <w:p w14:paraId="0A923E66" w14:textId="49AC8546" w:rsidR="008D0F03" w:rsidRDefault="008D0F03" w:rsidP="00D06052">
            <w:pPr>
              <w:pStyle w:val="TableheadingNormal"/>
              <w:jc w:val="center"/>
            </w:pPr>
            <w:r>
              <w:t>SA3</w:t>
            </w:r>
          </w:p>
        </w:tc>
        <w:tc>
          <w:tcPr>
            <w:tcW w:w="1276" w:type="dxa"/>
            <w:tcBorders>
              <w:left w:val="single" w:sz="4" w:space="0" w:color="000000"/>
              <w:right w:val="single" w:sz="4" w:space="0" w:color="000000"/>
            </w:tcBorders>
          </w:tcPr>
          <w:p w14:paraId="277089A7" w14:textId="47F91692" w:rsidR="008D0F03" w:rsidRDefault="008D0F03" w:rsidP="00D06052">
            <w:pPr>
              <w:pStyle w:val="TableheadingNormal"/>
              <w:jc w:val="right"/>
              <w:cnfStyle w:val="100000000000" w:firstRow="1" w:lastRow="0" w:firstColumn="0" w:lastColumn="0" w:oddVBand="0" w:evenVBand="0" w:oddHBand="0" w:evenHBand="0" w:firstRowFirstColumn="0" w:firstRowLastColumn="0" w:lastRowFirstColumn="0" w:lastRowLastColumn="0"/>
            </w:pPr>
            <w:r>
              <w:t>Population in June 2021</w:t>
            </w:r>
          </w:p>
        </w:tc>
        <w:tc>
          <w:tcPr>
            <w:tcW w:w="1418" w:type="dxa"/>
            <w:tcBorders>
              <w:left w:val="single" w:sz="4" w:space="0" w:color="000000"/>
              <w:right w:val="single" w:sz="4" w:space="0" w:color="000000"/>
            </w:tcBorders>
          </w:tcPr>
          <w:p w14:paraId="37B484D7" w14:textId="3C3BAC3E" w:rsidR="008D0F03" w:rsidRDefault="008D0F03" w:rsidP="00D06052">
            <w:pPr>
              <w:pStyle w:val="TableheadingNormal"/>
              <w:jc w:val="right"/>
              <w:cnfStyle w:val="100000000000" w:firstRow="1" w:lastRow="0" w:firstColumn="0" w:lastColumn="0" w:oddVBand="0" w:evenVBand="0" w:oddHBand="0" w:evenHBand="0" w:firstRowFirstColumn="0" w:firstRowLastColumn="0" w:lastRowFirstColumn="0" w:lastRowLastColumn="0"/>
            </w:pPr>
            <w:r>
              <w:t>Population share in June 2021</w:t>
            </w:r>
            <w:r w:rsidR="00FA214A">
              <w:t xml:space="preserve"> (%)</w:t>
            </w:r>
          </w:p>
        </w:tc>
        <w:tc>
          <w:tcPr>
            <w:tcW w:w="1275" w:type="dxa"/>
            <w:tcBorders>
              <w:left w:val="single" w:sz="4" w:space="0" w:color="000000"/>
              <w:right w:val="single" w:sz="4" w:space="0" w:color="000000"/>
            </w:tcBorders>
          </w:tcPr>
          <w:p w14:paraId="235D80CB" w14:textId="5CAEC47B" w:rsidR="008D0F03" w:rsidRDefault="008D0F03" w:rsidP="00D06052">
            <w:pPr>
              <w:pStyle w:val="TableheadingNormal"/>
              <w:jc w:val="right"/>
              <w:cnfStyle w:val="100000000000" w:firstRow="1" w:lastRow="0" w:firstColumn="0" w:lastColumn="0" w:oddVBand="0" w:evenVBand="0" w:oddHBand="0" w:evenHBand="0" w:firstRowFirstColumn="0" w:firstRowLastColumn="0" w:lastRowFirstColumn="0" w:lastRowLastColumn="0"/>
            </w:pPr>
            <w:r>
              <w:t>Population in June 2060</w:t>
            </w:r>
          </w:p>
        </w:tc>
        <w:tc>
          <w:tcPr>
            <w:tcW w:w="1418" w:type="dxa"/>
            <w:tcBorders>
              <w:left w:val="single" w:sz="4" w:space="0" w:color="000000"/>
              <w:right w:val="single" w:sz="4" w:space="0" w:color="000000"/>
            </w:tcBorders>
          </w:tcPr>
          <w:p w14:paraId="0F3EB6B3" w14:textId="7D38AD0E" w:rsidR="008D0F03" w:rsidRDefault="008D0F03" w:rsidP="00D06052">
            <w:pPr>
              <w:pStyle w:val="TableheadingNormal"/>
              <w:jc w:val="right"/>
              <w:cnfStyle w:val="100000000000" w:firstRow="1" w:lastRow="0" w:firstColumn="0" w:lastColumn="0" w:oddVBand="0" w:evenVBand="0" w:oddHBand="0" w:evenHBand="0" w:firstRowFirstColumn="0" w:firstRowLastColumn="0" w:lastRowFirstColumn="0" w:lastRowLastColumn="0"/>
            </w:pPr>
            <w:r>
              <w:t>Population share in June 2060</w:t>
            </w:r>
            <w:r w:rsidR="00FA214A">
              <w:t xml:space="preserve"> (%)</w:t>
            </w:r>
          </w:p>
        </w:tc>
        <w:tc>
          <w:tcPr>
            <w:tcW w:w="1276" w:type="dxa"/>
            <w:tcBorders>
              <w:left w:val="single" w:sz="4" w:space="0" w:color="000000"/>
              <w:right w:val="single" w:sz="4" w:space="0" w:color="000000"/>
            </w:tcBorders>
          </w:tcPr>
          <w:p w14:paraId="5522BD44" w14:textId="53B19178" w:rsidR="008D0F03" w:rsidRPr="00B83F53" w:rsidRDefault="008D0F03" w:rsidP="00D06052">
            <w:pPr>
              <w:pStyle w:val="TableheadingNormal"/>
              <w:jc w:val="right"/>
              <w:cnfStyle w:val="100000000000" w:firstRow="1" w:lastRow="0" w:firstColumn="0" w:lastColumn="0" w:oddVBand="0" w:evenVBand="0" w:oddHBand="0" w:evenHBand="0" w:firstRowFirstColumn="0" w:firstRowLastColumn="0" w:lastRowFirstColumn="0" w:lastRowLastColumn="0"/>
            </w:pPr>
            <w:r>
              <w:t>Change</w:t>
            </w:r>
            <w:r w:rsidR="00FA214A">
              <w:t xml:space="preserve"> in population</w:t>
            </w:r>
          </w:p>
        </w:tc>
        <w:tc>
          <w:tcPr>
            <w:tcW w:w="1435" w:type="dxa"/>
            <w:tcBorders>
              <w:left w:val="single" w:sz="4" w:space="0" w:color="000000"/>
              <w:right w:val="single" w:sz="4" w:space="0" w:color="000000"/>
            </w:tcBorders>
          </w:tcPr>
          <w:p w14:paraId="422552A7" w14:textId="39E3A985" w:rsidR="008D0F03" w:rsidRDefault="008D0F03" w:rsidP="00D06052">
            <w:pPr>
              <w:pStyle w:val="TableheadingNormal"/>
              <w:jc w:val="right"/>
              <w:cnfStyle w:val="100000000000" w:firstRow="1" w:lastRow="0" w:firstColumn="0" w:lastColumn="0" w:oddVBand="0" w:evenVBand="0" w:oddHBand="0" w:evenHBand="0" w:firstRowFirstColumn="0" w:firstRowLastColumn="0" w:lastRowFirstColumn="0" w:lastRowLastColumn="0"/>
            </w:pPr>
            <w:r>
              <w:t>Average rate of growth</w:t>
            </w:r>
          </w:p>
        </w:tc>
      </w:tr>
      <w:tr w:rsidR="003B1E3E" w14:paraId="55401FAD" w14:textId="2CE0B513" w:rsidTr="008C0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000000"/>
              <w:right w:val="single" w:sz="4" w:space="0" w:color="000000"/>
            </w:tcBorders>
            <w:vAlign w:val="top"/>
          </w:tcPr>
          <w:p w14:paraId="4D399633" w14:textId="4BE32216" w:rsidR="003B1E3E" w:rsidRPr="00F43BA2" w:rsidRDefault="003B1E3E" w:rsidP="00C26CFF">
            <w:pPr>
              <w:pStyle w:val="Tabletext"/>
            </w:pPr>
            <w:r w:rsidRPr="00F43BA2">
              <w:t>Belconnen</w:t>
            </w:r>
          </w:p>
        </w:tc>
        <w:tc>
          <w:tcPr>
            <w:tcW w:w="1276" w:type="dxa"/>
            <w:tcBorders>
              <w:left w:val="single" w:sz="4" w:space="0" w:color="000000"/>
              <w:right w:val="single" w:sz="4" w:space="0" w:color="000000"/>
            </w:tcBorders>
          </w:tcPr>
          <w:p w14:paraId="35440642" w14:textId="6DEB1BEB"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105,872</w:t>
            </w:r>
          </w:p>
        </w:tc>
        <w:tc>
          <w:tcPr>
            <w:tcW w:w="1418" w:type="dxa"/>
            <w:tcBorders>
              <w:left w:val="single" w:sz="4" w:space="0" w:color="000000"/>
              <w:right w:val="single" w:sz="4" w:space="0" w:color="000000"/>
            </w:tcBorders>
          </w:tcPr>
          <w:p w14:paraId="28FB29F3" w14:textId="5EFBCC3D"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23%</w:t>
            </w:r>
          </w:p>
        </w:tc>
        <w:tc>
          <w:tcPr>
            <w:tcW w:w="1275" w:type="dxa"/>
            <w:tcBorders>
              <w:left w:val="single" w:sz="4" w:space="0" w:color="000000"/>
              <w:right w:val="single" w:sz="4" w:space="0" w:color="000000"/>
            </w:tcBorders>
          </w:tcPr>
          <w:p w14:paraId="0DB0E2C1" w14:textId="6F9B06F2"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175,826</w:t>
            </w:r>
          </w:p>
        </w:tc>
        <w:tc>
          <w:tcPr>
            <w:tcW w:w="1418" w:type="dxa"/>
            <w:tcBorders>
              <w:left w:val="single" w:sz="4" w:space="0" w:color="000000"/>
              <w:right w:val="single" w:sz="4" w:space="0" w:color="000000"/>
            </w:tcBorders>
          </w:tcPr>
          <w:p w14:paraId="66CC6595" w14:textId="07491478"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22%</w:t>
            </w:r>
          </w:p>
        </w:tc>
        <w:tc>
          <w:tcPr>
            <w:tcW w:w="1276" w:type="dxa"/>
            <w:tcBorders>
              <w:left w:val="single" w:sz="4" w:space="0" w:color="000000"/>
              <w:right w:val="single" w:sz="4" w:space="0" w:color="000000"/>
            </w:tcBorders>
          </w:tcPr>
          <w:p w14:paraId="55F7B23F" w14:textId="2966666E"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69,954</w:t>
            </w:r>
          </w:p>
        </w:tc>
        <w:tc>
          <w:tcPr>
            <w:tcW w:w="1435" w:type="dxa"/>
            <w:tcBorders>
              <w:left w:val="single" w:sz="4" w:space="0" w:color="000000"/>
              <w:right w:val="single" w:sz="4" w:space="0" w:color="000000"/>
            </w:tcBorders>
          </w:tcPr>
          <w:p w14:paraId="438F6821" w14:textId="58744ED2"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1.3%</w:t>
            </w:r>
          </w:p>
        </w:tc>
      </w:tr>
      <w:tr w:rsidR="003B1E3E" w14:paraId="5B922C7A" w14:textId="6F9A85BD" w:rsidTr="008C09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000000"/>
              <w:right w:val="single" w:sz="4" w:space="0" w:color="000000"/>
            </w:tcBorders>
            <w:vAlign w:val="top"/>
          </w:tcPr>
          <w:p w14:paraId="180C21F7" w14:textId="7BC39FD8" w:rsidR="003B1E3E" w:rsidRPr="00F43BA2" w:rsidRDefault="003B1E3E" w:rsidP="00C26CFF">
            <w:pPr>
              <w:pStyle w:val="Tabletext"/>
            </w:pPr>
            <w:r w:rsidRPr="00F43BA2">
              <w:t>Canberra East</w:t>
            </w:r>
          </w:p>
        </w:tc>
        <w:tc>
          <w:tcPr>
            <w:tcW w:w="1276" w:type="dxa"/>
            <w:tcBorders>
              <w:left w:val="single" w:sz="4" w:space="0" w:color="000000"/>
              <w:right w:val="single" w:sz="4" w:space="0" w:color="000000"/>
            </w:tcBorders>
          </w:tcPr>
          <w:p w14:paraId="247FCCB6" w14:textId="7B44AEF5"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1,932</w:t>
            </w:r>
          </w:p>
        </w:tc>
        <w:tc>
          <w:tcPr>
            <w:tcW w:w="1418" w:type="dxa"/>
            <w:tcBorders>
              <w:left w:val="single" w:sz="4" w:space="0" w:color="000000"/>
              <w:right w:val="single" w:sz="4" w:space="0" w:color="000000"/>
            </w:tcBorders>
          </w:tcPr>
          <w:p w14:paraId="7C45440D" w14:textId="7CD71773"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0%</w:t>
            </w:r>
          </w:p>
        </w:tc>
        <w:tc>
          <w:tcPr>
            <w:tcW w:w="1275" w:type="dxa"/>
            <w:tcBorders>
              <w:left w:val="single" w:sz="4" w:space="0" w:color="000000"/>
              <w:right w:val="single" w:sz="4" w:space="0" w:color="000000"/>
            </w:tcBorders>
          </w:tcPr>
          <w:p w14:paraId="55DD1CA3" w14:textId="14F8EC63"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2,232</w:t>
            </w:r>
          </w:p>
        </w:tc>
        <w:tc>
          <w:tcPr>
            <w:tcW w:w="1418" w:type="dxa"/>
            <w:tcBorders>
              <w:left w:val="single" w:sz="4" w:space="0" w:color="000000"/>
              <w:right w:val="single" w:sz="4" w:space="0" w:color="000000"/>
            </w:tcBorders>
          </w:tcPr>
          <w:p w14:paraId="2B11FAF8" w14:textId="19A304AE"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0%</w:t>
            </w:r>
          </w:p>
        </w:tc>
        <w:tc>
          <w:tcPr>
            <w:tcW w:w="1276" w:type="dxa"/>
            <w:tcBorders>
              <w:left w:val="single" w:sz="4" w:space="0" w:color="000000"/>
              <w:right w:val="single" w:sz="4" w:space="0" w:color="000000"/>
            </w:tcBorders>
          </w:tcPr>
          <w:p w14:paraId="1EA06DBC" w14:textId="2C913D5A"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300</w:t>
            </w:r>
          </w:p>
        </w:tc>
        <w:tc>
          <w:tcPr>
            <w:tcW w:w="1435" w:type="dxa"/>
            <w:tcBorders>
              <w:left w:val="single" w:sz="4" w:space="0" w:color="000000"/>
              <w:right w:val="single" w:sz="4" w:space="0" w:color="000000"/>
            </w:tcBorders>
          </w:tcPr>
          <w:p w14:paraId="16099601" w14:textId="5AEB5FB0"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0.4%</w:t>
            </w:r>
          </w:p>
        </w:tc>
      </w:tr>
      <w:tr w:rsidR="003B1E3E" w14:paraId="2CBB1626" w14:textId="08CC5F09" w:rsidTr="008C0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000000"/>
              <w:right w:val="single" w:sz="4" w:space="0" w:color="000000"/>
            </w:tcBorders>
            <w:vAlign w:val="top"/>
          </w:tcPr>
          <w:p w14:paraId="11C123EF" w14:textId="71F22565" w:rsidR="003B1E3E" w:rsidRPr="00F43BA2" w:rsidRDefault="003B1E3E" w:rsidP="00C26CFF">
            <w:pPr>
              <w:pStyle w:val="Tabletext"/>
            </w:pPr>
            <w:r w:rsidRPr="00F43BA2">
              <w:t>Gungahlin</w:t>
            </w:r>
          </w:p>
        </w:tc>
        <w:tc>
          <w:tcPr>
            <w:tcW w:w="1276" w:type="dxa"/>
            <w:tcBorders>
              <w:left w:val="single" w:sz="4" w:space="0" w:color="000000"/>
              <w:right w:val="single" w:sz="4" w:space="0" w:color="000000"/>
            </w:tcBorders>
          </w:tcPr>
          <w:p w14:paraId="398C329C" w14:textId="5F615BAB"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87,843</w:t>
            </w:r>
          </w:p>
        </w:tc>
        <w:tc>
          <w:tcPr>
            <w:tcW w:w="1418" w:type="dxa"/>
            <w:tcBorders>
              <w:left w:val="single" w:sz="4" w:space="0" w:color="000000"/>
              <w:right w:val="single" w:sz="4" w:space="0" w:color="000000"/>
            </w:tcBorders>
          </w:tcPr>
          <w:p w14:paraId="193D628E" w14:textId="62AB8811"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19%</w:t>
            </w:r>
          </w:p>
        </w:tc>
        <w:tc>
          <w:tcPr>
            <w:tcW w:w="1275" w:type="dxa"/>
            <w:tcBorders>
              <w:left w:val="single" w:sz="4" w:space="0" w:color="000000"/>
              <w:right w:val="single" w:sz="4" w:space="0" w:color="000000"/>
            </w:tcBorders>
          </w:tcPr>
          <w:p w14:paraId="527E59A5" w14:textId="350692B4"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148,799</w:t>
            </w:r>
          </w:p>
        </w:tc>
        <w:tc>
          <w:tcPr>
            <w:tcW w:w="1418" w:type="dxa"/>
            <w:tcBorders>
              <w:left w:val="single" w:sz="4" w:space="0" w:color="000000"/>
              <w:right w:val="single" w:sz="4" w:space="0" w:color="000000"/>
            </w:tcBorders>
          </w:tcPr>
          <w:p w14:paraId="041E5347" w14:textId="1DF74CD2"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19%</w:t>
            </w:r>
          </w:p>
        </w:tc>
        <w:tc>
          <w:tcPr>
            <w:tcW w:w="1276" w:type="dxa"/>
            <w:tcBorders>
              <w:left w:val="single" w:sz="4" w:space="0" w:color="000000"/>
              <w:right w:val="single" w:sz="4" w:space="0" w:color="000000"/>
            </w:tcBorders>
          </w:tcPr>
          <w:p w14:paraId="5441FA03" w14:textId="5836C63A"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60,956</w:t>
            </w:r>
          </w:p>
        </w:tc>
        <w:tc>
          <w:tcPr>
            <w:tcW w:w="1435" w:type="dxa"/>
            <w:tcBorders>
              <w:left w:val="single" w:sz="4" w:space="0" w:color="000000"/>
              <w:right w:val="single" w:sz="4" w:space="0" w:color="000000"/>
            </w:tcBorders>
          </w:tcPr>
          <w:p w14:paraId="2366985D" w14:textId="485F79CF"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1.4%</w:t>
            </w:r>
          </w:p>
        </w:tc>
      </w:tr>
      <w:tr w:rsidR="003B1E3E" w14:paraId="7C6603B2" w14:textId="31EFF530" w:rsidTr="008C09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000000"/>
              <w:right w:val="single" w:sz="4" w:space="0" w:color="000000"/>
            </w:tcBorders>
            <w:vAlign w:val="top"/>
          </w:tcPr>
          <w:p w14:paraId="204D67DA" w14:textId="79AFA0D4" w:rsidR="003B1E3E" w:rsidRPr="00F43BA2" w:rsidRDefault="003B1E3E" w:rsidP="00C26CFF">
            <w:pPr>
              <w:pStyle w:val="Tabletext"/>
            </w:pPr>
            <w:r w:rsidRPr="00F43BA2">
              <w:t>Molonglo</w:t>
            </w:r>
          </w:p>
        </w:tc>
        <w:tc>
          <w:tcPr>
            <w:tcW w:w="1276" w:type="dxa"/>
            <w:tcBorders>
              <w:left w:val="single" w:sz="4" w:space="0" w:color="000000"/>
              <w:right w:val="single" w:sz="4" w:space="0" w:color="000000"/>
            </w:tcBorders>
          </w:tcPr>
          <w:p w14:paraId="5495EAF0" w14:textId="11D0D2C5"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11,382</w:t>
            </w:r>
          </w:p>
        </w:tc>
        <w:tc>
          <w:tcPr>
            <w:tcW w:w="1418" w:type="dxa"/>
            <w:tcBorders>
              <w:left w:val="single" w:sz="4" w:space="0" w:color="000000"/>
              <w:right w:val="single" w:sz="4" w:space="0" w:color="000000"/>
            </w:tcBorders>
          </w:tcPr>
          <w:p w14:paraId="42C23226" w14:textId="698FE697"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3%</w:t>
            </w:r>
          </w:p>
        </w:tc>
        <w:tc>
          <w:tcPr>
            <w:tcW w:w="1275" w:type="dxa"/>
            <w:tcBorders>
              <w:left w:val="single" w:sz="4" w:space="0" w:color="000000"/>
              <w:right w:val="single" w:sz="4" w:space="0" w:color="000000"/>
            </w:tcBorders>
          </w:tcPr>
          <w:p w14:paraId="1662E3BD" w14:textId="13327782"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86,148</w:t>
            </w:r>
          </w:p>
        </w:tc>
        <w:tc>
          <w:tcPr>
            <w:tcW w:w="1418" w:type="dxa"/>
            <w:tcBorders>
              <w:left w:val="single" w:sz="4" w:space="0" w:color="000000"/>
              <w:right w:val="single" w:sz="4" w:space="0" w:color="000000"/>
            </w:tcBorders>
          </w:tcPr>
          <w:p w14:paraId="761BE887" w14:textId="334AE450"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11%</w:t>
            </w:r>
          </w:p>
        </w:tc>
        <w:tc>
          <w:tcPr>
            <w:tcW w:w="1276" w:type="dxa"/>
            <w:tcBorders>
              <w:left w:val="single" w:sz="4" w:space="0" w:color="000000"/>
              <w:right w:val="single" w:sz="4" w:space="0" w:color="000000"/>
            </w:tcBorders>
          </w:tcPr>
          <w:p w14:paraId="6AC7885F" w14:textId="121F6296"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74,766</w:t>
            </w:r>
          </w:p>
        </w:tc>
        <w:tc>
          <w:tcPr>
            <w:tcW w:w="1435" w:type="dxa"/>
            <w:tcBorders>
              <w:left w:val="single" w:sz="4" w:space="0" w:color="000000"/>
              <w:right w:val="single" w:sz="4" w:space="0" w:color="000000"/>
            </w:tcBorders>
          </w:tcPr>
          <w:p w14:paraId="5D9DFE43" w14:textId="5915DC59"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5.3%</w:t>
            </w:r>
          </w:p>
        </w:tc>
      </w:tr>
      <w:tr w:rsidR="003B1E3E" w14:paraId="1D231864" w14:textId="113049A7" w:rsidTr="008C0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000000"/>
              <w:right w:val="single" w:sz="4" w:space="0" w:color="000000"/>
            </w:tcBorders>
            <w:vAlign w:val="top"/>
          </w:tcPr>
          <w:p w14:paraId="70A8BE9E" w14:textId="3208F933" w:rsidR="003B1E3E" w:rsidRPr="00F43BA2" w:rsidRDefault="003B1E3E" w:rsidP="00C26CFF">
            <w:pPr>
              <w:pStyle w:val="Tabletext"/>
            </w:pPr>
            <w:r w:rsidRPr="00F43BA2">
              <w:t>North Canberra</w:t>
            </w:r>
          </w:p>
        </w:tc>
        <w:tc>
          <w:tcPr>
            <w:tcW w:w="1276" w:type="dxa"/>
            <w:tcBorders>
              <w:left w:val="single" w:sz="4" w:space="0" w:color="000000"/>
              <w:right w:val="single" w:sz="4" w:space="0" w:color="000000"/>
            </w:tcBorders>
          </w:tcPr>
          <w:p w14:paraId="14A5B673" w14:textId="36B32397"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61,372</w:t>
            </w:r>
          </w:p>
        </w:tc>
        <w:tc>
          <w:tcPr>
            <w:tcW w:w="1418" w:type="dxa"/>
            <w:tcBorders>
              <w:left w:val="single" w:sz="4" w:space="0" w:color="000000"/>
              <w:right w:val="single" w:sz="4" w:space="0" w:color="000000"/>
            </w:tcBorders>
          </w:tcPr>
          <w:p w14:paraId="4751FED9" w14:textId="508E16B5"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14%</w:t>
            </w:r>
          </w:p>
        </w:tc>
        <w:tc>
          <w:tcPr>
            <w:tcW w:w="1275" w:type="dxa"/>
            <w:tcBorders>
              <w:left w:val="single" w:sz="4" w:space="0" w:color="000000"/>
              <w:right w:val="single" w:sz="4" w:space="0" w:color="000000"/>
            </w:tcBorders>
          </w:tcPr>
          <w:p w14:paraId="345527C7" w14:textId="0E4E2794"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140,999</w:t>
            </w:r>
          </w:p>
        </w:tc>
        <w:tc>
          <w:tcPr>
            <w:tcW w:w="1418" w:type="dxa"/>
            <w:tcBorders>
              <w:left w:val="single" w:sz="4" w:space="0" w:color="000000"/>
              <w:right w:val="single" w:sz="4" w:space="0" w:color="000000"/>
            </w:tcBorders>
          </w:tcPr>
          <w:p w14:paraId="5224A4C1" w14:textId="5B25AA9A"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18%</w:t>
            </w:r>
          </w:p>
        </w:tc>
        <w:tc>
          <w:tcPr>
            <w:tcW w:w="1276" w:type="dxa"/>
            <w:tcBorders>
              <w:left w:val="single" w:sz="4" w:space="0" w:color="000000"/>
              <w:right w:val="single" w:sz="4" w:space="0" w:color="000000"/>
            </w:tcBorders>
          </w:tcPr>
          <w:p w14:paraId="41E3DA81" w14:textId="675113F5"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79,627</w:t>
            </w:r>
          </w:p>
        </w:tc>
        <w:tc>
          <w:tcPr>
            <w:tcW w:w="1435" w:type="dxa"/>
            <w:tcBorders>
              <w:left w:val="single" w:sz="4" w:space="0" w:color="000000"/>
              <w:right w:val="single" w:sz="4" w:space="0" w:color="000000"/>
            </w:tcBorders>
          </w:tcPr>
          <w:p w14:paraId="04864212" w14:textId="2C778AE0"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2.2%</w:t>
            </w:r>
          </w:p>
        </w:tc>
      </w:tr>
      <w:tr w:rsidR="003B1E3E" w14:paraId="16827310" w14:textId="2DA15B12" w:rsidTr="008C09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000000"/>
              <w:right w:val="single" w:sz="4" w:space="0" w:color="000000"/>
            </w:tcBorders>
            <w:vAlign w:val="top"/>
          </w:tcPr>
          <w:p w14:paraId="666B7B0F" w14:textId="27950333" w:rsidR="003B1E3E" w:rsidRPr="00F43BA2" w:rsidRDefault="003B1E3E" w:rsidP="00C26CFF">
            <w:pPr>
              <w:pStyle w:val="Tabletext"/>
            </w:pPr>
            <w:r w:rsidRPr="00F43BA2">
              <w:t>South Canberra</w:t>
            </w:r>
          </w:p>
        </w:tc>
        <w:tc>
          <w:tcPr>
            <w:tcW w:w="1276" w:type="dxa"/>
            <w:tcBorders>
              <w:left w:val="single" w:sz="4" w:space="0" w:color="000000"/>
              <w:right w:val="single" w:sz="4" w:space="0" w:color="000000"/>
            </w:tcBorders>
          </w:tcPr>
          <w:p w14:paraId="445CDA45" w14:textId="01178A4C"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31,591</w:t>
            </w:r>
          </w:p>
        </w:tc>
        <w:tc>
          <w:tcPr>
            <w:tcW w:w="1418" w:type="dxa"/>
            <w:tcBorders>
              <w:left w:val="single" w:sz="4" w:space="0" w:color="000000"/>
              <w:right w:val="single" w:sz="4" w:space="0" w:color="000000"/>
            </w:tcBorders>
          </w:tcPr>
          <w:p w14:paraId="4142833C" w14:textId="7609EE26"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7%</w:t>
            </w:r>
          </w:p>
        </w:tc>
        <w:tc>
          <w:tcPr>
            <w:tcW w:w="1275" w:type="dxa"/>
            <w:tcBorders>
              <w:left w:val="single" w:sz="4" w:space="0" w:color="000000"/>
              <w:right w:val="single" w:sz="4" w:space="0" w:color="000000"/>
            </w:tcBorders>
          </w:tcPr>
          <w:p w14:paraId="392E7184" w14:textId="7F212DB1"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58,342</w:t>
            </w:r>
          </w:p>
        </w:tc>
        <w:tc>
          <w:tcPr>
            <w:tcW w:w="1418" w:type="dxa"/>
            <w:tcBorders>
              <w:left w:val="single" w:sz="4" w:space="0" w:color="000000"/>
              <w:right w:val="single" w:sz="4" w:space="0" w:color="000000"/>
            </w:tcBorders>
          </w:tcPr>
          <w:p w14:paraId="16CD7C49" w14:textId="4F0EB21B"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7%</w:t>
            </w:r>
          </w:p>
        </w:tc>
        <w:tc>
          <w:tcPr>
            <w:tcW w:w="1276" w:type="dxa"/>
            <w:tcBorders>
              <w:left w:val="single" w:sz="4" w:space="0" w:color="000000"/>
              <w:right w:val="single" w:sz="4" w:space="0" w:color="000000"/>
            </w:tcBorders>
          </w:tcPr>
          <w:p w14:paraId="45C5B6BC" w14:textId="36E2E653"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26,751</w:t>
            </w:r>
          </w:p>
        </w:tc>
        <w:tc>
          <w:tcPr>
            <w:tcW w:w="1435" w:type="dxa"/>
            <w:tcBorders>
              <w:left w:val="single" w:sz="4" w:space="0" w:color="000000"/>
              <w:right w:val="single" w:sz="4" w:space="0" w:color="000000"/>
            </w:tcBorders>
          </w:tcPr>
          <w:p w14:paraId="222F93AA" w14:textId="25389906"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1.6%</w:t>
            </w:r>
          </w:p>
        </w:tc>
      </w:tr>
      <w:tr w:rsidR="003B1E3E" w14:paraId="461045DD" w14:textId="1640973C" w:rsidTr="008C0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000000"/>
              <w:right w:val="single" w:sz="4" w:space="0" w:color="000000"/>
            </w:tcBorders>
            <w:vAlign w:val="top"/>
          </w:tcPr>
          <w:p w14:paraId="2F15CE67" w14:textId="1AA881F6" w:rsidR="003B1E3E" w:rsidRPr="00F43BA2" w:rsidRDefault="003B1E3E" w:rsidP="00C26CFF">
            <w:pPr>
              <w:pStyle w:val="Tabletext"/>
            </w:pPr>
            <w:r w:rsidRPr="00F43BA2">
              <w:t>Tuggeranong</w:t>
            </w:r>
          </w:p>
        </w:tc>
        <w:tc>
          <w:tcPr>
            <w:tcW w:w="1276" w:type="dxa"/>
            <w:tcBorders>
              <w:left w:val="single" w:sz="4" w:space="0" w:color="000000"/>
              <w:right w:val="single" w:sz="4" w:space="0" w:color="000000"/>
            </w:tcBorders>
          </w:tcPr>
          <w:p w14:paraId="729C1E81" w14:textId="150E209F"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89,245</w:t>
            </w:r>
          </w:p>
        </w:tc>
        <w:tc>
          <w:tcPr>
            <w:tcW w:w="1418" w:type="dxa"/>
            <w:tcBorders>
              <w:left w:val="single" w:sz="4" w:space="0" w:color="000000"/>
              <w:right w:val="single" w:sz="4" w:space="0" w:color="000000"/>
            </w:tcBorders>
          </w:tcPr>
          <w:p w14:paraId="427E70F3" w14:textId="7602242F"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20%</w:t>
            </w:r>
          </w:p>
        </w:tc>
        <w:tc>
          <w:tcPr>
            <w:tcW w:w="1275" w:type="dxa"/>
            <w:tcBorders>
              <w:left w:val="single" w:sz="4" w:space="0" w:color="000000"/>
              <w:right w:val="single" w:sz="4" w:space="0" w:color="000000"/>
            </w:tcBorders>
          </w:tcPr>
          <w:p w14:paraId="6A4B39F0" w14:textId="391F584B"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88,914</w:t>
            </w:r>
          </w:p>
        </w:tc>
        <w:tc>
          <w:tcPr>
            <w:tcW w:w="1418" w:type="dxa"/>
            <w:tcBorders>
              <w:left w:val="single" w:sz="4" w:space="0" w:color="000000"/>
              <w:right w:val="single" w:sz="4" w:space="0" w:color="000000"/>
            </w:tcBorders>
          </w:tcPr>
          <w:p w14:paraId="17F417BF" w14:textId="01D39FB0"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11%</w:t>
            </w:r>
          </w:p>
        </w:tc>
        <w:tc>
          <w:tcPr>
            <w:tcW w:w="1276" w:type="dxa"/>
            <w:tcBorders>
              <w:left w:val="single" w:sz="4" w:space="0" w:color="000000"/>
              <w:right w:val="single" w:sz="4" w:space="0" w:color="000000"/>
            </w:tcBorders>
          </w:tcPr>
          <w:p w14:paraId="62FAAEC9" w14:textId="284CCE7F"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-331</w:t>
            </w:r>
          </w:p>
        </w:tc>
        <w:tc>
          <w:tcPr>
            <w:tcW w:w="1435" w:type="dxa"/>
            <w:tcBorders>
              <w:left w:val="single" w:sz="4" w:space="0" w:color="000000"/>
              <w:right w:val="single" w:sz="4" w:space="0" w:color="000000"/>
            </w:tcBorders>
          </w:tcPr>
          <w:p w14:paraId="46F68E4C" w14:textId="259A962F"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0.0%</w:t>
            </w:r>
          </w:p>
        </w:tc>
      </w:tr>
      <w:tr w:rsidR="003B1E3E" w14:paraId="24E4EBEC" w14:textId="7BBDC79B" w:rsidTr="008C09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000000"/>
              <w:right w:val="single" w:sz="4" w:space="0" w:color="000000"/>
            </w:tcBorders>
            <w:vAlign w:val="top"/>
          </w:tcPr>
          <w:p w14:paraId="24EB22F5" w14:textId="42989B9A" w:rsidR="003B1E3E" w:rsidRPr="00F43BA2" w:rsidRDefault="003B1E3E" w:rsidP="00C26CFF">
            <w:pPr>
              <w:pStyle w:val="Tabletext"/>
            </w:pPr>
            <w:r w:rsidRPr="00F43BA2">
              <w:t xml:space="preserve">Urriarra </w:t>
            </w:r>
            <w:r w:rsidR="000131F7">
              <w:t>–</w:t>
            </w:r>
            <w:r w:rsidRPr="00F43BA2">
              <w:t xml:space="preserve"> Namadgi</w:t>
            </w:r>
          </w:p>
        </w:tc>
        <w:tc>
          <w:tcPr>
            <w:tcW w:w="1276" w:type="dxa"/>
            <w:tcBorders>
              <w:left w:val="single" w:sz="4" w:space="0" w:color="000000"/>
              <w:right w:val="single" w:sz="4" w:space="0" w:color="000000"/>
            </w:tcBorders>
          </w:tcPr>
          <w:p w14:paraId="6BA8CB25" w14:textId="17F5597C"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621</w:t>
            </w:r>
          </w:p>
        </w:tc>
        <w:tc>
          <w:tcPr>
            <w:tcW w:w="1418" w:type="dxa"/>
            <w:tcBorders>
              <w:left w:val="single" w:sz="4" w:space="0" w:color="000000"/>
              <w:right w:val="single" w:sz="4" w:space="0" w:color="000000"/>
            </w:tcBorders>
          </w:tcPr>
          <w:p w14:paraId="6BBCC0C8" w14:textId="4B330CFE"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0%</w:t>
            </w:r>
          </w:p>
        </w:tc>
        <w:tc>
          <w:tcPr>
            <w:tcW w:w="1275" w:type="dxa"/>
            <w:tcBorders>
              <w:left w:val="single" w:sz="4" w:space="0" w:color="000000"/>
              <w:right w:val="single" w:sz="4" w:space="0" w:color="000000"/>
            </w:tcBorders>
          </w:tcPr>
          <w:p w14:paraId="458648D8" w14:textId="3A76ADB5"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469</w:t>
            </w:r>
          </w:p>
        </w:tc>
        <w:tc>
          <w:tcPr>
            <w:tcW w:w="1418" w:type="dxa"/>
            <w:tcBorders>
              <w:left w:val="single" w:sz="4" w:space="0" w:color="000000"/>
              <w:right w:val="single" w:sz="4" w:space="0" w:color="000000"/>
            </w:tcBorders>
          </w:tcPr>
          <w:p w14:paraId="4A900B57" w14:textId="2EA1C94D"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0%</w:t>
            </w:r>
          </w:p>
        </w:tc>
        <w:tc>
          <w:tcPr>
            <w:tcW w:w="1276" w:type="dxa"/>
            <w:tcBorders>
              <w:left w:val="single" w:sz="4" w:space="0" w:color="000000"/>
              <w:right w:val="single" w:sz="4" w:space="0" w:color="000000"/>
            </w:tcBorders>
          </w:tcPr>
          <w:p w14:paraId="4BA570CB" w14:textId="75F2D36A"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-152</w:t>
            </w:r>
          </w:p>
        </w:tc>
        <w:tc>
          <w:tcPr>
            <w:tcW w:w="1435" w:type="dxa"/>
            <w:tcBorders>
              <w:left w:val="single" w:sz="4" w:space="0" w:color="000000"/>
              <w:right w:val="single" w:sz="4" w:space="0" w:color="000000"/>
            </w:tcBorders>
          </w:tcPr>
          <w:p w14:paraId="3A9F88E2" w14:textId="7FA58177"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-0.7%</w:t>
            </w:r>
          </w:p>
        </w:tc>
      </w:tr>
      <w:tr w:rsidR="003B1E3E" w14:paraId="3BF3190F" w14:textId="15531E72" w:rsidTr="008C09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000000"/>
              <w:right w:val="single" w:sz="4" w:space="0" w:color="000000"/>
            </w:tcBorders>
            <w:vAlign w:val="top"/>
          </w:tcPr>
          <w:p w14:paraId="3186EED4" w14:textId="705D17FE" w:rsidR="003B1E3E" w:rsidRPr="00F43BA2" w:rsidRDefault="003B1E3E" w:rsidP="00C26CFF">
            <w:pPr>
              <w:pStyle w:val="Tabletext"/>
            </w:pPr>
            <w:r w:rsidRPr="00F43BA2">
              <w:t>Weston Creek</w:t>
            </w:r>
          </w:p>
        </w:tc>
        <w:tc>
          <w:tcPr>
            <w:tcW w:w="1276" w:type="dxa"/>
            <w:tcBorders>
              <w:left w:val="single" w:sz="4" w:space="0" w:color="000000"/>
              <w:right w:val="single" w:sz="4" w:space="0" w:color="000000"/>
            </w:tcBorders>
          </w:tcPr>
          <w:p w14:paraId="208519BA" w14:textId="0B64AB18"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24,522</w:t>
            </w:r>
          </w:p>
        </w:tc>
        <w:tc>
          <w:tcPr>
            <w:tcW w:w="1418" w:type="dxa"/>
            <w:tcBorders>
              <w:left w:val="single" w:sz="4" w:space="0" w:color="000000"/>
              <w:right w:val="single" w:sz="4" w:space="0" w:color="000000"/>
            </w:tcBorders>
          </w:tcPr>
          <w:p w14:paraId="08FA5F5D" w14:textId="00865819"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5%</w:t>
            </w:r>
          </w:p>
        </w:tc>
        <w:tc>
          <w:tcPr>
            <w:tcW w:w="1275" w:type="dxa"/>
            <w:tcBorders>
              <w:left w:val="single" w:sz="4" w:space="0" w:color="000000"/>
              <w:right w:val="single" w:sz="4" w:space="0" w:color="000000"/>
            </w:tcBorders>
          </w:tcPr>
          <w:p w14:paraId="2D38BED3" w14:textId="30046ABF"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25,671</w:t>
            </w:r>
          </w:p>
        </w:tc>
        <w:tc>
          <w:tcPr>
            <w:tcW w:w="1418" w:type="dxa"/>
            <w:tcBorders>
              <w:left w:val="single" w:sz="4" w:space="0" w:color="000000"/>
              <w:right w:val="single" w:sz="4" w:space="0" w:color="000000"/>
            </w:tcBorders>
          </w:tcPr>
          <w:p w14:paraId="65AB0759" w14:textId="0FB468D1"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3%</w:t>
            </w:r>
          </w:p>
        </w:tc>
        <w:tc>
          <w:tcPr>
            <w:tcW w:w="1276" w:type="dxa"/>
            <w:tcBorders>
              <w:left w:val="single" w:sz="4" w:space="0" w:color="000000"/>
              <w:right w:val="single" w:sz="4" w:space="0" w:color="000000"/>
            </w:tcBorders>
          </w:tcPr>
          <w:p w14:paraId="74FD7EB7" w14:textId="347FEF9D"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1,149</w:t>
            </w:r>
          </w:p>
        </w:tc>
        <w:tc>
          <w:tcPr>
            <w:tcW w:w="1435" w:type="dxa"/>
            <w:tcBorders>
              <w:left w:val="single" w:sz="4" w:space="0" w:color="000000"/>
              <w:right w:val="single" w:sz="4" w:space="0" w:color="000000"/>
            </w:tcBorders>
          </w:tcPr>
          <w:p w14:paraId="30C3B4CF" w14:textId="2B1825CA"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0.1%</w:t>
            </w:r>
          </w:p>
        </w:tc>
      </w:tr>
      <w:tr w:rsidR="003B1E3E" w14:paraId="26F8E595" w14:textId="5EFC4848" w:rsidTr="008C09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000000"/>
              <w:right w:val="single" w:sz="4" w:space="0" w:color="000000"/>
            </w:tcBorders>
            <w:vAlign w:val="top"/>
          </w:tcPr>
          <w:p w14:paraId="26AFDA63" w14:textId="3E6E71EC" w:rsidR="003B1E3E" w:rsidRPr="00F43BA2" w:rsidRDefault="003B1E3E" w:rsidP="00C26CFF">
            <w:pPr>
              <w:pStyle w:val="Tabletext"/>
            </w:pPr>
            <w:r w:rsidRPr="00F43BA2">
              <w:t>Woden Valley</w:t>
            </w:r>
          </w:p>
        </w:tc>
        <w:tc>
          <w:tcPr>
            <w:tcW w:w="1276" w:type="dxa"/>
            <w:tcBorders>
              <w:left w:val="single" w:sz="4" w:space="0" w:color="000000"/>
              <w:right w:val="single" w:sz="4" w:space="0" w:color="000000"/>
            </w:tcBorders>
          </w:tcPr>
          <w:p w14:paraId="4359D06C" w14:textId="586E825C"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39,178</w:t>
            </w:r>
          </w:p>
        </w:tc>
        <w:tc>
          <w:tcPr>
            <w:tcW w:w="1418" w:type="dxa"/>
            <w:tcBorders>
              <w:left w:val="single" w:sz="4" w:space="0" w:color="000000"/>
              <w:right w:val="single" w:sz="4" w:space="0" w:color="000000"/>
            </w:tcBorders>
          </w:tcPr>
          <w:p w14:paraId="2D65CD3F" w14:textId="3CEE792B"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9%</w:t>
            </w:r>
          </w:p>
        </w:tc>
        <w:tc>
          <w:tcPr>
            <w:tcW w:w="1275" w:type="dxa"/>
            <w:tcBorders>
              <w:left w:val="single" w:sz="4" w:space="0" w:color="000000"/>
              <w:right w:val="single" w:sz="4" w:space="0" w:color="000000"/>
            </w:tcBorders>
          </w:tcPr>
          <w:p w14:paraId="679D8B82" w14:textId="228BE44E"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56,643</w:t>
            </w:r>
          </w:p>
        </w:tc>
        <w:tc>
          <w:tcPr>
            <w:tcW w:w="1418" w:type="dxa"/>
            <w:tcBorders>
              <w:left w:val="single" w:sz="4" w:space="0" w:color="000000"/>
              <w:right w:val="single" w:sz="4" w:space="0" w:color="000000"/>
            </w:tcBorders>
          </w:tcPr>
          <w:p w14:paraId="2AAE102E" w14:textId="1725DC3D"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7%</w:t>
            </w:r>
          </w:p>
        </w:tc>
        <w:tc>
          <w:tcPr>
            <w:tcW w:w="1276" w:type="dxa"/>
            <w:tcBorders>
              <w:left w:val="single" w:sz="4" w:space="0" w:color="000000"/>
              <w:right w:val="single" w:sz="4" w:space="0" w:color="000000"/>
            </w:tcBorders>
          </w:tcPr>
          <w:p w14:paraId="21FDF6FC" w14:textId="6BC258DA"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17,465</w:t>
            </w:r>
          </w:p>
        </w:tc>
        <w:tc>
          <w:tcPr>
            <w:tcW w:w="1435" w:type="dxa"/>
            <w:tcBorders>
              <w:left w:val="single" w:sz="4" w:space="0" w:color="000000"/>
              <w:right w:val="single" w:sz="4" w:space="0" w:color="000000"/>
            </w:tcBorders>
          </w:tcPr>
          <w:p w14:paraId="0F6DDF41" w14:textId="4368ED67" w:rsidR="003B1E3E" w:rsidRPr="008C0992" w:rsidRDefault="003B1E3E"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8C0992">
              <w:t>0.9%</w:t>
            </w:r>
          </w:p>
        </w:tc>
      </w:tr>
      <w:tr w:rsidR="003B1E3E" w14:paraId="1C2E27C4" w14:textId="051A8613" w:rsidTr="008C0992">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862" w:type="dxa"/>
            <w:tcBorders>
              <w:left w:val="single" w:sz="4" w:space="0" w:color="000000"/>
              <w:right w:val="single" w:sz="4" w:space="0" w:color="000000"/>
            </w:tcBorders>
            <w:vAlign w:val="top"/>
          </w:tcPr>
          <w:p w14:paraId="7E8555E1" w14:textId="206D3E25" w:rsidR="003B1E3E" w:rsidRPr="005026B3" w:rsidRDefault="003B1E3E" w:rsidP="00C26CFF">
            <w:pPr>
              <w:pStyle w:val="Tabletext"/>
            </w:pPr>
            <w:r w:rsidRPr="005026B3">
              <w:t>ACT</w:t>
            </w:r>
          </w:p>
        </w:tc>
        <w:tc>
          <w:tcPr>
            <w:tcW w:w="1276" w:type="dxa"/>
            <w:tcBorders>
              <w:left w:val="single" w:sz="4" w:space="0" w:color="000000"/>
              <w:right w:val="single" w:sz="4" w:space="0" w:color="000000"/>
            </w:tcBorders>
          </w:tcPr>
          <w:p w14:paraId="5C3C980A" w14:textId="2B685A77"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453,558</w:t>
            </w:r>
          </w:p>
        </w:tc>
        <w:tc>
          <w:tcPr>
            <w:tcW w:w="1418" w:type="dxa"/>
            <w:tcBorders>
              <w:left w:val="single" w:sz="4" w:space="0" w:color="000000"/>
              <w:right w:val="single" w:sz="4" w:space="0" w:color="000000"/>
            </w:tcBorders>
          </w:tcPr>
          <w:p w14:paraId="7FA47DD6" w14:textId="0F280D48"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100%</w:t>
            </w:r>
          </w:p>
        </w:tc>
        <w:tc>
          <w:tcPr>
            <w:tcW w:w="1275" w:type="dxa"/>
            <w:tcBorders>
              <w:left w:val="single" w:sz="4" w:space="0" w:color="000000"/>
              <w:right w:val="single" w:sz="4" w:space="0" w:color="000000"/>
            </w:tcBorders>
            <w:vAlign w:val="top"/>
          </w:tcPr>
          <w:p w14:paraId="1BA1A8DA" w14:textId="5FDB49AD" w:rsidR="003B1E3E" w:rsidRPr="008C0992" w:rsidRDefault="00684923"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784</w:t>
            </w:r>
            <w:r w:rsidR="003B1E3E" w:rsidRPr="008C0992">
              <w:t>,</w:t>
            </w:r>
            <w:r w:rsidRPr="008C0992">
              <w:t>043</w:t>
            </w:r>
          </w:p>
        </w:tc>
        <w:tc>
          <w:tcPr>
            <w:tcW w:w="1418" w:type="dxa"/>
            <w:tcBorders>
              <w:left w:val="single" w:sz="4" w:space="0" w:color="000000"/>
              <w:right w:val="single" w:sz="4" w:space="0" w:color="000000"/>
            </w:tcBorders>
          </w:tcPr>
          <w:p w14:paraId="505932CC" w14:textId="2809C51A"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100%</w:t>
            </w:r>
          </w:p>
        </w:tc>
        <w:tc>
          <w:tcPr>
            <w:tcW w:w="1276" w:type="dxa"/>
            <w:tcBorders>
              <w:left w:val="single" w:sz="4" w:space="0" w:color="000000"/>
              <w:right w:val="single" w:sz="4" w:space="0" w:color="000000"/>
            </w:tcBorders>
          </w:tcPr>
          <w:p w14:paraId="23D77848" w14:textId="7AA66C94"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330,485</w:t>
            </w:r>
          </w:p>
        </w:tc>
        <w:tc>
          <w:tcPr>
            <w:tcW w:w="1435" w:type="dxa"/>
            <w:tcBorders>
              <w:left w:val="single" w:sz="4" w:space="0" w:color="000000"/>
              <w:right w:val="single" w:sz="4" w:space="0" w:color="000000"/>
            </w:tcBorders>
          </w:tcPr>
          <w:p w14:paraId="659648FD" w14:textId="7C1F88AC" w:rsidR="003B1E3E" w:rsidRPr="008C0992" w:rsidRDefault="003B1E3E"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8C0992">
              <w:t>1.4%</w:t>
            </w:r>
          </w:p>
        </w:tc>
      </w:tr>
    </w:tbl>
    <w:p w14:paraId="1446438F" w14:textId="77777777" w:rsidR="003C0990" w:rsidRDefault="003C0990">
      <w:pPr>
        <w:spacing w:before="0" w:after="160" w:line="259" w:lineRule="auto"/>
      </w:pPr>
    </w:p>
    <w:p w14:paraId="7FCE2C9F" w14:textId="5CE11B90" w:rsidR="00256908" w:rsidRDefault="0029674A">
      <w:pPr>
        <w:spacing w:before="0" w:after="160" w:line="259" w:lineRule="auto"/>
      </w:pPr>
      <w:r>
        <w:t xml:space="preserve">With </w:t>
      </w:r>
      <w:r w:rsidR="001A3341">
        <w:t>the new developments of Denman Prospect</w:t>
      </w:r>
      <w:r w:rsidR="003476C5">
        <w:t xml:space="preserve"> and Whitlam</w:t>
      </w:r>
      <w:r w:rsidR="001A3341">
        <w:t xml:space="preserve">, </w:t>
      </w:r>
      <w:r w:rsidR="003C0990">
        <w:t>Molonglo SA3 is expected to show the most significant</w:t>
      </w:r>
      <w:r w:rsidR="00B540DB">
        <w:t xml:space="preserve"> population</w:t>
      </w:r>
      <w:r w:rsidR="003C0990">
        <w:t xml:space="preserve"> growth over the 40-year period between </w:t>
      </w:r>
      <w:r w:rsidR="000131F7">
        <w:t xml:space="preserve">June </w:t>
      </w:r>
      <w:r w:rsidR="003C0990">
        <w:t xml:space="preserve">2020 and </w:t>
      </w:r>
      <w:r w:rsidR="000131F7">
        <w:t xml:space="preserve">June </w:t>
      </w:r>
      <w:r w:rsidR="003C0990">
        <w:t xml:space="preserve">2060, </w:t>
      </w:r>
      <w:r w:rsidR="005026B3">
        <w:t xml:space="preserve">growing at an average rate of 5.3 per cent, </w:t>
      </w:r>
      <w:r w:rsidR="003C0990">
        <w:t>followed by</w:t>
      </w:r>
      <w:r w:rsidR="00DD0BCF">
        <w:t xml:space="preserve"> infill driven developments in</w:t>
      </w:r>
      <w:r w:rsidR="003C0990">
        <w:t xml:space="preserve"> North Canberra. Belconnen is </w:t>
      </w:r>
      <w:r w:rsidR="00E01A2F">
        <w:t xml:space="preserve">however, </w:t>
      </w:r>
      <w:r w:rsidR="003C0990">
        <w:t xml:space="preserve">expected to remain the largest SA3 in terms of population </w:t>
      </w:r>
      <w:r w:rsidR="007B41A9">
        <w:t>over this period</w:t>
      </w:r>
      <w:r w:rsidR="00B540DB">
        <w:t>.</w:t>
      </w:r>
      <w:r w:rsidR="007B41A9">
        <w:t xml:space="preserve"> Overall, population growth in Molonglo, North Canberra, </w:t>
      </w:r>
      <w:proofErr w:type="gramStart"/>
      <w:r w:rsidR="00E24478">
        <w:t>Gungahlin</w:t>
      </w:r>
      <w:proofErr w:type="gramEnd"/>
      <w:r w:rsidR="00E24478">
        <w:t xml:space="preserve"> </w:t>
      </w:r>
      <w:r w:rsidR="007B41A9">
        <w:t xml:space="preserve">and </w:t>
      </w:r>
      <w:r w:rsidR="00E24478">
        <w:t xml:space="preserve">Belconnen </w:t>
      </w:r>
      <w:r w:rsidR="007B41A9">
        <w:t xml:space="preserve">SA3s are expected to contribute the most to </w:t>
      </w:r>
      <w:r w:rsidR="001A3341">
        <w:t xml:space="preserve">ACT </w:t>
      </w:r>
      <w:r w:rsidR="007B41A9">
        <w:t xml:space="preserve">population growth over the </w:t>
      </w:r>
      <w:r w:rsidR="003E4692">
        <w:t>39</w:t>
      </w:r>
      <w:r w:rsidR="007B41A9">
        <w:t xml:space="preserve">-year </w:t>
      </w:r>
      <w:r w:rsidR="001A3341">
        <w:t>p</w:t>
      </w:r>
      <w:r w:rsidR="007B41A9">
        <w:t>eriod</w:t>
      </w:r>
      <w:r w:rsidR="001F0C1D">
        <w:t>.</w:t>
      </w:r>
      <w:r w:rsidR="001A3341">
        <w:t xml:space="preserve"> </w:t>
      </w:r>
      <w:r w:rsidR="00AC3B3D">
        <w:t>E</w:t>
      </w:r>
      <w:r w:rsidR="001A3341">
        <w:t xml:space="preserve">stablished and relatively </w:t>
      </w:r>
      <w:r w:rsidR="00F772CD">
        <w:t xml:space="preserve">aged </w:t>
      </w:r>
      <w:r w:rsidR="001A3341">
        <w:t xml:space="preserve">districts </w:t>
      </w:r>
      <w:r w:rsidR="00F772CD">
        <w:t xml:space="preserve">in 2020 like Tuggeranong and Weston Creek are </w:t>
      </w:r>
      <w:r w:rsidR="003E4692">
        <w:t xml:space="preserve">either </w:t>
      </w:r>
      <w:r w:rsidR="00F772CD">
        <w:t>projected to shrink</w:t>
      </w:r>
      <w:r w:rsidR="003E4692">
        <w:t xml:space="preserve"> or grow marginally</w:t>
      </w:r>
      <w:r w:rsidR="00F772CD">
        <w:t xml:space="preserve"> in population by 2060.</w:t>
      </w:r>
      <w:r w:rsidR="000E6CC8">
        <w:t xml:space="preserve"> The rate of growth in the population for Woden Valley increases from around 2040.</w:t>
      </w:r>
    </w:p>
    <w:p w14:paraId="6FC8F79A" w14:textId="22C17195" w:rsidR="00E01A2F" w:rsidRPr="00945BA6" w:rsidRDefault="00600127">
      <w:pPr>
        <w:spacing w:before="0" w:after="160" w:line="259" w:lineRule="auto"/>
      </w:pPr>
      <w:r>
        <w:t>A</w:t>
      </w:r>
      <w:r w:rsidR="00256908">
        <w:t xml:space="preserve">t the SA2 level, Kambah in Tuggeranong SA3 and Ngunnawal in Gungahlin SA3 are expected to remain the suburbs with the </w:t>
      </w:r>
      <w:r w:rsidR="00E01A2F">
        <w:t xml:space="preserve">two </w:t>
      </w:r>
      <w:r w:rsidR="00256908">
        <w:t>largest population</w:t>
      </w:r>
      <w:r w:rsidR="00E01A2F">
        <w:t>s</w:t>
      </w:r>
      <w:r w:rsidR="00256908">
        <w:t xml:space="preserve"> in the ACT </w:t>
      </w:r>
      <w:r w:rsidR="00256908" w:rsidRPr="00945BA6">
        <w:t>over the entire period 202</w:t>
      </w:r>
      <w:r w:rsidR="003E4692" w:rsidRPr="00945BA6">
        <w:t>2</w:t>
      </w:r>
      <w:r w:rsidR="00256908" w:rsidRPr="00945BA6">
        <w:t xml:space="preserve"> to 202</w:t>
      </w:r>
      <w:r w:rsidR="003E4692" w:rsidRPr="00945BA6">
        <w:t>6</w:t>
      </w:r>
      <w:r w:rsidR="00256908" w:rsidRPr="00945BA6">
        <w:t xml:space="preserve">. However, </w:t>
      </w:r>
      <w:r w:rsidR="00E01A2F" w:rsidRPr="00945BA6">
        <w:t xml:space="preserve">the two suburbs have contrasting population growth profiles. </w:t>
      </w:r>
      <w:r w:rsidR="00256908" w:rsidRPr="00945BA6">
        <w:t xml:space="preserve">Kambah’s population is projected to </w:t>
      </w:r>
      <w:r w:rsidR="00E01A2F" w:rsidRPr="00945BA6">
        <w:t xml:space="preserve">decline </w:t>
      </w:r>
      <w:r w:rsidR="00256908" w:rsidRPr="00945BA6">
        <w:t xml:space="preserve">from an estimated </w:t>
      </w:r>
      <w:r w:rsidR="003E4692" w:rsidRPr="00945BA6">
        <w:t>15,702</w:t>
      </w:r>
      <w:r w:rsidR="00256908" w:rsidRPr="00945BA6">
        <w:t xml:space="preserve"> persons </w:t>
      </w:r>
      <w:r w:rsidR="000131F7">
        <w:t xml:space="preserve">at June </w:t>
      </w:r>
      <w:r w:rsidR="00256908" w:rsidRPr="00945BA6">
        <w:t>202</w:t>
      </w:r>
      <w:r w:rsidR="003E4692" w:rsidRPr="00945BA6">
        <w:t>1</w:t>
      </w:r>
      <w:r w:rsidR="00256908" w:rsidRPr="00945BA6">
        <w:t xml:space="preserve"> to 1</w:t>
      </w:r>
      <w:r w:rsidR="003E4692" w:rsidRPr="00945BA6">
        <w:t>4</w:t>
      </w:r>
      <w:r w:rsidR="00256908" w:rsidRPr="00945BA6">
        <w:t>,</w:t>
      </w:r>
      <w:r w:rsidR="003E4692" w:rsidRPr="00945BA6">
        <w:t xml:space="preserve">761 </w:t>
      </w:r>
      <w:r w:rsidR="00256908" w:rsidRPr="00945BA6">
        <w:t xml:space="preserve">persons </w:t>
      </w:r>
      <w:r w:rsidR="000131F7">
        <w:t>at June</w:t>
      </w:r>
      <w:r w:rsidR="00256908" w:rsidRPr="00945BA6">
        <w:t xml:space="preserve"> 202</w:t>
      </w:r>
      <w:r w:rsidR="003E4692" w:rsidRPr="00945BA6">
        <w:t>6</w:t>
      </w:r>
      <w:r w:rsidR="00256908" w:rsidRPr="00945BA6">
        <w:t xml:space="preserve">, </w:t>
      </w:r>
      <w:r w:rsidR="00E01A2F" w:rsidRPr="00945BA6">
        <w:t xml:space="preserve">while </w:t>
      </w:r>
      <w:r w:rsidR="00256908" w:rsidRPr="00945BA6">
        <w:t>Ngunnawal’s population is projected to increase from 11,</w:t>
      </w:r>
      <w:r w:rsidR="003E4692" w:rsidRPr="00945BA6">
        <w:t xml:space="preserve">012 </w:t>
      </w:r>
      <w:r w:rsidR="00256908" w:rsidRPr="00945BA6">
        <w:t xml:space="preserve">persons </w:t>
      </w:r>
      <w:r w:rsidR="000131F7">
        <w:t>at June</w:t>
      </w:r>
      <w:r w:rsidR="000131F7" w:rsidRPr="00945BA6">
        <w:t xml:space="preserve"> </w:t>
      </w:r>
      <w:r w:rsidR="00256908" w:rsidRPr="00945BA6">
        <w:t>202</w:t>
      </w:r>
      <w:r w:rsidR="003E4692" w:rsidRPr="00945BA6">
        <w:t>1</w:t>
      </w:r>
      <w:r w:rsidR="00256908" w:rsidRPr="00945BA6">
        <w:t xml:space="preserve"> to 11,</w:t>
      </w:r>
      <w:r w:rsidR="003E4692" w:rsidRPr="00945BA6">
        <w:t xml:space="preserve">885 </w:t>
      </w:r>
      <w:r w:rsidR="00256908" w:rsidRPr="00945BA6">
        <w:t xml:space="preserve">persons </w:t>
      </w:r>
      <w:r w:rsidR="000131F7">
        <w:t xml:space="preserve">at June </w:t>
      </w:r>
      <w:r w:rsidR="00256908" w:rsidRPr="00945BA6">
        <w:t>202</w:t>
      </w:r>
      <w:r w:rsidR="003E4692" w:rsidRPr="00945BA6">
        <w:t>6</w:t>
      </w:r>
      <w:r w:rsidR="00256908" w:rsidRPr="00945BA6">
        <w:t>.</w:t>
      </w:r>
    </w:p>
    <w:p w14:paraId="33ED4117" w14:textId="670A8CB4" w:rsidR="00FD7DBF" w:rsidRDefault="00782676">
      <w:pPr>
        <w:spacing w:before="0" w:after="160" w:line="259" w:lineRule="auto"/>
      </w:pPr>
      <w:r w:rsidRPr="00945BA6">
        <w:t xml:space="preserve">West Belconnen, </w:t>
      </w:r>
      <w:r w:rsidR="00BA1E50" w:rsidRPr="00945BA6">
        <w:t>Taylor, Denman Prospect</w:t>
      </w:r>
      <w:r w:rsidRPr="00945BA6">
        <w:t>, Moncrieff</w:t>
      </w:r>
      <w:r w:rsidR="00BA1E50" w:rsidRPr="00945BA6">
        <w:t xml:space="preserve"> and </w:t>
      </w:r>
      <w:r w:rsidRPr="00945BA6">
        <w:t>Civic</w:t>
      </w:r>
      <w:r>
        <w:t xml:space="preserve"> </w:t>
      </w:r>
      <w:r w:rsidR="00BA1E50">
        <w:t xml:space="preserve">SA2s are expected to show the fastest population growth over the period from </w:t>
      </w:r>
      <w:r w:rsidR="0086203C">
        <w:t xml:space="preserve">June </w:t>
      </w:r>
      <w:r w:rsidR="00BA1E50">
        <w:t>202</w:t>
      </w:r>
      <w:r w:rsidR="003E4692">
        <w:t>1</w:t>
      </w:r>
      <w:r w:rsidR="00BA1E50">
        <w:t xml:space="preserve"> to </w:t>
      </w:r>
      <w:r w:rsidR="0086203C">
        <w:t xml:space="preserve">June </w:t>
      </w:r>
      <w:r w:rsidR="00BA1E50">
        <w:t>202</w:t>
      </w:r>
      <w:r w:rsidR="003E4692">
        <w:t>6</w:t>
      </w:r>
      <w:r w:rsidR="00BA1E50">
        <w:t xml:space="preserve">. By </w:t>
      </w:r>
      <w:r w:rsidR="0086203C">
        <w:t xml:space="preserve">June </w:t>
      </w:r>
      <w:r w:rsidR="00BA1E50">
        <w:t>202</w:t>
      </w:r>
      <w:r>
        <w:t>6</w:t>
      </w:r>
      <w:r w:rsidR="00BA1E50">
        <w:t xml:space="preserve">, </w:t>
      </w:r>
      <w:r w:rsidR="00DA2AFE">
        <w:t xml:space="preserve">four </w:t>
      </w:r>
      <w:r w:rsidR="00BA1E50">
        <w:t xml:space="preserve">suburbs from the Gungahlin district are expected to be among the top ten ACT suburbs by population, with Belconnen and Bruce from </w:t>
      </w:r>
      <w:r w:rsidR="00DA2AFE">
        <w:t xml:space="preserve">the </w:t>
      </w:r>
      <w:r w:rsidR="00BA1E50">
        <w:t>Belconnen district</w:t>
      </w:r>
      <w:r w:rsidR="00DA2AFE">
        <w:t>,</w:t>
      </w:r>
      <w:r w:rsidR="00BA1E50">
        <w:t xml:space="preserve"> Kambah and </w:t>
      </w:r>
      <w:r w:rsidR="00DA2AFE">
        <w:t xml:space="preserve">Gordon from the Tuggeranong district, and </w:t>
      </w:r>
      <w:r w:rsidR="00BA1E50">
        <w:t xml:space="preserve">Kingston </w:t>
      </w:r>
      <w:r w:rsidR="00DA2AFE">
        <w:t xml:space="preserve">and Civic </w:t>
      </w:r>
      <w:r w:rsidR="005026B3">
        <w:t xml:space="preserve">suburbs </w:t>
      </w:r>
      <w:r w:rsidR="00BA1E50">
        <w:t>completing the top ten.</w:t>
      </w:r>
    </w:p>
    <w:p w14:paraId="06A013C7" w14:textId="73C294FF" w:rsidR="00B05C7D" w:rsidRDefault="00B05C7D">
      <w:pPr>
        <w:spacing w:before="0" w:after="160" w:line="259" w:lineRule="auto"/>
      </w:pPr>
      <w:r>
        <w:t xml:space="preserve">Figure </w:t>
      </w:r>
      <w:r w:rsidR="00810DC1">
        <w:t>8</w:t>
      </w:r>
      <w:r>
        <w:t xml:space="preserve"> shows line charts demonstrating changes to population levels projected for each ACT district while figure </w:t>
      </w:r>
      <w:r w:rsidR="00810DC1">
        <w:t>9</w:t>
      </w:r>
      <w:r>
        <w:t xml:space="preserve"> compares population pyramids for each district between 202</w:t>
      </w:r>
      <w:r w:rsidR="00810DC1">
        <w:t>1</w:t>
      </w:r>
      <w:r>
        <w:t xml:space="preserve"> and 2060.</w:t>
      </w:r>
    </w:p>
    <w:p w14:paraId="462B9041" w14:textId="77777777" w:rsidR="00FD7DBF" w:rsidRDefault="00FD7DBF">
      <w:pPr>
        <w:spacing w:before="0" w:after="160" w:line="259" w:lineRule="auto"/>
      </w:pPr>
    </w:p>
    <w:p w14:paraId="7FFB9A91" w14:textId="77777777" w:rsidR="008B41D7" w:rsidRDefault="008B41D7">
      <w:pPr>
        <w:spacing w:before="0" w:after="160" w:line="259" w:lineRule="auto"/>
        <w:rPr>
          <w:b/>
          <w:bCs/>
        </w:rPr>
      </w:pPr>
      <w:r>
        <w:rPr>
          <w:b/>
          <w:bCs/>
        </w:rPr>
        <w:br w:type="page"/>
      </w:r>
    </w:p>
    <w:p w14:paraId="7CE26E96" w14:textId="4CF10DAF" w:rsidR="00FD7DBF" w:rsidRDefault="00FD7DBF" w:rsidP="00486344">
      <w:pPr>
        <w:pStyle w:val="TableFiguresheading"/>
        <w:jc w:val="left"/>
      </w:pPr>
      <w:r w:rsidRPr="000D0559">
        <w:lastRenderedPageBreak/>
        <w:t xml:space="preserve">Figure </w:t>
      </w:r>
      <w:r w:rsidR="00810DC1">
        <w:t>8</w:t>
      </w:r>
      <w:r w:rsidRPr="000D0559">
        <w:t xml:space="preserve">: </w:t>
      </w:r>
      <w:r w:rsidR="00F5384E">
        <w:t>P</w:t>
      </w:r>
      <w:r w:rsidRPr="000D0559">
        <w:t>opulation</w:t>
      </w:r>
      <w:r w:rsidR="002A0FF0">
        <w:t xml:space="preserve"> (actual and projections)</w:t>
      </w:r>
      <w:r w:rsidRPr="000D0559">
        <w:t xml:space="preserve"> by district</w:t>
      </w:r>
      <w:r w:rsidR="002A0FF0">
        <w:t>, June 2000 to June 2060</w:t>
      </w:r>
    </w:p>
    <w:p w14:paraId="233FBE75" w14:textId="3DF523B1" w:rsidR="0041028F" w:rsidRDefault="0041028F" w:rsidP="0094482E">
      <w:pPr>
        <w:spacing w:before="0" w:after="160" w:line="259" w:lineRule="auto"/>
      </w:pPr>
    </w:p>
    <w:p w14:paraId="47870830" w14:textId="61371411" w:rsidR="00C760F1" w:rsidRDefault="00907652" w:rsidP="00C811CB">
      <w:pPr>
        <w:spacing w:before="0" w:after="160" w:line="259" w:lineRule="auto"/>
        <w:jc w:val="center"/>
      </w:pPr>
      <w:r>
        <w:rPr>
          <w:noProof/>
        </w:rPr>
        <w:drawing>
          <wp:inline distT="0" distB="0" distL="0" distR="0" wp14:anchorId="1909BA80" wp14:editId="34CEBB59">
            <wp:extent cx="4842000" cy="8100000"/>
            <wp:effectExtent l="0" t="0" r="0" b="0"/>
            <wp:docPr id="20" name="Picture 20" descr="This panel chart shows how population is expected to vary between 2001 and 2060 for the largest ACT districts Belconnen, Gungahlin, Molonglo, North Canberra, South Canberra, Tuggeranong, Weston Creek and Woden Vall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panel chart shows how population is expected to vary between 2001 and 2060 for the largest ACT districts Belconnen, Gungahlin, Molonglo, North Canberra, South Canberra, Tuggeranong, Weston Creek and Woden Valley.&#10;"/>
                    <pic:cNvPicPr/>
                  </pic:nvPicPr>
                  <pic:blipFill>
                    <a:blip r:embed="rId25">
                      <a:extLst>
                        <a:ext uri="{28A0092B-C50C-407E-A947-70E740481C1C}">
                          <a14:useLocalDpi xmlns:a14="http://schemas.microsoft.com/office/drawing/2010/main" val="0"/>
                        </a:ext>
                      </a:extLst>
                    </a:blip>
                    <a:stretch>
                      <a:fillRect/>
                    </a:stretch>
                  </pic:blipFill>
                  <pic:spPr>
                    <a:xfrm>
                      <a:off x="0" y="0"/>
                      <a:ext cx="4842000" cy="8100000"/>
                    </a:xfrm>
                    <a:prstGeom prst="rect">
                      <a:avLst/>
                    </a:prstGeom>
                  </pic:spPr>
                </pic:pic>
              </a:graphicData>
            </a:graphic>
          </wp:inline>
        </w:drawing>
      </w:r>
    </w:p>
    <w:p w14:paraId="05AB6999" w14:textId="2B48E64D" w:rsidR="0094482E" w:rsidRDefault="0094482E">
      <w:pPr>
        <w:spacing w:before="0" w:after="160" w:line="259" w:lineRule="auto"/>
        <w:rPr>
          <w:b/>
          <w:sz w:val="20"/>
        </w:rPr>
      </w:pPr>
      <w:r>
        <w:br w:type="page"/>
      </w:r>
    </w:p>
    <w:p w14:paraId="0209FB73" w14:textId="76749800" w:rsidR="000D0559" w:rsidRDefault="000D0559" w:rsidP="00486344">
      <w:pPr>
        <w:pStyle w:val="TableFiguresheading"/>
        <w:jc w:val="left"/>
      </w:pPr>
      <w:r w:rsidRPr="000D0559">
        <w:lastRenderedPageBreak/>
        <w:t xml:space="preserve">Figure </w:t>
      </w:r>
      <w:r w:rsidR="00810DC1">
        <w:t>9</w:t>
      </w:r>
      <w:r w:rsidRPr="000D0559">
        <w:t xml:space="preserve">: </w:t>
      </w:r>
      <w:r>
        <w:t xml:space="preserve">Population distribution by age and </w:t>
      </w:r>
      <w:r w:rsidR="00945BA6">
        <w:t>sex</w:t>
      </w:r>
      <w:r w:rsidRPr="000D0559">
        <w:t>, by district</w:t>
      </w:r>
      <w:r>
        <w:t xml:space="preserve">, </w:t>
      </w:r>
      <w:r w:rsidR="002A0FF0">
        <w:t xml:space="preserve">June </w:t>
      </w:r>
      <w:r>
        <w:t>202</w:t>
      </w:r>
      <w:r w:rsidR="00810DC1">
        <w:t>1</w:t>
      </w:r>
      <w:r>
        <w:t xml:space="preserve"> vs</w:t>
      </w:r>
      <w:r w:rsidR="00CC2D5A">
        <w:t>.</w:t>
      </w:r>
      <w:r>
        <w:t xml:space="preserve"> </w:t>
      </w:r>
      <w:r w:rsidR="002A0FF0">
        <w:t xml:space="preserve">June </w:t>
      </w:r>
      <w:r>
        <w:t>2060</w:t>
      </w:r>
    </w:p>
    <w:p w14:paraId="30A7C3F0" w14:textId="2159EC43" w:rsidR="006B236B" w:rsidRDefault="006B236B" w:rsidP="00F43BA2">
      <w:pPr>
        <w:spacing w:before="0" w:after="160" w:line="259" w:lineRule="auto"/>
      </w:pPr>
    </w:p>
    <w:p w14:paraId="6BC7D30F" w14:textId="6D34FBDB" w:rsidR="00BC6E21" w:rsidRDefault="00BC6E21" w:rsidP="00C811CB">
      <w:pPr>
        <w:spacing w:before="0" w:after="160" w:line="259" w:lineRule="auto"/>
        <w:jc w:val="center"/>
      </w:pPr>
      <w:r>
        <w:rPr>
          <w:noProof/>
        </w:rPr>
        <w:drawing>
          <wp:inline distT="0" distB="0" distL="0" distR="0" wp14:anchorId="3E31418D" wp14:editId="3D12DEFB">
            <wp:extent cx="4828540" cy="8163560"/>
            <wp:effectExtent l="0" t="0" r="0" b="0"/>
            <wp:docPr id="15" name="Picture 15" descr="This chart shows the population pyramids for the largest ACT districts Belconnen, Gungahlin, Molonglo, North Caberra, South Canberra, Tuggeranong, Weston Creek and Woden Valley between 2021 and 20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chart shows the population pyramids for the largest ACT districts Belconnen, Gungahlin, Molonglo, North Caberra, South Canberra, Tuggeranong, Weston Creek and Woden Valley between 2021 and 2060.&#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8540" cy="8163560"/>
                    </a:xfrm>
                    <a:prstGeom prst="rect">
                      <a:avLst/>
                    </a:prstGeom>
                    <a:noFill/>
                  </pic:spPr>
                </pic:pic>
              </a:graphicData>
            </a:graphic>
          </wp:inline>
        </w:drawing>
      </w:r>
    </w:p>
    <w:p w14:paraId="70424FF3" w14:textId="7B7B7BAE" w:rsidR="00080C00" w:rsidRDefault="00080C00" w:rsidP="00F43BA2">
      <w:pPr>
        <w:spacing w:before="0" w:after="160" w:line="259" w:lineRule="auto"/>
      </w:pPr>
    </w:p>
    <w:p w14:paraId="6BE18DBF" w14:textId="3BB3041B" w:rsidR="004B3924" w:rsidRDefault="004B3924" w:rsidP="00955EA1">
      <w:pPr>
        <w:pStyle w:val="Heading1"/>
      </w:pPr>
      <w:bookmarkStart w:id="7" w:name="_Toc99018935"/>
      <w:r>
        <w:t>Methodology</w:t>
      </w:r>
      <w:bookmarkEnd w:id="7"/>
    </w:p>
    <w:p w14:paraId="4707D332" w14:textId="3B3EF667" w:rsidR="004B3924" w:rsidRDefault="004B3924" w:rsidP="004B3924">
      <w:pPr>
        <w:pStyle w:val="IntroParagraph"/>
      </w:pPr>
      <w:r w:rsidRPr="00735227">
        <w:t xml:space="preserve">The </w:t>
      </w:r>
      <w:r w:rsidR="0041028F">
        <w:t xml:space="preserve">ACT </w:t>
      </w:r>
      <w:r w:rsidRPr="00735227">
        <w:t>202</w:t>
      </w:r>
      <w:r w:rsidR="0041028F">
        <w:t>2</w:t>
      </w:r>
      <w:r w:rsidRPr="00735227">
        <w:t xml:space="preserve"> population projection</w:t>
      </w:r>
      <w:r>
        <w:t>s</w:t>
      </w:r>
      <w:r w:rsidRPr="00735227">
        <w:t xml:space="preserve"> are produced using a cohort component population projection model. This model provides a </w:t>
      </w:r>
      <w:r w:rsidR="0065393D">
        <w:t>robust</w:t>
      </w:r>
      <w:r w:rsidR="0065393D" w:rsidRPr="00735227">
        <w:t xml:space="preserve"> </w:t>
      </w:r>
      <w:r w:rsidRPr="00735227">
        <w:t xml:space="preserve">basis for producing population projections at a granular level. It also allows </w:t>
      </w:r>
      <w:r w:rsidR="0065393D">
        <w:t xml:space="preserve">the flexibility for </w:t>
      </w:r>
      <w:r w:rsidRPr="00735227">
        <w:t>projections to be updated in a timely manner and extended to include specific scenarios</w:t>
      </w:r>
      <w:r w:rsidR="0065393D">
        <w:t xml:space="preserve">. It can also </w:t>
      </w:r>
      <w:r w:rsidR="00097B1A" w:rsidRPr="00735227">
        <w:t>evaluate</w:t>
      </w:r>
      <w:r w:rsidR="0065393D">
        <w:t xml:space="preserve"> </w:t>
      </w:r>
      <w:r w:rsidRPr="00735227">
        <w:t xml:space="preserve">different assumptions about future demographic behaviours across </w:t>
      </w:r>
      <w:r w:rsidR="0065393D">
        <w:t xml:space="preserve">key </w:t>
      </w:r>
      <w:r w:rsidRPr="00735227">
        <w:t>components</w:t>
      </w:r>
      <w:r w:rsidR="0065393D">
        <w:t>:</w:t>
      </w:r>
      <w:r w:rsidRPr="00735227">
        <w:t xml:space="preserve"> including births, deaths, </w:t>
      </w:r>
      <w:r>
        <w:t>interstate/internal</w:t>
      </w:r>
      <w:r w:rsidRPr="00735227">
        <w:t xml:space="preserve"> migration, and overseas migration.</w:t>
      </w:r>
    </w:p>
    <w:p w14:paraId="123DF3EB" w14:textId="699F8693" w:rsidR="004B3924" w:rsidRDefault="004B3924" w:rsidP="004B3924">
      <w:r>
        <w:t xml:space="preserve">The cohort component population projection model </w:t>
      </w:r>
      <w:r w:rsidR="0065393D">
        <w:t xml:space="preserve">used here </w:t>
      </w:r>
      <w:r>
        <w:t xml:space="preserve">is based on the </w:t>
      </w:r>
      <w:r w:rsidR="0065393D">
        <w:t xml:space="preserve">standard </w:t>
      </w:r>
      <w:r>
        <w:t>demographic accounting equation of population change</w:t>
      </w:r>
      <w:r w:rsidR="0065393D">
        <w:t>:</w:t>
      </w:r>
    </w:p>
    <w:p w14:paraId="6DC32E2C" w14:textId="77777777" w:rsidR="004B3924" w:rsidRDefault="00EF3757" w:rsidP="004B3924">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t+1</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d>
            <m:dPr>
              <m:ctrlPr>
                <w:rPr>
                  <w:rFonts w:ascii="Cambria Math" w:hAnsi="Cambria Math"/>
                  <w:i/>
                </w:rPr>
              </m:ctrlPr>
            </m:dPr>
            <m:e>
              <m:r>
                <w:rPr>
                  <w:rFonts w:ascii="Cambria Math" w:hAnsi="Cambria Math"/>
                </w:rPr>
                <m:t>t,t+1</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
            <m:dPr>
              <m:ctrlPr>
                <w:rPr>
                  <w:rFonts w:ascii="Cambria Math" w:hAnsi="Cambria Math"/>
                  <w:i/>
                </w:rPr>
              </m:ctrlPr>
            </m:dPr>
            <m:e>
              <m:r>
                <w:rPr>
                  <w:rFonts w:ascii="Cambria Math" w:hAnsi="Cambria Math"/>
                </w:rPr>
                <m:t>t,t+1</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d>
            <m:dPr>
              <m:ctrlPr>
                <w:rPr>
                  <w:rFonts w:ascii="Cambria Math" w:hAnsi="Cambria Math"/>
                  <w:i/>
                </w:rPr>
              </m:ctrlPr>
            </m:dPr>
            <m:e>
              <m:r>
                <w:rPr>
                  <w:rFonts w:ascii="Cambria Math" w:hAnsi="Cambria Math"/>
                </w:rPr>
                <m:t>t,t+1</m:t>
              </m:r>
            </m:e>
          </m:d>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d>
            <m:dPr>
              <m:ctrlPr>
                <w:rPr>
                  <w:rFonts w:ascii="Cambria Math" w:hAnsi="Cambria Math"/>
                  <w:i/>
                </w:rPr>
              </m:ctrlPr>
            </m:dPr>
            <m:e>
              <m:r>
                <w:rPr>
                  <w:rFonts w:ascii="Cambria Math" w:hAnsi="Cambria Math"/>
                </w:rPr>
                <m:t>t,t+1</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m:t>
              </m:r>
            </m:sub>
          </m:sSub>
          <m:d>
            <m:dPr>
              <m:ctrlPr>
                <w:rPr>
                  <w:rFonts w:ascii="Cambria Math" w:hAnsi="Cambria Math"/>
                  <w:i/>
                </w:rPr>
              </m:ctrlPr>
            </m:dPr>
            <m:e>
              <m:r>
                <w:rPr>
                  <w:rFonts w:ascii="Cambria Math" w:hAnsi="Cambria Math"/>
                </w:rPr>
                <m:t>t,t+1</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d>
            <m:dPr>
              <m:ctrlPr>
                <w:rPr>
                  <w:rFonts w:ascii="Cambria Math" w:hAnsi="Cambria Math"/>
                  <w:i/>
                </w:rPr>
              </m:ctrlPr>
            </m:dPr>
            <m:e>
              <m:r>
                <w:rPr>
                  <w:rFonts w:ascii="Cambria Math" w:hAnsi="Cambria Math"/>
                </w:rPr>
                <m:t>t,t+1</m:t>
              </m:r>
            </m:e>
          </m:d>
        </m:oMath>
      </m:oMathPara>
    </w:p>
    <w:p w14:paraId="73CF49D7" w14:textId="77777777" w:rsidR="004B3924" w:rsidRDefault="004B3924" w:rsidP="004B3924">
      <w:r>
        <w:t>where the population of a suburb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at time t+1 is equal to the population at time t plus the number of births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t>), in-migrants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t>), and immigrants (</w:t>
      </w:r>
      <m:oMath>
        <m:sSub>
          <m:sSubPr>
            <m:ctrlPr>
              <w:rPr>
                <w:rFonts w:ascii="Cambria Math" w:hAnsi="Cambria Math"/>
                <w:i/>
              </w:rPr>
            </m:ctrlPr>
          </m:sSubPr>
          <m:e>
            <m:r>
              <w:rPr>
                <w:rFonts w:ascii="Cambria Math" w:hAnsi="Cambria Math"/>
              </w:rPr>
              <m:t>I</m:t>
            </m:r>
          </m:e>
          <m:sub>
            <m:r>
              <w:rPr>
                <w:rFonts w:ascii="Cambria Math" w:hAnsi="Cambria Math"/>
              </w:rPr>
              <m:t>i</m:t>
            </m:r>
          </m:sub>
        </m:sSub>
      </m:oMath>
      <w:r>
        <w:t>) minus the number of deaths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t>), out-migrants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and emigrants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t>) that occurred in the intervening period t to t+1.</w:t>
      </w:r>
    </w:p>
    <w:p w14:paraId="7250A0AF" w14:textId="640BFEE8" w:rsidR="004B3924" w:rsidRDefault="004B3924" w:rsidP="004B3924">
      <w:r>
        <w:t xml:space="preserve">As part of the demographic change, migration represents one of </w:t>
      </w:r>
      <w:r w:rsidR="00F5384E">
        <w:t xml:space="preserve">the </w:t>
      </w:r>
      <w:r>
        <w:t xml:space="preserve">major components and consists of two separate flows: arrivals and departures. Arrivals </w:t>
      </w:r>
      <w:r w:rsidR="00097B1A">
        <w:t>comprises</w:t>
      </w:r>
      <w:r>
        <w:t xml:space="preserve"> in-migration (interstate/</w:t>
      </w:r>
      <w:r w:rsidR="00093EB8">
        <w:t>within ACT migration</w:t>
      </w:r>
      <w:r>
        <w:t>) and immigration (overseas), and departures consists of out-migration (interstate/</w:t>
      </w:r>
      <w:r w:rsidR="00093EB8" w:rsidRPr="00093EB8">
        <w:t xml:space="preserve"> </w:t>
      </w:r>
      <w:r w:rsidR="00093EB8">
        <w:t>within ACT migration</w:t>
      </w:r>
      <w:r>
        <w:t>) and emigration (overseas). The distinction between interstate/</w:t>
      </w:r>
      <w:r w:rsidR="00093EB8">
        <w:t>within ACT migration</w:t>
      </w:r>
      <w:r>
        <w:t xml:space="preserve"> and overseas migration is important because they are two mutually exclusive populations, with different probabilities to migrate. In addition, there is the possibility that they will not move in the same direction of population change, which </w:t>
      </w:r>
      <w:r w:rsidR="00425F9C">
        <w:t>is</w:t>
      </w:r>
      <w:r>
        <w:t xml:space="preserve"> </w:t>
      </w:r>
      <w:r w:rsidR="00425F9C">
        <w:t xml:space="preserve">also </w:t>
      </w:r>
      <w:r>
        <w:t>considered when estimating population growth.</w:t>
      </w:r>
    </w:p>
    <w:p w14:paraId="1A3142DA" w14:textId="58496ED1" w:rsidR="004B3924" w:rsidRDefault="004B3924" w:rsidP="004B3924">
      <w:r>
        <w:t xml:space="preserve">The basic population characteristics of the cohort component population projection model are age (single year age groups), </w:t>
      </w:r>
      <w:r w:rsidR="00945BA6">
        <w:t>sex</w:t>
      </w:r>
      <w:r>
        <w:t xml:space="preserve"> (male, female) and suburbs (approximated by Statistical Areas Level 2). The model uses survivorship ratios obtained from lifetables constructed from age-specific mortality rates. Cohort survivorship is </w:t>
      </w:r>
      <w:r w:rsidR="00425F9C">
        <w:t>natural feature</w:t>
      </w:r>
      <w:r>
        <w:t xml:space="preserve"> o</w:t>
      </w:r>
      <w:r w:rsidR="00425F9C">
        <w:t>f</w:t>
      </w:r>
      <w:r>
        <w:t xml:space="preserve"> populations as they age over time. For example, </w:t>
      </w:r>
      <w:r w:rsidR="00425F9C">
        <w:t>it</w:t>
      </w:r>
      <w:r w:rsidR="003F58B9">
        <w:t xml:space="preserve"> is</w:t>
      </w:r>
      <w:r w:rsidR="00425F9C">
        <w:t xml:space="preserve"> used in </w:t>
      </w:r>
      <w:r>
        <w:t xml:space="preserve">the prediction of the number of females aged 10 years that would remain in the population and </w:t>
      </w:r>
      <w:r w:rsidR="00362889">
        <w:t>their likelihood</w:t>
      </w:r>
      <w:r>
        <w:t xml:space="preserve"> of giving birth in the future. This aspect of the model allows the projection to maintain internal validity. </w:t>
      </w:r>
    </w:p>
    <w:p w14:paraId="6EDE609C" w14:textId="7C75FC35" w:rsidR="004B3924" w:rsidRDefault="004B3924" w:rsidP="004B3924">
      <w:pPr>
        <w:rPr>
          <w:rFonts w:ascii="Arial" w:hAnsi="Arial"/>
          <w:kern w:val="28"/>
          <w:sz w:val="44"/>
        </w:rPr>
      </w:pPr>
      <w:r>
        <w:t xml:space="preserve">All inputs and outputs of the population projection model are disaggregated by age, </w:t>
      </w:r>
      <w:r w:rsidR="007E2C0A">
        <w:t>sex</w:t>
      </w:r>
      <w:r>
        <w:t xml:space="preserve"> and district or suburb. This includes the inputs for the demographic components of change. The detailed migration flow information, as opposed to the previous net migration inputs, are useful to both increasing accuracy and assessing implications of both interstate/internal and overseas migration. </w:t>
      </w:r>
      <w:r>
        <w:br w:type="page"/>
      </w:r>
    </w:p>
    <w:p w14:paraId="642D4272" w14:textId="6E0C9124" w:rsidR="004B3924" w:rsidRDefault="004B3924" w:rsidP="004B3924">
      <w:pPr>
        <w:pStyle w:val="Heading1"/>
      </w:pPr>
      <w:bookmarkStart w:id="8" w:name="_Toc99018936"/>
      <w:r>
        <w:lastRenderedPageBreak/>
        <w:t>Assumptions</w:t>
      </w:r>
      <w:bookmarkEnd w:id="8"/>
    </w:p>
    <w:p w14:paraId="375B0055" w14:textId="1BE51732" w:rsidR="004B3924" w:rsidRDefault="004B3924" w:rsidP="004B3924">
      <w:pPr>
        <w:pStyle w:val="IntroParagraph"/>
      </w:pPr>
      <w:r w:rsidRPr="00CD5BEB">
        <w:t>The ACT 202</w:t>
      </w:r>
      <w:r w:rsidR="00955EA1">
        <w:t>2</w:t>
      </w:r>
      <w:r w:rsidRPr="00CD5BEB">
        <w:t xml:space="preserve"> population projections adopt a range of assumptions on fertility, mortality, overseas </w:t>
      </w:r>
      <w:proofErr w:type="gramStart"/>
      <w:r w:rsidRPr="00CD5BEB">
        <w:t>migration</w:t>
      </w:r>
      <w:proofErr w:type="gramEnd"/>
      <w:r w:rsidRPr="00CD5BEB">
        <w:t xml:space="preserve"> and interstate migration. These assumptions are made based on the historical trend of demographic behaviours of ACT’s population as well as the existing policy settings</w:t>
      </w:r>
      <w:r>
        <w:t>, including decisions on city planning.</w:t>
      </w:r>
    </w:p>
    <w:p w14:paraId="39288C74" w14:textId="62D90DB6" w:rsidR="004B3924" w:rsidRDefault="004B3924" w:rsidP="004B3924">
      <w:pPr>
        <w:pStyle w:val="Heading2"/>
        <w:rPr>
          <w:kern w:val="28"/>
          <w:sz w:val="44"/>
        </w:rPr>
      </w:pPr>
      <w:bookmarkStart w:id="9" w:name="_Toc99018937"/>
      <w:r>
        <w:t>Fertility</w:t>
      </w:r>
      <w:bookmarkEnd w:id="9"/>
    </w:p>
    <w:p w14:paraId="63A1143B" w14:textId="0A530A86" w:rsidR="004B3924" w:rsidRDefault="004B3924" w:rsidP="004B3924">
      <w:r w:rsidRPr="00CD5BEB">
        <w:t>Total fertility rates in the ACT are expected to decline from 1.6 in 20</w:t>
      </w:r>
      <w:r w:rsidR="00C7711D">
        <w:t>19-</w:t>
      </w:r>
      <w:r w:rsidRPr="00CD5BEB">
        <w:t xml:space="preserve">20 to around 1.5 by the end of </w:t>
      </w:r>
      <w:r>
        <w:t>June 2030</w:t>
      </w:r>
      <w:r w:rsidRPr="00CD5BEB">
        <w:t>, before stabilising a</w:t>
      </w:r>
      <w:r>
        <w:t>t this</w:t>
      </w:r>
      <w:r w:rsidRPr="00CD5BEB">
        <w:t xml:space="preserve"> level for the rest of the projection period</w:t>
      </w:r>
      <w:r w:rsidR="00C7711D">
        <w:t xml:space="preserve"> (figure </w:t>
      </w:r>
      <w:r w:rsidR="00810DC1">
        <w:t>10</w:t>
      </w:r>
      <w:r w:rsidR="00C7711D">
        <w:t>)</w:t>
      </w:r>
      <w:r w:rsidRPr="00CD5BEB">
        <w:t>. This means an average woman in the ACT is expected to give birth to 1.5 children over her life in the medium term.</w:t>
      </w:r>
    </w:p>
    <w:p w14:paraId="32FEA045" w14:textId="3D44456E" w:rsidR="00425F9C" w:rsidRDefault="00C7711D" w:rsidP="00C7711D">
      <w:pPr>
        <w:pStyle w:val="TableFiguresheading"/>
        <w:jc w:val="left"/>
      </w:pPr>
      <w:r>
        <w:t xml:space="preserve">Figure </w:t>
      </w:r>
      <w:r w:rsidR="00810DC1">
        <w:t>10</w:t>
      </w:r>
      <w:r>
        <w:t>: ACT total fertility rate, historical and assumed, 2014-2015 to 2059-2060</w:t>
      </w:r>
    </w:p>
    <w:p w14:paraId="6DA2318F" w14:textId="4901EB59" w:rsidR="00C7711D" w:rsidRDefault="00C7711D" w:rsidP="00C7711D">
      <w:pPr>
        <w:jc w:val="center"/>
      </w:pPr>
      <w:r>
        <w:rPr>
          <w:noProof/>
        </w:rPr>
        <w:drawing>
          <wp:inline distT="0" distB="0" distL="0" distR="0" wp14:anchorId="70E4A193" wp14:editId="6EBB3352">
            <wp:extent cx="4838700" cy="2743200"/>
            <wp:effectExtent l="19050" t="19050" r="19050" b="19050"/>
            <wp:docPr id="24" name="Picture 24" descr="This figure shows how total fertility rates in the ACT have been assumed to change in the ACT between 2019-20 and 20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figure shows how total fertility rates in the ACT have been assumed to change in the ACT between 2019-20 and 2059-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2743200"/>
                    </a:xfrm>
                    <a:prstGeom prst="rect">
                      <a:avLst/>
                    </a:prstGeom>
                    <a:noFill/>
                    <a:ln w="3175">
                      <a:solidFill>
                        <a:schemeClr val="tx1">
                          <a:lumMod val="50000"/>
                          <a:lumOff val="50000"/>
                        </a:schemeClr>
                      </a:solidFill>
                    </a:ln>
                  </pic:spPr>
                </pic:pic>
              </a:graphicData>
            </a:graphic>
          </wp:inline>
        </w:drawing>
      </w:r>
    </w:p>
    <w:p w14:paraId="35921053" w14:textId="4211BB3C" w:rsidR="004B3924" w:rsidRDefault="004B3924" w:rsidP="004B3924">
      <w:pPr>
        <w:pStyle w:val="Heading2"/>
      </w:pPr>
      <w:bookmarkStart w:id="10" w:name="_Toc99018938"/>
      <w:r>
        <w:t>Mortality</w:t>
      </w:r>
      <w:bookmarkEnd w:id="10"/>
    </w:p>
    <w:p w14:paraId="3F89016A" w14:textId="551DDBDC" w:rsidR="004B3924" w:rsidRDefault="004B3924" w:rsidP="004B3924">
      <w:r w:rsidRPr="00CD5BEB">
        <w:t xml:space="preserve">Mortality rates are expected to improve over the 40-year period, consistent with the assumptions </w:t>
      </w:r>
      <w:r w:rsidRPr="00945BA6">
        <w:t>published for the ACT by the ABS as part of its 2017 population projections</w:t>
      </w:r>
      <w:r w:rsidR="005C2FAC" w:rsidRPr="00945BA6">
        <w:rPr>
          <w:rStyle w:val="FootnoteReference"/>
        </w:rPr>
        <w:footnoteReference w:id="2"/>
      </w:r>
      <w:r w:rsidRPr="00945BA6">
        <w:t>. Life expectancy at birth is assumed to increase from 81.8 to 83.7 years for males and from 85.4 to 86.3 years over the 40-year period ending 30 June 2060</w:t>
      </w:r>
      <w:r w:rsidR="00C7711D" w:rsidRPr="00945BA6">
        <w:t xml:space="preserve"> (figure 1</w:t>
      </w:r>
      <w:r w:rsidR="00810DC1" w:rsidRPr="00945BA6">
        <w:t>1</w:t>
      </w:r>
      <w:r w:rsidR="00C7711D" w:rsidRPr="00945BA6">
        <w:t>)</w:t>
      </w:r>
      <w:r w:rsidRPr="00945BA6">
        <w:t>.</w:t>
      </w:r>
    </w:p>
    <w:p w14:paraId="3A3502E2" w14:textId="77777777" w:rsidR="008B09FE" w:rsidRDefault="008B09FE">
      <w:pPr>
        <w:spacing w:before="0" w:after="160" w:line="259" w:lineRule="auto"/>
        <w:rPr>
          <w:rStyle w:val="TableFiguresheadingChar"/>
        </w:rPr>
      </w:pPr>
      <w:r>
        <w:rPr>
          <w:rStyle w:val="TableFiguresheadingChar"/>
        </w:rPr>
        <w:br w:type="page"/>
      </w:r>
    </w:p>
    <w:p w14:paraId="3D478C11" w14:textId="0B904F0B" w:rsidR="000A7B2F" w:rsidRDefault="00E442FF" w:rsidP="00E442FF">
      <w:pPr>
        <w:rPr>
          <w:rStyle w:val="TableFiguresheadingChar"/>
        </w:rPr>
      </w:pPr>
      <w:r w:rsidRPr="00E442FF">
        <w:rPr>
          <w:rStyle w:val="TableFiguresheadingChar"/>
        </w:rPr>
        <w:lastRenderedPageBreak/>
        <w:t>Figure 1</w:t>
      </w:r>
      <w:r w:rsidR="00810DC1">
        <w:rPr>
          <w:rStyle w:val="TableFiguresheadingChar"/>
        </w:rPr>
        <w:t>1</w:t>
      </w:r>
      <w:r w:rsidRPr="00E442FF">
        <w:rPr>
          <w:rStyle w:val="TableFiguresheadingChar"/>
        </w:rPr>
        <w:t xml:space="preserve">: Life expectancy at birth, by </w:t>
      </w:r>
      <w:r w:rsidR="00945BA6">
        <w:rPr>
          <w:rStyle w:val="TableFiguresheadingChar"/>
        </w:rPr>
        <w:t>sex</w:t>
      </w:r>
      <w:r w:rsidRPr="00E442FF">
        <w:rPr>
          <w:rStyle w:val="TableFiguresheadingChar"/>
        </w:rPr>
        <w:t>, June 2020 to June 2060</w:t>
      </w:r>
    </w:p>
    <w:p w14:paraId="3ADF4952" w14:textId="5910EFE5" w:rsidR="00E442FF" w:rsidRDefault="00DA6802" w:rsidP="005A76E4">
      <w:pPr>
        <w:jc w:val="center"/>
      </w:pPr>
      <w:r>
        <w:rPr>
          <w:noProof/>
        </w:rPr>
        <w:drawing>
          <wp:inline distT="0" distB="0" distL="0" distR="0" wp14:anchorId="2C2C0339" wp14:editId="677B6AC7">
            <wp:extent cx="4838700" cy="2743200"/>
            <wp:effectExtent l="19050" t="19050" r="19050" b="19050"/>
            <wp:docPr id="32" name="Picture 32" descr="This figure shows how life expectancy at birth for males and females in the ACT has been assumed to change over the projection period until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igure shows how life expectancy at birth for males and females in the ACT has been assumed to change over the projection period until 20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700" cy="2743200"/>
                    </a:xfrm>
                    <a:prstGeom prst="rect">
                      <a:avLst/>
                    </a:prstGeom>
                    <a:noFill/>
                    <a:ln w="3175">
                      <a:solidFill>
                        <a:schemeClr val="tx1">
                          <a:lumMod val="50000"/>
                          <a:lumOff val="50000"/>
                        </a:schemeClr>
                      </a:solidFill>
                    </a:ln>
                  </pic:spPr>
                </pic:pic>
              </a:graphicData>
            </a:graphic>
          </wp:inline>
        </w:drawing>
      </w:r>
    </w:p>
    <w:p w14:paraId="0608215E" w14:textId="15EBBDBC" w:rsidR="004B3924" w:rsidRDefault="004B3924" w:rsidP="004B3924">
      <w:pPr>
        <w:pStyle w:val="Heading2"/>
      </w:pPr>
      <w:bookmarkStart w:id="11" w:name="_Toc99018939"/>
      <w:r>
        <w:t>Overseas migration</w:t>
      </w:r>
      <w:bookmarkEnd w:id="11"/>
    </w:p>
    <w:p w14:paraId="00F4CF2C" w14:textId="3BC0FCB6" w:rsidR="004B3924" w:rsidRDefault="00097B1A" w:rsidP="004B3924">
      <w:r>
        <w:t>COVID-19 impacted b</w:t>
      </w:r>
      <w:r w:rsidR="004B3924">
        <w:t xml:space="preserve">oth emigration and immigration in 2020-21 and are assumed to take around </w:t>
      </w:r>
      <w:r w:rsidR="00A046CD">
        <w:t>two</w:t>
      </w:r>
      <w:r w:rsidR="003E0198">
        <w:t xml:space="preserve"> </w:t>
      </w:r>
      <w:r w:rsidR="004B3924">
        <w:t>years to recover to their pre-pandemic levels. Immigration is assumed to be more severely impacted relative to emigration, in line with recent data.</w:t>
      </w:r>
    </w:p>
    <w:p w14:paraId="663DF596" w14:textId="124552BB" w:rsidR="0027267F" w:rsidRDefault="004B3924" w:rsidP="00FD2CED">
      <w:r>
        <w:t xml:space="preserve">ACT’s immigration is assumed to </w:t>
      </w:r>
      <w:r w:rsidR="00216E15">
        <w:t xml:space="preserve">recover quickly and </w:t>
      </w:r>
      <w:r>
        <w:t xml:space="preserve">grow steadily once it returns to the pre-pandemic levels. </w:t>
      </w:r>
      <w:r w:rsidR="005D06EC">
        <w:t>E</w:t>
      </w:r>
      <w:r>
        <w:t>migration rates for ACT suburbs are assumed to trend towards the ACT average by the end of June 2030 before stabilising over the rest of the projection period.</w:t>
      </w:r>
      <w:r w:rsidR="0027267F">
        <w:t xml:space="preserve"> </w:t>
      </w:r>
    </w:p>
    <w:p w14:paraId="3963C809" w14:textId="261FCD58" w:rsidR="004B3924" w:rsidRDefault="004B3924" w:rsidP="004B3924">
      <w:pPr>
        <w:pStyle w:val="Heading2"/>
      </w:pPr>
      <w:bookmarkStart w:id="12" w:name="_Toc99018940"/>
      <w:r>
        <w:t>Interstate migration</w:t>
      </w:r>
      <w:bookmarkEnd w:id="12"/>
    </w:p>
    <w:p w14:paraId="7D6C8B99" w14:textId="2ACC7DF6" w:rsidR="004B3924" w:rsidRDefault="004E7197" w:rsidP="004B3924">
      <w:r>
        <w:t>Historically, i</w:t>
      </w:r>
      <w:r w:rsidR="004B3924">
        <w:t xml:space="preserve">nterstate </w:t>
      </w:r>
      <w:r>
        <w:t>migration in the ACT oscillates between net outflows and net inflows year on year. In the aggregate, the ACT has seen a positive contribution to its population from interstate migration. While state border closures from COVID-19 impacted the levels of both in</w:t>
      </w:r>
      <w:r w:rsidR="004B3924">
        <w:t xml:space="preserve">-migration </w:t>
      </w:r>
      <w:r>
        <w:t>and out-migration, net migration is expected to remain positive for the ACT over the projection horizon</w:t>
      </w:r>
      <w:r w:rsidR="004B3924">
        <w:t xml:space="preserve">. </w:t>
      </w:r>
      <w:r w:rsidR="00AB1537">
        <w:t xml:space="preserve">Preliminary Census 2021 results for internal migration, while not the same as net interstate migration used in ERP, indicates that the ACT is one of only three jurisdictions to have had a net inflow from other states and territories over the five year period since Census 2016. </w:t>
      </w:r>
    </w:p>
    <w:p w14:paraId="48346BBC" w14:textId="17C27AA3" w:rsidR="004B3924" w:rsidRDefault="00D83771" w:rsidP="004B3924">
      <w:r>
        <w:t>O</w:t>
      </w:r>
      <w:r w:rsidR="004B3924">
        <w:t>ver the past 20 years, the median age of interstate in-migration has been rising faster relative to that of interstate out-migration (</w:t>
      </w:r>
      <w:r w:rsidR="00331B4F">
        <w:t>f</w:t>
      </w:r>
      <w:r w:rsidR="004B3924">
        <w:t xml:space="preserve">igure </w:t>
      </w:r>
      <w:r w:rsidR="0082143B">
        <w:t>1</w:t>
      </w:r>
      <w:r w:rsidR="00A046CD">
        <w:t>2</w:t>
      </w:r>
      <w:r w:rsidR="004B3924">
        <w:t>), as relatively more people of the mature working class (aged 45 to 59 years) moved into the ACT. This trend is expected to continue over the next 40 years.</w:t>
      </w:r>
    </w:p>
    <w:p w14:paraId="5014E7FA" w14:textId="77777777" w:rsidR="0094482E" w:rsidRDefault="0094482E">
      <w:pPr>
        <w:spacing w:before="0" w:after="160" w:line="259" w:lineRule="auto"/>
        <w:rPr>
          <w:b/>
          <w:sz w:val="20"/>
        </w:rPr>
      </w:pPr>
      <w:r>
        <w:br w:type="page"/>
      </w:r>
    </w:p>
    <w:p w14:paraId="1E15EE94" w14:textId="6BF982D2" w:rsidR="004B3924" w:rsidRDefault="004B3924" w:rsidP="0027267F">
      <w:pPr>
        <w:pStyle w:val="TableFiguresheading"/>
        <w:jc w:val="left"/>
      </w:pPr>
      <w:r>
        <w:lastRenderedPageBreak/>
        <w:t xml:space="preserve">Figure </w:t>
      </w:r>
      <w:r w:rsidR="00586B25">
        <w:t>1</w:t>
      </w:r>
      <w:r w:rsidR="00A046CD">
        <w:t>2</w:t>
      </w:r>
      <w:r>
        <w:t>: Median age, interstate in-migration vs interstate out-migration</w:t>
      </w:r>
      <w:r w:rsidR="00CC2D5A">
        <w:t>, 2000-01 to 2019-20</w:t>
      </w:r>
    </w:p>
    <w:p w14:paraId="0D2FCE28" w14:textId="77777777" w:rsidR="00586B25" w:rsidRDefault="00586B25" w:rsidP="004B3924">
      <w:pPr>
        <w:pStyle w:val="TableFiguresheading"/>
        <w:jc w:val="left"/>
      </w:pPr>
    </w:p>
    <w:p w14:paraId="45C983AF" w14:textId="771CDA47" w:rsidR="005A76E4" w:rsidRDefault="005A76E4" w:rsidP="00517574">
      <w:pPr>
        <w:pStyle w:val="TableFiguresheading"/>
        <w:jc w:val="center"/>
      </w:pPr>
      <w:r>
        <w:rPr>
          <w:noProof/>
        </w:rPr>
        <w:drawing>
          <wp:inline distT="0" distB="0" distL="0" distR="0" wp14:anchorId="4CDFFD0B" wp14:editId="51BC7343">
            <wp:extent cx="4823460" cy="2735580"/>
            <wp:effectExtent l="19050" t="19050" r="15240" b="26670"/>
            <wp:docPr id="31" name="Picture 31" descr="This chart shows historical data on median age of in-migrants to, and out-migrants from, the ACT between 2000-01 and 2019-20. While the median age for out-migrants has been higher than that for in-migrants at least since 2000, the difference has narrowed since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chart shows historical data on median age of in-migrants to, and out-migrants from, the ACT between 2000-01 and 2019-20. While the median age for out-migrants has been higher than that for in-migrants at least since 2000, the difference has narrowed since 2015-16.&#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3460" cy="2735580"/>
                    </a:xfrm>
                    <a:prstGeom prst="rect">
                      <a:avLst/>
                    </a:prstGeom>
                    <a:noFill/>
                    <a:ln w="3175">
                      <a:solidFill>
                        <a:schemeClr val="tx1">
                          <a:lumMod val="50000"/>
                          <a:lumOff val="50000"/>
                        </a:schemeClr>
                      </a:solidFill>
                    </a:ln>
                  </pic:spPr>
                </pic:pic>
              </a:graphicData>
            </a:graphic>
          </wp:inline>
        </w:drawing>
      </w:r>
    </w:p>
    <w:p w14:paraId="6B76147C" w14:textId="7D9D02F0" w:rsidR="004B3924" w:rsidRDefault="004B3924" w:rsidP="004942C3">
      <w:pPr>
        <w:spacing w:before="0" w:after="160" w:line="259" w:lineRule="auto"/>
        <w:rPr>
          <w:rFonts w:ascii="Arial" w:hAnsi="Arial"/>
          <w:b/>
          <w:color w:val="7030A0"/>
          <w:kern w:val="28"/>
          <w:sz w:val="44"/>
        </w:rPr>
      </w:pPr>
      <w:r>
        <w:br w:type="page"/>
      </w:r>
    </w:p>
    <w:p w14:paraId="3A43AEB3" w14:textId="6BB0801C" w:rsidR="008863F0" w:rsidRDefault="008863F0" w:rsidP="00825C83">
      <w:pPr>
        <w:pStyle w:val="Heading1"/>
      </w:pPr>
      <w:bookmarkStart w:id="13" w:name="_Toc99018941"/>
      <w:r>
        <w:lastRenderedPageBreak/>
        <w:t>Limitations and Uncertainty</w:t>
      </w:r>
      <w:bookmarkEnd w:id="13"/>
    </w:p>
    <w:p w14:paraId="0C4F38F6" w14:textId="1CC43C94" w:rsidR="00FA4C67" w:rsidRDefault="00E01A2F" w:rsidP="00B540DB">
      <w:pPr>
        <w:pStyle w:val="IntroParagraph"/>
      </w:pPr>
      <w:r>
        <w:t>T</w:t>
      </w:r>
      <w:r w:rsidR="00F55FA2" w:rsidRPr="00F55FA2">
        <w:t xml:space="preserve">he population projections contained in this report are the result of </w:t>
      </w:r>
      <w:r w:rsidR="00E17823">
        <w:t>data availability and data updates at the time of publication</w:t>
      </w:r>
      <w:r w:rsidR="000010AB">
        <w:t>,</w:t>
      </w:r>
      <w:r w:rsidR="00E17823">
        <w:t xml:space="preserve"> and </w:t>
      </w:r>
      <w:r w:rsidR="00F55FA2" w:rsidRPr="00F55FA2">
        <w:t xml:space="preserve">certain assumptions about future trends in fertility, </w:t>
      </w:r>
      <w:proofErr w:type="gramStart"/>
      <w:r w:rsidR="00F55FA2" w:rsidRPr="00F55FA2">
        <w:t>mortality</w:t>
      </w:r>
      <w:proofErr w:type="gramEnd"/>
      <w:r w:rsidR="00F55FA2" w:rsidRPr="00F55FA2">
        <w:t xml:space="preserve"> and migration</w:t>
      </w:r>
      <w:r w:rsidR="00097B1A">
        <w:t>. S</w:t>
      </w:r>
      <w:r w:rsidR="00F55FA2">
        <w:t xml:space="preserve">ocial and economic factors, and policy decisions by the Australian and ACT </w:t>
      </w:r>
      <w:r w:rsidR="00097B1A">
        <w:t>g</w:t>
      </w:r>
      <w:r w:rsidR="00F55FA2">
        <w:t>overnments</w:t>
      </w:r>
      <w:r w:rsidR="00097B1A">
        <w:t xml:space="preserve"> influence these assumptions</w:t>
      </w:r>
      <w:r w:rsidR="00F55FA2">
        <w:t>.</w:t>
      </w:r>
    </w:p>
    <w:p w14:paraId="0857AE63" w14:textId="743F499F" w:rsidR="007E2B7D" w:rsidRDefault="007E2B7D" w:rsidP="00BA559B">
      <w:pPr>
        <w:pStyle w:val="Heading4"/>
      </w:pPr>
      <w:r w:rsidRPr="00BA559B">
        <w:t>Limitations</w:t>
      </w:r>
    </w:p>
    <w:p w14:paraId="70F13DBD" w14:textId="6820294A" w:rsidR="0011365D" w:rsidRDefault="0011365D" w:rsidP="00BA559B">
      <w:r>
        <w:t>The ABS will produce the final intercensal discrepancy for Census 2021</w:t>
      </w:r>
      <w:r w:rsidR="006C0CCC">
        <w:t xml:space="preserve"> in June 2023</w:t>
      </w:r>
      <w:r>
        <w:t xml:space="preserve">. Updated net overseas migration and net interstate migration figures for the ACT for the period September quarter 2017 to June quarter 2021 are expected to be available then. For the current set of projections, given lack of further information, Treasury has assumed that </w:t>
      </w:r>
      <w:r w:rsidR="00874665">
        <w:t xml:space="preserve">net migration has contributed the additional </w:t>
      </w:r>
      <w:r>
        <w:t xml:space="preserve">population attributed to intercensal discrepancy in each quarter. </w:t>
      </w:r>
      <w:r w:rsidR="00874665">
        <w:t>This will be updated once actual data is available from the ABS in June 2023 and may affect population distributions to SA3s and SA2s.</w:t>
      </w:r>
    </w:p>
    <w:p w14:paraId="3919ACDA" w14:textId="6130368B" w:rsidR="00874665" w:rsidRDefault="00874665" w:rsidP="00BA559B">
      <w:r>
        <w:t xml:space="preserve">In general, as more data from Census 2021 is released, some of the assumptions considered in the current set of projections may also have to be revisited. Treasury will </w:t>
      </w:r>
      <w:r w:rsidR="00097B1A">
        <w:t>consult</w:t>
      </w:r>
      <w:r>
        <w:t xml:space="preserve"> with </w:t>
      </w:r>
      <w:r w:rsidR="00302CD1">
        <w:t xml:space="preserve">the </w:t>
      </w:r>
      <w:r>
        <w:t>ABS in early 2023 and accordingly plan another update to the current set of population projections in late 2023 or early 2024.</w:t>
      </w:r>
    </w:p>
    <w:p w14:paraId="74351CAD" w14:textId="017BB96B" w:rsidR="00A44E5D" w:rsidRDefault="00302CD1" w:rsidP="002474CA">
      <w:pPr>
        <w:pStyle w:val="Heading4"/>
      </w:pPr>
      <w:r>
        <w:t>U</w:t>
      </w:r>
      <w:r w:rsidR="00A44E5D" w:rsidRPr="00BA559B">
        <w:t>ncertainty</w:t>
      </w:r>
    </w:p>
    <w:p w14:paraId="2133325B" w14:textId="1041BF59" w:rsidR="00BA559B" w:rsidRDefault="00BA559B" w:rsidP="00BA559B">
      <w:r>
        <w:t xml:space="preserve">Given the </w:t>
      </w:r>
      <w:r w:rsidR="006C0CCC">
        <w:t xml:space="preserve">importance </w:t>
      </w:r>
      <w:r>
        <w:t>of migration to ACT population growth, whether assumptions around behaviours of migrating cohorts</w:t>
      </w:r>
      <w:r w:rsidR="00AB1537">
        <w:t>, both internationally and interstate,</w:t>
      </w:r>
      <w:r>
        <w:t xml:space="preserve"> are realised can have a significant impact on the accuracy of these population projections. </w:t>
      </w:r>
    </w:p>
    <w:p w14:paraId="08EBE487" w14:textId="6FBB1671" w:rsidR="00BA559B" w:rsidRDefault="00BA559B" w:rsidP="00BA559B">
      <w:r>
        <w:t>Similarly, given the significant contributions from natural increase to ACT population growth, whether assumptions around fertility materialise are also expected to have a strong impact on the accuracy of these projections.</w:t>
      </w:r>
    </w:p>
    <w:p w14:paraId="7758E469" w14:textId="283F779F" w:rsidR="00E75BF5" w:rsidRPr="00BA559B" w:rsidRDefault="00E75BF5" w:rsidP="00BA559B">
      <w:r>
        <w:t xml:space="preserve">In summary, considering the factors referred above, </w:t>
      </w:r>
      <w:r w:rsidRPr="00697943">
        <w:t>the population projections contained in this document should not be interpreted as precise predictions of demographic future, but instead provide an indication of population change and its possible implications for the Territory.</w:t>
      </w:r>
    </w:p>
    <w:p w14:paraId="3BE8B7F7" w14:textId="46D440E7" w:rsidR="00A44E5D" w:rsidRPr="00BA559B" w:rsidRDefault="00A44E5D" w:rsidP="00BA559B">
      <w:pPr>
        <w:pStyle w:val="Heading4"/>
      </w:pPr>
      <w:r w:rsidRPr="00BA559B">
        <w:t>Scenarios</w:t>
      </w:r>
    </w:p>
    <w:p w14:paraId="388FDA6D" w14:textId="33748D99" w:rsidR="00697943" w:rsidRDefault="00697943" w:rsidP="00F55FA2">
      <w:r>
        <w:t>ACT Treasury has endeavoured to model the uncertainty surrounding the baseline population projections through upside and downside scenarios.</w:t>
      </w:r>
    </w:p>
    <w:p w14:paraId="6448F104" w14:textId="51174D84" w:rsidR="00780EF3" w:rsidRDefault="003061CD" w:rsidP="00F55FA2">
      <w:r w:rsidRPr="003061CD">
        <w:t xml:space="preserve">The upside scenario assumes that the opening of international borders leads to a higher number of returning skilled migrants, international </w:t>
      </w:r>
      <w:proofErr w:type="gramStart"/>
      <w:r w:rsidRPr="003061CD">
        <w:t>students</w:t>
      </w:r>
      <w:proofErr w:type="gramEnd"/>
      <w:r w:rsidRPr="003061CD">
        <w:t xml:space="preserve"> and tourists, including working holiday makers, than that of the baseline scenario. This would lead to an increase in the ACT population through higher net overseas migration</w:t>
      </w:r>
      <w:r>
        <w:t>.</w:t>
      </w:r>
      <w:r w:rsidR="00780EF3">
        <w:t xml:space="preserve"> </w:t>
      </w:r>
      <w:r w:rsidR="00780EF3" w:rsidRPr="00780EF3">
        <w:t>In addition, a high level of job vacancies is expected to continue in the upside scenario, attracting skilled migrants to the ACT from both overseas and interstate</w:t>
      </w:r>
      <w:r w:rsidR="00780EF3">
        <w:t>.</w:t>
      </w:r>
    </w:p>
    <w:p w14:paraId="6AC9A3E8" w14:textId="6AD99E68" w:rsidR="00780EF3" w:rsidRDefault="00780EF3" w:rsidP="00780EF3">
      <w:r>
        <w:lastRenderedPageBreak/>
        <w:t>Further, higher total fertility rates, net overseas migration and net interstate migration are expected to be sustain</w:t>
      </w:r>
      <w:r w:rsidR="008616CB">
        <w:t>ed</w:t>
      </w:r>
      <w:r>
        <w:t xml:space="preserve"> in the medium term due to better economic and labour market outcomes</w:t>
      </w:r>
      <w:r w:rsidR="00E17823">
        <w:t xml:space="preserve"> in the upside scenario</w:t>
      </w:r>
      <w:r>
        <w:t>.</w:t>
      </w:r>
    </w:p>
    <w:p w14:paraId="27B62BE9" w14:textId="63EB4F37" w:rsidR="00780EF3" w:rsidRPr="00945BA6" w:rsidRDefault="00780EF3" w:rsidP="00780EF3">
      <w:r w:rsidRPr="00945BA6">
        <w:t xml:space="preserve">As a result, </w:t>
      </w:r>
      <w:r w:rsidR="00E75BF5" w:rsidRPr="00945BA6">
        <w:t xml:space="preserve">ACT </w:t>
      </w:r>
      <w:r w:rsidRPr="00945BA6">
        <w:t xml:space="preserve">population is expected to reach </w:t>
      </w:r>
      <w:r w:rsidR="003D2700" w:rsidRPr="00945BA6">
        <w:t>817</w:t>
      </w:r>
      <w:r w:rsidR="00440AC2" w:rsidRPr="00945BA6">
        <w:t>,000</w:t>
      </w:r>
      <w:r w:rsidRPr="00945BA6">
        <w:t xml:space="preserve"> by June 2060 in the upside scenario, around </w:t>
      </w:r>
      <w:r w:rsidR="003D2700" w:rsidRPr="00945BA6">
        <w:t>33</w:t>
      </w:r>
      <w:r w:rsidRPr="00945BA6">
        <w:t>,000 more people compared to the baseline scenario. The population growth rate is expected to stabilise at around 1</w:t>
      </w:r>
      <w:r w:rsidR="00053C4A" w:rsidRPr="00945BA6">
        <w:t>.3</w:t>
      </w:r>
      <w:r w:rsidR="003D2700" w:rsidRPr="00945BA6">
        <w:t xml:space="preserve"> </w:t>
      </w:r>
      <w:r w:rsidRPr="00945BA6">
        <w:t xml:space="preserve">per cent, compared to the </w:t>
      </w:r>
      <w:r w:rsidR="001053E6" w:rsidRPr="00945BA6">
        <w:t>1</w:t>
      </w:r>
      <w:r w:rsidR="00053C4A" w:rsidRPr="00945BA6">
        <w:t>.2</w:t>
      </w:r>
      <w:r w:rsidRPr="00945BA6">
        <w:t xml:space="preserve"> per cent in the baseline scenario.</w:t>
      </w:r>
    </w:p>
    <w:p w14:paraId="45E57278" w14:textId="24CDAD2A" w:rsidR="00780EF3" w:rsidRDefault="008F4D28" w:rsidP="00780EF3">
      <w:r w:rsidRPr="00945BA6">
        <w:t>T</w:t>
      </w:r>
      <w:r w:rsidR="00780EF3" w:rsidRPr="00945BA6">
        <w:t xml:space="preserve">he downside scenario </w:t>
      </w:r>
      <w:r w:rsidRPr="00945BA6">
        <w:t xml:space="preserve">assumes </w:t>
      </w:r>
      <w:r w:rsidR="008D62F9" w:rsidRPr="00945BA6">
        <w:t>lower net migration levels in comparison to the baseline scenario</w:t>
      </w:r>
      <w:r w:rsidR="00780EF3" w:rsidRPr="00945BA6">
        <w:t>.</w:t>
      </w:r>
      <w:r w:rsidR="008D62F9" w:rsidRPr="00945BA6">
        <w:t xml:space="preserve"> </w:t>
      </w:r>
      <w:r w:rsidR="00780EF3" w:rsidRPr="00945BA6">
        <w:t xml:space="preserve">As a result, </w:t>
      </w:r>
      <w:r w:rsidR="00E3431F" w:rsidRPr="00945BA6">
        <w:t xml:space="preserve">ACT’s </w:t>
      </w:r>
      <w:r w:rsidR="00780EF3" w:rsidRPr="00945BA6">
        <w:t xml:space="preserve">population is expected to only reach </w:t>
      </w:r>
      <w:r w:rsidR="008D62F9" w:rsidRPr="00945BA6">
        <w:t>759</w:t>
      </w:r>
      <w:r w:rsidR="00780EF3" w:rsidRPr="00945BA6">
        <w:t>,</w:t>
      </w:r>
      <w:r w:rsidR="00440AC2" w:rsidRPr="00945BA6">
        <w:t>000</w:t>
      </w:r>
      <w:r w:rsidR="00780EF3" w:rsidRPr="00945BA6">
        <w:t xml:space="preserve"> by June 2060, around </w:t>
      </w:r>
      <w:r w:rsidR="008D62F9" w:rsidRPr="00945BA6">
        <w:t>25</w:t>
      </w:r>
      <w:r w:rsidR="00780EF3" w:rsidRPr="00945BA6">
        <w:t xml:space="preserve">,000 fewer people compared to the baseline scenario. The population growth rate is expected to stabilise at around </w:t>
      </w:r>
      <w:r w:rsidR="00780EF3" w:rsidRPr="00945BA6">
        <w:br/>
      </w:r>
      <w:r w:rsidR="008D62F9" w:rsidRPr="00945BA6">
        <w:t>1</w:t>
      </w:r>
      <w:r w:rsidR="007F077C" w:rsidRPr="00945BA6">
        <w:t xml:space="preserve"> </w:t>
      </w:r>
      <w:r w:rsidR="00780EF3" w:rsidRPr="00945BA6">
        <w:t xml:space="preserve">per cent, compared to the </w:t>
      </w:r>
      <w:r w:rsidR="001053E6" w:rsidRPr="00945BA6">
        <w:t>1</w:t>
      </w:r>
      <w:r w:rsidR="008D62F9" w:rsidRPr="00945BA6">
        <w:t>.2</w:t>
      </w:r>
      <w:r w:rsidR="00780EF3" w:rsidRPr="00945BA6">
        <w:t xml:space="preserve"> per cent in the baseline scenario.</w:t>
      </w:r>
    </w:p>
    <w:p w14:paraId="04B668A7" w14:textId="30F03458" w:rsidR="00C51C79" w:rsidRDefault="000010AB" w:rsidP="00C51C79">
      <w:r>
        <w:t>The shaded area</w:t>
      </w:r>
      <w:r w:rsidR="00586B25">
        <w:t>s</w:t>
      </w:r>
      <w:r>
        <w:t xml:space="preserve"> in f</w:t>
      </w:r>
      <w:r w:rsidR="00C51C79">
        <w:t xml:space="preserve">igure </w:t>
      </w:r>
      <w:r w:rsidR="00874665">
        <w:t>1</w:t>
      </w:r>
      <w:r w:rsidR="00A046CD">
        <w:t>3</w:t>
      </w:r>
      <w:r w:rsidR="00874665">
        <w:t xml:space="preserve"> </w:t>
      </w:r>
      <w:r>
        <w:t xml:space="preserve">below </w:t>
      </w:r>
      <w:r w:rsidR="00C51C79">
        <w:t xml:space="preserve">show </w:t>
      </w:r>
      <w:r w:rsidR="000C2D26">
        <w:t>population levels and growth rates corresponding to the upside and downside scenarios, relative to the baseline.</w:t>
      </w:r>
    </w:p>
    <w:p w14:paraId="46EF7DB6" w14:textId="72F487F6" w:rsidR="000C2D26" w:rsidRDefault="000C2D26" w:rsidP="000C2D26">
      <w:pPr>
        <w:pStyle w:val="TableFiguresheading"/>
        <w:jc w:val="left"/>
      </w:pPr>
      <w:r>
        <w:t xml:space="preserve">Figure </w:t>
      </w:r>
      <w:r w:rsidR="004C4DA1">
        <w:t>1</w:t>
      </w:r>
      <w:r w:rsidR="00A046CD">
        <w:t>3</w:t>
      </w:r>
      <w:r>
        <w:t>: ACT population levels and growth rates in the upside and downside scenarios</w:t>
      </w:r>
      <w:r w:rsidR="005B240D">
        <w:t>, June 2010 to June 2060</w:t>
      </w:r>
    </w:p>
    <w:p w14:paraId="12D7A6B1" w14:textId="60C005FD" w:rsidR="000C2D26" w:rsidRDefault="000C2D26" w:rsidP="00D33112">
      <w:pPr>
        <w:pStyle w:val="TableFiguresheading"/>
        <w:jc w:val="left"/>
      </w:pPr>
    </w:p>
    <w:p w14:paraId="38E4E8C3" w14:textId="2243EE8C" w:rsidR="005B240D" w:rsidRDefault="005B240D" w:rsidP="008F4D28">
      <w:pPr>
        <w:pStyle w:val="TableFiguresheading"/>
        <w:jc w:val="center"/>
      </w:pPr>
      <w:r>
        <w:rPr>
          <w:noProof/>
        </w:rPr>
        <w:drawing>
          <wp:inline distT="0" distB="0" distL="0" distR="0" wp14:anchorId="5DD16E2F" wp14:editId="351916D3">
            <wp:extent cx="5796000" cy="5184000"/>
            <wp:effectExtent l="19050" t="19050" r="0" b="0"/>
            <wp:docPr id="22" name="Picture 22" descr="This two-panel chart shows the ACT population levels and growth rates for the baseline scenario as well as the range for both population levels and growth rates derived from the upside and downside scenarios. The upper panel shows the population levels while the lower panel shows the growth rat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This two-panel chart shows the ACT population levels and growth rates for the baseline scenario as well as the range for both population levels and growth rates derived from the upside and downside scenarios. The upper panel shows the population levels while the lower panel shows the growth rates.&#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6000" cy="5184000"/>
                    </a:xfrm>
                    <a:prstGeom prst="rect">
                      <a:avLst/>
                    </a:prstGeom>
                    <a:noFill/>
                    <a:ln w="3175">
                      <a:solidFill>
                        <a:schemeClr val="tx1">
                          <a:lumMod val="50000"/>
                          <a:lumOff val="50000"/>
                        </a:schemeClr>
                      </a:solidFill>
                    </a:ln>
                  </pic:spPr>
                </pic:pic>
              </a:graphicData>
            </a:graphic>
          </wp:inline>
        </w:drawing>
      </w:r>
    </w:p>
    <w:p w14:paraId="7AB5BEBD" w14:textId="160099C5" w:rsidR="009266DD" w:rsidRPr="006F367A" w:rsidRDefault="0073605B" w:rsidP="00AB2A08">
      <w:pPr>
        <w:pStyle w:val="AppendixNumbered"/>
      </w:pPr>
      <w:bookmarkStart w:id="14" w:name="_Toc99018942"/>
      <w:r>
        <w:lastRenderedPageBreak/>
        <w:t>Quality framework for the population projections</w:t>
      </w:r>
      <w:bookmarkEnd w:id="14"/>
    </w:p>
    <w:p w14:paraId="4522C027" w14:textId="3E789407" w:rsidR="009266DD" w:rsidRPr="00976284" w:rsidRDefault="0073605B" w:rsidP="009266DD">
      <w:pPr>
        <w:spacing w:beforeLines="60" w:before="144" w:afterLines="60" w:after="144"/>
        <w:rPr>
          <w:szCs w:val="22"/>
          <w:lang w:eastAsia="en-AU"/>
        </w:rPr>
      </w:pPr>
      <w:r w:rsidRPr="0073605B">
        <w:rPr>
          <w:szCs w:val="22"/>
          <w:lang w:eastAsia="en-AU"/>
        </w:rPr>
        <w:t>The Council on Federal Financial Relations (CFFR), consisting of the Commonwealth Treasurer and all state/territory Treasurers, have agreed to a set of quality principles</w:t>
      </w:r>
      <w:r w:rsidR="00331B4F">
        <w:rPr>
          <w:szCs w:val="22"/>
          <w:lang w:eastAsia="en-AU"/>
        </w:rPr>
        <w:t>.</w:t>
      </w:r>
      <w:r w:rsidRPr="0073605B">
        <w:rPr>
          <w:szCs w:val="22"/>
          <w:lang w:eastAsia="en-AU"/>
        </w:rPr>
        <w:t xml:space="preserve"> </w:t>
      </w:r>
      <w:r w:rsidR="009951D1">
        <w:rPr>
          <w:szCs w:val="22"/>
          <w:lang w:eastAsia="en-AU"/>
        </w:rPr>
        <w:t xml:space="preserve">The expectation is that these principles will ensure </w:t>
      </w:r>
      <w:r w:rsidRPr="0073605B">
        <w:rPr>
          <w:szCs w:val="22"/>
          <w:lang w:eastAsia="en-AU"/>
        </w:rPr>
        <w:t xml:space="preserve">consistency across population projections </w:t>
      </w:r>
      <w:r w:rsidR="009951D1">
        <w:rPr>
          <w:szCs w:val="22"/>
          <w:lang w:eastAsia="en-AU"/>
        </w:rPr>
        <w:t xml:space="preserve">produced by </w:t>
      </w:r>
      <w:r w:rsidRPr="0073605B">
        <w:rPr>
          <w:szCs w:val="22"/>
          <w:lang w:eastAsia="en-AU"/>
        </w:rPr>
        <w:t>each jurisdiction and the Centre for Population (CPop). The five principles that have been agreed upon are</w:t>
      </w:r>
      <w:r w:rsidR="001C6384">
        <w:rPr>
          <w:rStyle w:val="FootnoteReference"/>
          <w:szCs w:val="22"/>
          <w:lang w:eastAsia="en-AU"/>
        </w:rPr>
        <w:footnoteReference w:id="3"/>
      </w:r>
      <w:r w:rsidRPr="0073605B">
        <w:rPr>
          <w:szCs w:val="22"/>
          <w:lang w:eastAsia="en-AU"/>
        </w:rPr>
        <w:t>:</w:t>
      </w:r>
    </w:p>
    <w:p w14:paraId="03AD62AC" w14:textId="332EA22B" w:rsidR="0073605B" w:rsidRPr="00143D5B" w:rsidRDefault="0073605B" w:rsidP="0073605B">
      <w:pPr>
        <w:pStyle w:val="bullet10"/>
      </w:pPr>
      <w:r w:rsidRPr="00143D5B">
        <w:t>Relevance - Population projections should clearly outline their purpose and intended uses</w:t>
      </w:r>
      <w:r w:rsidR="009951D1">
        <w:t>.</w:t>
      </w:r>
    </w:p>
    <w:p w14:paraId="31A32A46" w14:textId="77777777" w:rsidR="0073605B" w:rsidRPr="00143D5B" w:rsidRDefault="0073605B" w:rsidP="0073605B">
      <w:pPr>
        <w:pStyle w:val="bullet10"/>
      </w:pPr>
      <w:r w:rsidRPr="00143D5B">
        <w:t xml:space="preserve">Timeliness – Projection users should be able to make decisions based on the most up to date data and trends. </w:t>
      </w:r>
    </w:p>
    <w:p w14:paraId="2A1351DC" w14:textId="6A80C339" w:rsidR="0073605B" w:rsidRPr="00143D5B" w:rsidRDefault="0073605B" w:rsidP="0073605B">
      <w:pPr>
        <w:pStyle w:val="bullet10"/>
      </w:pPr>
      <w:r>
        <w:t>A</w:t>
      </w:r>
      <w:r w:rsidRPr="00143D5B">
        <w:t>ccuracy - Population projections should be accompanied by detailed explanatory notes communicating the accuracy and uncertainty of methodologies employed. Scenario analysis should be conducted to show dependence of projection outcomes on assumptions.</w:t>
      </w:r>
    </w:p>
    <w:p w14:paraId="7EA7E03B" w14:textId="77777777" w:rsidR="0073605B" w:rsidRPr="00143D5B" w:rsidRDefault="0073605B" w:rsidP="0073605B">
      <w:pPr>
        <w:pStyle w:val="bullet10"/>
      </w:pPr>
      <w:r w:rsidRPr="00143D5B">
        <w:t>Interpretability - Interpretability refers to the presentation of data, and availability of accompanying information to maximise comprehension and usefulness to end users. Interpretability is important as it enables the information to be understood and used appropriately.</w:t>
      </w:r>
    </w:p>
    <w:p w14:paraId="74E8FB3C" w14:textId="6F38BE10" w:rsidR="009266DD" w:rsidRPr="00976284" w:rsidRDefault="0073605B" w:rsidP="0073605B">
      <w:pPr>
        <w:pStyle w:val="bullet10"/>
      </w:pPr>
      <w:r w:rsidRPr="00143D5B">
        <w:t>Accessibility - Accessibility refers to how easily users can access population projections and explanatory information.</w:t>
      </w:r>
    </w:p>
    <w:p w14:paraId="2F75C7FD" w14:textId="3F93703D" w:rsidR="0073605B" w:rsidRDefault="0073605B" w:rsidP="0073605B">
      <w:r w:rsidRPr="0073605B">
        <w:t xml:space="preserve">The key actions that the Heads of Treasuries have agreed upon regarding the above quality principles provide guidance on the outputs and deliverables the ACT has produced as a part of </w:t>
      </w:r>
      <w:r>
        <w:t>this</w:t>
      </w:r>
      <w:r w:rsidRPr="0073605B">
        <w:t xml:space="preserve"> population project. The table below presents each principle, the agreed actions and how the current set of ACT population projections are consistent with the agreed actions.</w:t>
      </w:r>
    </w:p>
    <w:tbl>
      <w:tblPr>
        <w:tblStyle w:val="ARTableFigures"/>
        <w:tblW w:w="9440" w:type="dxa"/>
        <w:tblLook w:val="04A0" w:firstRow="1" w:lastRow="0" w:firstColumn="1" w:lastColumn="0" w:noHBand="0" w:noVBand="1"/>
      </w:tblPr>
      <w:tblGrid>
        <w:gridCol w:w="1560"/>
        <w:gridCol w:w="4677"/>
        <w:gridCol w:w="3203"/>
      </w:tblGrid>
      <w:tr w:rsidR="0073605B" w14:paraId="7A013C77" w14:textId="374F985C" w:rsidTr="00D435BA">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1560" w:type="dxa"/>
          </w:tcPr>
          <w:p w14:paraId="192306BB" w14:textId="2E4E8B5A" w:rsidR="0073605B" w:rsidRDefault="0073605B" w:rsidP="009266DD">
            <w:pPr>
              <w:pStyle w:val="TableheadingNormal"/>
            </w:pPr>
            <w:r>
              <w:t>Principle</w:t>
            </w:r>
          </w:p>
        </w:tc>
        <w:tc>
          <w:tcPr>
            <w:tcW w:w="4677" w:type="dxa"/>
          </w:tcPr>
          <w:p w14:paraId="6FC5EC34" w14:textId="326CBDA6" w:rsidR="0073605B" w:rsidRDefault="0073605B" w:rsidP="009266DD">
            <w:pPr>
              <w:pStyle w:val="TableheadingNormal"/>
              <w:cnfStyle w:val="100000000000" w:firstRow="1" w:lastRow="0" w:firstColumn="0" w:lastColumn="0" w:oddVBand="0" w:evenVBand="0" w:oddHBand="0" w:evenHBand="0" w:firstRowFirstColumn="0" w:firstRowLastColumn="0" w:lastRowFirstColumn="0" w:lastRowLastColumn="0"/>
            </w:pPr>
            <w:r>
              <w:t>Agreed Actions</w:t>
            </w:r>
          </w:p>
        </w:tc>
        <w:tc>
          <w:tcPr>
            <w:tcW w:w="3203" w:type="dxa"/>
          </w:tcPr>
          <w:p w14:paraId="1703708B" w14:textId="5E180AB7" w:rsidR="0073605B" w:rsidRDefault="0073605B" w:rsidP="009266DD">
            <w:pPr>
              <w:pStyle w:val="TableheadingNormal"/>
              <w:cnfStyle w:val="100000000000" w:firstRow="1" w:lastRow="0" w:firstColumn="0" w:lastColumn="0" w:oddVBand="0" w:evenVBand="0" w:oddHBand="0" w:evenHBand="0" w:firstRowFirstColumn="0" w:firstRowLastColumn="0" w:lastRowFirstColumn="0" w:lastRowLastColumn="0"/>
            </w:pPr>
            <w:r>
              <w:t>Is the ACT conformant?</w:t>
            </w:r>
          </w:p>
        </w:tc>
      </w:tr>
      <w:tr w:rsidR="00425B1B" w14:paraId="76B77E0D" w14:textId="7E1D087F" w:rsidTr="00D435BA">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560" w:type="dxa"/>
            <w:vAlign w:val="top"/>
          </w:tcPr>
          <w:p w14:paraId="1C79955F" w14:textId="44DF63AA" w:rsidR="00425B1B" w:rsidRDefault="00425B1B" w:rsidP="00C26CFF">
            <w:pPr>
              <w:pStyle w:val="Tabletext"/>
            </w:pPr>
            <w:r>
              <w:t>Relevance</w:t>
            </w:r>
          </w:p>
        </w:tc>
        <w:tc>
          <w:tcPr>
            <w:tcW w:w="4677" w:type="dxa"/>
            <w:vAlign w:val="top"/>
          </w:tcPr>
          <w:p w14:paraId="155B2212" w14:textId="77777777" w:rsidR="00425B1B" w:rsidRPr="00C26CFF" w:rsidRDefault="00425B1B" w:rsidP="00C26CFF">
            <w:pPr>
              <w:pStyle w:val="Tabletext"/>
              <w:cnfStyle w:val="000000100000" w:firstRow="0" w:lastRow="0" w:firstColumn="0" w:lastColumn="0" w:oddVBand="0" w:evenVBand="0" w:oddHBand="1" w:evenHBand="0" w:firstRowFirstColumn="0" w:firstRowLastColumn="0" w:lastRowFirstColumn="0" w:lastRowLastColumn="0"/>
            </w:pPr>
            <w:r w:rsidRPr="00C26CFF">
              <w:t>To improve relevance, jurisdictions should produce population projections to a common:</w:t>
            </w:r>
          </w:p>
          <w:p w14:paraId="6436C781" w14:textId="4CB0927E" w:rsidR="00425B1B" w:rsidRPr="00C26CFF" w:rsidRDefault="00425B1B" w:rsidP="00B72A20">
            <w:pPr>
              <w:pStyle w:val="Bullet1"/>
              <w:jc w:val="left"/>
              <w:cnfStyle w:val="000000100000" w:firstRow="0" w:lastRow="0" w:firstColumn="0" w:lastColumn="0" w:oddVBand="0" w:evenVBand="0" w:oddHBand="1" w:evenHBand="0" w:firstRowFirstColumn="0" w:firstRowLastColumn="0" w:lastRowFirstColumn="0" w:lastRowLastColumn="0"/>
            </w:pPr>
            <w:r w:rsidRPr="00C26CFF">
              <w:t>base population: the reference year of the latest final rebased Estimated Resident Population (</w:t>
            </w:r>
            <w:r w:rsidR="00560B7E" w:rsidRPr="00C26CFF">
              <w:t>e.g.,</w:t>
            </w:r>
            <w:r w:rsidRPr="00C26CFF">
              <w:t xml:space="preserve"> data as at June 2021 following the 2021 Census);</w:t>
            </w:r>
          </w:p>
          <w:p w14:paraId="24909E32" w14:textId="39B2EEF5" w:rsidR="00425B1B" w:rsidRPr="00C26CFF" w:rsidRDefault="00425B1B" w:rsidP="00B72A20">
            <w:pPr>
              <w:pStyle w:val="Bullet1"/>
              <w:jc w:val="left"/>
              <w:cnfStyle w:val="000000100000" w:firstRow="0" w:lastRow="0" w:firstColumn="0" w:lastColumn="0" w:oddVBand="0" w:evenVBand="0" w:oddHBand="1" w:evenHBand="0" w:firstRowFirstColumn="0" w:firstRowLastColumn="0" w:lastRowFirstColumn="0" w:lastRowLastColumn="0"/>
            </w:pPr>
            <w:r w:rsidRPr="00C26CFF">
              <w:t xml:space="preserve">geography: a minimum of state or territory, and a small area geographic level (LGA or SA3); </w:t>
            </w:r>
          </w:p>
          <w:p w14:paraId="5B11A114" w14:textId="20860FC3" w:rsidR="00425B1B" w:rsidRPr="00C26CFF" w:rsidRDefault="00425B1B" w:rsidP="00B72A20">
            <w:pPr>
              <w:pStyle w:val="Bullet1"/>
              <w:jc w:val="left"/>
              <w:cnfStyle w:val="000000100000" w:firstRow="0" w:lastRow="0" w:firstColumn="0" w:lastColumn="0" w:oddVBand="0" w:evenVBand="0" w:oddHBand="1" w:evenHBand="0" w:firstRowFirstColumn="0" w:firstRowLastColumn="0" w:lastRowFirstColumn="0" w:lastRowLastColumn="0"/>
            </w:pPr>
            <w:r w:rsidRPr="00C26CFF">
              <w:t>reference period: A minimum of 20 years; and</w:t>
            </w:r>
          </w:p>
          <w:p w14:paraId="4E5D6FF4" w14:textId="52176EC0" w:rsidR="00425B1B" w:rsidRPr="00C26CFF" w:rsidRDefault="00425B1B" w:rsidP="00B72A20">
            <w:pPr>
              <w:pStyle w:val="Bullet1"/>
              <w:jc w:val="left"/>
              <w:cnfStyle w:val="000000100000" w:firstRow="0" w:lastRow="0" w:firstColumn="0" w:lastColumn="0" w:oddVBand="0" w:evenVBand="0" w:oddHBand="1" w:evenHBand="0" w:firstRowFirstColumn="0" w:firstRowLastColumn="0" w:lastRowFirstColumn="0" w:lastRowLastColumn="0"/>
            </w:pPr>
            <w:r w:rsidRPr="00C26CFF">
              <w:t>age and sex split: a minimum of 5 year age groups by sex at the state and territory level.</w:t>
            </w:r>
          </w:p>
          <w:p w14:paraId="7F6425F7" w14:textId="719CCEDC" w:rsidR="00425B1B" w:rsidRPr="00C26CFF" w:rsidRDefault="00425B1B" w:rsidP="00C26CFF">
            <w:pPr>
              <w:pStyle w:val="Tabletext"/>
              <w:cnfStyle w:val="000000100000" w:firstRow="0" w:lastRow="0" w:firstColumn="0" w:lastColumn="0" w:oddVBand="0" w:evenVBand="0" w:oddHBand="1" w:evenHBand="0" w:firstRowFirstColumn="0" w:firstRowLastColumn="0" w:lastRowFirstColumn="0" w:lastRowLastColumn="0"/>
            </w:pPr>
            <w:r w:rsidRPr="00C26CFF">
              <w:t xml:space="preserve">In addition, projections should be accompanied by a description of relevant assumptions made for the state and territory level and a summary of </w:t>
            </w:r>
            <w:r w:rsidRPr="00C26CFF">
              <w:lastRenderedPageBreak/>
              <w:t>assumptions and/or explanatory information about the assumption approach for lower geographies.</w:t>
            </w:r>
          </w:p>
        </w:tc>
        <w:tc>
          <w:tcPr>
            <w:tcW w:w="3203" w:type="dxa"/>
            <w:vAlign w:val="top"/>
          </w:tcPr>
          <w:p w14:paraId="0F50DCFC" w14:textId="6C27B7A2" w:rsidR="00425B1B" w:rsidRPr="00C26CFF" w:rsidRDefault="00425B1B" w:rsidP="00C26CFF">
            <w:pPr>
              <w:pStyle w:val="Tabletext"/>
              <w:cnfStyle w:val="000000100000" w:firstRow="0" w:lastRow="0" w:firstColumn="0" w:lastColumn="0" w:oddVBand="0" w:evenVBand="0" w:oddHBand="1" w:evenHBand="0" w:firstRowFirstColumn="0" w:firstRowLastColumn="0" w:lastRowFirstColumn="0" w:lastRowLastColumn="0"/>
            </w:pPr>
            <w:r w:rsidRPr="00C26CFF">
              <w:lastRenderedPageBreak/>
              <w:t>Yes.</w:t>
            </w:r>
          </w:p>
          <w:p w14:paraId="2C3A6DBD" w14:textId="71BE18D7" w:rsidR="00425B1B" w:rsidRPr="00C26CFF" w:rsidRDefault="00425B1B" w:rsidP="00425B1B">
            <w:pPr>
              <w:pStyle w:val="Bullet1"/>
              <w:numPr>
                <w:ilvl w:val="0"/>
                <w:numId w:val="44"/>
              </w:numPr>
              <w:jc w:val="left"/>
              <w:cnfStyle w:val="000000100000" w:firstRow="0" w:lastRow="0" w:firstColumn="0" w:lastColumn="0" w:oddVBand="0" w:evenVBand="0" w:oddHBand="1" w:evenHBand="0" w:firstRowFirstColumn="0" w:firstRowLastColumn="0" w:lastRowFirstColumn="0" w:lastRowLastColumn="0"/>
            </w:pPr>
            <w:r w:rsidRPr="00C26CFF">
              <w:t>Base population used is 30 June 202</w:t>
            </w:r>
            <w:r w:rsidR="00955EA1" w:rsidRPr="00C26CFF">
              <w:t>1</w:t>
            </w:r>
            <w:r w:rsidRPr="00C26CFF">
              <w:t xml:space="preserve"> Estimated Resident Population based on the ABS’ </w:t>
            </w:r>
            <w:r w:rsidRPr="00C26CFF">
              <w:rPr>
                <w:i/>
                <w:iCs/>
              </w:rPr>
              <w:t>Regional Population</w:t>
            </w:r>
            <w:r w:rsidR="00955EA1" w:rsidRPr="00C26CFF">
              <w:rPr>
                <w:i/>
                <w:iCs/>
              </w:rPr>
              <w:t xml:space="preserve"> by age and sex</w:t>
            </w:r>
            <w:r w:rsidRPr="00C26CFF">
              <w:t xml:space="preserve"> </w:t>
            </w:r>
            <w:r w:rsidR="00955EA1" w:rsidRPr="00C26CFF">
              <w:t>r</w:t>
            </w:r>
            <w:r w:rsidRPr="00C26CFF">
              <w:t>elease</w:t>
            </w:r>
            <w:r w:rsidR="00955EA1" w:rsidRPr="00C26CFF">
              <w:t>d</w:t>
            </w:r>
            <w:r w:rsidRPr="00C26CFF">
              <w:t xml:space="preserve"> on 3</w:t>
            </w:r>
            <w:r w:rsidR="00955EA1" w:rsidRPr="00C26CFF">
              <w:t>0</w:t>
            </w:r>
            <w:r w:rsidRPr="00C26CFF">
              <w:t xml:space="preserve"> </w:t>
            </w:r>
            <w:r w:rsidR="00955EA1" w:rsidRPr="00C26CFF">
              <w:t xml:space="preserve">August </w:t>
            </w:r>
            <w:r w:rsidRPr="00C26CFF">
              <w:t>202</w:t>
            </w:r>
            <w:r w:rsidR="00955EA1" w:rsidRPr="00C26CFF">
              <w:t>2</w:t>
            </w:r>
            <w:r w:rsidRPr="00C26CFF">
              <w:t>.</w:t>
            </w:r>
          </w:p>
          <w:p w14:paraId="5890BC5B" w14:textId="77777777" w:rsidR="00425B1B" w:rsidRPr="00C26CFF" w:rsidRDefault="00425B1B" w:rsidP="00425B1B">
            <w:pPr>
              <w:pStyle w:val="Bullet1"/>
              <w:numPr>
                <w:ilvl w:val="0"/>
                <w:numId w:val="44"/>
              </w:numPr>
              <w:jc w:val="left"/>
              <w:cnfStyle w:val="000000100000" w:firstRow="0" w:lastRow="0" w:firstColumn="0" w:lastColumn="0" w:oddVBand="0" w:evenVBand="0" w:oddHBand="1" w:evenHBand="0" w:firstRowFirstColumn="0" w:firstRowLastColumn="0" w:lastRowFirstColumn="0" w:lastRowLastColumn="0"/>
            </w:pPr>
            <w:r w:rsidRPr="00C26CFF">
              <w:t>The population projections are at the SA3 and SA2 levels.</w:t>
            </w:r>
          </w:p>
          <w:p w14:paraId="4396E0F3" w14:textId="1C0228A3" w:rsidR="00425B1B" w:rsidRPr="00C26CFF" w:rsidRDefault="00425B1B" w:rsidP="00425B1B">
            <w:pPr>
              <w:pStyle w:val="Bullet1"/>
              <w:numPr>
                <w:ilvl w:val="0"/>
                <w:numId w:val="44"/>
              </w:numPr>
              <w:jc w:val="left"/>
              <w:cnfStyle w:val="000000100000" w:firstRow="0" w:lastRow="0" w:firstColumn="0" w:lastColumn="0" w:oddVBand="0" w:evenVBand="0" w:oddHBand="1" w:evenHBand="0" w:firstRowFirstColumn="0" w:firstRowLastColumn="0" w:lastRowFirstColumn="0" w:lastRowLastColumn="0"/>
            </w:pPr>
            <w:r w:rsidRPr="00C26CFF">
              <w:t xml:space="preserve">Reference period is </w:t>
            </w:r>
            <w:r w:rsidR="00955EA1" w:rsidRPr="00C26CFF">
              <w:t xml:space="preserve">39 </w:t>
            </w:r>
            <w:r w:rsidRPr="00C26CFF">
              <w:t>years (until 30 June 2060) for SA3 data.</w:t>
            </w:r>
          </w:p>
          <w:p w14:paraId="0E40A7B7" w14:textId="2AFB6F58" w:rsidR="00425B1B" w:rsidRPr="00C26CFF" w:rsidRDefault="00425B1B" w:rsidP="00425B1B">
            <w:pPr>
              <w:pStyle w:val="Bullet1"/>
              <w:numPr>
                <w:ilvl w:val="0"/>
                <w:numId w:val="44"/>
              </w:numPr>
              <w:jc w:val="left"/>
              <w:cnfStyle w:val="000000100000" w:firstRow="0" w:lastRow="0" w:firstColumn="0" w:lastColumn="0" w:oddVBand="0" w:evenVBand="0" w:oddHBand="1" w:evenHBand="0" w:firstRowFirstColumn="0" w:firstRowLastColumn="0" w:lastRowFirstColumn="0" w:lastRowLastColumn="0"/>
            </w:pPr>
            <w:r w:rsidRPr="00C26CFF">
              <w:t xml:space="preserve">All SA3 and SA2 populations have been disaggregated into single year age and </w:t>
            </w:r>
            <w:r w:rsidR="00945BA6" w:rsidRPr="00C26CFF">
              <w:t>sex</w:t>
            </w:r>
            <w:r w:rsidRPr="00C26CFF">
              <w:t>.</w:t>
            </w:r>
          </w:p>
          <w:p w14:paraId="616EDE5C" w14:textId="77777777" w:rsidR="00425B1B" w:rsidRPr="00C26CFF" w:rsidRDefault="00425B1B" w:rsidP="00C26CFF">
            <w:pPr>
              <w:pStyle w:val="Tabletext"/>
              <w:cnfStyle w:val="000000100000" w:firstRow="0" w:lastRow="0" w:firstColumn="0" w:lastColumn="0" w:oddVBand="0" w:evenVBand="0" w:oddHBand="1" w:evenHBand="0" w:firstRowFirstColumn="0" w:firstRowLastColumn="0" w:lastRowFirstColumn="0" w:lastRowLastColumn="0"/>
            </w:pPr>
            <w:r w:rsidRPr="00C26CFF">
              <w:lastRenderedPageBreak/>
              <w:t>Refer assumptions section for details on assumptions considered for the current set of population projections.</w:t>
            </w:r>
          </w:p>
          <w:p w14:paraId="4011675F" w14:textId="0B63A8EB" w:rsidR="00425B1B" w:rsidRPr="00C26CFF" w:rsidRDefault="00425B1B" w:rsidP="00C26CFF">
            <w:pPr>
              <w:pStyle w:val="Tabletext"/>
              <w:cnfStyle w:val="000000100000" w:firstRow="0" w:lastRow="0" w:firstColumn="0" w:lastColumn="0" w:oddVBand="0" w:evenVBand="0" w:oddHBand="1" w:evenHBand="0" w:firstRowFirstColumn="0" w:firstRowLastColumn="0" w:lastRowFirstColumn="0" w:lastRowLastColumn="0"/>
            </w:pPr>
          </w:p>
        </w:tc>
      </w:tr>
      <w:tr w:rsidR="00425B1B" w14:paraId="625ACE97" w14:textId="1FA36DC1" w:rsidTr="00D435B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60" w:type="dxa"/>
            <w:vAlign w:val="top"/>
          </w:tcPr>
          <w:p w14:paraId="786BB10E" w14:textId="307E4A18" w:rsidR="00425B1B" w:rsidRDefault="00425B1B" w:rsidP="00C26CFF">
            <w:pPr>
              <w:pStyle w:val="Tabletext"/>
            </w:pPr>
            <w:r>
              <w:lastRenderedPageBreak/>
              <w:t>Timeliness</w:t>
            </w:r>
          </w:p>
        </w:tc>
        <w:tc>
          <w:tcPr>
            <w:tcW w:w="4677" w:type="dxa"/>
            <w:vAlign w:val="top"/>
          </w:tcPr>
          <w:p w14:paraId="775E183B" w14:textId="77777777" w:rsidR="00425B1B" w:rsidRPr="00C26CFF" w:rsidRDefault="00425B1B"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C26CFF">
              <w:rPr>
                <w:b/>
                <w:bCs/>
              </w:rPr>
              <w:t>To improve timeliness, jurisdictions should produce and release projections:</w:t>
            </w:r>
          </w:p>
          <w:p w14:paraId="6FD475C8" w14:textId="77777777" w:rsidR="00425B1B" w:rsidRDefault="00425B1B" w:rsidP="00425B1B">
            <w:pPr>
              <w:pStyle w:val="Bullet1"/>
              <w:numPr>
                <w:ilvl w:val="0"/>
                <w:numId w:val="39"/>
              </w:numPr>
              <w:jc w:val="left"/>
              <w:cnfStyle w:val="000000010000" w:firstRow="0" w:lastRow="0" w:firstColumn="0" w:lastColumn="0" w:oddVBand="0" w:evenVBand="0" w:oddHBand="0" w:evenHBand="1" w:firstRowFirstColumn="0" w:firstRowLastColumn="0" w:lastRowFirstColumn="0" w:lastRowLastColumn="0"/>
            </w:pPr>
            <w:r>
              <w:t>at a minimum frequency standard of once per Census cycle;</w:t>
            </w:r>
          </w:p>
          <w:p w14:paraId="44B77EA7" w14:textId="6532E079" w:rsidR="00425B1B" w:rsidRDefault="00425B1B" w:rsidP="00425B1B">
            <w:pPr>
              <w:pStyle w:val="Bullet1"/>
              <w:numPr>
                <w:ilvl w:val="0"/>
                <w:numId w:val="39"/>
              </w:numPr>
              <w:jc w:val="left"/>
              <w:cnfStyle w:val="000000010000" w:firstRow="0" w:lastRow="0" w:firstColumn="0" w:lastColumn="0" w:oddVBand="0" w:evenVBand="0" w:oddHBand="0" w:evenHBand="1" w:firstRowFirstColumn="0" w:firstRowLastColumn="0" w:lastRowFirstColumn="0" w:lastRowLastColumn="0"/>
            </w:pPr>
            <w:r>
              <w:t>within two years of the release of preliminary rebased ERP; and</w:t>
            </w:r>
          </w:p>
          <w:p w14:paraId="4E82B664" w14:textId="77777777" w:rsidR="00425B1B" w:rsidRDefault="00425B1B" w:rsidP="00425B1B">
            <w:pPr>
              <w:pStyle w:val="Bullet1"/>
              <w:numPr>
                <w:ilvl w:val="0"/>
                <w:numId w:val="39"/>
              </w:numPr>
              <w:jc w:val="left"/>
              <w:cnfStyle w:val="000000010000" w:firstRow="0" w:lastRow="0" w:firstColumn="0" w:lastColumn="0" w:oddVBand="0" w:evenVBand="0" w:oddHBand="0" w:evenHBand="1" w:firstRowFirstColumn="0" w:firstRowLastColumn="0" w:lastRowFirstColumn="0" w:lastRowLastColumn="0"/>
            </w:pPr>
            <w:r>
              <w:t>according to a published release schedule.</w:t>
            </w:r>
          </w:p>
          <w:p w14:paraId="56745B7F" w14:textId="079BFF7C" w:rsidR="00425B1B" w:rsidRPr="00C26CFF" w:rsidRDefault="00425B1B" w:rsidP="00C26CFF">
            <w:pPr>
              <w:pStyle w:val="Tabletext"/>
              <w:cnfStyle w:val="000000010000" w:firstRow="0" w:lastRow="0" w:firstColumn="0" w:lastColumn="0" w:oddVBand="0" w:evenVBand="0" w:oddHBand="0" w:evenHBand="1" w:firstRowFirstColumn="0" w:firstRowLastColumn="0" w:lastRowFirstColumn="0" w:lastRowLastColumn="0"/>
            </w:pPr>
            <w:r w:rsidRPr="00C26CFF">
              <w:t>Consistent with the above, jurisdictions are free to determine the timing of their projection releases, and the content of their release schedules, so long as the timing and schedules are transparent to the public.</w:t>
            </w:r>
          </w:p>
        </w:tc>
        <w:tc>
          <w:tcPr>
            <w:tcW w:w="3203" w:type="dxa"/>
            <w:vAlign w:val="top"/>
          </w:tcPr>
          <w:p w14:paraId="7555692D" w14:textId="0821C0BB" w:rsidR="00425B1B" w:rsidRPr="00C26CFF" w:rsidRDefault="00425B1B"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C26CFF">
              <w:rPr>
                <w:b/>
                <w:bCs/>
              </w:rPr>
              <w:t>Yes.</w:t>
            </w:r>
          </w:p>
          <w:p w14:paraId="11EB8B3F" w14:textId="77777777" w:rsidR="00425B1B" w:rsidRDefault="00425B1B" w:rsidP="00C26CFF">
            <w:pPr>
              <w:pStyle w:val="Tabletext"/>
              <w:cnfStyle w:val="000000010000" w:firstRow="0" w:lastRow="0" w:firstColumn="0" w:lastColumn="0" w:oddVBand="0" w:evenVBand="0" w:oddHBand="0" w:evenHBand="1" w:firstRowFirstColumn="0" w:firstRowLastColumn="0" w:lastRowFirstColumn="0" w:lastRowLastColumn="0"/>
            </w:pPr>
          </w:p>
          <w:p w14:paraId="68B0E9EB" w14:textId="3962C3EC" w:rsidR="00425B1B" w:rsidRDefault="00425B1B" w:rsidP="00D435BA">
            <w:pPr>
              <w:pStyle w:val="Bullet1"/>
              <w:numPr>
                <w:ilvl w:val="0"/>
                <w:numId w:val="45"/>
              </w:numPr>
              <w:jc w:val="left"/>
              <w:cnfStyle w:val="000000010000" w:firstRow="0" w:lastRow="0" w:firstColumn="0" w:lastColumn="0" w:oddVBand="0" w:evenVBand="0" w:oddHBand="0" w:evenHBand="1" w:firstRowFirstColumn="0" w:firstRowLastColumn="0" w:lastRowFirstColumn="0" w:lastRowLastColumn="0"/>
            </w:pPr>
            <w:r>
              <w:t xml:space="preserve">This is the </w:t>
            </w:r>
            <w:r w:rsidR="00955EA1">
              <w:t xml:space="preserve">first </w:t>
            </w:r>
            <w:r>
              <w:t>ACT release of population projections at a small area geographic level post Census</w:t>
            </w:r>
            <w:r w:rsidR="00955EA1">
              <w:t xml:space="preserve"> 2021</w:t>
            </w:r>
            <w:r>
              <w:t>.</w:t>
            </w:r>
          </w:p>
          <w:p w14:paraId="48E70941" w14:textId="31EFBD0D" w:rsidR="00425B1B" w:rsidRDefault="00425B1B" w:rsidP="00D435BA">
            <w:pPr>
              <w:pStyle w:val="Bullet1"/>
              <w:numPr>
                <w:ilvl w:val="0"/>
                <w:numId w:val="45"/>
              </w:numPr>
              <w:jc w:val="left"/>
              <w:cnfStyle w:val="000000010000" w:firstRow="0" w:lastRow="0" w:firstColumn="0" w:lastColumn="0" w:oddVBand="0" w:evenVBand="0" w:oddHBand="0" w:evenHBand="1" w:firstRowFirstColumn="0" w:firstRowLastColumn="0" w:lastRowFirstColumn="0" w:lastRowLastColumn="0"/>
            </w:pPr>
            <w:r>
              <w:t xml:space="preserve">The timing of the next release will be determined after </w:t>
            </w:r>
            <w:r w:rsidR="00955EA1">
              <w:t>liaising with the ABS</w:t>
            </w:r>
            <w:r w:rsidR="00A63A07">
              <w:t xml:space="preserve"> on availability of further data,</w:t>
            </w:r>
          </w:p>
        </w:tc>
      </w:tr>
      <w:tr w:rsidR="00425B1B" w14:paraId="59795223" w14:textId="7CECF940" w:rsidTr="00D435B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60" w:type="dxa"/>
            <w:vAlign w:val="top"/>
          </w:tcPr>
          <w:p w14:paraId="50B457BD" w14:textId="66AEB574" w:rsidR="00425B1B" w:rsidRDefault="00425B1B" w:rsidP="00C26CFF">
            <w:pPr>
              <w:pStyle w:val="Tabletext"/>
            </w:pPr>
            <w:r>
              <w:t>Accuracy</w:t>
            </w:r>
          </w:p>
        </w:tc>
        <w:tc>
          <w:tcPr>
            <w:tcW w:w="4677" w:type="dxa"/>
            <w:vAlign w:val="top"/>
          </w:tcPr>
          <w:p w14:paraId="01287721" w14:textId="77777777" w:rsidR="00425B1B" w:rsidRPr="00C26CFF" w:rsidRDefault="00425B1B"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C26CFF">
              <w:rPr>
                <w:b/>
                <w:bCs/>
              </w:rPr>
              <w:t>To improve accuracy of projections and their analysis, jurisdictions should produce projections:</w:t>
            </w:r>
          </w:p>
          <w:p w14:paraId="086EE710" w14:textId="77777777" w:rsidR="00425B1B" w:rsidRDefault="00425B1B" w:rsidP="00425B1B">
            <w:pPr>
              <w:pStyle w:val="Bullet1"/>
              <w:numPr>
                <w:ilvl w:val="0"/>
                <w:numId w:val="40"/>
              </w:numPr>
              <w:jc w:val="left"/>
              <w:cnfStyle w:val="000000100000" w:firstRow="0" w:lastRow="0" w:firstColumn="0" w:lastColumn="0" w:oddVBand="0" w:evenVBand="0" w:oddHBand="1" w:evenHBand="0" w:firstRowFirstColumn="0" w:firstRowLastColumn="0" w:lastRowFirstColumn="0" w:lastRowLastColumn="0"/>
            </w:pPr>
            <w:r>
              <w:t>with accompanying explanation of the uncertainty associated with projection methodology and assumptions; and</w:t>
            </w:r>
          </w:p>
          <w:p w14:paraId="3196C22E" w14:textId="21A2FB86" w:rsidR="00425B1B" w:rsidRDefault="00425B1B" w:rsidP="00425B1B">
            <w:pPr>
              <w:pStyle w:val="Bullet1"/>
              <w:numPr>
                <w:ilvl w:val="0"/>
                <w:numId w:val="40"/>
              </w:numPr>
              <w:jc w:val="left"/>
              <w:cnfStyle w:val="000000100000" w:firstRow="0" w:lastRow="0" w:firstColumn="0" w:lastColumn="0" w:oddVBand="0" w:evenVBand="0" w:oddHBand="1" w:evenHBand="0" w:firstRowFirstColumn="0" w:firstRowLastColumn="0" w:lastRowFirstColumn="0" w:lastRowLastColumn="0"/>
            </w:pPr>
            <w:r>
              <w:t>with scenario analysis, using different assumptions (such as high or low migration, fertility, and mortality).</w:t>
            </w:r>
          </w:p>
        </w:tc>
        <w:tc>
          <w:tcPr>
            <w:tcW w:w="3203" w:type="dxa"/>
            <w:vAlign w:val="top"/>
          </w:tcPr>
          <w:p w14:paraId="454A784A" w14:textId="77777777" w:rsidR="00425B1B" w:rsidRPr="00C26CFF" w:rsidRDefault="00425B1B" w:rsidP="00C26CFF">
            <w:pPr>
              <w:pStyle w:val="Tabletext"/>
              <w:cnfStyle w:val="000000100000" w:firstRow="0" w:lastRow="0" w:firstColumn="0" w:lastColumn="0" w:oddVBand="0" w:evenVBand="0" w:oddHBand="1" w:evenHBand="0" w:firstRowFirstColumn="0" w:firstRowLastColumn="0" w:lastRowFirstColumn="0" w:lastRowLastColumn="0"/>
              <w:rPr>
                <w:b/>
                <w:bCs/>
              </w:rPr>
            </w:pPr>
            <w:r w:rsidRPr="00C26CFF">
              <w:rPr>
                <w:b/>
                <w:bCs/>
              </w:rPr>
              <w:t>Yes.</w:t>
            </w:r>
          </w:p>
          <w:p w14:paraId="7FA4345A" w14:textId="75702F0E" w:rsidR="00425B1B" w:rsidRDefault="001E238E" w:rsidP="00D435BA">
            <w:pPr>
              <w:pStyle w:val="Bullet1"/>
              <w:numPr>
                <w:ilvl w:val="0"/>
                <w:numId w:val="46"/>
              </w:numPr>
              <w:jc w:val="left"/>
              <w:cnfStyle w:val="000000100000" w:firstRow="0" w:lastRow="0" w:firstColumn="0" w:lastColumn="0" w:oddVBand="0" w:evenVBand="0" w:oddHBand="1" w:evenHBand="0" w:firstRowFirstColumn="0" w:firstRowLastColumn="0" w:lastRowFirstColumn="0" w:lastRowLastColumn="0"/>
            </w:pPr>
            <w:r>
              <w:t xml:space="preserve">&amp; (b) </w:t>
            </w:r>
            <w:r w:rsidR="00425B1B">
              <w:t xml:space="preserve">Refer section on </w:t>
            </w:r>
            <w:r w:rsidR="00D435BA" w:rsidRPr="00D435BA">
              <w:rPr>
                <w:i/>
                <w:iCs/>
              </w:rPr>
              <w:t xml:space="preserve">Limitations and </w:t>
            </w:r>
            <w:r w:rsidR="00425B1B" w:rsidRPr="00D435BA">
              <w:rPr>
                <w:i/>
                <w:iCs/>
              </w:rPr>
              <w:t>Uncertainty</w:t>
            </w:r>
            <w:r w:rsidR="00425B1B">
              <w:t xml:space="preserve"> in th</w:t>
            </w:r>
            <w:r w:rsidR="00D435BA">
              <w:t>is</w:t>
            </w:r>
            <w:r w:rsidR="00425B1B">
              <w:t xml:space="preserve"> publication.</w:t>
            </w:r>
          </w:p>
        </w:tc>
      </w:tr>
      <w:tr w:rsidR="00425B1B" w14:paraId="0EFBD930" w14:textId="1DFAABF5" w:rsidTr="00D435B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60" w:type="dxa"/>
            <w:vAlign w:val="top"/>
          </w:tcPr>
          <w:p w14:paraId="1E50E2DB" w14:textId="6A092EAB" w:rsidR="00425B1B" w:rsidRPr="00B83F53" w:rsidRDefault="00425B1B" w:rsidP="00C26CFF">
            <w:pPr>
              <w:pStyle w:val="Tabletext"/>
            </w:pPr>
            <w:r>
              <w:t>Interpretability</w:t>
            </w:r>
          </w:p>
        </w:tc>
        <w:tc>
          <w:tcPr>
            <w:tcW w:w="4677" w:type="dxa"/>
            <w:vAlign w:val="top"/>
          </w:tcPr>
          <w:p w14:paraId="59BE63EA" w14:textId="77777777" w:rsidR="00425B1B" w:rsidRPr="00C26CFF" w:rsidRDefault="00425B1B"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C26CFF">
              <w:rPr>
                <w:b/>
                <w:bCs/>
              </w:rPr>
              <w:t>To improve interpretability, jurisdictions should provide accompanying documentation with releases that:</w:t>
            </w:r>
          </w:p>
          <w:p w14:paraId="780BF789" w14:textId="77777777" w:rsidR="00425B1B" w:rsidRDefault="00425B1B" w:rsidP="00425B1B">
            <w:pPr>
              <w:pStyle w:val="Bullet1"/>
              <w:numPr>
                <w:ilvl w:val="0"/>
                <w:numId w:val="41"/>
              </w:numPr>
              <w:jc w:val="left"/>
              <w:cnfStyle w:val="000000010000" w:firstRow="0" w:lastRow="0" w:firstColumn="0" w:lastColumn="0" w:oddVBand="0" w:evenVBand="0" w:oddHBand="0" w:evenHBand="1" w:firstRowFirstColumn="0" w:firstRowLastColumn="0" w:lastRowFirstColumn="0" w:lastRowLastColumn="0"/>
            </w:pPr>
            <w:r>
              <w:t>address these quality principles in the release; and</w:t>
            </w:r>
          </w:p>
          <w:p w14:paraId="201BB2BE" w14:textId="7E243E19" w:rsidR="00425B1B" w:rsidRPr="00B83F53" w:rsidRDefault="00425B1B" w:rsidP="00425B1B">
            <w:pPr>
              <w:pStyle w:val="Bullet1"/>
              <w:numPr>
                <w:ilvl w:val="0"/>
                <w:numId w:val="41"/>
              </w:numPr>
              <w:jc w:val="left"/>
              <w:cnfStyle w:val="000000010000" w:firstRow="0" w:lastRow="0" w:firstColumn="0" w:lastColumn="0" w:oddVBand="0" w:evenVBand="0" w:oddHBand="0" w:evenHBand="1" w:firstRowFirstColumn="0" w:firstRowLastColumn="0" w:lastRowFirstColumn="0" w:lastRowLastColumn="0"/>
            </w:pPr>
            <w:r w:rsidRPr="00143D5B">
              <w:t>are made available in Excel and / or CSV formats.</w:t>
            </w:r>
          </w:p>
        </w:tc>
        <w:tc>
          <w:tcPr>
            <w:tcW w:w="3203" w:type="dxa"/>
            <w:vAlign w:val="top"/>
          </w:tcPr>
          <w:p w14:paraId="67D3522C" w14:textId="103EC64E" w:rsidR="00425B1B" w:rsidRPr="00C26CFF" w:rsidRDefault="00425B1B" w:rsidP="00C26CFF">
            <w:pPr>
              <w:pStyle w:val="Tabletext"/>
              <w:cnfStyle w:val="000000010000" w:firstRow="0" w:lastRow="0" w:firstColumn="0" w:lastColumn="0" w:oddVBand="0" w:evenVBand="0" w:oddHBand="0" w:evenHBand="1" w:firstRowFirstColumn="0" w:firstRowLastColumn="0" w:lastRowFirstColumn="0" w:lastRowLastColumn="0"/>
              <w:rPr>
                <w:b/>
                <w:bCs/>
              </w:rPr>
            </w:pPr>
            <w:r w:rsidRPr="00C26CFF">
              <w:rPr>
                <w:b/>
                <w:bCs/>
              </w:rPr>
              <w:t>Yes.</w:t>
            </w:r>
          </w:p>
          <w:p w14:paraId="534A4A18" w14:textId="77777777" w:rsidR="00D435BA" w:rsidRDefault="00D435BA" w:rsidP="00C26CFF">
            <w:pPr>
              <w:pStyle w:val="Tabletext"/>
              <w:cnfStyle w:val="000000010000" w:firstRow="0" w:lastRow="0" w:firstColumn="0" w:lastColumn="0" w:oddVBand="0" w:evenVBand="0" w:oddHBand="0" w:evenHBand="1" w:firstRowFirstColumn="0" w:firstRowLastColumn="0" w:lastRowFirstColumn="0" w:lastRowLastColumn="0"/>
            </w:pPr>
          </w:p>
          <w:p w14:paraId="274F3E1E" w14:textId="6E42480F" w:rsidR="00D435BA" w:rsidRDefault="00D435BA" w:rsidP="00D435BA">
            <w:pPr>
              <w:pStyle w:val="Bullet1"/>
              <w:numPr>
                <w:ilvl w:val="0"/>
                <w:numId w:val="47"/>
              </w:numPr>
              <w:jc w:val="left"/>
              <w:cnfStyle w:val="000000010000" w:firstRow="0" w:lastRow="0" w:firstColumn="0" w:lastColumn="0" w:oddVBand="0" w:evenVBand="0" w:oddHBand="0" w:evenHBand="1" w:firstRowFirstColumn="0" w:firstRowLastColumn="0" w:lastRowFirstColumn="0" w:lastRowLastColumn="0"/>
            </w:pPr>
            <w:r>
              <w:t>This section addresses the quality principles.</w:t>
            </w:r>
          </w:p>
          <w:p w14:paraId="61A4EBED" w14:textId="67C262A5" w:rsidR="00425B1B" w:rsidRPr="00B83F53" w:rsidRDefault="00425B1B" w:rsidP="00D435BA">
            <w:pPr>
              <w:pStyle w:val="Bullet1"/>
              <w:numPr>
                <w:ilvl w:val="0"/>
                <w:numId w:val="47"/>
              </w:numPr>
              <w:jc w:val="left"/>
              <w:cnfStyle w:val="000000010000" w:firstRow="0" w:lastRow="0" w:firstColumn="0" w:lastColumn="0" w:oddVBand="0" w:evenVBand="0" w:oddHBand="0" w:evenHBand="1" w:firstRowFirstColumn="0" w:firstRowLastColumn="0" w:lastRowFirstColumn="0" w:lastRowLastColumn="0"/>
            </w:pPr>
            <w:r>
              <w:t xml:space="preserve">Population at the SA3 and SA2 geography levels are available in Excel format </w:t>
            </w:r>
            <w:r w:rsidR="00D435BA">
              <w:t>o</w:t>
            </w:r>
            <w:r>
              <w:t xml:space="preserve">n </w:t>
            </w:r>
            <w:r w:rsidR="00D435BA">
              <w:t xml:space="preserve">the </w:t>
            </w:r>
            <w:r>
              <w:t>ACT Treasury website.</w:t>
            </w:r>
          </w:p>
        </w:tc>
      </w:tr>
      <w:tr w:rsidR="00425B1B" w14:paraId="7DC1087C" w14:textId="00FDA3F0" w:rsidTr="004E7AD4">
        <w:trPr>
          <w:cnfStyle w:val="000000100000" w:firstRow="0" w:lastRow="0" w:firstColumn="0" w:lastColumn="0" w:oddVBand="0" w:evenVBand="0" w:oddHBand="1" w:evenHBand="0" w:firstRowFirstColumn="0" w:firstRowLastColumn="0" w:lastRowFirstColumn="0" w:lastRowLastColumn="0"/>
          <w:trHeight w:val="2585"/>
        </w:trPr>
        <w:tc>
          <w:tcPr>
            <w:cnfStyle w:val="001000000000" w:firstRow="0" w:lastRow="0" w:firstColumn="1" w:lastColumn="0" w:oddVBand="0" w:evenVBand="0" w:oddHBand="0" w:evenHBand="0" w:firstRowFirstColumn="0" w:firstRowLastColumn="0" w:lastRowFirstColumn="0" w:lastRowLastColumn="0"/>
            <w:tcW w:w="1560" w:type="dxa"/>
            <w:vAlign w:val="top"/>
          </w:tcPr>
          <w:p w14:paraId="6EC7C41A" w14:textId="68DFCA91" w:rsidR="00425B1B" w:rsidRPr="00B83F53" w:rsidRDefault="00425B1B" w:rsidP="00C26CFF">
            <w:pPr>
              <w:pStyle w:val="Tabletext"/>
            </w:pPr>
            <w:r>
              <w:lastRenderedPageBreak/>
              <w:t>Accessibility</w:t>
            </w:r>
          </w:p>
        </w:tc>
        <w:tc>
          <w:tcPr>
            <w:tcW w:w="4677" w:type="dxa"/>
            <w:vAlign w:val="top"/>
          </w:tcPr>
          <w:p w14:paraId="7AAAD44C" w14:textId="77777777" w:rsidR="00425B1B" w:rsidRDefault="00425B1B" w:rsidP="00C26CFF">
            <w:pPr>
              <w:pStyle w:val="Tabletext"/>
              <w:cnfStyle w:val="000000100000" w:firstRow="0" w:lastRow="0" w:firstColumn="0" w:lastColumn="0" w:oddVBand="0" w:evenVBand="0" w:oddHBand="1" w:evenHBand="0" w:firstRowFirstColumn="0" w:firstRowLastColumn="0" w:lastRowFirstColumn="0" w:lastRowLastColumn="0"/>
            </w:pPr>
            <w:r>
              <w:t>To improve accessibility, jurisdictions should:</w:t>
            </w:r>
          </w:p>
          <w:p w14:paraId="069F68F0" w14:textId="77777777" w:rsidR="00425B1B" w:rsidRDefault="00425B1B" w:rsidP="00425B1B">
            <w:pPr>
              <w:pStyle w:val="Bullet1"/>
              <w:numPr>
                <w:ilvl w:val="0"/>
                <w:numId w:val="42"/>
              </w:numPr>
              <w:jc w:val="left"/>
              <w:cnfStyle w:val="000000100000" w:firstRow="0" w:lastRow="0" w:firstColumn="0" w:lastColumn="0" w:oddVBand="0" w:evenVBand="0" w:oddHBand="1" w:evenHBand="0" w:firstRowFirstColumn="0" w:firstRowLastColumn="0" w:lastRowFirstColumn="0" w:lastRowLastColumn="0"/>
            </w:pPr>
            <w:r>
              <w:t xml:space="preserve">make projections publicly available in </w:t>
            </w:r>
            <w:r w:rsidRPr="00143D5B">
              <w:t>an easy to find location</w:t>
            </w:r>
            <w:r>
              <w:t>; and</w:t>
            </w:r>
          </w:p>
          <w:p w14:paraId="2C898672" w14:textId="77777777" w:rsidR="00425B1B" w:rsidRDefault="00425B1B" w:rsidP="00425B1B">
            <w:pPr>
              <w:pStyle w:val="Bullet1"/>
              <w:numPr>
                <w:ilvl w:val="0"/>
                <w:numId w:val="42"/>
              </w:numPr>
              <w:jc w:val="left"/>
              <w:cnfStyle w:val="000000100000" w:firstRow="0" w:lastRow="0" w:firstColumn="0" w:lastColumn="0" w:oddVBand="0" w:evenVBand="0" w:oddHBand="1" w:evenHBand="0" w:firstRowFirstColumn="0" w:firstRowLastColumn="0" w:lastRowFirstColumn="0" w:lastRowLastColumn="0"/>
            </w:pPr>
            <w:r>
              <w:t>provide access to underlying data and projection components for the state and territory level, and lower geographies where possible.</w:t>
            </w:r>
          </w:p>
          <w:p w14:paraId="00BB0618" w14:textId="009B6D9C" w:rsidR="004E7AD4" w:rsidRPr="00B83F53" w:rsidRDefault="004E7AD4" w:rsidP="00C26CFF">
            <w:pPr>
              <w:pStyle w:val="Tabletext"/>
              <w:cnfStyle w:val="000000100000" w:firstRow="0" w:lastRow="0" w:firstColumn="0" w:lastColumn="0" w:oddVBand="0" w:evenVBand="0" w:oddHBand="1" w:evenHBand="0" w:firstRowFirstColumn="0" w:firstRowLastColumn="0" w:lastRowFirstColumn="0" w:lastRowLastColumn="0"/>
            </w:pPr>
          </w:p>
        </w:tc>
        <w:tc>
          <w:tcPr>
            <w:tcW w:w="3203" w:type="dxa"/>
            <w:vAlign w:val="top"/>
          </w:tcPr>
          <w:p w14:paraId="10209E26" w14:textId="77777777" w:rsidR="00425B1B" w:rsidRDefault="00425B1B" w:rsidP="00C26CFF">
            <w:pPr>
              <w:pStyle w:val="Tabletext"/>
              <w:cnfStyle w:val="000000100000" w:firstRow="0" w:lastRow="0" w:firstColumn="0" w:lastColumn="0" w:oddVBand="0" w:evenVBand="0" w:oddHBand="1" w:evenHBand="0" w:firstRowFirstColumn="0" w:firstRowLastColumn="0" w:lastRowFirstColumn="0" w:lastRowLastColumn="0"/>
            </w:pPr>
            <w:r>
              <w:t>Yes.</w:t>
            </w:r>
          </w:p>
          <w:p w14:paraId="4E5FC56F" w14:textId="77777777" w:rsidR="00425B1B" w:rsidRDefault="00425B1B" w:rsidP="00D435BA">
            <w:pPr>
              <w:pStyle w:val="Bullet1"/>
              <w:numPr>
                <w:ilvl w:val="0"/>
                <w:numId w:val="48"/>
              </w:numPr>
              <w:jc w:val="left"/>
              <w:cnfStyle w:val="000000100000" w:firstRow="0" w:lastRow="0" w:firstColumn="0" w:lastColumn="0" w:oddVBand="0" w:evenVBand="0" w:oddHBand="1" w:evenHBand="0" w:firstRowFirstColumn="0" w:firstRowLastColumn="0" w:lastRowFirstColumn="0" w:lastRowLastColumn="0"/>
            </w:pPr>
            <w:r>
              <w:t>The population projections are available on the ACT Treasury website.</w:t>
            </w:r>
          </w:p>
          <w:p w14:paraId="4B2624EA" w14:textId="376A1FF5" w:rsidR="00425B1B" w:rsidRDefault="00425B1B" w:rsidP="00D435BA">
            <w:pPr>
              <w:pStyle w:val="Bullet1"/>
              <w:numPr>
                <w:ilvl w:val="0"/>
                <w:numId w:val="48"/>
              </w:numPr>
              <w:jc w:val="left"/>
              <w:cnfStyle w:val="000000100000" w:firstRow="0" w:lastRow="0" w:firstColumn="0" w:lastColumn="0" w:oddVBand="0" w:evenVBand="0" w:oddHBand="1" w:evenHBand="0" w:firstRowFirstColumn="0" w:firstRowLastColumn="0" w:lastRowFirstColumn="0" w:lastRowLastColumn="0"/>
            </w:pPr>
            <w:r>
              <w:t xml:space="preserve">Projection components have </w:t>
            </w:r>
            <w:r w:rsidR="00D435BA">
              <w:t xml:space="preserve">also </w:t>
            </w:r>
            <w:r>
              <w:t>been provided for the ACT</w:t>
            </w:r>
            <w:r w:rsidR="00D435BA">
              <w:t xml:space="preserve"> on the ACT Treasury website</w:t>
            </w:r>
            <w:r>
              <w:t>.</w:t>
            </w:r>
            <w:r w:rsidR="001E238E">
              <w:t xml:space="preserve"> However, underlying data has been sourced through special requests and cannot be shared </w:t>
            </w:r>
            <w:r w:rsidR="00463DE3">
              <w:t>publicly</w:t>
            </w:r>
            <w:r w:rsidR="001E238E">
              <w:t>.</w:t>
            </w:r>
          </w:p>
          <w:p w14:paraId="21E588E2" w14:textId="582417C1" w:rsidR="00425B1B" w:rsidRPr="00B83F53" w:rsidRDefault="00425B1B" w:rsidP="00C26CFF">
            <w:pPr>
              <w:pStyle w:val="Tabletext"/>
              <w:cnfStyle w:val="000000100000" w:firstRow="0" w:lastRow="0" w:firstColumn="0" w:lastColumn="0" w:oddVBand="0" w:evenVBand="0" w:oddHBand="1" w:evenHBand="0" w:firstRowFirstColumn="0" w:firstRowLastColumn="0" w:lastRowFirstColumn="0" w:lastRowLastColumn="0"/>
            </w:pPr>
          </w:p>
        </w:tc>
      </w:tr>
    </w:tbl>
    <w:p w14:paraId="1AB3FCE7" w14:textId="77777777" w:rsidR="009266DD" w:rsidRDefault="009266DD" w:rsidP="009266DD">
      <w:pPr>
        <w:spacing w:before="0" w:after="160" w:line="259" w:lineRule="auto"/>
        <w:sectPr w:rsidR="009266DD" w:rsidSect="009266DD">
          <w:type w:val="continuous"/>
          <w:pgSz w:w="11907" w:h="16840" w:code="9"/>
          <w:pgMar w:top="1134" w:right="1134" w:bottom="1701" w:left="1134" w:header="567" w:footer="254" w:gutter="0"/>
          <w:cols w:space="720"/>
          <w:docGrid w:linePitch="299"/>
        </w:sectPr>
      </w:pPr>
    </w:p>
    <w:p w14:paraId="7C07B7D4" w14:textId="1B3B4323" w:rsidR="009266DD" w:rsidRPr="00623389" w:rsidRDefault="009266DD" w:rsidP="004E7AD4">
      <w:pPr>
        <w:spacing w:before="0" w:after="160" w:line="259" w:lineRule="auto"/>
        <w:rPr>
          <w:b/>
          <w:bCs/>
        </w:rPr>
      </w:pPr>
    </w:p>
    <w:sectPr w:rsidR="009266DD" w:rsidRPr="00623389" w:rsidSect="00623389">
      <w:type w:val="continuous"/>
      <w:pgSz w:w="11907" w:h="16840" w:code="9"/>
      <w:pgMar w:top="1134" w:right="1134" w:bottom="1701" w:left="1134" w:header="567" w:footer="254" w:gutter="0"/>
      <w:cols w:num="2" w:space="283"/>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17642" w14:textId="77777777" w:rsidR="001A5869" w:rsidRDefault="001A5869">
      <w:pPr>
        <w:spacing w:before="0" w:after="0"/>
      </w:pPr>
      <w:r>
        <w:separator/>
      </w:r>
    </w:p>
    <w:p w14:paraId="42F2857D" w14:textId="77777777" w:rsidR="001A5869" w:rsidRDefault="001A5869"/>
  </w:endnote>
  <w:endnote w:type="continuationSeparator" w:id="0">
    <w:p w14:paraId="7B51ED8D" w14:textId="77777777" w:rsidR="001A5869" w:rsidRDefault="001A5869">
      <w:pPr>
        <w:spacing w:before="0" w:after="0"/>
      </w:pPr>
      <w:r>
        <w:continuationSeparator/>
      </w:r>
    </w:p>
    <w:p w14:paraId="11133256" w14:textId="77777777" w:rsidR="001A5869" w:rsidRDefault="001A58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2B993BF2"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05B8F">
          <w:rPr>
            <w:rStyle w:val="PageNumber"/>
            <w:noProof/>
          </w:rPr>
          <w:t>3</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EndPr>
      <w:rPr>
        <w:rStyle w:val="PageNumber"/>
      </w:rPr>
    </w:sdtEndPr>
    <w:sdtContent>
      <w:p w14:paraId="362FA08C" w14:textId="7D3A4454"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359BAAAC" w:rsidR="000459F7" w:rsidRPr="005561B3" w:rsidRDefault="000A1179" w:rsidP="005A7F33">
    <w:pPr>
      <w:pStyle w:val="Footer"/>
      <w:jc w:val="right"/>
      <w:rPr>
        <w:b/>
      </w:rPr>
    </w:pPr>
    <w:r>
      <w:rPr>
        <w:noProof/>
      </w:rPr>
      <w:drawing>
        <wp:anchor distT="0" distB="0" distL="114300" distR="114300" simplePos="0" relativeHeight="251657216" behindDoc="1" locked="0" layoutInCell="1" allowOverlap="1" wp14:anchorId="2F866DD3" wp14:editId="4E39051C">
          <wp:simplePos x="0" y="0"/>
          <wp:positionH relativeFrom="column">
            <wp:posOffset>-453390</wp:posOffset>
          </wp:positionH>
          <wp:positionV relativeFrom="paragraph">
            <wp:posOffset>-60960</wp:posOffset>
          </wp:positionV>
          <wp:extent cx="6883200" cy="252000"/>
          <wp:effectExtent l="0" t="0" r="0" b="0"/>
          <wp:wrapNone/>
          <wp:docPr id="3" name="Header WHog_B thin.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8863F0">
      <w:rPr>
        <w:noProof/>
      </w:rPr>
      <w:t>CMTEDD</w:t>
    </w:r>
    <w:r w:rsidR="004D749A">
      <w:rPr>
        <w:noProof/>
      </w:rPr>
      <w:tab/>
    </w:r>
    <w:r w:rsidR="004D749A">
      <w:rPr>
        <w:noProof/>
      </w:rPr>
      <w:tab/>
      <w:t xml:space="preserve"> </w:t>
    </w:r>
    <w:r w:rsidR="004D749A">
      <w:rPr>
        <w:noProof/>
      </w:rPr>
      <w:tab/>
    </w:r>
    <w:r w:rsidR="004D749A">
      <w:rPr>
        <w:noProof/>
      </w:rPr>
      <w:tab/>
    </w:r>
    <w:r w:rsidR="004D749A">
      <w:rPr>
        <w:noProof/>
      </w:rPr>
      <w:tab/>
    </w:r>
    <w:r w:rsidR="008863F0">
      <w:rPr>
        <w:b/>
      </w:rPr>
      <w:t>ACT Population Projections 202</w:t>
    </w:r>
    <w:r w:rsidR="007E2C0A">
      <w:rPr>
        <w:b/>
      </w:rPr>
      <w:t>2</w:t>
    </w:r>
    <w:r w:rsidR="008863F0">
      <w:rPr>
        <w:b/>
      </w:rPr>
      <w:t>-2060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CAFF1" w14:textId="77777777" w:rsidR="001A5869" w:rsidRDefault="001A5869">
      <w:pPr>
        <w:spacing w:before="0" w:after="0"/>
      </w:pPr>
      <w:r>
        <w:separator/>
      </w:r>
    </w:p>
    <w:p w14:paraId="6E369986" w14:textId="77777777" w:rsidR="001A5869" w:rsidRDefault="001A5869"/>
  </w:footnote>
  <w:footnote w:type="continuationSeparator" w:id="0">
    <w:p w14:paraId="5B01773F" w14:textId="77777777" w:rsidR="001A5869" w:rsidRDefault="001A5869">
      <w:pPr>
        <w:spacing w:before="0" w:after="0"/>
      </w:pPr>
      <w:r>
        <w:continuationSeparator/>
      </w:r>
    </w:p>
    <w:p w14:paraId="6248A246" w14:textId="77777777" w:rsidR="001A5869" w:rsidRDefault="001A5869"/>
  </w:footnote>
  <w:footnote w:id="1">
    <w:p w14:paraId="18938CAA" w14:textId="08C5408F" w:rsidR="008B41D7" w:rsidRDefault="008B41D7" w:rsidP="008B41D7">
      <w:pPr>
        <w:pStyle w:val="note"/>
      </w:pPr>
      <w:r>
        <w:rPr>
          <w:rStyle w:val="FootnoteReference"/>
        </w:rPr>
        <w:footnoteRef/>
      </w:r>
      <w:r>
        <w:t xml:space="preserve"> This figure is from the ABS </w:t>
      </w:r>
      <w:r w:rsidRPr="00BF18E0">
        <w:rPr>
          <w:i/>
          <w:iCs/>
        </w:rPr>
        <w:t>Regional Population</w:t>
      </w:r>
      <w:r w:rsidR="00426388">
        <w:rPr>
          <w:i/>
          <w:iCs/>
        </w:rPr>
        <w:t xml:space="preserve"> by age and sex</w:t>
      </w:r>
      <w:r w:rsidRPr="00BF18E0">
        <w:rPr>
          <w:i/>
          <w:iCs/>
        </w:rPr>
        <w:t xml:space="preserve">, </w:t>
      </w:r>
      <w:r>
        <w:rPr>
          <w:i/>
          <w:iCs/>
        </w:rPr>
        <w:t>20</w:t>
      </w:r>
      <w:r w:rsidR="00426388">
        <w:rPr>
          <w:i/>
          <w:iCs/>
        </w:rPr>
        <w:t>21</w:t>
      </w:r>
      <w:r>
        <w:t xml:space="preserve"> publication </w:t>
      </w:r>
      <w:r w:rsidR="00426388">
        <w:t xml:space="preserve">released </w:t>
      </w:r>
      <w:r>
        <w:t>on 3</w:t>
      </w:r>
      <w:r w:rsidR="00426388">
        <w:t>0</w:t>
      </w:r>
      <w:r>
        <w:t xml:space="preserve"> </w:t>
      </w:r>
      <w:r w:rsidR="00426388">
        <w:t>August 2022</w:t>
      </w:r>
      <w:r w:rsidR="00BF52B1">
        <w:t>.</w:t>
      </w:r>
    </w:p>
  </w:footnote>
  <w:footnote w:id="2">
    <w:p w14:paraId="4CE014B1" w14:textId="52812433" w:rsidR="005C2FAC" w:rsidRDefault="005C2FAC">
      <w:pPr>
        <w:pStyle w:val="FootnoteText"/>
      </w:pPr>
      <w:r>
        <w:rPr>
          <w:rStyle w:val="FootnoteReference"/>
        </w:rPr>
        <w:footnoteRef/>
      </w:r>
      <w:r>
        <w:t xml:space="preserve"> </w:t>
      </w:r>
      <w:r w:rsidRPr="001053E6">
        <w:rPr>
          <w:sz w:val="18"/>
          <w:szCs w:val="18"/>
        </w:rPr>
        <w:t xml:space="preserve">Refer </w:t>
      </w:r>
      <w:hyperlink r:id="rId1" w:history="1">
        <w:r w:rsidR="001053E6" w:rsidRPr="00EC0DF7">
          <w:rPr>
            <w:rStyle w:val="Hyperlink"/>
            <w:sz w:val="18"/>
            <w:szCs w:val="18"/>
          </w:rPr>
          <w:t>https://www.abs.gov.au/statistics/people/population/population-projections-australia/latest-release</w:t>
        </w:r>
      </w:hyperlink>
      <w:r w:rsidR="001053E6">
        <w:rPr>
          <w:sz w:val="18"/>
          <w:szCs w:val="18"/>
        </w:rPr>
        <w:t xml:space="preserve"> </w:t>
      </w:r>
    </w:p>
  </w:footnote>
  <w:footnote w:id="3">
    <w:p w14:paraId="5AAF4977" w14:textId="778F5963" w:rsidR="001C6384" w:rsidRDefault="001C6384">
      <w:pPr>
        <w:pStyle w:val="FootnoteText"/>
      </w:pPr>
      <w:r>
        <w:rPr>
          <w:rStyle w:val="FootnoteReference"/>
        </w:rPr>
        <w:footnoteRef/>
      </w:r>
      <w:r>
        <w:t xml:space="preserve"> </w:t>
      </w:r>
      <w:r w:rsidRPr="001C6384">
        <w:rPr>
          <w:rStyle w:val="noteChar"/>
        </w:rPr>
        <w:t>Refer Commonwealth Treasury Centre for Population’s media release</w:t>
      </w:r>
      <w:r>
        <w:rPr>
          <w:rStyle w:val="noteChar"/>
        </w:rPr>
        <w:t xml:space="preserve"> on the principles</w:t>
      </w:r>
      <w:r w:rsidRPr="001C6384">
        <w:rPr>
          <w:rStyle w:val="noteChar"/>
        </w:rPr>
        <w:t xml:space="preserve">: </w:t>
      </w:r>
      <w:hyperlink r:id="rId2" w:history="1">
        <w:r w:rsidRPr="009F2AA5">
          <w:rPr>
            <w:rStyle w:val="Hyperlink"/>
            <w:sz w:val="18"/>
            <w:szCs w:val="16"/>
          </w:rPr>
          <w:t>https://population.gov.au/media/media-working-with-states-territories-local-gvt.html</w:t>
        </w:r>
      </w:hyperlink>
      <w:r>
        <w:rPr>
          <w:rStyle w:val="noteCha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EF3757">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style="position:absolute;margin-left:0;margin-top:0;width:491.1pt;height:694.55pt;z-index:-251658240;mso-wrap-edited:f;mso-position-horizontal:center;mso-position-horizontal-relative:margin;mso-position-vertical:center;mso-position-vertical-relative:margin"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C10A" w14:textId="13E72C0A" w:rsidR="00DA191F" w:rsidRPr="00DA191F" w:rsidRDefault="00DA191F" w:rsidP="00DA191F">
    <w:pPr>
      <w:spacing w:before="0" w:after="0" w:line="240" w:lineRule="auto"/>
      <w:jc w:val="right"/>
      <w:rPr>
        <w:rFonts w:cs="Calibri"/>
        <w:b/>
        <w:bCs/>
        <w:color w:val="FF0000"/>
        <w:sz w:val="30"/>
        <w:szCs w:val="30"/>
        <w:lang w:eastAsia="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02E7EF2"/>
    <w:numStyleLink w:val="AppendixNumbers"/>
  </w:abstractNum>
  <w:abstractNum w:abstractNumId="1" w15:restartNumberingAfterBreak="0">
    <w:nsid w:val="03B26D5B"/>
    <w:multiLevelType w:val="hybridMultilevel"/>
    <w:tmpl w:val="4C3E51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5A94C14"/>
    <w:multiLevelType w:val="hybridMultilevel"/>
    <w:tmpl w:val="DCD8D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0C3A36"/>
    <w:multiLevelType w:val="hybridMultilevel"/>
    <w:tmpl w:val="E85E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9C4939"/>
    <w:multiLevelType w:val="hybridMultilevel"/>
    <w:tmpl w:val="C0785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21A2284"/>
    <w:multiLevelType w:val="hybridMultilevel"/>
    <w:tmpl w:val="D9F2C894"/>
    <w:lvl w:ilvl="0" w:tplc="7E841C2A">
      <w:numFmt w:val="bullet"/>
      <w:lvlText w:val="-"/>
      <w:lvlJc w:val="left"/>
      <w:pPr>
        <w:ind w:left="360" w:hanging="36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AE569AD"/>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8" w15:restartNumberingAfterBreak="0">
    <w:nsid w:val="1B391C87"/>
    <w:multiLevelType w:val="hybridMultilevel"/>
    <w:tmpl w:val="2B12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344D7C"/>
    <w:multiLevelType w:val="hybridMultilevel"/>
    <w:tmpl w:val="A3F80AEC"/>
    <w:lvl w:ilvl="0" w:tplc="5BD6782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6216FC"/>
    <w:multiLevelType w:val="hybridMultilevel"/>
    <w:tmpl w:val="D53AC0B0"/>
    <w:lvl w:ilvl="0" w:tplc="1FF8EE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8B6B8E"/>
    <w:multiLevelType w:val="hybridMultilevel"/>
    <w:tmpl w:val="07A0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0211323"/>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37462FBD"/>
    <w:multiLevelType w:val="hybridMultilevel"/>
    <w:tmpl w:val="A63822D8"/>
    <w:lvl w:ilvl="0" w:tplc="11F687DC">
      <w:start w:val="1"/>
      <w:numFmt w:val="bullet"/>
      <w:lvlText w:val="-"/>
      <w:lvlJc w:val="left"/>
      <w:pPr>
        <w:ind w:left="644" w:hanging="360"/>
      </w:pPr>
      <w:rPr>
        <w:rFonts w:ascii="Calibri" w:eastAsiaTheme="minorHAnsi" w:hAnsi="Calibri" w:cs="Calibri" w:hint="default"/>
        <w:i/>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4A2C4FC2"/>
    <w:multiLevelType w:val="hybridMultilevel"/>
    <w:tmpl w:val="F5AEA3CC"/>
    <w:lvl w:ilvl="0" w:tplc="44CE0BD4">
      <w:start w:val="1"/>
      <w:numFmt w:val="lowerLetter"/>
      <w:pStyle w:val="bulletalpha"/>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C0518D8"/>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2" w15:restartNumberingAfterBreak="0">
    <w:nsid w:val="50517343"/>
    <w:multiLevelType w:val="multilevel"/>
    <w:tmpl w:val="131EEC6C"/>
    <w:numStyleLink w:val="TableNumbers"/>
  </w:abstractNum>
  <w:abstractNum w:abstractNumId="23" w15:restartNumberingAfterBreak="0">
    <w:nsid w:val="50E12008"/>
    <w:multiLevelType w:val="multilevel"/>
    <w:tmpl w:val="57D26A18"/>
    <w:numStyleLink w:val="KCBullets"/>
  </w:abstractNum>
  <w:abstractNum w:abstractNumId="24" w15:restartNumberingAfterBreak="0">
    <w:nsid w:val="51294B5A"/>
    <w:multiLevelType w:val="hybridMultilevel"/>
    <w:tmpl w:val="CE123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1475B84"/>
    <w:multiLevelType w:val="hybridMultilevel"/>
    <w:tmpl w:val="54DE6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563048B"/>
    <w:multiLevelType w:val="multilevel"/>
    <w:tmpl w:val="C284D0B0"/>
    <w:numStyleLink w:val="FigureNumbers"/>
  </w:abstractNum>
  <w:abstractNum w:abstractNumId="29" w15:restartNumberingAfterBreak="0">
    <w:nsid w:val="568F771F"/>
    <w:multiLevelType w:val="multilevel"/>
    <w:tmpl w:val="341A4B9E"/>
    <w:lvl w:ilvl="0">
      <w:start w:val="1"/>
      <w:numFmt w:val="bullet"/>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0" w15:restartNumberingAfterBreak="0">
    <w:nsid w:val="56972564"/>
    <w:multiLevelType w:val="hybridMultilevel"/>
    <w:tmpl w:val="5FA8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4477A0"/>
    <w:multiLevelType w:val="hybridMultilevel"/>
    <w:tmpl w:val="26CC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261A0D"/>
    <w:multiLevelType w:val="hybridMultilevel"/>
    <w:tmpl w:val="A118C7A0"/>
    <w:lvl w:ilvl="0" w:tplc="CE4236B2">
      <w:numFmt w:val="bullet"/>
      <w:lvlText w:val="-"/>
      <w:lvlJc w:val="left"/>
      <w:pPr>
        <w:ind w:left="360" w:hanging="36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679D420E"/>
    <w:multiLevelType w:val="hybridMultilevel"/>
    <w:tmpl w:val="695EDD6C"/>
    <w:lvl w:ilvl="0" w:tplc="1F80BF74">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5DC39B4"/>
    <w:multiLevelType w:val="hybridMultilevel"/>
    <w:tmpl w:val="C544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0B67C4"/>
    <w:multiLevelType w:val="multilevel"/>
    <w:tmpl w:val="FE688822"/>
    <w:numStyleLink w:val="BoxedBullets"/>
  </w:abstractNum>
  <w:abstractNum w:abstractNumId="37" w15:restartNumberingAfterBreak="0">
    <w:nsid w:val="7D48030A"/>
    <w:multiLevelType w:val="hybridMultilevel"/>
    <w:tmpl w:val="6BD091A0"/>
    <w:lvl w:ilvl="0" w:tplc="FD7069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num w:numId="1" w16cid:durableId="868447864">
    <w:abstractNumId w:val="33"/>
  </w:num>
  <w:num w:numId="2" w16cid:durableId="83041422">
    <w:abstractNumId w:val="29"/>
  </w:num>
  <w:num w:numId="3" w16cid:durableId="1196775001">
    <w:abstractNumId w:val="14"/>
  </w:num>
  <w:num w:numId="4" w16cid:durableId="1913806713">
    <w:abstractNumId w:val="19"/>
  </w:num>
  <w:num w:numId="5" w16cid:durableId="905529116">
    <w:abstractNumId w:val="25"/>
  </w:num>
  <w:num w:numId="6" w16cid:durableId="818157935">
    <w:abstractNumId w:val="35"/>
  </w:num>
  <w:num w:numId="7" w16cid:durableId="1119376183">
    <w:abstractNumId w:val="37"/>
  </w:num>
  <w:num w:numId="8" w16cid:durableId="1304701414">
    <w:abstractNumId w:val="34"/>
  </w:num>
  <w:num w:numId="9" w16cid:durableId="1075204434">
    <w:abstractNumId w:val="38"/>
  </w:num>
  <w:num w:numId="10" w16cid:durableId="1681195761">
    <w:abstractNumId w:val="5"/>
  </w:num>
  <w:num w:numId="11" w16cid:durableId="1701129042">
    <w:abstractNumId w:val="23"/>
  </w:num>
  <w:num w:numId="12" w16cid:durableId="2089695785">
    <w:abstractNumId w:val="20"/>
  </w:num>
  <w:num w:numId="13" w16cid:durableId="1201094494">
    <w:abstractNumId w:val="17"/>
  </w:num>
  <w:num w:numId="14" w16cid:durableId="2089571475">
    <w:abstractNumId w:val="36"/>
  </w:num>
  <w:num w:numId="15" w16cid:durableId="298533919">
    <w:abstractNumId w:val="18"/>
  </w:num>
  <w:num w:numId="16" w16cid:durableId="1203396993">
    <w:abstractNumId w:val="8"/>
  </w:num>
  <w:num w:numId="17" w16cid:durableId="454369210">
    <w:abstractNumId w:val="3"/>
  </w:num>
  <w:num w:numId="18" w16cid:durableId="136995346">
    <w:abstractNumId w:val="24"/>
  </w:num>
  <w:num w:numId="19" w16cid:durableId="1978143470">
    <w:abstractNumId w:val="13"/>
  </w:num>
  <w:num w:numId="20" w16cid:durableId="1009598459">
    <w:abstractNumId w:val="2"/>
  </w:num>
  <w:num w:numId="21" w16cid:durableId="80612712">
    <w:abstractNumId w:val="30"/>
  </w:num>
  <w:num w:numId="22" w16cid:durableId="1971857685">
    <w:abstractNumId w:val="9"/>
  </w:num>
  <w:num w:numId="23" w16cid:durableId="1867522828">
    <w:abstractNumId w:val="28"/>
  </w:num>
  <w:num w:numId="24" w16cid:durableId="1357658519">
    <w:abstractNumId w:val="15"/>
  </w:num>
  <w:num w:numId="25" w16cid:durableId="1353651841">
    <w:abstractNumId w:val="7"/>
  </w:num>
  <w:num w:numId="26" w16cid:durableId="1578058216">
    <w:abstractNumId w:val="16"/>
  </w:num>
  <w:num w:numId="27" w16cid:durableId="126896450">
    <w:abstractNumId w:val="12"/>
  </w:num>
  <w:num w:numId="28" w16cid:durableId="559825541">
    <w:abstractNumId w:val="21"/>
  </w:num>
  <w:num w:numId="29" w16cid:durableId="230653199">
    <w:abstractNumId w:val="31"/>
  </w:num>
  <w:num w:numId="30" w16cid:durableId="1326785723">
    <w:abstractNumId w:val="27"/>
  </w:num>
  <w:num w:numId="31" w16cid:durableId="1793018658">
    <w:abstractNumId w:val="11"/>
  </w:num>
  <w:num w:numId="32" w16cid:durableId="894047540">
    <w:abstractNumId w:val="22"/>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33" w16cid:durableId="2092043400">
    <w:abstractNumId w:val="0"/>
  </w:num>
  <w:num w:numId="34" w16cid:durableId="1797290556">
    <w:abstractNumId w:val="26"/>
  </w:num>
  <w:num w:numId="35" w16cid:durableId="1371758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28245515">
    <w:abstractNumId w:val="6"/>
  </w:num>
  <w:num w:numId="37" w16cid:durableId="2081053275">
    <w:abstractNumId w:val="32"/>
  </w:num>
  <w:num w:numId="38" w16cid:durableId="1740978980">
    <w:abstractNumId w:val="1"/>
  </w:num>
  <w:num w:numId="39" w16cid:durableId="16478575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724305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731223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78154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46650943">
    <w:abstractNumId w:val="10"/>
  </w:num>
  <w:num w:numId="44" w16cid:durableId="237551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141934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979368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615924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756773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11158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10AB"/>
    <w:rsid w:val="00002A83"/>
    <w:rsid w:val="00002AF7"/>
    <w:rsid w:val="00002E80"/>
    <w:rsid w:val="0001033F"/>
    <w:rsid w:val="00011180"/>
    <w:rsid w:val="00011DB2"/>
    <w:rsid w:val="000131F7"/>
    <w:rsid w:val="0001360D"/>
    <w:rsid w:val="00013753"/>
    <w:rsid w:val="000148A1"/>
    <w:rsid w:val="000166E2"/>
    <w:rsid w:val="00023B57"/>
    <w:rsid w:val="000245CE"/>
    <w:rsid w:val="00024DB8"/>
    <w:rsid w:val="00030AAB"/>
    <w:rsid w:val="00030D56"/>
    <w:rsid w:val="00030F0F"/>
    <w:rsid w:val="00031DA3"/>
    <w:rsid w:val="00032E1E"/>
    <w:rsid w:val="00033095"/>
    <w:rsid w:val="000335D7"/>
    <w:rsid w:val="00033B8B"/>
    <w:rsid w:val="00034451"/>
    <w:rsid w:val="000409CC"/>
    <w:rsid w:val="00041229"/>
    <w:rsid w:val="00042315"/>
    <w:rsid w:val="00042D9B"/>
    <w:rsid w:val="000459F7"/>
    <w:rsid w:val="000468A5"/>
    <w:rsid w:val="00046C7E"/>
    <w:rsid w:val="00047A2F"/>
    <w:rsid w:val="0005202D"/>
    <w:rsid w:val="00052CE2"/>
    <w:rsid w:val="00053C4A"/>
    <w:rsid w:val="0005427C"/>
    <w:rsid w:val="00060883"/>
    <w:rsid w:val="00061209"/>
    <w:rsid w:val="000615B0"/>
    <w:rsid w:val="00061CB7"/>
    <w:rsid w:val="00062FC3"/>
    <w:rsid w:val="00063F53"/>
    <w:rsid w:val="00067AB9"/>
    <w:rsid w:val="00067E3F"/>
    <w:rsid w:val="00067F06"/>
    <w:rsid w:val="000700BD"/>
    <w:rsid w:val="00070C45"/>
    <w:rsid w:val="00073537"/>
    <w:rsid w:val="000772E8"/>
    <w:rsid w:val="00080696"/>
    <w:rsid w:val="000809C0"/>
    <w:rsid w:val="00080A08"/>
    <w:rsid w:val="00080C00"/>
    <w:rsid w:val="000815FE"/>
    <w:rsid w:val="000854D2"/>
    <w:rsid w:val="000862C5"/>
    <w:rsid w:val="00093948"/>
    <w:rsid w:val="00093EB8"/>
    <w:rsid w:val="000940D2"/>
    <w:rsid w:val="000945FC"/>
    <w:rsid w:val="000977F2"/>
    <w:rsid w:val="00097B1A"/>
    <w:rsid w:val="000A1179"/>
    <w:rsid w:val="000A2753"/>
    <w:rsid w:val="000A31F3"/>
    <w:rsid w:val="000A5858"/>
    <w:rsid w:val="000A6F7E"/>
    <w:rsid w:val="000A7B2F"/>
    <w:rsid w:val="000B0005"/>
    <w:rsid w:val="000B192F"/>
    <w:rsid w:val="000B357A"/>
    <w:rsid w:val="000B3A72"/>
    <w:rsid w:val="000B416C"/>
    <w:rsid w:val="000B5A89"/>
    <w:rsid w:val="000B768A"/>
    <w:rsid w:val="000C0835"/>
    <w:rsid w:val="000C124F"/>
    <w:rsid w:val="000C2D26"/>
    <w:rsid w:val="000D0559"/>
    <w:rsid w:val="000D3642"/>
    <w:rsid w:val="000D3DE7"/>
    <w:rsid w:val="000D473E"/>
    <w:rsid w:val="000D5635"/>
    <w:rsid w:val="000D64AA"/>
    <w:rsid w:val="000D7B2A"/>
    <w:rsid w:val="000E01B8"/>
    <w:rsid w:val="000E11E7"/>
    <w:rsid w:val="000E35A9"/>
    <w:rsid w:val="000E6CC8"/>
    <w:rsid w:val="000F1369"/>
    <w:rsid w:val="000F2765"/>
    <w:rsid w:val="000F489D"/>
    <w:rsid w:val="000F597A"/>
    <w:rsid w:val="000F7076"/>
    <w:rsid w:val="00103C68"/>
    <w:rsid w:val="001053E6"/>
    <w:rsid w:val="0010655A"/>
    <w:rsid w:val="0011082B"/>
    <w:rsid w:val="00113337"/>
    <w:rsid w:val="0011365D"/>
    <w:rsid w:val="00116A4B"/>
    <w:rsid w:val="001202BC"/>
    <w:rsid w:val="00120DB6"/>
    <w:rsid w:val="00122B4D"/>
    <w:rsid w:val="00122C55"/>
    <w:rsid w:val="00125E59"/>
    <w:rsid w:val="00126A84"/>
    <w:rsid w:val="001274ED"/>
    <w:rsid w:val="00130083"/>
    <w:rsid w:val="00131CCF"/>
    <w:rsid w:val="00137F41"/>
    <w:rsid w:val="00140E63"/>
    <w:rsid w:val="001411B2"/>
    <w:rsid w:val="00143565"/>
    <w:rsid w:val="001439CF"/>
    <w:rsid w:val="001456B1"/>
    <w:rsid w:val="00146D8C"/>
    <w:rsid w:val="00147183"/>
    <w:rsid w:val="00147648"/>
    <w:rsid w:val="00147A4B"/>
    <w:rsid w:val="001509FD"/>
    <w:rsid w:val="001612BA"/>
    <w:rsid w:val="001628EB"/>
    <w:rsid w:val="001659C3"/>
    <w:rsid w:val="00165D31"/>
    <w:rsid w:val="00172F9F"/>
    <w:rsid w:val="00173718"/>
    <w:rsid w:val="00176115"/>
    <w:rsid w:val="00182264"/>
    <w:rsid w:val="00182F29"/>
    <w:rsid w:val="00183FC6"/>
    <w:rsid w:val="0018446C"/>
    <w:rsid w:val="00185CCE"/>
    <w:rsid w:val="00186490"/>
    <w:rsid w:val="001868B5"/>
    <w:rsid w:val="001901D9"/>
    <w:rsid w:val="0019032A"/>
    <w:rsid w:val="00190528"/>
    <w:rsid w:val="001937F5"/>
    <w:rsid w:val="00195480"/>
    <w:rsid w:val="001A3341"/>
    <w:rsid w:val="001A5869"/>
    <w:rsid w:val="001A6487"/>
    <w:rsid w:val="001A7172"/>
    <w:rsid w:val="001A7D21"/>
    <w:rsid w:val="001B0C93"/>
    <w:rsid w:val="001B5152"/>
    <w:rsid w:val="001B51E1"/>
    <w:rsid w:val="001B5B9D"/>
    <w:rsid w:val="001B6958"/>
    <w:rsid w:val="001B6B20"/>
    <w:rsid w:val="001C1C4D"/>
    <w:rsid w:val="001C6384"/>
    <w:rsid w:val="001C7734"/>
    <w:rsid w:val="001D0003"/>
    <w:rsid w:val="001D03E6"/>
    <w:rsid w:val="001D2B94"/>
    <w:rsid w:val="001D47FB"/>
    <w:rsid w:val="001D594C"/>
    <w:rsid w:val="001E00FC"/>
    <w:rsid w:val="001E0980"/>
    <w:rsid w:val="001E0C4D"/>
    <w:rsid w:val="001E0F16"/>
    <w:rsid w:val="001E174B"/>
    <w:rsid w:val="001E238E"/>
    <w:rsid w:val="001E2685"/>
    <w:rsid w:val="001E6D0F"/>
    <w:rsid w:val="001F0C1D"/>
    <w:rsid w:val="001F14CD"/>
    <w:rsid w:val="001F5368"/>
    <w:rsid w:val="001F5A1E"/>
    <w:rsid w:val="00200493"/>
    <w:rsid w:val="00201111"/>
    <w:rsid w:val="00206AF0"/>
    <w:rsid w:val="002071E2"/>
    <w:rsid w:val="00207295"/>
    <w:rsid w:val="002072F3"/>
    <w:rsid w:val="00214621"/>
    <w:rsid w:val="002151D4"/>
    <w:rsid w:val="00216E15"/>
    <w:rsid w:val="002220C0"/>
    <w:rsid w:val="00222C35"/>
    <w:rsid w:val="00223BE1"/>
    <w:rsid w:val="002246A4"/>
    <w:rsid w:val="00225168"/>
    <w:rsid w:val="00225D81"/>
    <w:rsid w:val="00226D92"/>
    <w:rsid w:val="00227DEA"/>
    <w:rsid w:val="00230EE0"/>
    <w:rsid w:val="00231CB9"/>
    <w:rsid w:val="00231F3C"/>
    <w:rsid w:val="00232D72"/>
    <w:rsid w:val="00233EA9"/>
    <w:rsid w:val="002456B4"/>
    <w:rsid w:val="00245DE3"/>
    <w:rsid w:val="002474CA"/>
    <w:rsid w:val="002505CA"/>
    <w:rsid w:val="002519BD"/>
    <w:rsid w:val="00253C2D"/>
    <w:rsid w:val="00254690"/>
    <w:rsid w:val="00254EE3"/>
    <w:rsid w:val="0025564E"/>
    <w:rsid w:val="00256908"/>
    <w:rsid w:val="0025736D"/>
    <w:rsid w:val="00257E4B"/>
    <w:rsid w:val="0026161C"/>
    <w:rsid w:val="00261B2D"/>
    <w:rsid w:val="00263DDD"/>
    <w:rsid w:val="00264497"/>
    <w:rsid w:val="00264D5C"/>
    <w:rsid w:val="00265D35"/>
    <w:rsid w:val="00266BFE"/>
    <w:rsid w:val="0027267F"/>
    <w:rsid w:val="00272E11"/>
    <w:rsid w:val="00273FD1"/>
    <w:rsid w:val="00277AF5"/>
    <w:rsid w:val="0028052C"/>
    <w:rsid w:val="00282AD2"/>
    <w:rsid w:val="00284B1E"/>
    <w:rsid w:val="00287346"/>
    <w:rsid w:val="0028772E"/>
    <w:rsid w:val="002901DC"/>
    <w:rsid w:val="002903A5"/>
    <w:rsid w:val="00290922"/>
    <w:rsid w:val="00291845"/>
    <w:rsid w:val="00292832"/>
    <w:rsid w:val="0029674A"/>
    <w:rsid w:val="002A0931"/>
    <w:rsid w:val="002A0FF0"/>
    <w:rsid w:val="002A3C2D"/>
    <w:rsid w:val="002A47C5"/>
    <w:rsid w:val="002A47F8"/>
    <w:rsid w:val="002B3A89"/>
    <w:rsid w:val="002B3B6F"/>
    <w:rsid w:val="002B4201"/>
    <w:rsid w:val="002B6770"/>
    <w:rsid w:val="002B6CC9"/>
    <w:rsid w:val="002C444A"/>
    <w:rsid w:val="002C494E"/>
    <w:rsid w:val="002C4BD6"/>
    <w:rsid w:val="002C5B8B"/>
    <w:rsid w:val="002C6A68"/>
    <w:rsid w:val="002D0C44"/>
    <w:rsid w:val="002D3AAE"/>
    <w:rsid w:val="002D3D10"/>
    <w:rsid w:val="002D741F"/>
    <w:rsid w:val="002D7E91"/>
    <w:rsid w:val="002E15CE"/>
    <w:rsid w:val="002E54EC"/>
    <w:rsid w:val="002F14F6"/>
    <w:rsid w:val="002F4845"/>
    <w:rsid w:val="002F4FAF"/>
    <w:rsid w:val="00300CCC"/>
    <w:rsid w:val="00302CD1"/>
    <w:rsid w:val="003035F1"/>
    <w:rsid w:val="003061CD"/>
    <w:rsid w:val="00306E62"/>
    <w:rsid w:val="00306F9C"/>
    <w:rsid w:val="0030762E"/>
    <w:rsid w:val="0030774F"/>
    <w:rsid w:val="00307B83"/>
    <w:rsid w:val="0031221A"/>
    <w:rsid w:val="0031298B"/>
    <w:rsid w:val="003144A1"/>
    <w:rsid w:val="00314552"/>
    <w:rsid w:val="0032566B"/>
    <w:rsid w:val="00325808"/>
    <w:rsid w:val="0032718E"/>
    <w:rsid w:val="00327C98"/>
    <w:rsid w:val="00331B4F"/>
    <w:rsid w:val="00334042"/>
    <w:rsid w:val="0033488F"/>
    <w:rsid w:val="003355AA"/>
    <w:rsid w:val="00340363"/>
    <w:rsid w:val="003418BE"/>
    <w:rsid w:val="003435A9"/>
    <w:rsid w:val="003476C5"/>
    <w:rsid w:val="00350A19"/>
    <w:rsid w:val="00350BBA"/>
    <w:rsid w:val="003512DE"/>
    <w:rsid w:val="003532F9"/>
    <w:rsid w:val="00357E4B"/>
    <w:rsid w:val="00360481"/>
    <w:rsid w:val="00361AA5"/>
    <w:rsid w:val="00362889"/>
    <w:rsid w:val="003633D4"/>
    <w:rsid w:val="003677B1"/>
    <w:rsid w:val="00370197"/>
    <w:rsid w:val="00371114"/>
    <w:rsid w:val="00371DB7"/>
    <w:rsid w:val="00373693"/>
    <w:rsid w:val="00376982"/>
    <w:rsid w:val="00376FFF"/>
    <w:rsid w:val="00382CED"/>
    <w:rsid w:val="00386324"/>
    <w:rsid w:val="0039075C"/>
    <w:rsid w:val="003908B2"/>
    <w:rsid w:val="003908E5"/>
    <w:rsid w:val="003915B0"/>
    <w:rsid w:val="00391887"/>
    <w:rsid w:val="00396F98"/>
    <w:rsid w:val="003A104A"/>
    <w:rsid w:val="003A12EE"/>
    <w:rsid w:val="003A148A"/>
    <w:rsid w:val="003A1497"/>
    <w:rsid w:val="003A2050"/>
    <w:rsid w:val="003A4765"/>
    <w:rsid w:val="003A5449"/>
    <w:rsid w:val="003A5E33"/>
    <w:rsid w:val="003A74DD"/>
    <w:rsid w:val="003B0F16"/>
    <w:rsid w:val="003B1E3E"/>
    <w:rsid w:val="003B4079"/>
    <w:rsid w:val="003B42E5"/>
    <w:rsid w:val="003B7CE2"/>
    <w:rsid w:val="003C04C4"/>
    <w:rsid w:val="003C0990"/>
    <w:rsid w:val="003C0B38"/>
    <w:rsid w:val="003C2BC2"/>
    <w:rsid w:val="003C3BAF"/>
    <w:rsid w:val="003C3D01"/>
    <w:rsid w:val="003C4D86"/>
    <w:rsid w:val="003C4DD7"/>
    <w:rsid w:val="003C4DEC"/>
    <w:rsid w:val="003C5CA1"/>
    <w:rsid w:val="003D22DE"/>
    <w:rsid w:val="003D2700"/>
    <w:rsid w:val="003D27F1"/>
    <w:rsid w:val="003D4137"/>
    <w:rsid w:val="003D6B00"/>
    <w:rsid w:val="003E0198"/>
    <w:rsid w:val="003E232D"/>
    <w:rsid w:val="003E42E0"/>
    <w:rsid w:val="003E45FA"/>
    <w:rsid w:val="003E4692"/>
    <w:rsid w:val="003E4738"/>
    <w:rsid w:val="003E5B54"/>
    <w:rsid w:val="003F338D"/>
    <w:rsid w:val="003F440B"/>
    <w:rsid w:val="003F58B9"/>
    <w:rsid w:val="003F68D9"/>
    <w:rsid w:val="003F6C33"/>
    <w:rsid w:val="003F7835"/>
    <w:rsid w:val="003F783A"/>
    <w:rsid w:val="00401DFD"/>
    <w:rsid w:val="004020B1"/>
    <w:rsid w:val="00402146"/>
    <w:rsid w:val="00402516"/>
    <w:rsid w:val="00402C25"/>
    <w:rsid w:val="00403623"/>
    <w:rsid w:val="00405778"/>
    <w:rsid w:val="0041028F"/>
    <w:rsid w:val="0041086B"/>
    <w:rsid w:val="00410DB1"/>
    <w:rsid w:val="00412F63"/>
    <w:rsid w:val="004150C9"/>
    <w:rsid w:val="00416498"/>
    <w:rsid w:val="00416BE4"/>
    <w:rsid w:val="00417870"/>
    <w:rsid w:val="00420949"/>
    <w:rsid w:val="00420A2A"/>
    <w:rsid w:val="004212A4"/>
    <w:rsid w:val="00423CA3"/>
    <w:rsid w:val="00424DFD"/>
    <w:rsid w:val="00425B1B"/>
    <w:rsid w:val="00425F9C"/>
    <w:rsid w:val="00425FF0"/>
    <w:rsid w:val="00426388"/>
    <w:rsid w:val="00427C53"/>
    <w:rsid w:val="00430784"/>
    <w:rsid w:val="00435884"/>
    <w:rsid w:val="00435E6A"/>
    <w:rsid w:val="00440AC2"/>
    <w:rsid w:val="00441160"/>
    <w:rsid w:val="00441D11"/>
    <w:rsid w:val="00442B9C"/>
    <w:rsid w:val="00443784"/>
    <w:rsid w:val="00444579"/>
    <w:rsid w:val="00454420"/>
    <w:rsid w:val="00456849"/>
    <w:rsid w:val="00457A95"/>
    <w:rsid w:val="00460520"/>
    <w:rsid w:val="00462830"/>
    <w:rsid w:val="00463DE3"/>
    <w:rsid w:val="004670B2"/>
    <w:rsid w:val="0046797D"/>
    <w:rsid w:val="00470DB3"/>
    <w:rsid w:val="00473ED1"/>
    <w:rsid w:val="004779EA"/>
    <w:rsid w:val="00480801"/>
    <w:rsid w:val="00481CB2"/>
    <w:rsid w:val="0048305D"/>
    <w:rsid w:val="00483345"/>
    <w:rsid w:val="00483F8D"/>
    <w:rsid w:val="00486344"/>
    <w:rsid w:val="00493D80"/>
    <w:rsid w:val="004942C3"/>
    <w:rsid w:val="00495309"/>
    <w:rsid w:val="00495C6A"/>
    <w:rsid w:val="004A003A"/>
    <w:rsid w:val="004A4DD8"/>
    <w:rsid w:val="004A5A93"/>
    <w:rsid w:val="004A61B1"/>
    <w:rsid w:val="004A6470"/>
    <w:rsid w:val="004A6E6D"/>
    <w:rsid w:val="004B03AD"/>
    <w:rsid w:val="004B3924"/>
    <w:rsid w:val="004B43AB"/>
    <w:rsid w:val="004B44FE"/>
    <w:rsid w:val="004B7F23"/>
    <w:rsid w:val="004C11E8"/>
    <w:rsid w:val="004C4DA1"/>
    <w:rsid w:val="004C59F7"/>
    <w:rsid w:val="004D1660"/>
    <w:rsid w:val="004D749A"/>
    <w:rsid w:val="004E3BF4"/>
    <w:rsid w:val="004E4E46"/>
    <w:rsid w:val="004E501E"/>
    <w:rsid w:val="004E52CE"/>
    <w:rsid w:val="004E5B32"/>
    <w:rsid w:val="004E676F"/>
    <w:rsid w:val="004E7197"/>
    <w:rsid w:val="004E7AD4"/>
    <w:rsid w:val="004F1F0F"/>
    <w:rsid w:val="004F3F45"/>
    <w:rsid w:val="004F65EA"/>
    <w:rsid w:val="005002B2"/>
    <w:rsid w:val="005026B3"/>
    <w:rsid w:val="00507032"/>
    <w:rsid w:val="00510DEA"/>
    <w:rsid w:val="00511720"/>
    <w:rsid w:val="00513CD6"/>
    <w:rsid w:val="00514C3A"/>
    <w:rsid w:val="00515C14"/>
    <w:rsid w:val="00517574"/>
    <w:rsid w:val="00517864"/>
    <w:rsid w:val="005241BB"/>
    <w:rsid w:val="00525465"/>
    <w:rsid w:val="00527D51"/>
    <w:rsid w:val="0053150E"/>
    <w:rsid w:val="005315A2"/>
    <w:rsid w:val="005331E2"/>
    <w:rsid w:val="00534CCC"/>
    <w:rsid w:val="00536956"/>
    <w:rsid w:val="00541AB8"/>
    <w:rsid w:val="0054228C"/>
    <w:rsid w:val="00544059"/>
    <w:rsid w:val="005447FB"/>
    <w:rsid w:val="005448A4"/>
    <w:rsid w:val="00544D0B"/>
    <w:rsid w:val="00550867"/>
    <w:rsid w:val="0055278D"/>
    <w:rsid w:val="00555814"/>
    <w:rsid w:val="00555ED7"/>
    <w:rsid w:val="005561B3"/>
    <w:rsid w:val="00557502"/>
    <w:rsid w:val="00560B7E"/>
    <w:rsid w:val="00561662"/>
    <w:rsid w:val="00564033"/>
    <w:rsid w:val="00564C40"/>
    <w:rsid w:val="00565FB4"/>
    <w:rsid w:val="00566404"/>
    <w:rsid w:val="00567695"/>
    <w:rsid w:val="0057180B"/>
    <w:rsid w:val="00572530"/>
    <w:rsid w:val="00576478"/>
    <w:rsid w:val="00577972"/>
    <w:rsid w:val="005808CC"/>
    <w:rsid w:val="0058437E"/>
    <w:rsid w:val="0058476B"/>
    <w:rsid w:val="00586152"/>
    <w:rsid w:val="00586610"/>
    <w:rsid w:val="00586B25"/>
    <w:rsid w:val="00586F3A"/>
    <w:rsid w:val="00587343"/>
    <w:rsid w:val="00587E63"/>
    <w:rsid w:val="005908CE"/>
    <w:rsid w:val="00590F62"/>
    <w:rsid w:val="00593F35"/>
    <w:rsid w:val="0059511C"/>
    <w:rsid w:val="005951BD"/>
    <w:rsid w:val="005970FF"/>
    <w:rsid w:val="005A37CB"/>
    <w:rsid w:val="005A4883"/>
    <w:rsid w:val="005A4F2B"/>
    <w:rsid w:val="005A76E4"/>
    <w:rsid w:val="005A7F33"/>
    <w:rsid w:val="005B1F3C"/>
    <w:rsid w:val="005B240D"/>
    <w:rsid w:val="005B53F7"/>
    <w:rsid w:val="005B602A"/>
    <w:rsid w:val="005B6770"/>
    <w:rsid w:val="005B6FCE"/>
    <w:rsid w:val="005C2FAC"/>
    <w:rsid w:val="005C5C19"/>
    <w:rsid w:val="005C7DDA"/>
    <w:rsid w:val="005D06EC"/>
    <w:rsid w:val="005D23F2"/>
    <w:rsid w:val="005D314B"/>
    <w:rsid w:val="005D3232"/>
    <w:rsid w:val="005D37BD"/>
    <w:rsid w:val="005D3F6F"/>
    <w:rsid w:val="005D4C7E"/>
    <w:rsid w:val="005D5A3F"/>
    <w:rsid w:val="005D5ABB"/>
    <w:rsid w:val="005E1406"/>
    <w:rsid w:val="005E238A"/>
    <w:rsid w:val="005E35C3"/>
    <w:rsid w:val="005E69BD"/>
    <w:rsid w:val="005F0068"/>
    <w:rsid w:val="005F1EC8"/>
    <w:rsid w:val="005F3271"/>
    <w:rsid w:val="005F5127"/>
    <w:rsid w:val="005F70C4"/>
    <w:rsid w:val="00600127"/>
    <w:rsid w:val="0060051C"/>
    <w:rsid w:val="006017C1"/>
    <w:rsid w:val="006020BF"/>
    <w:rsid w:val="00602987"/>
    <w:rsid w:val="00606296"/>
    <w:rsid w:val="006073A7"/>
    <w:rsid w:val="006123D6"/>
    <w:rsid w:val="00613213"/>
    <w:rsid w:val="00613831"/>
    <w:rsid w:val="0061416F"/>
    <w:rsid w:val="0061514F"/>
    <w:rsid w:val="00615621"/>
    <w:rsid w:val="0062146F"/>
    <w:rsid w:val="0062157D"/>
    <w:rsid w:val="00621FEE"/>
    <w:rsid w:val="00623389"/>
    <w:rsid w:val="0062637E"/>
    <w:rsid w:val="006325DA"/>
    <w:rsid w:val="006358B9"/>
    <w:rsid w:val="006361AE"/>
    <w:rsid w:val="00636612"/>
    <w:rsid w:val="006403CE"/>
    <w:rsid w:val="00642335"/>
    <w:rsid w:val="006438A7"/>
    <w:rsid w:val="00650E29"/>
    <w:rsid w:val="006532D3"/>
    <w:rsid w:val="0065359F"/>
    <w:rsid w:val="0065393D"/>
    <w:rsid w:val="00654372"/>
    <w:rsid w:val="00654D09"/>
    <w:rsid w:val="00656FC4"/>
    <w:rsid w:val="00657B12"/>
    <w:rsid w:val="00657DCF"/>
    <w:rsid w:val="006654D9"/>
    <w:rsid w:val="00667B0C"/>
    <w:rsid w:val="0067060B"/>
    <w:rsid w:val="00670AB7"/>
    <w:rsid w:val="00672A9E"/>
    <w:rsid w:val="006744F8"/>
    <w:rsid w:val="00675B96"/>
    <w:rsid w:val="006821FD"/>
    <w:rsid w:val="006840DA"/>
    <w:rsid w:val="00684923"/>
    <w:rsid w:val="00685290"/>
    <w:rsid w:val="00691BCF"/>
    <w:rsid w:val="0069252D"/>
    <w:rsid w:val="00695160"/>
    <w:rsid w:val="0069540E"/>
    <w:rsid w:val="00697374"/>
    <w:rsid w:val="00697666"/>
    <w:rsid w:val="00697943"/>
    <w:rsid w:val="006A00BD"/>
    <w:rsid w:val="006A0434"/>
    <w:rsid w:val="006A1CA9"/>
    <w:rsid w:val="006A6532"/>
    <w:rsid w:val="006A66A7"/>
    <w:rsid w:val="006A686B"/>
    <w:rsid w:val="006B0E38"/>
    <w:rsid w:val="006B236B"/>
    <w:rsid w:val="006B2F73"/>
    <w:rsid w:val="006B4600"/>
    <w:rsid w:val="006B4D3E"/>
    <w:rsid w:val="006B56AA"/>
    <w:rsid w:val="006C0CCC"/>
    <w:rsid w:val="006C242C"/>
    <w:rsid w:val="006C3AC5"/>
    <w:rsid w:val="006C4A2D"/>
    <w:rsid w:val="006C6D9F"/>
    <w:rsid w:val="006D2061"/>
    <w:rsid w:val="006D5AF1"/>
    <w:rsid w:val="006E167F"/>
    <w:rsid w:val="006E1732"/>
    <w:rsid w:val="006E2503"/>
    <w:rsid w:val="006E6AFA"/>
    <w:rsid w:val="006F2083"/>
    <w:rsid w:val="006F7B65"/>
    <w:rsid w:val="006F7F07"/>
    <w:rsid w:val="00700913"/>
    <w:rsid w:val="00703AFD"/>
    <w:rsid w:val="00705236"/>
    <w:rsid w:val="007127C2"/>
    <w:rsid w:val="007136CE"/>
    <w:rsid w:val="007145ED"/>
    <w:rsid w:val="00716175"/>
    <w:rsid w:val="00716CFA"/>
    <w:rsid w:val="00721FBB"/>
    <w:rsid w:val="00723F5C"/>
    <w:rsid w:val="007245BD"/>
    <w:rsid w:val="00726A29"/>
    <w:rsid w:val="00727119"/>
    <w:rsid w:val="00730294"/>
    <w:rsid w:val="00731B00"/>
    <w:rsid w:val="00731BA1"/>
    <w:rsid w:val="00733974"/>
    <w:rsid w:val="007344AF"/>
    <w:rsid w:val="00735227"/>
    <w:rsid w:val="0073605B"/>
    <w:rsid w:val="00736191"/>
    <w:rsid w:val="007413E4"/>
    <w:rsid w:val="007428F1"/>
    <w:rsid w:val="00742F5F"/>
    <w:rsid w:val="00744D15"/>
    <w:rsid w:val="007456BE"/>
    <w:rsid w:val="007476D5"/>
    <w:rsid w:val="00751299"/>
    <w:rsid w:val="00751C91"/>
    <w:rsid w:val="00753FDF"/>
    <w:rsid w:val="00756957"/>
    <w:rsid w:val="00757931"/>
    <w:rsid w:val="00760F11"/>
    <w:rsid w:val="0076133C"/>
    <w:rsid w:val="00761692"/>
    <w:rsid w:val="00761BFE"/>
    <w:rsid w:val="007621B2"/>
    <w:rsid w:val="00765E05"/>
    <w:rsid w:val="007668A8"/>
    <w:rsid w:val="00770344"/>
    <w:rsid w:val="007723F5"/>
    <w:rsid w:val="007728C4"/>
    <w:rsid w:val="00774390"/>
    <w:rsid w:val="007763D8"/>
    <w:rsid w:val="007770D2"/>
    <w:rsid w:val="007805E2"/>
    <w:rsid w:val="00780EF3"/>
    <w:rsid w:val="007811EC"/>
    <w:rsid w:val="00781C6C"/>
    <w:rsid w:val="00782676"/>
    <w:rsid w:val="00783E48"/>
    <w:rsid w:val="00785D24"/>
    <w:rsid w:val="007916B2"/>
    <w:rsid w:val="0079173B"/>
    <w:rsid w:val="007924C8"/>
    <w:rsid w:val="00792C68"/>
    <w:rsid w:val="00793117"/>
    <w:rsid w:val="007931DD"/>
    <w:rsid w:val="00796814"/>
    <w:rsid w:val="0079704B"/>
    <w:rsid w:val="007A0668"/>
    <w:rsid w:val="007A1203"/>
    <w:rsid w:val="007A1897"/>
    <w:rsid w:val="007A2F11"/>
    <w:rsid w:val="007A346C"/>
    <w:rsid w:val="007B0885"/>
    <w:rsid w:val="007B41A9"/>
    <w:rsid w:val="007B7F17"/>
    <w:rsid w:val="007C31FD"/>
    <w:rsid w:val="007C3FE1"/>
    <w:rsid w:val="007C65A3"/>
    <w:rsid w:val="007C7075"/>
    <w:rsid w:val="007C762F"/>
    <w:rsid w:val="007C7AA1"/>
    <w:rsid w:val="007D1067"/>
    <w:rsid w:val="007D1854"/>
    <w:rsid w:val="007D31D0"/>
    <w:rsid w:val="007D37ED"/>
    <w:rsid w:val="007D6B26"/>
    <w:rsid w:val="007D7624"/>
    <w:rsid w:val="007E09A7"/>
    <w:rsid w:val="007E0C22"/>
    <w:rsid w:val="007E150A"/>
    <w:rsid w:val="007E1ADF"/>
    <w:rsid w:val="007E2B7D"/>
    <w:rsid w:val="007E2C0A"/>
    <w:rsid w:val="007E5050"/>
    <w:rsid w:val="007F077C"/>
    <w:rsid w:val="00804089"/>
    <w:rsid w:val="00805B8F"/>
    <w:rsid w:val="00805FD8"/>
    <w:rsid w:val="008069F5"/>
    <w:rsid w:val="00807B4A"/>
    <w:rsid w:val="00810AF1"/>
    <w:rsid w:val="00810DC1"/>
    <w:rsid w:val="00811413"/>
    <w:rsid w:val="008125D8"/>
    <w:rsid w:val="00813D10"/>
    <w:rsid w:val="00814AEE"/>
    <w:rsid w:val="00814D89"/>
    <w:rsid w:val="008150D6"/>
    <w:rsid w:val="0082143B"/>
    <w:rsid w:val="00821F2F"/>
    <w:rsid w:val="00823A16"/>
    <w:rsid w:val="00824F4C"/>
    <w:rsid w:val="00825C83"/>
    <w:rsid w:val="0083203F"/>
    <w:rsid w:val="00832706"/>
    <w:rsid w:val="00832E86"/>
    <w:rsid w:val="00833FC8"/>
    <w:rsid w:val="00834E58"/>
    <w:rsid w:val="008354F3"/>
    <w:rsid w:val="00842844"/>
    <w:rsid w:val="00844A05"/>
    <w:rsid w:val="00846EFE"/>
    <w:rsid w:val="00850058"/>
    <w:rsid w:val="00850953"/>
    <w:rsid w:val="00851091"/>
    <w:rsid w:val="00852E60"/>
    <w:rsid w:val="00853876"/>
    <w:rsid w:val="008545AB"/>
    <w:rsid w:val="00854DDA"/>
    <w:rsid w:val="00855415"/>
    <w:rsid w:val="00856C7E"/>
    <w:rsid w:val="008616CB"/>
    <w:rsid w:val="008618D2"/>
    <w:rsid w:val="00861E0D"/>
    <w:rsid w:val="0086203C"/>
    <w:rsid w:val="00864104"/>
    <w:rsid w:val="00864883"/>
    <w:rsid w:val="00870043"/>
    <w:rsid w:val="00874665"/>
    <w:rsid w:val="0087638C"/>
    <w:rsid w:val="00876B0C"/>
    <w:rsid w:val="0088195F"/>
    <w:rsid w:val="008837BB"/>
    <w:rsid w:val="008841A2"/>
    <w:rsid w:val="008863F0"/>
    <w:rsid w:val="00887730"/>
    <w:rsid w:val="008878D6"/>
    <w:rsid w:val="008901E9"/>
    <w:rsid w:val="00890EBC"/>
    <w:rsid w:val="0089187C"/>
    <w:rsid w:val="008958D2"/>
    <w:rsid w:val="00896247"/>
    <w:rsid w:val="008A0404"/>
    <w:rsid w:val="008A251E"/>
    <w:rsid w:val="008A46A8"/>
    <w:rsid w:val="008A555D"/>
    <w:rsid w:val="008B09FE"/>
    <w:rsid w:val="008B0AD3"/>
    <w:rsid w:val="008B31AE"/>
    <w:rsid w:val="008B41D7"/>
    <w:rsid w:val="008B7C60"/>
    <w:rsid w:val="008C081A"/>
    <w:rsid w:val="008C0992"/>
    <w:rsid w:val="008C1691"/>
    <w:rsid w:val="008C1A20"/>
    <w:rsid w:val="008C3BB7"/>
    <w:rsid w:val="008C5418"/>
    <w:rsid w:val="008C7FD2"/>
    <w:rsid w:val="008D0602"/>
    <w:rsid w:val="008D0F03"/>
    <w:rsid w:val="008D5EAC"/>
    <w:rsid w:val="008D62F9"/>
    <w:rsid w:val="008D651D"/>
    <w:rsid w:val="008D6BB7"/>
    <w:rsid w:val="008E03AA"/>
    <w:rsid w:val="008E07C5"/>
    <w:rsid w:val="008E13EE"/>
    <w:rsid w:val="008E3B95"/>
    <w:rsid w:val="008E62A6"/>
    <w:rsid w:val="008F068E"/>
    <w:rsid w:val="008F4C1C"/>
    <w:rsid w:val="008F4D28"/>
    <w:rsid w:val="008F50CA"/>
    <w:rsid w:val="008F70AD"/>
    <w:rsid w:val="008F7762"/>
    <w:rsid w:val="009051C5"/>
    <w:rsid w:val="009058EE"/>
    <w:rsid w:val="00905992"/>
    <w:rsid w:val="00907652"/>
    <w:rsid w:val="00911A17"/>
    <w:rsid w:val="009129CD"/>
    <w:rsid w:val="009169D8"/>
    <w:rsid w:val="009171D8"/>
    <w:rsid w:val="00917D52"/>
    <w:rsid w:val="00920D3A"/>
    <w:rsid w:val="00924015"/>
    <w:rsid w:val="009253C4"/>
    <w:rsid w:val="009266DD"/>
    <w:rsid w:val="009273A3"/>
    <w:rsid w:val="0093265F"/>
    <w:rsid w:val="00934578"/>
    <w:rsid w:val="00936B0E"/>
    <w:rsid w:val="00940E2C"/>
    <w:rsid w:val="00942F83"/>
    <w:rsid w:val="0094482E"/>
    <w:rsid w:val="00944865"/>
    <w:rsid w:val="0094593A"/>
    <w:rsid w:val="00945946"/>
    <w:rsid w:val="00945A13"/>
    <w:rsid w:val="00945B17"/>
    <w:rsid w:val="00945BA6"/>
    <w:rsid w:val="00951E03"/>
    <w:rsid w:val="00953B18"/>
    <w:rsid w:val="00955EA1"/>
    <w:rsid w:val="0096110E"/>
    <w:rsid w:val="00961E86"/>
    <w:rsid w:val="00962518"/>
    <w:rsid w:val="00962CDD"/>
    <w:rsid w:val="00964BB7"/>
    <w:rsid w:val="0096521B"/>
    <w:rsid w:val="00970887"/>
    <w:rsid w:val="009712C4"/>
    <w:rsid w:val="00975187"/>
    <w:rsid w:val="00975E0B"/>
    <w:rsid w:val="00975E18"/>
    <w:rsid w:val="00975EA9"/>
    <w:rsid w:val="00981E36"/>
    <w:rsid w:val="00982D0B"/>
    <w:rsid w:val="0098420B"/>
    <w:rsid w:val="009876C6"/>
    <w:rsid w:val="00987DB3"/>
    <w:rsid w:val="009951D1"/>
    <w:rsid w:val="0099597A"/>
    <w:rsid w:val="00996406"/>
    <w:rsid w:val="009A2F21"/>
    <w:rsid w:val="009A5B2A"/>
    <w:rsid w:val="009A7D27"/>
    <w:rsid w:val="009C0066"/>
    <w:rsid w:val="009C6EF0"/>
    <w:rsid w:val="009D1D56"/>
    <w:rsid w:val="009D2444"/>
    <w:rsid w:val="009D3931"/>
    <w:rsid w:val="009D5769"/>
    <w:rsid w:val="009D79BD"/>
    <w:rsid w:val="009E01B4"/>
    <w:rsid w:val="009E0965"/>
    <w:rsid w:val="009E0A13"/>
    <w:rsid w:val="009E6741"/>
    <w:rsid w:val="009E7231"/>
    <w:rsid w:val="009F1345"/>
    <w:rsid w:val="009F1A2F"/>
    <w:rsid w:val="009F2680"/>
    <w:rsid w:val="009F4411"/>
    <w:rsid w:val="009F4D46"/>
    <w:rsid w:val="00A0120A"/>
    <w:rsid w:val="00A0335D"/>
    <w:rsid w:val="00A046CD"/>
    <w:rsid w:val="00A06137"/>
    <w:rsid w:val="00A061B8"/>
    <w:rsid w:val="00A070FE"/>
    <w:rsid w:val="00A07E1A"/>
    <w:rsid w:val="00A10BAB"/>
    <w:rsid w:val="00A11530"/>
    <w:rsid w:val="00A1203B"/>
    <w:rsid w:val="00A1237C"/>
    <w:rsid w:val="00A14766"/>
    <w:rsid w:val="00A225E8"/>
    <w:rsid w:val="00A23149"/>
    <w:rsid w:val="00A2632E"/>
    <w:rsid w:val="00A31BA5"/>
    <w:rsid w:val="00A42E9A"/>
    <w:rsid w:val="00A44E5D"/>
    <w:rsid w:val="00A47788"/>
    <w:rsid w:val="00A47E3D"/>
    <w:rsid w:val="00A50ACF"/>
    <w:rsid w:val="00A51A6D"/>
    <w:rsid w:val="00A52C0F"/>
    <w:rsid w:val="00A53C78"/>
    <w:rsid w:val="00A53D59"/>
    <w:rsid w:val="00A55FAA"/>
    <w:rsid w:val="00A5763E"/>
    <w:rsid w:val="00A614ED"/>
    <w:rsid w:val="00A63A07"/>
    <w:rsid w:val="00A64EF8"/>
    <w:rsid w:val="00A663F3"/>
    <w:rsid w:val="00A66AC5"/>
    <w:rsid w:val="00A6761B"/>
    <w:rsid w:val="00A72F08"/>
    <w:rsid w:val="00A74F68"/>
    <w:rsid w:val="00A754BB"/>
    <w:rsid w:val="00A75733"/>
    <w:rsid w:val="00A75F42"/>
    <w:rsid w:val="00A767D7"/>
    <w:rsid w:val="00A77EA4"/>
    <w:rsid w:val="00A805F8"/>
    <w:rsid w:val="00A82BDC"/>
    <w:rsid w:val="00A836F4"/>
    <w:rsid w:val="00A8523A"/>
    <w:rsid w:val="00A92730"/>
    <w:rsid w:val="00AA51A2"/>
    <w:rsid w:val="00AA658C"/>
    <w:rsid w:val="00AA7C1A"/>
    <w:rsid w:val="00AB1537"/>
    <w:rsid w:val="00AB2A08"/>
    <w:rsid w:val="00AB3AD2"/>
    <w:rsid w:val="00AB4664"/>
    <w:rsid w:val="00AB55B3"/>
    <w:rsid w:val="00AB6329"/>
    <w:rsid w:val="00AB661A"/>
    <w:rsid w:val="00AC12C3"/>
    <w:rsid w:val="00AC267D"/>
    <w:rsid w:val="00AC3B3D"/>
    <w:rsid w:val="00AC4601"/>
    <w:rsid w:val="00AC5AF0"/>
    <w:rsid w:val="00AC64F8"/>
    <w:rsid w:val="00AE52FA"/>
    <w:rsid w:val="00AE7D36"/>
    <w:rsid w:val="00AF5BE5"/>
    <w:rsid w:val="00B003A4"/>
    <w:rsid w:val="00B00C37"/>
    <w:rsid w:val="00B02572"/>
    <w:rsid w:val="00B028FA"/>
    <w:rsid w:val="00B02B1E"/>
    <w:rsid w:val="00B05C7D"/>
    <w:rsid w:val="00B07C4A"/>
    <w:rsid w:val="00B1096B"/>
    <w:rsid w:val="00B10D8D"/>
    <w:rsid w:val="00B12782"/>
    <w:rsid w:val="00B12EB8"/>
    <w:rsid w:val="00B1430D"/>
    <w:rsid w:val="00B14934"/>
    <w:rsid w:val="00B16CCF"/>
    <w:rsid w:val="00B178AD"/>
    <w:rsid w:val="00B20924"/>
    <w:rsid w:val="00B248D7"/>
    <w:rsid w:val="00B257F4"/>
    <w:rsid w:val="00B2580E"/>
    <w:rsid w:val="00B303AF"/>
    <w:rsid w:val="00B358EC"/>
    <w:rsid w:val="00B36548"/>
    <w:rsid w:val="00B40632"/>
    <w:rsid w:val="00B40ECE"/>
    <w:rsid w:val="00B411B0"/>
    <w:rsid w:val="00B4239B"/>
    <w:rsid w:val="00B42AE5"/>
    <w:rsid w:val="00B42AED"/>
    <w:rsid w:val="00B42B61"/>
    <w:rsid w:val="00B42EA6"/>
    <w:rsid w:val="00B43019"/>
    <w:rsid w:val="00B43198"/>
    <w:rsid w:val="00B4507C"/>
    <w:rsid w:val="00B46596"/>
    <w:rsid w:val="00B46B29"/>
    <w:rsid w:val="00B514E3"/>
    <w:rsid w:val="00B5293F"/>
    <w:rsid w:val="00B52A05"/>
    <w:rsid w:val="00B540DB"/>
    <w:rsid w:val="00B54D08"/>
    <w:rsid w:val="00B5537D"/>
    <w:rsid w:val="00B602AA"/>
    <w:rsid w:val="00B61767"/>
    <w:rsid w:val="00B621B9"/>
    <w:rsid w:val="00B62D1F"/>
    <w:rsid w:val="00B6389F"/>
    <w:rsid w:val="00B63EDF"/>
    <w:rsid w:val="00B6647F"/>
    <w:rsid w:val="00B70A87"/>
    <w:rsid w:val="00B72A20"/>
    <w:rsid w:val="00B76680"/>
    <w:rsid w:val="00B77263"/>
    <w:rsid w:val="00B82886"/>
    <w:rsid w:val="00B83969"/>
    <w:rsid w:val="00B83F53"/>
    <w:rsid w:val="00B84CC3"/>
    <w:rsid w:val="00B85096"/>
    <w:rsid w:val="00B93AB7"/>
    <w:rsid w:val="00B95D27"/>
    <w:rsid w:val="00B97C5B"/>
    <w:rsid w:val="00BA1E50"/>
    <w:rsid w:val="00BA245E"/>
    <w:rsid w:val="00BA559B"/>
    <w:rsid w:val="00BA7B95"/>
    <w:rsid w:val="00BA7CDA"/>
    <w:rsid w:val="00BB2F88"/>
    <w:rsid w:val="00BB721C"/>
    <w:rsid w:val="00BC0D5F"/>
    <w:rsid w:val="00BC4261"/>
    <w:rsid w:val="00BC531E"/>
    <w:rsid w:val="00BC673B"/>
    <w:rsid w:val="00BC6E21"/>
    <w:rsid w:val="00BC712F"/>
    <w:rsid w:val="00BC72E6"/>
    <w:rsid w:val="00BD6431"/>
    <w:rsid w:val="00BD7ADC"/>
    <w:rsid w:val="00BE1962"/>
    <w:rsid w:val="00BE310F"/>
    <w:rsid w:val="00BE3CFD"/>
    <w:rsid w:val="00BF1139"/>
    <w:rsid w:val="00BF18E0"/>
    <w:rsid w:val="00BF3124"/>
    <w:rsid w:val="00BF52B1"/>
    <w:rsid w:val="00BF5B50"/>
    <w:rsid w:val="00BF6B28"/>
    <w:rsid w:val="00BF7E02"/>
    <w:rsid w:val="00C00757"/>
    <w:rsid w:val="00C02A27"/>
    <w:rsid w:val="00C045D3"/>
    <w:rsid w:val="00C068D6"/>
    <w:rsid w:val="00C06FD9"/>
    <w:rsid w:val="00C10B18"/>
    <w:rsid w:val="00C1156F"/>
    <w:rsid w:val="00C1197A"/>
    <w:rsid w:val="00C11E77"/>
    <w:rsid w:val="00C12B90"/>
    <w:rsid w:val="00C2318B"/>
    <w:rsid w:val="00C237ED"/>
    <w:rsid w:val="00C23AE3"/>
    <w:rsid w:val="00C24CC4"/>
    <w:rsid w:val="00C25D08"/>
    <w:rsid w:val="00C26CFF"/>
    <w:rsid w:val="00C30D88"/>
    <w:rsid w:val="00C32A8C"/>
    <w:rsid w:val="00C33B04"/>
    <w:rsid w:val="00C34C1C"/>
    <w:rsid w:val="00C36102"/>
    <w:rsid w:val="00C3795E"/>
    <w:rsid w:val="00C43551"/>
    <w:rsid w:val="00C4439A"/>
    <w:rsid w:val="00C45989"/>
    <w:rsid w:val="00C47B4E"/>
    <w:rsid w:val="00C47C73"/>
    <w:rsid w:val="00C50044"/>
    <w:rsid w:val="00C51819"/>
    <w:rsid w:val="00C51C79"/>
    <w:rsid w:val="00C537D5"/>
    <w:rsid w:val="00C54568"/>
    <w:rsid w:val="00C55542"/>
    <w:rsid w:val="00C5559F"/>
    <w:rsid w:val="00C56123"/>
    <w:rsid w:val="00C57BB2"/>
    <w:rsid w:val="00C62187"/>
    <w:rsid w:val="00C62D1C"/>
    <w:rsid w:val="00C663DE"/>
    <w:rsid w:val="00C73E0D"/>
    <w:rsid w:val="00C760F1"/>
    <w:rsid w:val="00C7711D"/>
    <w:rsid w:val="00C77363"/>
    <w:rsid w:val="00C80B9D"/>
    <w:rsid w:val="00C811CB"/>
    <w:rsid w:val="00C833B5"/>
    <w:rsid w:val="00C837A4"/>
    <w:rsid w:val="00C86185"/>
    <w:rsid w:val="00C91661"/>
    <w:rsid w:val="00C92867"/>
    <w:rsid w:val="00CA021C"/>
    <w:rsid w:val="00CA31DD"/>
    <w:rsid w:val="00CA512E"/>
    <w:rsid w:val="00CB3342"/>
    <w:rsid w:val="00CB70DA"/>
    <w:rsid w:val="00CC0126"/>
    <w:rsid w:val="00CC2B24"/>
    <w:rsid w:val="00CC2D5A"/>
    <w:rsid w:val="00CC3D3A"/>
    <w:rsid w:val="00CC412C"/>
    <w:rsid w:val="00CC6ABC"/>
    <w:rsid w:val="00CC730C"/>
    <w:rsid w:val="00CD5BEB"/>
    <w:rsid w:val="00CE176F"/>
    <w:rsid w:val="00CE3D85"/>
    <w:rsid w:val="00CE416B"/>
    <w:rsid w:val="00CE5718"/>
    <w:rsid w:val="00CF24C8"/>
    <w:rsid w:val="00CF65D0"/>
    <w:rsid w:val="00CF715D"/>
    <w:rsid w:val="00D024CA"/>
    <w:rsid w:val="00D0312D"/>
    <w:rsid w:val="00D03790"/>
    <w:rsid w:val="00D03AFE"/>
    <w:rsid w:val="00D05766"/>
    <w:rsid w:val="00D059FB"/>
    <w:rsid w:val="00D06052"/>
    <w:rsid w:val="00D060B7"/>
    <w:rsid w:val="00D06645"/>
    <w:rsid w:val="00D066E6"/>
    <w:rsid w:val="00D06CF5"/>
    <w:rsid w:val="00D07B38"/>
    <w:rsid w:val="00D147F8"/>
    <w:rsid w:val="00D173A4"/>
    <w:rsid w:val="00D17F50"/>
    <w:rsid w:val="00D20335"/>
    <w:rsid w:val="00D20C9E"/>
    <w:rsid w:val="00D23500"/>
    <w:rsid w:val="00D27A0B"/>
    <w:rsid w:val="00D27F93"/>
    <w:rsid w:val="00D32D2A"/>
    <w:rsid w:val="00D33112"/>
    <w:rsid w:val="00D33CD9"/>
    <w:rsid w:val="00D35AF4"/>
    <w:rsid w:val="00D3648B"/>
    <w:rsid w:val="00D37A81"/>
    <w:rsid w:val="00D40B93"/>
    <w:rsid w:val="00D42111"/>
    <w:rsid w:val="00D435BA"/>
    <w:rsid w:val="00D440B0"/>
    <w:rsid w:val="00D4564A"/>
    <w:rsid w:val="00D45A74"/>
    <w:rsid w:val="00D47905"/>
    <w:rsid w:val="00D50DE9"/>
    <w:rsid w:val="00D52252"/>
    <w:rsid w:val="00D5231F"/>
    <w:rsid w:val="00D5237E"/>
    <w:rsid w:val="00D53344"/>
    <w:rsid w:val="00D55EB0"/>
    <w:rsid w:val="00D56205"/>
    <w:rsid w:val="00D565AB"/>
    <w:rsid w:val="00D56624"/>
    <w:rsid w:val="00D572A8"/>
    <w:rsid w:val="00D607B4"/>
    <w:rsid w:val="00D6240D"/>
    <w:rsid w:val="00D6486D"/>
    <w:rsid w:val="00D6784A"/>
    <w:rsid w:val="00D720FE"/>
    <w:rsid w:val="00D722A0"/>
    <w:rsid w:val="00D73FC9"/>
    <w:rsid w:val="00D76208"/>
    <w:rsid w:val="00D7739C"/>
    <w:rsid w:val="00D80869"/>
    <w:rsid w:val="00D80A0C"/>
    <w:rsid w:val="00D81AA3"/>
    <w:rsid w:val="00D83139"/>
    <w:rsid w:val="00D83771"/>
    <w:rsid w:val="00D843E0"/>
    <w:rsid w:val="00D905AF"/>
    <w:rsid w:val="00DA0027"/>
    <w:rsid w:val="00DA099C"/>
    <w:rsid w:val="00DA0CFC"/>
    <w:rsid w:val="00DA191F"/>
    <w:rsid w:val="00DA2AFE"/>
    <w:rsid w:val="00DA302E"/>
    <w:rsid w:val="00DA320A"/>
    <w:rsid w:val="00DA3D47"/>
    <w:rsid w:val="00DA3ED4"/>
    <w:rsid w:val="00DA420D"/>
    <w:rsid w:val="00DA470A"/>
    <w:rsid w:val="00DA5C67"/>
    <w:rsid w:val="00DA6802"/>
    <w:rsid w:val="00DB1A2C"/>
    <w:rsid w:val="00DB1BE6"/>
    <w:rsid w:val="00DB5F01"/>
    <w:rsid w:val="00DB7FC3"/>
    <w:rsid w:val="00DC4F38"/>
    <w:rsid w:val="00DC7EA0"/>
    <w:rsid w:val="00DD0BCF"/>
    <w:rsid w:val="00DD6070"/>
    <w:rsid w:val="00DD71A1"/>
    <w:rsid w:val="00DE1C3E"/>
    <w:rsid w:val="00DE3318"/>
    <w:rsid w:val="00DE4B31"/>
    <w:rsid w:val="00DE63CA"/>
    <w:rsid w:val="00DF21AB"/>
    <w:rsid w:val="00DF5208"/>
    <w:rsid w:val="00DF689A"/>
    <w:rsid w:val="00DF7B31"/>
    <w:rsid w:val="00E0104D"/>
    <w:rsid w:val="00E01A2F"/>
    <w:rsid w:val="00E071F5"/>
    <w:rsid w:val="00E10878"/>
    <w:rsid w:val="00E10C37"/>
    <w:rsid w:val="00E12C79"/>
    <w:rsid w:val="00E155D9"/>
    <w:rsid w:val="00E17823"/>
    <w:rsid w:val="00E2087C"/>
    <w:rsid w:val="00E24478"/>
    <w:rsid w:val="00E27977"/>
    <w:rsid w:val="00E3431F"/>
    <w:rsid w:val="00E35D14"/>
    <w:rsid w:val="00E364C4"/>
    <w:rsid w:val="00E3756B"/>
    <w:rsid w:val="00E40127"/>
    <w:rsid w:val="00E403DE"/>
    <w:rsid w:val="00E442FF"/>
    <w:rsid w:val="00E513D9"/>
    <w:rsid w:val="00E53156"/>
    <w:rsid w:val="00E544A0"/>
    <w:rsid w:val="00E61BB1"/>
    <w:rsid w:val="00E63215"/>
    <w:rsid w:val="00E65238"/>
    <w:rsid w:val="00E67C9A"/>
    <w:rsid w:val="00E733FE"/>
    <w:rsid w:val="00E75BF5"/>
    <w:rsid w:val="00E80388"/>
    <w:rsid w:val="00E80F78"/>
    <w:rsid w:val="00E81555"/>
    <w:rsid w:val="00E83AA0"/>
    <w:rsid w:val="00E83D6F"/>
    <w:rsid w:val="00E8455D"/>
    <w:rsid w:val="00E850D8"/>
    <w:rsid w:val="00E85D74"/>
    <w:rsid w:val="00E90471"/>
    <w:rsid w:val="00E9062F"/>
    <w:rsid w:val="00E90D49"/>
    <w:rsid w:val="00E92BF8"/>
    <w:rsid w:val="00EA217E"/>
    <w:rsid w:val="00EA6023"/>
    <w:rsid w:val="00EB14BD"/>
    <w:rsid w:val="00EB4651"/>
    <w:rsid w:val="00EB55F8"/>
    <w:rsid w:val="00EC09ED"/>
    <w:rsid w:val="00EC28F6"/>
    <w:rsid w:val="00EC5694"/>
    <w:rsid w:val="00EC6674"/>
    <w:rsid w:val="00EC6E7F"/>
    <w:rsid w:val="00ED1301"/>
    <w:rsid w:val="00ED1700"/>
    <w:rsid w:val="00ED72CA"/>
    <w:rsid w:val="00ED7A5E"/>
    <w:rsid w:val="00EE67FE"/>
    <w:rsid w:val="00EE7A9A"/>
    <w:rsid w:val="00EF0E4A"/>
    <w:rsid w:val="00EF3757"/>
    <w:rsid w:val="00EF4613"/>
    <w:rsid w:val="00EF62B4"/>
    <w:rsid w:val="00EF6F02"/>
    <w:rsid w:val="00F01130"/>
    <w:rsid w:val="00F01833"/>
    <w:rsid w:val="00F049EF"/>
    <w:rsid w:val="00F04ACA"/>
    <w:rsid w:val="00F1233C"/>
    <w:rsid w:val="00F2060C"/>
    <w:rsid w:val="00F2286D"/>
    <w:rsid w:val="00F235B9"/>
    <w:rsid w:val="00F2424C"/>
    <w:rsid w:val="00F24DFF"/>
    <w:rsid w:val="00F24F06"/>
    <w:rsid w:val="00F26E82"/>
    <w:rsid w:val="00F271F9"/>
    <w:rsid w:val="00F306E2"/>
    <w:rsid w:val="00F31F82"/>
    <w:rsid w:val="00F33EBD"/>
    <w:rsid w:val="00F354C8"/>
    <w:rsid w:val="00F374F1"/>
    <w:rsid w:val="00F379D4"/>
    <w:rsid w:val="00F43BA2"/>
    <w:rsid w:val="00F441A6"/>
    <w:rsid w:val="00F46791"/>
    <w:rsid w:val="00F508F4"/>
    <w:rsid w:val="00F50F96"/>
    <w:rsid w:val="00F51125"/>
    <w:rsid w:val="00F52258"/>
    <w:rsid w:val="00F52F3B"/>
    <w:rsid w:val="00F5384E"/>
    <w:rsid w:val="00F55FA2"/>
    <w:rsid w:val="00F57C50"/>
    <w:rsid w:val="00F62EF9"/>
    <w:rsid w:val="00F630E9"/>
    <w:rsid w:val="00F66D3F"/>
    <w:rsid w:val="00F74592"/>
    <w:rsid w:val="00F76AAC"/>
    <w:rsid w:val="00F76D7B"/>
    <w:rsid w:val="00F772CD"/>
    <w:rsid w:val="00F80284"/>
    <w:rsid w:val="00F83811"/>
    <w:rsid w:val="00F939BC"/>
    <w:rsid w:val="00F93F4D"/>
    <w:rsid w:val="00F957C1"/>
    <w:rsid w:val="00F95BCA"/>
    <w:rsid w:val="00F97959"/>
    <w:rsid w:val="00FA0C41"/>
    <w:rsid w:val="00FA214A"/>
    <w:rsid w:val="00FA3DCA"/>
    <w:rsid w:val="00FA4035"/>
    <w:rsid w:val="00FA4C67"/>
    <w:rsid w:val="00FA6FCF"/>
    <w:rsid w:val="00FB1A89"/>
    <w:rsid w:val="00FB235C"/>
    <w:rsid w:val="00FB23DB"/>
    <w:rsid w:val="00FB2E1A"/>
    <w:rsid w:val="00FB3D0B"/>
    <w:rsid w:val="00FB592F"/>
    <w:rsid w:val="00FB6294"/>
    <w:rsid w:val="00FB6B08"/>
    <w:rsid w:val="00FC1664"/>
    <w:rsid w:val="00FC25F6"/>
    <w:rsid w:val="00FC62A5"/>
    <w:rsid w:val="00FC6931"/>
    <w:rsid w:val="00FD0DA5"/>
    <w:rsid w:val="00FD179A"/>
    <w:rsid w:val="00FD19F2"/>
    <w:rsid w:val="00FD231A"/>
    <w:rsid w:val="00FD2CED"/>
    <w:rsid w:val="00FD4673"/>
    <w:rsid w:val="00FD7DBF"/>
    <w:rsid w:val="00FE1572"/>
    <w:rsid w:val="00FE2259"/>
    <w:rsid w:val="00FE4197"/>
    <w:rsid w:val="00FE4236"/>
    <w:rsid w:val="00FE47DA"/>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7CE33D2B-D176-476C-9FF8-34EEBE787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1E8"/>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825C83"/>
    <w:pPr>
      <w:keepNext/>
      <w:spacing w:after="480"/>
      <w:outlineLvl w:val="0"/>
    </w:pPr>
    <w:rPr>
      <w:rFonts w:ascii="Arial" w:hAnsi="Arial"/>
      <w:b/>
      <w:color w:val="7030A0"/>
      <w:kern w:val="28"/>
      <w:sz w:val="44"/>
    </w:rPr>
  </w:style>
  <w:style w:type="paragraph" w:styleId="Heading2">
    <w:name w:val="heading 2"/>
    <w:basedOn w:val="Normal"/>
    <w:next w:val="Normal"/>
    <w:link w:val="Heading2Char"/>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825C83"/>
    <w:pPr>
      <w:keepNext/>
      <w:keepLines/>
      <w:spacing w:before="144" w:after="144"/>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paragraph" w:styleId="Heading9">
    <w:name w:val="heading 9"/>
    <w:basedOn w:val="Normal"/>
    <w:next w:val="Normal"/>
    <w:link w:val="Heading9Char"/>
    <w:uiPriority w:val="9"/>
    <w:semiHidden/>
    <w:unhideWhenUsed/>
    <w:qFormat/>
    <w:rsid w:val="00216E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5C83"/>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825C83"/>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8"/>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9"/>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rPr>
      <w:bCs/>
    </w:rPr>
  </w:style>
  <w:style w:type="paragraph" w:customStyle="1" w:styleId="Tabletext">
    <w:name w:val="Table text"/>
    <w:basedOn w:val="Normal"/>
    <w:link w:val="TabletextChar"/>
    <w:autoRedefine/>
    <w:qFormat/>
    <w:rsid w:val="00C26CFF"/>
    <w:pPr>
      <w:spacing w:before="60" w:after="60"/>
      <w:jc w:val="right"/>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C26CFF"/>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3"/>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4"/>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0"/>
      </w:numPr>
    </w:pPr>
  </w:style>
  <w:style w:type="paragraph" w:customStyle="1" w:styleId="Bullet1">
    <w:name w:val="Bullet 1"/>
    <w:basedOn w:val="Normal"/>
    <w:uiPriority w:val="2"/>
    <w:qFormat/>
    <w:rsid w:val="00430784"/>
    <w:pPr>
      <w:numPr>
        <w:numId w:val="11"/>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11"/>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11"/>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12"/>
      </w:numPr>
      <w:ind w:left="357" w:hanging="357"/>
    </w:pPr>
    <w:rPr>
      <w:szCs w:val="22"/>
      <w:lang w:val="en"/>
    </w:rPr>
  </w:style>
  <w:style w:type="paragraph" w:customStyle="1" w:styleId="Bulletroman">
    <w:name w:val="Bullet roman"/>
    <w:basedOn w:val="bulletalpha"/>
    <w:qFormat/>
    <w:rsid w:val="00430784"/>
    <w:pPr>
      <w:numPr>
        <w:numId w:val="13"/>
      </w:numPr>
    </w:pPr>
  </w:style>
  <w:style w:type="paragraph" w:customStyle="1" w:styleId="Boxed1Bullet">
    <w:name w:val="Boxed 1 Bullet"/>
    <w:basedOn w:val="Boxed1Text"/>
    <w:uiPriority w:val="30"/>
    <w:qFormat/>
    <w:rsid w:val="00430784"/>
    <w:pPr>
      <w:numPr>
        <w:numId w:val="15"/>
      </w:numPr>
    </w:pPr>
  </w:style>
  <w:style w:type="paragraph" w:customStyle="1" w:styleId="Boxed2Bullet">
    <w:name w:val="Boxed 2 Bullet"/>
    <w:basedOn w:val="Normal"/>
    <w:uiPriority w:val="32"/>
    <w:qFormat/>
    <w:rsid w:val="00430784"/>
    <w:pPr>
      <w:numPr>
        <w:ilvl w:val="1"/>
        <w:numId w:val="15"/>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5"/>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22"/>
      </w:numPr>
    </w:pPr>
  </w:style>
  <w:style w:type="paragraph" w:customStyle="1" w:styleId="FigureTitle">
    <w:name w:val="Figure Title"/>
    <w:basedOn w:val="Normal"/>
    <w:uiPriority w:val="12"/>
    <w:qFormat/>
    <w:rsid w:val="00495C6A"/>
    <w:pPr>
      <w:keepNext/>
      <w:numPr>
        <w:numId w:val="23"/>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33"/>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3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31"/>
      </w:numPr>
    </w:pPr>
  </w:style>
  <w:style w:type="paragraph" w:customStyle="1" w:styleId="TableTitle">
    <w:name w:val="Table Title"/>
    <w:basedOn w:val="FigureTitle"/>
    <w:uiPriority w:val="12"/>
    <w:qFormat/>
    <w:rsid w:val="00C45989"/>
    <w:pPr>
      <w:numPr>
        <w:numId w:val="32"/>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34"/>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TOCHeading">
    <w:name w:val="TOC Heading"/>
    <w:basedOn w:val="Heading1"/>
    <w:next w:val="Normal"/>
    <w:uiPriority w:val="39"/>
    <w:unhideWhenUsed/>
    <w:qFormat/>
    <w:rsid w:val="008863F0"/>
    <w:pPr>
      <w:keepLines/>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paragraph" w:styleId="TOC1">
    <w:name w:val="toc 1"/>
    <w:basedOn w:val="Normal"/>
    <w:next w:val="Normal"/>
    <w:autoRedefine/>
    <w:uiPriority w:val="39"/>
    <w:unhideWhenUsed/>
    <w:rsid w:val="00C25D08"/>
    <w:pPr>
      <w:tabs>
        <w:tab w:val="right" w:leader="dot" w:pos="9629"/>
      </w:tabs>
      <w:spacing w:after="100"/>
    </w:pPr>
  </w:style>
  <w:style w:type="paragraph" w:styleId="TOC2">
    <w:name w:val="toc 2"/>
    <w:basedOn w:val="Normal"/>
    <w:next w:val="Normal"/>
    <w:autoRedefine/>
    <w:uiPriority w:val="39"/>
    <w:unhideWhenUsed/>
    <w:rsid w:val="008863F0"/>
    <w:pPr>
      <w:spacing w:after="100"/>
      <w:ind w:left="220"/>
    </w:pPr>
  </w:style>
  <w:style w:type="paragraph" w:styleId="TOC3">
    <w:name w:val="toc 3"/>
    <w:basedOn w:val="Normal"/>
    <w:next w:val="Normal"/>
    <w:autoRedefine/>
    <w:uiPriority w:val="39"/>
    <w:unhideWhenUsed/>
    <w:rsid w:val="008863F0"/>
    <w:pPr>
      <w:spacing w:after="100"/>
      <w:ind w:left="440"/>
    </w:pPr>
  </w:style>
  <w:style w:type="character" w:styleId="CommentReference">
    <w:name w:val="annotation reference"/>
    <w:basedOn w:val="DefaultParagraphFont"/>
    <w:uiPriority w:val="99"/>
    <w:semiHidden/>
    <w:unhideWhenUsed/>
    <w:rsid w:val="009E0965"/>
    <w:rPr>
      <w:sz w:val="16"/>
      <w:szCs w:val="16"/>
    </w:rPr>
  </w:style>
  <w:style w:type="paragraph" w:styleId="CommentText">
    <w:name w:val="annotation text"/>
    <w:basedOn w:val="Normal"/>
    <w:link w:val="CommentTextChar"/>
    <w:uiPriority w:val="99"/>
    <w:semiHidden/>
    <w:unhideWhenUsed/>
    <w:rsid w:val="009E0965"/>
    <w:pPr>
      <w:spacing w:line="240" w:lineRule="auto"/>
    </w:pPr>
    <w:rPr>
      <w:sz w:val="20"/>
    </w:rPr>
  </w:style>
  <w:style w:type="character" w:customStyle="1" w:styleId="CommentTextChar">
    <w:name w:val="Comment Text Char"/>
    <w:basedOn w:val="DefaultParagraphFont"/>
    <w:link w:val="CommentText"/>
    <w:uiPriority w:val="99"/>
    <w:semiHidden/>
    <w:rsid w:val="009E096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E0965"/>
    <w:rPr>
      <w:b/>
      <w:bCs/>
    </w:rPr>
  </w:style>
  <w:style w:type="character" w:customStyle="1" w:styleId="CommentSubjectChar">
    <w:name w:val="Comment Subject Char"/>
    <w:basedOn w:val="CommentTextChar"/>
    <w:link w:val="CommentSubject"/>
    <w:uiPriority w:val="99"/>
    <w:semiHidden/>
    <w:rsid w:val="009E0965"/>
    <w:rPr>
      <w:rFonts w:ascii="Calibri" w:eastAsia="Times New Roman" w:hAnsi="Calibri" w:cs="Times New Roman"/>
      <w:b/>
      <w:bCs/>
      <w:sz w:val="20"/>
      <w:szCs w:val="20"/>
    </w:rPr>
  </w:style>
  <w:style w:type="paragraph" w:styleId="FootnoteText">
    <w:name w:val="footnote text"/>
    <w:basedOn w:val="Normal"/>
    <w:link w:val="FootnoteTextChar"/>
    <w:uiPriority w:val="99"/>
    <w:semiHidden/>
    <w:unhideWhenUsed/>
    <w:rsid w:val="00F630E9"/>
    <w:pPr>
      <w:spacing w:before="0" w:after="0" w:line="240" w:lineRule="auto"/>
    </w:pPr>
    <w:rPr>
      <w:sz w:val="20"/>
    </w:rPr>
  </w:style>
  <w:style w:type="character" w:customStyle="1" w:styleId="FootnoteTextChar">
    <w:name w:val="Footnote Text Char"/>
    <w:basedOn w:val="DefaultParagraphFont"/>
    <w:link w:val="FootnoteText"/>
    <w:uiPriority w:val="99"/>
    <w:semiHidden/>
    <w:rsid w:val="00F630E9"/>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F630E9"/>
    <w:rPr>
      <w:vertAlign w:val="superscript"/>
    </w:rPr>
  </w:style>
  <w:style w:type="paragraph" w:styleId="Revision">
    <w:name w:val="Revision"/>
    <w:hidden/>
    <w:uiPriority w:val="99"/>
    <w:semiHidden/>
    <w:rsid w:val="00DB5F01"/>
    <w:pPr>
      <w:spacing w:after="0" w:line="240" w:lineRule="auto"/>
    </w:pPr>
    <w:rPr>
      <w:rFonts w:ascii="Calibri" w:eastAsia="Times New Roman" w:hAnsi="Calibri" w:cs="Times New Roman"/>
      <w:szCs w:val="20"/>
    </w:rPr>
  </w:style>
  <w:style w:type="character" w:customStyle="1" w:styleId="Heading9Char">
    <w:name w:val="Heading 9 Char"/>
    <w:basedOn w:val="DefaultParagraphFont"/>
    <w:link w:val="Heading9"/>
    <w:uiPriority w:val="9"/>
    <w:semiHidden/>
    <w:rsid w:val="00216E15"/>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56715">
      <w:bodyDiv w:val="1"/>
      <w:marLeft w:val="0"/>
      <w:marRight w:val="0"/>
      <w:marTop w:val="0"/>
      <w:marBottom w:val="0"/>
      <w:divBdr>
        <w:top w:val="none" w:sz="0" w:space="0" w:color="auto"/>
        <w:left w:val="none" w:sz="0" w:space="0" w:color="auto"/>
        <w:bottom w:val="none" w:sz="0" w:space="0" w:color="auto"/>
        <w:right w:val="none" w:sz="0" w:space="0" w:color="auto"/>
      </w:divBdr>
    </w:div>
    <w:div w:id="1335106983">
      <w:bodyDiv w:val="1"/>
      <w:marLeft w:val="0"/>
      <w:marRight w:val="0"/>
      <w:marTop w:val="0"/>
      <w:marBottom w:val="0"/>
      <w:divBdr>
        <w:top w:val="none" w:sz="0" w:space="0" w:color="auto"/>
        <w:left w:val="none" w:sz="0" w:space="0" w:color="auto"/>
        <w:bottom w:val="none" w:sz="0" w:space="0" w:color="auto"/>
        <w:right w:val="none" w:sz="0" w:space="0" w:color="auto"/>
      </w:divBdr>
    </w:div>
    <w:div w:id="1407528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7" Type="http://schemas.openxmlformats.org/officeDocument/2006/relationships/footer" Target="foot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population.gov.au/media/media-working-with-states-territories-local-gvt.html" TargetMode="External"/><Relationship Id="rId1" Type="http://schemas.openxmlformats.org/officeDocument/2006/relationships/hyperlink" Target="https://www.abs.gov.au/statistics/people/population/population-projections-australia/latest-rele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Props1.xml><?xml version="1.0" encoding="utf-8"?>
<ds:datastoreItem xmlns:ds="http://schemas.openxmlformats.org/officeDocument/2006/customXml" ds:itemID="{E3F56633-A035-488A-B5A5-842E8867E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3.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4.xml><?xml version="1.0" encoding="utf-8"?>
<ds:datastoreItem xmlns:ds="http://schemas.openxmlformats.org/officeDocument/2006/customXml" ds:itemID="{7984DB80-A521-429B-8B43-37D8A844619C}">
  <ds:schemaRefs>
    <ds:schemaRef ds:uri="http://purl.org/dc/elements/1.1/"/>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4d47241e-7224-40da-83d9-1113ff4a4334"/>
    <ds:schemaRef ds:uri="f6c841be-bb08-4901-87b0-0033aa80d2c6"/>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21</Pages>
  <Words>4506</Words>
  <Characters>25686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Maskell, Alan</dc:creator>
  <cp:keywords/>
  <dc:description/>
  <cp:lastModifiedBy>Banerjee, Atreya</cp:lastModifiedBy>
  <cp:revision>9</cp:revision>
  <cp:lastPrinted>2023-02-20T07:46:00Z</cp:lastPrinted>
  <dcterms:created xsi:type="dcterms:W3CDTF">2022-11-11T03:36:00Z</dcterms:created>
  <dcterms:modified xsi:type="dcterms:W3CDTF">2023-02-20T07:47:00Z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